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nz2yomq7n8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credit scoring system (0–100) for Compound V2 wallets based on transaction behavior, where higher scores indicate reliable usage and lower scores reflect risky or exploitative behavior.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vi6wi34by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Data Selection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the three largest JSON files from the Compound V2 dataset to capture significant protocol activity.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Assume files contain transaction logs with wallet addresses, transaction types, amounts, and timestamps.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fy66coggo0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Defining Good vs. Bad Behavior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Good Behavior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High deposit frequency and volume.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Timely repayments (high repayment-to-borrow ratio).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or no liquidations.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Stable borrow-to-deposit ratio (&lt;1).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Consistent transaction patterns over time.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Bad Behavior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High borrow-to-deposit ratios (&gt;1).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Frequent liquidations.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repayment rates.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Bot-like patterns (e.g., rapid deposit-withdraw cycles).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Sporadic or exploitative activity (e.g., borrowing without repaying).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of5fear3ih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Feature Engineering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Aggregate transactions by wallet to create features: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Volume-Based</w:t>
      </w:r>
      <w:r w:rsidDel="00000000" w:rsidR="00000000" w:rsidRPr="00000000">
        <w:rPr>
          <w:rtl w:val="0"/>
        </w:rPr>
        <w:t xml:space="preserve">: Total deposits, borrows, repayments, withdrawals, liquidation amounts.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Ratio-Based</w:t>
      </w:r>
      <w:r w:rsidDel="00000000" w:rsidR="00000000" w:rsidRPr="00000000">
        <w:rPr>
          <w:rtl w:val="0"/>
        </w:rPr>
        <w:t xml:space="preserve">: Borrow-to-deposit ratio, repayment-to-borrow ratio.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Frequency-Based</w:t>
      </w:r>
      <w:r w:rsidDel="00000000" w:rsidR="00000000" w:rsidRPr="00000000">
        <w:rPr>
          <w:rtl w:val="0"/>
        </w:rPr>
        <w:t xml:space="preserve">: Number of transactions per type, average time between transactions.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Temporal Patterns</w:t>
      </w:r>
      <w:r w:rsidDel="00000000" w:rsidR="00000000" w:rsidRPr="00000000">
        <w:rPr>
          <w:rtl w:val="0"/>
        </w:rPr>
        <w:t xml:space="preserve">: Entropy of transaction timestamps (to detect bot-like regularity).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Indicators</w:t>
      </w:r>
      <w:r w:rsidDel="00000000" w:rsidR="00000000" w:rsidRPr="00000000">
        <w:rPr>
          <w:rtl w:val="0"/>
        </w:rPr>
        <w:t xml:space="preserve">: Liquidation count, liquidation-to-borrow ratio.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 Span</w:t>
      </w:r>
      <w:r w:rsidDel="00000000" w:rsidR="00000000" w:rsidRPr="00000000">
        <w:rPr>
          <w:rtl w:val="0"/>
        </w:rPr>
        <w:t xml:space="preserve">: Time between first and last transaction.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jh7217b0q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Modeling Approach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Unsupervised Learning</w:t>
      </w:r>
      <w:r w:rsidDel="00000000" w:rsidR="00000000" w:rsidRPr="00000000">
        <w:rPr>
          <w:rtl w:val="0"/>
        </w:rPr>
        <w:t xml:space="preserve">: Use K-means clustering to group wallets by behavior (k=5 clusters, determined via elbow method).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Scaling</w:t>
      </w:r>
      <w:r w:rsidDel="00000000" w:rsidR="00000000" w:rsidRPr="00000000">
        <w:rPr>
          <w:rtl w:val="0"/>
        </w:rPr>
        <w:t xml:space="preserve">: Standardize features to ensure equal weighting.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Scoring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cluster centroids to identify "good" (low liquidation, high repayment) vs. "bad" (high liquidation, low repayment) clusters.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scores (0–100) based on cluster characteristics, normalized to a 0–100 scale.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Cross-check scores against domain rules (e.g., wallets with zero liquidations score &gt;50).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fteq8rv0s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Scoring System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Scores reflect reliability and protocol health: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scores (80–100): High deposits, consistent repayments, no liquidations.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Medium scores (50–80): Moderate borrowing, some repayments, rare liquidations.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scores (0–50): High borrowing, frequent liquidations, low repayments.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 scores to ensure a smooth distribution.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2tdmwkn66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Wallet Analysis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five high-scoring and five low-scoring wallets.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transaction patterns (e.g., frequency, ratios, liquidations) to justify scores.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protocol health implications (e.g., low-scoring wallets may destabilize the protocol).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