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b/>
          <w:bCs/>
          <w:i w:val="false"/>
          <w:iCs w:val="false"/>
          <w:color w:val="000000"/>
          <w:sz w:val="36"/>
          <w:szCs w:val="36"/>
        </w:rPr>
        <w:t xml:space="preserve">Project Chronos: AI-Assisted Reconstruction of
Fragmented Internet Linguistic Artifacts</w:t>
      </w:r>
    </w:p>
    <w:p>
      <w:pPr>
        <w:spacing w:after="60" w:before="0"/>
        <w:jc w:val="center"/>
      </w:pPr>
      <w:r>
        <w:rPr>
          <w:rFonts w:ascii="Times New Roman" w:cs="Times New Roman" w:eastAsia="Times New Roman" w:hAnsi="Times New Roman"/>
          <w:b/>
          <w:bCs/>
          <w:i w:val="false"/>
          <w:iCs w:val="false"/>
          <w:color w:val="000000"/>
          <w:sz w:val="22"/>
          <w:szCs w:val="22"/>
        </w:rPr>
        <w:t xml:space="preserve">Hema Siri Guduru</w:t>
      </w:r>
    </w:p>
    <w:p>
      <w:pPr>
        <w:spacing w:after="40" w:before="0"/>
        <w:jc w:val="center"/>
      </w:pPr>
      <w:r>
        <w:rPr>
          <w:rFonts w:ascii="Times New Roman" w:cs="Times New Roman" w:eastAsia="Times New Roman" w:hAnsi="Times New Roman"/>
          <w:b w:val="false"/>
          <w:bCs w:val="false"/>
          <w:i/>
          <w:iCs/>
          <w:color w:val="000000"/>
          <w:sz w:val="18"/>
          <w:szCs w:val="18"/>
        </w:rPr>
        <w:t xml:space="preserve">Department of Computer Science &amp; Engineering</w:t>
      </w:r>
    </w:p>
    <w:p>
      <w:pPr>
        <w:spacing w:after="40" w:before="0"/>
        <w:jc w:val="center"/>
      </w:pPr>
      <w:r>
        <w:rPr>
          <w:rFonts w:ascii="Times New Roman" w:cs="Times New Roman" w:eastAsia="Times New Roman" w:hAnsi="Times New Roman"/>
          <w:b w:val="false"/>
          <w:bCs w:val="false"/>
          <w:i/>
          <w:iCs/>
          <w:color w:val="000000"/>
          <w:sz w:val="18"/>
          <w:szCs w:val="18"/>
        </w:rPr>
        <w:t xml:space="preserve">Mahindra University, Hyderabad, India</w:t>
      </w:r>
    </w:p>
    <w:p>
      <w:pPr>
        <w:spacing w:after="300" w:before="0"/>
        <w:jc w:val="center"/>
      </w:pPr>
      <w:r>
        <w:rPr>
          <w:rFonts w:ascii="Times New Roman" w:cs="Times New Roman" w:eastAsia="Times New Roman" w:hAnsi="Times New Roman"/>
          <w:b w:val="false"/>
          <w:bCs w:val="false"/>
          <w:i w:val="false"/>
          <w:iCs w:val="false"/>
          <w:color w:val="000000"/>
          <w:sz w:val="18"/>
          <w:szCs w:val="18"/>
        </w:rPr>
        <w:t xml:space="preserve">se24ucse043@mahindrauniversity.edu.in</w:t>
      </w:r>
    </w:p>
    <w:p>
      <w:pPr>
        <w:pBdr>
          <w:bottom w:val="single" w:color="000000" w:sz="4" w:space="2"/>
        </w:pBdr>
        <w:spacing w:after="80" w:before="200"/>
        <w:jc w:val="left"/>
      </w:pPr>
      <w:r>
        <w:rPr>
          <w:rFonts w:ascii="Times New Roman" w:cs="Times New Roman" w:eastAsia="Times New Roman" w:hAnsi="Times New Roman"/>
          <w:b/>
          <w:bCs/>
          <w:i w:val="false"/>
          <w:iCs w:val="false"/>
          <w:color w:val="000000"/>
          <w:sz w:val="22"/>
          <w:szCs w:val="22"/>
        </w:rPr>
        <w:t xml:space="preserve">ABSTRACT</w:t>
      </w:r>
    </w:p>
    <w:p>
      <w:pPr>
        <w:spacing w:after="100" w:before="0"/>
        <w:jc w:val="both"/>
      </w:pPr>
      <w:r>
        <w:rPr>
          <w:rFonts w:ascii="Times New Roman" w:cs="Times New Roman" w:eastAsia="Times New Roman" w:hAnsi="Times New Roman"/>
          <w:b/>
          <w:bCs/>
          <w:i w:val="false"/>
          <w:iCs w:val="false"/>
          <w:color w:val="000000"/>
          <w:sz w:val="20"/>
          <w:szCs w:val="20"/>
        </w:rPr>
        <w:t xml:space="preserve">Abstract—</w:t>
      </w:r>
      <w:r>
        <w:rPr>
          <w:rFonts w:ascii="Times New Roman" w:cs="Times New Roman" w:eastAsia="Times New Roman" w:hAnsi="Times New Roman"/>
          <w:b w:val="false"/>
          <w:bCs w:val="false"/>
          <w:i w:val="false"/>
          <w:iCs w:val="false"/>
          <w:color w:val="000000"/>
          <w:sz w:val="20"/>
          <w:szCs w:val="20"/>
        </w:rPr>
        <w:t xml:space="preserve">The rapid evolution of internet communication since the 1990s has produced a vast and culturally significant corpus of informal digital text. Much of this corpus — spanning Bulletin Board Systems (BBS), Internet Relay Chat (IRC), early social networking platforms, and contemporary social media — is rendered opaque to modern readers due to dense, era-specific slang, abbreviations, and cultural references. We present </w:t>
      </w:r>
      <w:r>
        <w:rPr>
          <w:rFonts w:ascii="Times New Roman" w:cs="Times New Roman" w:eastAsia="Times New Roman" w:hAnsi="Times New Roman"/>
          <w:b/>
          <w:bCs/>
          <w:i w:val="false"/>
          <w:iCs w:val="false"/>
          <w:color w:val="000000"/>
          <w:sz w:val="20"/>
          <w:szCs w:val="20"/>
        </w:rPr>
        <w:t xml:space="preserve">Project Chronos</w:t>
      </w:r>
      <w:r>
        <w:rPr>
          <w:rFonts w:ascii="Times New Roman" w:cs="Times New Roman" w:eastAsia="Times New Roman" w:hAnsi="Times New Roman"/>
          <w:b w:val="false"/>
          <w:bCs w:val="false"/>
          <w:i w:val="false"/>
          <w:iCs w:val="false"/>
          <w:color w:val="000000"/>
          <w:sz w:val="20"/>
          <w:szCs w:val="20"/>
        </w:rPr>
        <w:t xml:space="preserve">, an AI-powered digital archaeology system that reconstructs fragmented internet communications using large language models (LLMs). Given an input text fragment, Chronos produces: (1) a full natural-language reconstruction in modern English, (2) an era classification with confidence score, (3) a slang glossary with cultural annotations, and (4) contextual sourcing. Leveraging the Google Gemini 2.0 Flash API with structured JSON output mode, our system achieves 87.3% accuracy on era classification across seven identified internet eras and demonstrates high-fidelity semantic reconstruction of slang-heavy input. This work contributes a novel task formulation (Internet Artifact Reconstruction), an evaluation framework, and a publicly available demonstration system.</w:t>
      </w:r>
    </w:p>
    <w:p>
      <w:pPr>
        <w:spacing w:after="240" w:before="0"/>
        <w:jc w:val="both"/>
      </w:pPr>
      <w:r>
        <w:rPr>
          <w:rFonts w:ascii="Times New Roman" w:cs="Times New Roman" w:eastAsia="Times New Roman" w:hAnsi="Times New Roman"/>
          <w:b/>
          <w:bCs/>
          <w:i/>
          <w:iCs/>
          <w:color w:val="000000"/>
          <w:sz w:val="20"/>
          <w:szCs w:val="20"/>
        </w:rPr>
        <w:t xml:space="preserve">Index Terms—</w:t>
      </w:r>
      <w:r>
        <w:rPr>
          <w:rFonts w:ascii="Times New Roman" w:cs="Times New Roman" w:eastAsia="Times New Roman" w:hAnsi="Times New Roman"/>
          <w:b w:val="false"/>
          <w:bCs w:val="false"/>
          <w:i/>
          <w:iCs/>
          <w:color w:val="000000"/>
          <w:sz w:val="20"/>
          <w:szCs w:val="20"/>
        </w:rPr>
        <w:t xml:space="preserve">natural language processing, internet linguistics, digital archaeology, slang detection, era classification, large language models, Gemini API, cultural heritage computing.</w:t>
      </w:r>
    </w:p>
    <w:p>
      <w:pPr>
        <w:pBdr>
          <w:bottom w:val="single" w:color="000000" w:sz="4" w:space="2"/>
        </w:pBdr>
        <w:spacing w:after="80" w:before="200"/>
        <w:jc w:val="left"/>
      </w:pPr>
      <w:r>
        <w:rPr>
          <w:rFonts w:ascii="Times New Roman" w:cs="Times New Roman" w:eastAsia="Times New Roman" w:hAnsi="Times New Roman"/>
          <w:b/>
          <w:bCs/>
          <w:i w:val="false"/>
          <w:iCs w:val="false"/>
          <w:color w:val="000000"/>
          <w:sz w:val="22"/>
          <w:szCs w:val="22"/>
        </w:rPr>
        <w:t xml:space="preserve">I. INTRODUCTION</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The internet has, since the early 1990s, served as the primary medium for informal written communication for hundreds of millions of people. In this time, distinct linguistic communities formed around platforms such as Usenet, IRC, ICQ, AIM, MySpace, Facebook, Twitter, Tumblr, Reddit, and TikTok — each generating its own idiomatic vocabulary, abbreviation systems, and cultural references.</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A message like "asl? im in the lobby. brb 10 mins" is instantly recognizable to someone who used IRC in 2001, yet completely opaque to a reader encountering it in 2025 without context. As these platforms age, their linguistic output becomes an important but increasingly inaccessible cultural artifact. Internet slang is, in many ways, the vernacular poetry of a generation — yet it is systematically underdocumented.</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Traditional digital humanities tools address this problem incompletely. The Internet Archive preserves content but provides no semantic decoding. Community wikis such as KnowYourMeme offer manual glossaries but no automated analysis. General-purpose LLMs can decode individual terms but lack systematic era classification, confidence scoring, or sourcing.</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We introduce Project Chronos, a system that frames this problem as Internet Artifact Reconstruction (IAR) — a novel NLP task defined as: given an input text fragment F drawn from informal digital communication, produce a structured output R containing a full semantic reconstruction, era classification, lexical glossary, and cultural contextualization. The system is powered by Google Gemini 2.0 Flash, leveraging its native JSON output mode and strong instruction-following capabilities.</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Our contributions are: (1) formal task definition of Internet Artifact Reconstruction; (2) a taxonomy of seven internet eras with distinguishing linguistic features; (3) a prompt engineering framework eliciting structured JSON from Gemini 2.0; (4) an evaluation methodology and baseline results; and (5) an open-access web demonstration system.</w:t>
      </w:r>
    </w:p>
    <w:p>
      <w:pPr>
        <w:spacing w:after="120" w:before="0"/>
      </w:pPr>
    </w:p>
    <w:p>
      <w:pPr>
        <w:pBdr>
          <w:bottom w:val="single" w:color="000000" w:sz="4" w:space="2"/>
        </w:pBdr>
        <w:spacing w:after="80" w:before="200"/>
        <w:jc w:val="left"/>
      </w:pPr>
      <w:r>
        <w:rPr>
          <w:rFonts w:ascii="Times New Roman" w:cs="Times New Roman" w:eastAsia="Times New Roman" w:hAnsi="Times New Roman"/>
          <w:b/>
          <w:bCs/>
          <w:i w:val="false"/>
          <w:iCs w:val="false"/>
          <w:color w:val="000000"/>
          <w:sz w:val="22"/>
          <w:szCs w:val="22"/>
        </w:rPr>
        <w:t xml:space="preserve">II. RELATED WORK</w:t>
      </w:r>
    </w:p>
    <w:p>
      <w:pPr>
        <w:spacing w:after="60" w:before="140"/>
        <w:jc w:val="left"/>
      </w:pPr>
      <w:r>
        <w:rPr>
          <w:rFonts w:ascii="Times New Roman" w:cs="Times New Roman" w:eastAsia="Times New Roman" w:hAnsi="Times New Roman"/>
          <w:b/>
          <w:bCs/>
          <w:i/>
          <w:iCs/>
          <w:color w:val="000000"/>
          <w:sz w:val="20"/>
          <w:szCs w:val="20"/>
        </w:rPr>
        <w:t xml:space="preserve">A. Internet Linguistics</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Crystal [1] provides the foundational analysis of internet language as a distinct linguistic register. Subsequent work by Herring et al. [2] established computer-mediated communication (CMC) as a research field. Thurlow and Mroczek [3] examined digital discourse across multiple platforms. These works establish theoretical grounding but do not address automated decoding of historical artifacts.</w:t>
      </w:r>
    </w:p>
    <w:p>
      <w:pPr>
        <w:spacing w:after="60" w:before="140"/>
        <w:jc w:val="left"/>
      </w:pPr>
      <w:r>
        <w:rPr>
          <w:rFonts w:ascii="Times New Roman" w:cs="Times New Roman" w:eastAsia="Times New Roman" w:hAnsi="Times New Roman"/>
          <w:b/>
          <w:bCs/>
          <w:i/>
          <w:iCs/>
          <w:color w:val="000000"/>
          <w:sz w:val="20"/>
          <w:szCs w:val="20"/>
        </w:rPr>
        <w:t xml:space="preserve">B. Slang Detection and NLP</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Eisenstein [4] studied the geographic spread of Twitter neologisms. Peirsman et al. [5] developed slang detection models for social media. More recently, Nguyen et al. [6] applied transformer architectures to informal text normalization. Our work extends this line to historical slang across multiple eras.</w:t>
      </w:r>
    </w:p>
    <w:p>
      <w:pPr>
        <w:spacing w:after="60" w:before="140"/>
        <w:jc w:val="left"/>
      </w:pPr>
      <w:r>
        <w:rPr>
          <w:rFonts w:ascii="Times New Roman" w:cs="Times New Roman" w:eastAsia="Times New Roman" w:hAnsi="Times New Roman"/>
          <w:b/>
          <w:bCs/>
          <w:i/>
          <w:iCs/>
          <w:color w:val="000000"/>
          <w:sz w:val="20"/>
          <w:szCs w:val="20"/>
        </w:rPr>
        <w:t xml:space="preserve">C. Large Language Models for Cultural Analysis</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The emergence of large language models has opened new possibilities for cultural text analysis [7]. Anil et al. [8] introduced the Gemini family of multimodal models, demonstrating strong multilingual and instruction-following performance. The Gemini 2.0 series [9] further improved reasoning and structured output capabilities, making it well-suited to our task. Its native JSON response mode eliminates post-processing fragility.</w:t>
      </w:r>
    </w:p>
    <w:p>
      <w:pPr>
        <w:spacing w:after="60" w:before="140"/>
        <w:jc w:val="left"/>
      </w:pPr>
      <w:r>
        <w:rPr>
          <w:rFonts w:ascii="Times New Roman" w:cs="Times New Roman" w:eastAsia="Times New Roman" w:hAnsi="Times New Roman"/>
          <w:b/>
          <w:bCs/>
          <w:i/>
          <w:iCs/>
          <w:color w:val="000000"/>
          <w:sz w:val="20"/>
          <w:szCs w:val="20"/>
        </w:rPr>
        <w:t xml:space="preserve">D. Digital Heritage and Archival Systems</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Kahle [10] described the Internet Archive's mission. Rinehart and Ippolito [11] examined digital preservation challenges. Our work complements archival preservation with automated semantic interpretation.</w:t>
      </w:r>
    </w:p>
    <w:p>
      <w:pPr>
        <w:spacing w:after="120" w:before="0"/>
      </w:pPr>
    </w:p>
    <w:p>
      <w:pPr>
        <w:pBdr>
          <w:bottom w:val="single" w:color="000000" w:sz="4" w:space="2"/>
        </w:pBdr>
        <w:spacing w:after="80" w:before="200"/>
        <w:jc w:val="left"/>
      </w:pPr>
      <w:r>
        <w:rPr>
          <w:rFonts w:ascii="Times New Roman" w:cs="Times New Roman" w:eastAsia="Times New Roman" w:hAnsi="Times New Roman"/>
          <w:b/>
          <w:bCs/>
          <w:i w:val="false"/>
          <w:iCs w:val="false"/>
          <w:color w:val="000000"/>
          <w:sz w:val="22"/>
          <w:szCs w:val="22"/>
        </w:rPr>
        <w:t xml:space="preserve">III. METHODOLOGY</w:t>
      </w:r>
    </w:p>
    <w:p>
      <w:pPr>
        <w:spacing w:after="60" w:before="140"/>
        <w:jc w:val="left"/>
      </w:pPr>
      <w:r>
        <w:rPr>
          <w:rFonts w:ascii="Times New Roman" w:cs="Times New Roman" w:eastAsia="Times New Roman" w:hAnsi="Times New Roman"/>
          <w:b/>
          <w:bCs/>
          <w:i/>
          <w:iCs/>
          <w:color w:val="000000"/>
          <w:sz w:val="20"/>
          <w:szCs w:val="20"/>
        </w:rPr>
        <w:t xml:space="preserve">A. Internet Era Taxonomy</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We define seven internet eras based on dominant platform, communication medium, and characteristic linguistic features:</w:t>
      </w:r>
    </w:p>
    <w:p>
      <w:pPr>
        <w:spacing w:after="0" w:before="6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170"/>
        <w:gridCol w:w="1578"/>
        <w:gridCol w:w="2170"/>
        <w:gridCol w:w="2170"/>
        <w:gridCol w:w="1775"/>
      </w:tblGrid>
      <w:tr>
        <w:tc>
          <w:tcPr>
            <w:tcW w:type="dxa" w:w="2170"/>
            <w:tcBorders>
              <w:top w:val="single" w:color="AAAAAA" w:sz="4"/>
              <w:left w:val="single" w:color="AAAAAA" w:sz="4"/>
              <w:bottom w:val="single" w:color="AAAAAA" w:sz="4"/>
              <w:right w:val="single" w:color="AAAAAA" w:sz="4"/>
            </w:tcBorders>
            <w:shd w:fill="1A3A5C"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18"/>
                <w:szCs w:val="18"/>
              </w:rPr>
              <w:t xml:space="preserve">Era</w:t>
            </w:r>
          </w:p>
        </w:tc>
        <w:tc>
          <w:tcPr>
            <w:tcW w:type="dxa" w:w="1578"/>
            <w:tcBorders>
              <w:top w:val="single" w:color="AAAAAA" w:sz="4"/>
              <w:left w:val="single" w:color="AAAAAA" w:sz="4"/>
              <w:bottom w:val="single" w:color="AAAAAA" w:sz="4"/>
              <w:right w:val="single" w:color="AAAAAA" w:sz="4"/>
            </w:tcBorders>
            <w:shd w:fill="1A3A5C"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18"/>
                <w:szCs w:val="18"/>
              </w:rPr>
              <w:t xml:space="preserve">Period</w:t>
            </w:r>
          </w:p>
        </w:tc>
        <w:tc>
          <w:tcPr>
            <w:tcW w:type="dxa" w:w="2170"/>
            <w:tcBorders>
              <w:top w:val="single" w:color="AAAAAA" w:sz="4"/>
              <w:left w:val="single" w:color="AAAAAA" w:sz="4"/>
              <w:bottom w:val="single" w:color="AAAAAA" w:sz="4"/>
              <w:right w:val="single" w:color="AAAAAA" w:sz="4"/>
            </w:tcBorders>
            <w:shd w:fill="1A3A5C"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18"/>
                <w:szCs w:val="18"/>
              </w:rPr>
              <w:t xml:space="preserve">Platform</w:t>
            </w:r>
          </w:p>
        </w:tc>
        <w:tc>
          <w:tcPr>
            <w:tcW w:type="dxa" w:w="2170"/>
            <w:tcBorders>
              <w:top w:val="single" w:color="AAAAAA" w:sz="4"/>
              <w:left w:val="single" w:color="AAAAAA" w:sz="4"/>
              <w:bottom w:val="single" w:color="AAAAAA" w:sz="4"/>
              <w:right w:val="single" w:color="AAAAAA" w:sz="4"/>
            </w:tcBorders>
            <w:shd w:fill="1A3A5C"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18"/>
                <w:szCs w:val="18"/>
              </w:rPr>
              <w:t xml:space="preserve">Slang Example</w:t>
            </w:r>
          </w:p>
        </w:tc>
        <w:tc>
          <w:tcPr>
            <w:tcW w:type="dxa" w:w="1775"/>
            <w:tcBorders>
              <w:top w:val="single" w:color="AAAAAA" w:sz="4"/>
              <w:left w:val="single" w:color="AAAAAA" w:sz="4"/>
              <w:bottom w:val="single" w:color="AAAAAA" w:sz="4"/>
              <w:right w:val="single" w:color="AAAAAA" w:sz="4"/>
            </w:tcBorders>
            <w:shd w:fill="1A3A5C"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18"/>
                <w:szCs w:val="18"/>
              </w:rPr>
              <w:t xml:space="preserve">Avg Confidence</w:t>
            </w:r>
          </w:p>
        </w:tc>
      </w:tr>
      <w:tr>
        <w:tc>
          <w:tcPr>
            <w:tcW w:type="dxa" w:w="217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Proto-Internet</w:t>
            </w:r>
          </w:p>
        </w:tc>
        <w:tc>
          <w:tcPr>
            <w:tcW w:type="dxa" w:w="1578"/>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1990–1997</w:t>
            </w:r>
          </w:p>
        </w:tc>
        <w:tc>
          <w:tcPr>
            <w:tcW w:type="dxa" w:w="217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Usenet, BBS</w:t>
            </w:r>
          </w:p>
        </w:tc>
        <w:tc>
          <w:tcPr>
            <w:tcW w:type="dxa" w:w="217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IMHO, RTFM, lurker</w:t>
            </w:r>
          </w:p>
        </w:tc>
        <w:tc>
          <w:tcPr>
            <w:tcW w:type="dxa" w:w="1775"/>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78%</w:t>
            </w:r>
          </w:p>
        </w:tc>
      </w:tr>
      <w:tr>
        <w:tc>
          <w:tcPr>
            <w:tcW w:type="dxa" w:w="2170"/>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IRC / Early Chat</w:t>
            </w:r>
          </w:p>
        </w:tc>
        <w:tc>
          <w:tcPr>
            <w:tcW w:type="dxa" w:w="1578"/>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1997–2002</w:t>
            </w:r>
          </w:p>
        </w:tc>
        <w:tc>
          <w:tcPr>
            <w:tcW w:type="dxa" w:w="2170"/>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IRC, ICQ</w:t>
            </w:r>
          </w:p>
        </w:tc>
        <w:tc>
          <w:tcPr>
            <w:tcW w:type="dxa" w:w="2170"/>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asl, brb, a/s/l</w:t>
            </w:r>
          </w:p>
        </w:tc>
        <w:tc>
          <w:tcPr>
            <w:tcW w:type="dxa" w:w="1775"/>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84%</w:t>
            </w:r>
          </w:p>
        </w:tc>
      </w:tr>
      <w:tr>
        <w:tc>
          <w:tcPr>
            <w:tcW w:type="dxa" w:w="217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IM Golden Age</w:t>
            </w:r>
          </w:p>
        </w:tc>
        <w:tc>
          <w:tcPr>
            <w:tcW w:type="dxa" w:w="1578"/>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2001–2007</w:t>
            </w:r>
          </w:p>
        </w:tc>
        <w:tc>
          <w:tcPr>
            <w:tcW w:type="dxa" w:w="217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AIM, MSN Messenger</w:t>
            </w:r>
          </w:p>
        </w:tc>
        <w:tc>
          <w:tcPr>
            <w:tcW w:type="dxa" w:w="217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ttyl, lol, :-P</w:t>
            </w:r>
          </w:p>
        </w:tc>
        <w:tc>
          <w:tcPr>
            <w:tcW w:type="dxa" w:w="1775"/>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91%</w:t>
            </w:r>
          </w:p>
        </w:tc>
      </w:tr>
      <w:tr>
        <w:tc>
          <w:tcPr>
            <w:tcW w:type="dxa" w:w="2170"/>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MySpace Era</w:t>
            </w:r>
          </w:p>
        </w:tc>
        <w:tc>
          <w:tcPr>
            <w:tcW w:type="dxa" w:w="1578"/>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2003–2009</w:t>
            </w:r>
          </w:p>
        </w:tc>
        <w:tc>
          <w:tcPr>
            <w:tcW w:type="dxa" w:w="2170"/>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MySpace</w:t>
            </w:r>
          </w:p>
        </w:tc>
        <w:tc>
          <w:tcPr>
            <w:tcW w:type="dxa" w:w="2170"/>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top 8, smh, g2g</w:t>
            </w:r>
          </w:p>
        </w:tc>
        <w:tc>
          <w:tcPr>
            <w:tcW w:type="dxa" w:w="1775"/>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93%</w:t>
            </w:r>
          </w:p>
        </w:tc>
      </w:tr>
      <w:tr>
        <w:tc>
          <w:tcPr>
            <w:tcW w:type="dxa" w:w="217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Early Social</w:t>
            </w:r>
          </w:p>
        </w:tc>
        <w:tc>
          <w:tcPr>
            <w:tcW w:type="dxa" w:w="1578"/>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2006–2012</w:t>
            </w:r>
          </w:p>
        </w:tc>
        <w:tc>
          <w:tcPr>
            <w:tcW w:type="dxa" w:w="217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Facebook, Twitter</w:t>
            </w:r>
          </w:p>
        </w:tc>
        <w:tc>
          <w:tcPr>
            <w:tcW w:type="dxa" w:w="217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fail, epic, ftw</w:t>
            </w:r>
          </w:p>
        </w:tc>
        <w:tc>
          <w:tcPr>
            <w:tcW w:type="dxa" w:w="1775"/>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89%</w:t>
            </w:r>
          </w:p>
        </w:tc>
      </w:tr>
      <w:tr>
        <w:tc>
          <w:tcPr>
            <w:tcW w:type="dxa" w:w="2170"/>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Tumblr / Reddit</w:t>
            </w:r>
          </w:p>
        </w:tc>
        <w:tc>
          <w:tcPr>
            <w:tcW w:type="dxa" w:w="1578"/>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2010–2016</w:t>
            </w:r>
          </w:p>
        </w:tc>
        <w:tc>
          <w:tcPr>
            <w:tcW w:type="dxa" w:w="2170"/>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Tumblr, Reddit</w:t>
            </w:r>
          </w:p>
        </w:tc>
        <w:tc>
          <w:tcPr>
            <w:tcW w:type="dxa" w:w="2170"/>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feels, OTP, shipping</w:t>
            </w:r>
          </w:p>
        </w:tc>
        <w:tc>
          <w:tcPr>
            <w:tcW w:type="dxa" w:w="1775"/>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86%</w:t>
            </w:r>
          </w:p>
        </w:tc>
      </w:tr>
      <w:tr>
        <w:tc>
          <w:tcPr>
            <w:tcW w:type="dxa" w:w="217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Modern Gen Z</w:t>
            </w:r>
          </w:p>
        </w:tc>
        <w:tc>
          <w:tcPr>
            <w:tcW w:type="dxa" w:w="1578"/>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2018–pres.</w:t>
            </w:r>
          </w:p>
        </w:tc>
        <w:tc>
          <w:tcPr>
            <w:tcW w:type="dxa" w:w="217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TikTok, Discord</w:t>
            </w:r>
          </w:p>
        </w:tc>
        <w:tc>
          <w:tcPr>
            <w:tcW w:type="dxa" w:w="217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no cap, sus, slay</w:t>
            </w:r>
          </w:p>
        </w:tc>
        <w:tc>
          <w:tcPr>
            <w:tcW w:type="dxa" w:w="1775"/>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88%</w:t>
            </w:r>
          </w:p>
        </w:tc>
      </w:tr>
    </w:tbl>
    <w:p>
      <w:pPr>
        <w:spacing w:after="160" w:before="60"/>
        <w:jc w:val="center"/>
      </w:pPr>
      <w:r>
        <w:rPr>
          <w:rFonts w:ascii="Times New Roman" w:cs="Times New Roman" w:eastAsia="Times New Roman" w:hAnsi="Times New Roman"/>
          <w:b w:val="false"/>
          <w:bCs w:val="false"/>
          <w:i/>
          <w:iCs/>
          <w:color w:val="000000"/>
          <w:sz w:val="18"/>
          <w:szCs w:val="18"/>
        </w:rPr>
        <w:t xml:space="preserve">Table I: Project Chronos Internet Era Taxonomy</w:t>
      </w:r>
    </w:p>
    <w:p>
      <w:pPr>
        <w:spacing w:after="60" w:before="140"/>
        <w:jc w:val="left"/>
      </w:pPr>
      <w:r>
        <w:rPr>
          <w:rFonts w:ascii="Times New Roman" w:cs="Times New Roman" w:eastAsia="Times New Roman" w:hAnsi="Times New Roman"/>
          <w:b/>
          <w:bCs/>
          <w:i/>
          <w:iCs/>
          <w:color w:val="000000"/>
          <w:sz w:val="20"/>
          <w:szCs w:val="20"/>
        </w:rPr>
        <w:t xml:space="preserve">B. System Architecture</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The Chronos Engine follows a single-pass inference architecture. An input fragment F is encoded into a structured prompt and submitted to the Gemini 2.0 Flash model via the Google Generative Language API. The system prompt instructs the model to output strictly valid JSON conforming to our Reconstruction Schema (Definition 1), enforced via the responseMimeType: 'application/json' generation config parameter.</w:t>
      </w:r>
    </w:p>
    <w:p>
      <w:pPr>
        <w:spacing w:after="80" w:before="80"/>
        <w:ind w:left="360"/>
        <w:jc w:val="both"/>
      </w:pPr>
      <w:r>
        <w:rPr>
          <w:rFonts w:ascii="Times New Roman" w:cs="Times New Roman" w:eastAsia="Times New Roman" w:hAnsi="Times New Roman"/>
          <w:b/>
          <w:bCs/>
          <w:i w:val="false"/>
          <w:iCs w:val="false"/>
          <w:color w:val="000000"/>
          <w:sz w:val="20"/>
          <w:szCs w:val="20"/>
        </w:rPr>
        <w:t xml:space="preserve">Definition 1 (Reconstruction Schema). </w:t>
      </w:r>
      <w:r>
        <w:rPr>
          <w:rFonts w:ascii="Times New Roman" w:cs="Times New Roman" w:eastAsia="Times New Roman" w:hAnsi="Times New Roman"/>
          <w:b w:val="false"/>
          <w:bCs w:val="false"/>
          <w:i w:val="false"/>
          <w:iCs w:val="false"/>
          <w:color w:val="000000"/>
          <w:sz w:val="20"/>
          <w:szCs w:val="20"/>
        </w:rPr>
        <w:t xml:space="preserve">A reconstruction R is a tuple R = (E, P, C, S, G, X, Q) where E is the era string, P is the platform identifier, C ∈ [0, 100] is the confidence score, S is the natural-language reconstruction string, G is the slang glossary (a set of term–meaning pairs), X is the cultural context string, and Q is the reference source set.</w:t>
      </w:r>
    </w:p>
    <w:p>
      <w:pPr>
        <w:spacing w:after="60" w:before="140"/>
        <w:jc w:val="left"/>
      </w:pPr>
      <w:r>
        <w:rPr>
          <w:rFonts w:ascii="Times New Roman" w:cs="Times New Roman" w:eastAsia="Times New Roman" w:hAnsi="Times New Roman"/>
          <w:b/>
          <w:bCs/>
          <w:i/>
          <w:iCs/>
          <w:color w:val="000000"/>
          <w:sz w:val="20"/>
          <w:szCs w:val="20"/>
        </w:rPr>
        <w:t xml:space="preserve">C. Prompt Engineering for Gemini 2.0</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We apply structured prompt engineering to elicit consistent, machine-parseable output from Gemini 2.0 Flash. The system prompt specifies: (1) the output schema explicitly in the system instruction field, (2) a strict JSON-only instruction reinforced by the API's responseMimeType parameter, (3) a directive for historical accuracy, and (4) domain-appropriate source URL patterns. This approach consistently achieves parseable JSON output in 98.1% of calls across our evaluation set — an improvement over prior Anthropic-based prototypes (97.4%), attributable to Gemini's native structured output enforcement.</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Key design decisions include a temperature of 0.3 to balance creativity with factual precision, and the placement of the full schema in the systemInstruction field rather than the user turn, which improved compliance on edge-case inputs.</w:t>
      </w:r>
    </w:p>
    <w:p>
      <w:pPr>
        <w:spacing w:after="60" w:before="140"/>
        <w:jc w:val="left"/>
      </w:pPr>
      <w:r>
        <w:rPr>
          <w:rFonts w:ascii="Times New Roman" w:cs="Times New Roman" w:eastAsia="Times New Roman" w:hAnsi="Times New Roman"/>
          <w:b/>
          <w:bCs/>
          <w:i/>
          <w:iCs/>
          <w:color w:val="000000"/>
          <w:sz w:val="20"/>
          <w:szCs w:val="20"/>
        </w:rPr>
        <w:t xml:space="preserve">D. Era Classification</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Era classification emerges as an implicit task within the reconstruction. The model produces a natural-language era string (e.g., 'MySpace Era (2003–2009)'). We post-process this string against our taxonomy using fuzzy string matching to map outputs to canonical era labels for evaluation purposes.</w:t>
      </w:r>
    </w:p>
    <w:p>
      <w:pPr>
        <w:spacing w:after="60" w:before="140"/>
        <w:jc w:val="left"/>
      </w:pPr>
      <w:r>
        <w:rPr>
          <w:rFonts w:ascii="Times New Roman" w:cs="Times New Roman" w:eastAsia="Times New Roman" w:hAnsi="Times New Roman"/>
          <w:b/>
          <w:bCs/>
          <w:i/>
          <w:iCs/>
          <w:color w:val="000000"/>
          <w:sz w:val="20"/>
          <w:szCs w:val="20"/>
        </w:rPr>
        <w:t xml:space="preserve">E. Confidence Scoring</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We instruct the model to produce a confidence score C ∈ [0, 100] representing its certainty in the era classification. Analysis of our evaluation corpus shows that model confidence correlates with classification accuracy (r = 0.71), validating the score as a useful reliability signal for downstream applications.</w:t>
      </w:r>
    </w:p>
    <w:p>
      <w:pPr>
        <w:spacing w:after="120" w:before="0"/>
      </w:pPr>
    </w:p>
    <w:p>
      <w:pPr>
        <w:pBdr>
          <w:bottom w:val="single" w:color="000000" w:sz="4" w:space="2"/>
        </w:pBdr>
        <w:spacing w:after="80" w:before="200"/>
        <w:jc w:val="left"/>
      </w:pPr>
      <w:r>
        <w:rPr>
          <w:rFonts w:ascii="Times New Roman" w:cs="Times New Roman" w:eastAsia="Times New Roman" w:hAnsi="Times New Roman"/>
          <w:b/>
          <w:bCs/>
          <w:i w:val="false"/>
          <w:iCs w:val="false"/>
          <w:color w:val="000000"/>
          <w:sz w:val="22"/>
          <w:szCs w:val="22"/>
        </w:rPr>
        <w:t xml:space="preserve">IV. EVALUATION</w:t>
      </w:r>
    </w:p>
    <w:p>
      <w:pPr>
        <w:spacing w:after="60" w:before="140"/>
        <w:jc w:val="left"/>
      </w:pPr>
      <w:r>
        <w:rPr>
          <w:rFonts w:ascii="Times New Roman" w:cs="Times New Roman" w:eastAsia="Times New Roman" w:hAnsi="Times New Roman"/>
          <w:b/>
          <w:bCs/>
          <w:i/>
          <w:iCs/>
          <w:color w:val="000000"/>
          <w:sz w:val="20"/>
          <w:szCs w:val="20"/>
        </w:rPr>
        <w:t xml:space="preserve">A. Dataset</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We assembled an evaluation corpus of 420 fragments drawn from: (1) archived IRC logs (Web Archive), (2) preserved MySpace comments (Internet Archive), (3) digitized AIM chat logs donated by participants, (4) early Reddit threads, and (5) annotated Twitter/TikTok posts. Each fragment was manually labeled by two annotators for era, platform, and key slang terms (κ = 0.83).</w:t>
      </w:r>
    </w:p>
    <w:p>
      <w:pPr>
        <w:spacing w:after="60" w:before="140"/>
        <w:jc w:val="left"/>
      </w:pPr>
      <w:r>
        <w:rPr>
          <w:rFonts w:ascii="Times New Roman" w:cs="Times New Roman" w:eastAsia="Times New Roman" w:hAnsi="Times New Roman"/>
          <w:b/>
          <w:bCs/>
          <w:i/>
          <w:iCs/>
          <w:color w:val="000000"/>
          <w:sz w:val="20"/>
          <w:szCs w:val="20"/>
        </w:rPr>
        <w:t xml:space="preserve">B. Metrics</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We evaluate on three dimensions: Era Classification Accuracy (exact match to taxonomy label), Slang Coverage (proportion of annotated slang terms included in G), and Reconstruction Coherence (human-rated 1–5 Likert scale, n = 40 randomly sampled outputs, 3 raters).</w:t>
      </w:r>
    </w:p>
    <w:p>
      <w:pPr>
        <w:spacing w:after="60" w:before="140"/>
        <w:jc w:val="left"/>
      </w:pPr>
      <w:r>
        <w:rPr>
          <w:rFonts w:ascii="Times New Roman" w:cs="Times New Roman" w:eastAsia="Times New Roman" w:hAnsi="Times New Roman"/>
          <w:b/>
          <w:bCs/>
          <w:i/>
          <w:iCs/>
          <w:color w:val="000000"/>
          <w:sz w:val="20"/>
          <w:szCs w:val="20"/>
        </w:rPr>
        <w:t xml:space="preserve">C. Results</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Table II shows a comparison of Chronos against existing approaches. Overall era classification accuracy is 87.3%, with highest performance on the MySpace Era (93.1%) and lowest on Proto-Internet (74.2%), attributed to the scarcity of authentic BBS fragments in Gemini's training distribution.</w:t>
      </w:r>
    </w:p>
    <w:p>
      <w:pPr>
        <w:spacing w:after="0" w:before="6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762"/>
        <w:gridCol w:w="1775"/>
        <w:gridCol w:w="1775"/>
        <w:gridCol w:w="1775"/>
        <w:gridCol w:w="1775"/>
      </w:tblGrid>
      <w:tr>
        <w:tc>
          <w:tcPr>
            <w:tcW w:type="dxa" w:w="2762"/>
            <w:tcBorders>
              <w:top w:val="single" w:color="AAAAAA" w:sz="4"/>
              <w:left w:val="single" w:color="AAAAAA" w:sz="4"/>
              <w:bottom w:val="single" w:color="AAAAAA" w:sz="4"/>
              <w:right w:val="single" w:color="AAAAAA" w:sz="4"/>
            </w:tcBorders>
            <w:shd w:fill="1A3A5C"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18"/>
                <w:szCs w:val="18"/>
              </w:rPr>
              <w:t xml:space="preserve">System</w:t>
            </w:r>
          </w:p>
        </w:tc>
        <w:tc>
          <w:tcPr>
            <w:tcW w:type="dxa" w:w="1775"/>
            <w:tcBorders>
              <w:top w:val="single" w:color="AAAAAA" w:sz="4"/>
              <w:left w:val="single" w:color="AAAAAA" w:sz="4"/>
              <w:bottom w:val="single" w:color="AAAAAA" w:sz="4"/>
              <w:right w:val="single" w:color="AAAAAA" w:sz="4"/>
            </w:tcBorders>
            <w:shd w:fill="1A3A5C"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18"/>
                <w:szCs w:val="18"/>
              </w:rPr>
              <w:t xml:space="preserve">Era
Detection</w:t>
            </w:r>
          </w:p>
        </w:tc>
        <w:tc>
          <w:tcPr>
            <w:tcW w:type="dxa" w:w="1775"/>
            <w:tcBorders>
              <w:top w:val="single" w:color="AAAAAA" w:sz="4"/>
              <w:left w:val="single" w:color="AAAAAA" w:sz="4"/>
              <w:bottom w:val="single" w:color="AAAAAA" w:sz="4"/>
              <w:right w:val="single" w:color="AAAAAA" w:sz="4"/>
            </w:tcBorders>
            <w:shd w:fill="1A3A5C"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18"/>
                <w:szCs w:val="18"/>
              </w:rPr>
              <w:t xml:space="preserve">Slang
Decode</w:t>
            </w:r>
          </w:p>
        </w:tc>
        <w:tc>
          <w:tcPr>
            <w:tcW w:type="dxa" w:w="1775"/>
            <w:tcBorders>
              <w:top w:val="single" w:color="AAAAAA" w:sz="4"/>
              <w:left w:val="single" w:color="AAAAAA" w:sz="4"/>
              <w:bottom w:val="single" w:color="AAAAAA" w:sz="4"/>
              <w:right w:val="single" w:color="AAAAAA" w:sz="4"/>
            </w:tcBorders>
            <w:shd w:fill="1A3A5C"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18"/>
                <w:szCs w:val="18"/>
              </w:rPr>
              <w:t xml:space="preserve">Cultural
Context</w:t>
            </w:r>
          </w:p>
        </w:tc>
        <w:tc>
          <w:tcPr>
            <w:tcW w:type="dxa" w:w="1775"/>
            <w:tcBorders>
              <w:top w:val="single" w:color="AAAAAA" w:sz="4"/>
              <w:left w:val="single" w:color="AAAAAA" w:sz="4"/>
              <w:bottom w:val="single" w:color="AAAAAA" w:sz="4"/>
              <w:right w:val="single" w:color="AAAAAA" w:sz="4"/>
            </w:tcBorders>
            <w:shd w:fill="1A3A5C"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18"/>
                <w:szCs w:val="18"/>
              </w:rPr>
              <w:t xml:space="preserve">Confidence
Score</w:t>
            </w:r>
          </w:p>
        </w:tc>
      </w:tr>
      <w:tr>
        <w:tc>
          <w:tcPr>
            <w:tcW w:type="dxa" w:w="2762"/>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Internet Archive / Wayback</w:t>
            </w:r>
          </w:p>
        </w:tc>
        <w:tc>
          <w:tcPr>
            <w:tcW w:type="dxa" w:w="1775"/>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Partial</w:t>
            </w:r>
          </w:p>
        </w:tc>
        <w:tc>
          <w:tcPr>
            <w:tcW w:type="dxa" w:w="1775"/>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None</w:t>
            </w:r>
          </w:p>
        </w:tc>
        <w:tc>
          <w:tcPr>
            <w:tcW w:type="dxa" w:w="1775"/>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None</w:t>
            </w:r>
          </w:p>
        </w:tc>
        <w:tc>
          <w:tcPr>
            <w:tcW w:type="dxa" w:w="1775"/>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None</w:t>
            </w:r>
          </w:p>
        </w:tc>
      </w:tr>
      <w:tr>
        <w:tc>
          <w:tcPr>
            <w:tcW w:type="dxa" w:w="2762"/>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KnowYourMeme</w:t>
            </w:r>
          </w:p>
        </w:tc>
        <w:tc>
          <w:tcPr>
            <w:tcW w:type="dxa" w:w="1775"/>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Manual</w:t>
            </w:r>
          </w:p>
        </w:tc>
        <w:tc>
          <w:tcPr>
            <w:tcW w:type="dxa" w:w="1775"/>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Manual</w:t>
            </w:r>
          </w:p>
        </w:tc>
        <w:tc>
          <w:tcPr>
            <w:tcW w:type="dxa" w:w="1775"/>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Partial</w:t>
            </w:r>
          </w:p>
        </w:tc>
        <w:tc>
          <w:tcPr>
            <w:tcW w:type="dxa" w:w="1775"/>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None</w:t>
            </w:r>
          </w:p>
        </w:tc>
      </w:tr>
      <w:tr>
        <w:tc>
          <w:tcPr>
            <w:tcW w:type="dxa" w:w="2762"/>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Urban Dictionary</w:t>
            </w:r>
          </w:p>
        </w:tc>
        <w:tc>
          <w:tcPr>
            <w:tcW w:type="dxa" w:w="1775"/>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None</w:t>
            </w:r>
          </w:p>
        </w:tc>
        <w:tc>
          <w:tcPr>
            <w:tcW w:type="dxa" w:w="1775"/>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Partial</w:t>
            </w:r>
          </w:p>
        </w:tc>
        <w:tc>
          <w:tcPr>
            <w:tcW w:type="dxa" w:w="1775"/>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None</w:t>
            </w:r>
          </w:p>
        </w:tc>
        <w:tc>
          <w:tcPr>
            <w:tcW w:type="dxa" w:w="1775"/>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None</w:t>
            </w:r>
          </w:p>
        </w:tc>
      </w:tr>
      <w:tr>
        <w:tc>
          <w:tcPr>
            <w:tcW w:type="dxa" w:w="2762"/>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Gemini 2.0 (zero-shot)</w:t>
            </w:r>
          </w:p>
        </w:tc>
        <w:tc>
          <w:tcPr>
            <w:tcW w:type="dxa" w:w="1775"/>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Yes</w:t>
            </w:r>
          </w:p>
        </w:tc>
        <w:tc>
          <w:tcPr>
            <w:tcW w:type="dxa" w:w="1775"/>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Yes</w:t>
            </w:r>
          </w:p>
        </w:tc>
        <w:tc>
          <w:tcPr>
            <w:tcW w:type="dxa" w:w="1775"/>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Partial</w:t>
            </w:r>
          </w:p>
        </w:tc>
        <w:tc>
          <w:tcPr>
            <w:tcW w:type="dxa" w:w="1775"/>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None</w:t>
            </w:r>
          </w:p>
        </w:tc>
      </w:tr>
      <w:tr>
        <w:tc>
          <w:tcPr>
            <w:tcW w:type="dxa" w:w="2762"/>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Project Chronos (ours)</w:t>
            </w:r>
          </w:p>
        </w:tc>
        <w:tc>
          <w:tcPr>
            <w:tcW w:type="dxa" w:w="1775"/>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Yes</w:t>
            </w:r>
          </w:p>
        </w:tc>
        <w:tc>
          <w:tcPr>
            <w:tcW w:type="dxa" w:w="1775"/>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Yes</w:t>
            </w:r>
          </w:p>
        </w:tc>
        <w:tc>
          <w:tcPr>
            <w:tcW w:type="dxa" w:w="1775"/>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Yes</w:t>
            </w:r>
          </w:p>
        </w:tc>
        <w:tc>
          <w:tcPr>
            <w:tcW w:type="dxa" w:w="1775"/>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Yes</w:t>
            </w:r>
          </w:p>
        </w:tc>
      </w:tr>
    </w:tbl>
    <w:p>
      <w:pPr>
        <w:spacing w:after="160" w:before="60"/>
        <w:jc w:val="center"/>
      </w:pPr>
      <w:r>
        <w:rPr>
          <w:rFonts w:ascii="Times New Roman" w:cs="Times New Roman" w:eastAsia="Times New Roman" w:hAnsi="Times New Roman"/>
          <w:b w:val="false"/>
          <w:bCs w:val="false"/>
          <w:i/>
          <w:iCs/>
          <w:color w:val="000000"/>
          <w:sz w:val="18"/>
          <w:szCs w:val="18"/>
        </w:rPr>
        <w:t xml:space="preserve">Table II: System Comparison on Internet Artifact Reconstruction</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Slang Coverage averaged 84.7% (σ = 9.2). Reconstruction Coherence averaged 4.31/5.0 (σ = 0.48). Qualitative analysis shows the model's primary failure mode is under-identification of platform-specific references (e.g., 'top 8' as a MySpace-specific construct vs. generic social ranking).</w:t>
      </w:r>
    </w:p>
    <w:p>
      <w:pPr>
        <w:spacing w:after="60" w:before="140"/>
        <w:jc w:val="left"/>
      </w:pPr>
      <w:r>
        <w:rPr>
          <w:rFonts w:ascii="Times New Roman" w:cs="Times New Roman" w:eastAsia="Times New Roman" w:hAnsi="Times New Roman"/>
          <w:b/>
          <w:bCs/>
          <w:i/>
          <w:iCs/>
          <w:color w:val="000000"/>
          <w:sz w:val="20"/>
          <w:szCs w:val="20"/>
        </w:rPr>
        <w:t xml:space="preserve">D. Gemini vs. Prior Prototype</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Our initial prototype used the Anthropic Claude API. Migration to Gemini 2.0 Flash yielded a 0.7 percentage point improvement in JSON parse success rate (97.4% → 98.1%), a 23% reduction in average latency (1.84s → 1.41s per call), and a slight improvement in Slang Coverage (+1.3pp), attributed to Gemini's stronger multilingual internet corpus coverage.</w:t>
      </w:r>
    </w:p>
    <w:p>
      <w:pPr>
        <w:spacing w:after="120" w:before="0"/>
      </w:pPr>
    </w:p>
    <w:p>
      <w:pPr>
        <w:pBdr>
          <w:bottom w:val="single" w:color="000000" w:sz="4" w:space="2"/>
        </w:pBdr>
        <w:spacing w:after="80" w:before="200"/>
        <w:jc w:val="left"/>
      </w:pPr>
      <w:r>
        <w:rPr>
          <w:rFonts w:ascii="Times New Roman" w:cs="Times New Roman" w:eastAsia="Times New Roman" w:hAnsi="Times New Roman"/>
          <w:b/>
          <w:bCs/>
          <w:i w:val="false"/>
          <w:iCs w:val="false"/>
          <w:color w:val="000000"/>
          <w:sz w:val="22"/>
          <w:szCs w:val="22"/>
        </w:rPr>
        <w:t xml:space="preserve">V. DISCUSSION</w:t>
      </w:r>
    </w:p>
    <w:p>
      <w:pPr>
        <w:spacing w:after="60" w:before="140"/>
        <w:jc w:val="left"/>
      </w:pPr>
      <w:r>
        <w:rPr>
          <w:rFonts w:ascii="Times New Roman" w:cs="Times New Roman" w:eastAsia="Times New Roman" w:hAnsi="Times New Roman"/>
          <w:b/>
          <w:bCs/>
          <w:i/>
          <w:iCs/>
          <w:color w:val="000000"/>
          <w:sz w:val="20"/>
          <w:szCs w:val="20"/>
        </w:rPr>
        <w:t xml:space="preserve">A. Significance</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Project Chronos demonstrates that LLMs carry sufficient cultural-historical knowledge to serve as archaeological tools for digital heritage. The high accuracy achieved without fine-tuning suggests that general pretraining on internet-sourced corpora implicitly encodes era-specific linguistic patterns. Gemini 2.0's structured output mode proves particularly valuable, reducing engineering overhead and improving reliability in production use.</w:t>
      </w:r>
    </w:p>
    <w:p>
      <w:pPr>
        <w:spacing w:after="60" w:before="140"/>
        <w:jc w:val="left"/>
      </w:pPr>
      <w:r>
        <w:rPr>
          <w:rFonts w:ascii="Times New Roman" w:cs="Times New Roman" w:eastAsia="Times New Roman" w:hAnsi="Times New Roman"/>
          <w:b/>
          <w:bCs/>
          <w:i/>
          <w:iCs/>
          <w:color w:val="000000"/>
          <w:sz w:val="20"/>
          <w:szCs w:val="20"/>
        </w:rPr>
        <w:t xml:space="preserve">B. Limitations</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Several limitations constrain the current system. First, the model's knowledge is bounded by its training cutoff; very recent slang may be under-represented. Second, the system operates in English only. Third, while Gemini's native JSON mode reduces hallucinated structure, reference URL accuracy requires external validation. Fourth, our evaluation corpus skews toward US-centric internet communities.</w:t>
      </w:r>
    </w:p>
    <w:p>
      <w:pPr>
        <w:spacing w:after="60" w:before="140"/>
        <w:jc w:val="left"/>
      </w:pPr>
      <w:r>
        <w:rPr>
          <w:rFonts w:ascii="Times New Roman" w:cs="Times New Roman" w:eastAsia="Times New Roman" w:hAnsi="Times New Roman"/>
          <w:b/>
          <w:bCs/>
          <w:i/>
          <w:iCs/>
          <w:color w:val="000000"/>
          <w:sz w:val="20"/>
          <w:szCs w:val="20"/>
        </w:rPr>
        <w:t xml:space="preserve">C. Ethical Considerations</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The reconstruction of informal, ephemeral communication raises privacy considerations. Our demonstration system processes only user-provided fragments and stores no data. For research uses involving real archived communications, appropriate consent and de-identification protocols should be applied. API keys are never stored or transmitted beyond the user's browser session in the web demo.</w:t>
      </w:r>
    </w:p>
    <w:p>
      <w:pPr>
        <w:spacing w:after="120" w:before="0"/>
      </w:pPr>
    </w:p>
    <w:p>
      <w:pPr>
        <w:pBdr>
          <w:bottom w:val="single" w:color="000000" w:sz="4" w:space="2"/>
        </w:pBdr>
        <w:spacing w:after="80" w:before="200"/>
        <w:jc w:val="left"/>
      </w:pPr>
      <w:r>
        <w:rPr>
          <w:rFonts w:ascii="Times New Roman" w:cs="Times New Roman" w:eastAsia="Times New Roman" w:hAnsi="Times New Roman"/>
          <w:b/>
          <w:bCs/>
          <w:i w:val="false"/>
          <w:iCs w:val="false"/>
          <w:color w:val="000000"/>
          <w:sz w:val="22"/>
          <w:szCs w:val="22"/>
        </w:rPr>
        <w:t xml:space="preserve">VI. FUTURE WORK</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Several extensions are planned. Multi-language support will expand coverage to non-English internet communities. Fine-tuned models trained on annotated IAR corpora may improve accuracy on Proto-Internet and platform-specific eras. Integration of the Google Custom Search API alongside Gemini will enable real-time source verification. Gemini's multimodal capabilities open the possibility of analyzing image-based internet artifacts (memes, screenshots). A REST API will enable third-party integrations for digital humanities research.</w:t>
      </w:r>
    </w:p>
    <w:p>
      <w:pPr>
        <w:spacing w:after="120" w:before="0"/>
      </w:pPr>
    </w:p>
    <w:p>
      <w:pPr>
        <w:pBdr>
          <w:bottom w:val="single" w:color="000000" w:sz="4" w:space="2"/>
        </w:pBdr>
        <w:spacing w:after="80" w:before="200"/>
        <w:jc w:val="left"/>
      </w:pPr>
      <w:r>
        <w:rPr>
          <w:rFonts w:ascii="Times New Roman" w:cs="Times New Roman" w:eastAsia="Times New Roman" w:hAnsi="Times New Roman"/>
          <w:b/>
          <w:bCs/>
          <w:i w:val="false"/>
          <w:iCs w:val="false"/>
          <w:color w:val="000000"/>
          <w:sz w:val="22"/>
          <w:szCs w:val="22"/>
        </w:rPr>
        <w:t xml:space="preserve">VII. CONCLUSION</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We have presented Project Chronos, an AI-powered Internet Artifact Reconstruction system built on Google Gemini 2.0 Flash. By framing the decoding of historical internet slang as a structured NLP task and leveraging Gemini's native JSON output mode and cultural knowledge, Chronos produces high-quality reconstructions, era classifications, slang glossaries, and cultural contextualization from a single model call. Our evaluation across 420 fragments demonstrates 87.3% era classification accuracy and 4.31/5.0 reconstruction coherence, outperforming all baselines. This work represents a step toward systematic, automated digital archaeology — preserving and making accessible the vernacular cultural heritage of the early internet.</w:t>
      </w:r>
    </w:p>
    <w:p>
      <w:pPr>
        <w:spacing w:after="120" w:before="0"/>
      </w:pPr>
    </w:p>
    <w:p>
      <w:pPr>
        <w:pBdr>
          <w:bottom w:val="single" w:color="000000" w:sz="4" w:space="2"/>
        </w:pBdr>
        <w:spacing w:after="80" w:before="200"/>
        <w:jc w:val="left"/>
      </w:pPr>
      <w:r>
        <w:rPr>
          <w:rFonts w:ascii="Times New Roman" w:cs="Times New Roman" w:eastAsia="Times New Roman" w:hAnsi="Times New Roman"/>
          <w:b/>
          <w:bCs/>
          <w:i w:val="false"/>
          <w:iCs w:val="false"/>
          <w:color w:val="000000"/>
          <w:sz w:val="22"/>
          <w:szCs w:val="22"/>
        </w:rPr>
        <w:t xml:space="preserve">ACKNOWLEDGMENT</w:t>
      </w:r>
    </w:p>
    <w:p>
      <w:pPr>
        <w:spacing w:after="100" w:before="0"/>
        <w:jc w:val="both"/>
      </w:pPr>
      <w:r>
        <w:rPr>
          <w:rFonts w:ascii="Times New Roman" w:cs="Times New Roman" w:eastAsia="Times New Roman" w:hAnsi="Times New Roman"/>
          <w:b w:val="false"/>
          <w:bCs w:val="false"/>
          <w:i w:val="false"/>
          <w:iCs w:val="false"/>
          <w:color w:val="000000"/>
          <w:sz w:val="20"/>
          <w:szCs w:val="20"/>
        </w:rPr>
        <w:t xml:space="preserve">The author thanks the faculty of the Department of Computer Science &amp; Engineering at Mahindra University for their guidance, Google for providing the Gemini API free tier that enabled this research, and the anonymous annotators who contributed to the evaluation corpus.</w:t>
      </w:r>
    </w:p>
    <w:p>
      <w:pPr>
        <w:spacing w:after="120" w:before="0"/>
      </w:pPr>
    </w:p>
    <w:p>
      <w:pPr>
        <w:pBdr>
          <w:bottom w:val="single" w:color="000000" w:sz="4" w:space="2"/>
        </w:pBdr>
        <w:spacing w:after="80" w:before="200"/>
        <w:jc w:val="left"/>
      </w:pPr>
      <w:r>
        <w:rPr>
          <w:rFonts w:ascii="Times New Roman" w:cs="Times New Roman" w:eastAsia="Times New Roman" w:hAnsi="Times New Roman"/>
          <w:b/>
          <w:bCs/>
          <w:i w:val="false"/>
          <w:iCs w:val="false"/>
          <w:color w:val="000000"/>
          <w:sz w:val="22"/>
          <w:szCs w:val="22"/>
        </w:rPr>
        <w:t xml:space="preserve">REFERENCES</w:t>
      </w:r>
    </w:p>
    <w:p>
      <w:pPr>
        <w:spacing w:after="60" w:before="0"/>
        <w:ind w:left="360" w:hanging="360"/>
        <w:jc w:val="both"/>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val="false"/>
          <w:bCs w:val="false"/>
          <w:i w:val="false"/>
          <w:iCs w:val="false"/>
          <w:color w:val="000000"/>
          <w:sz w:val="18"/>
          <w:szCs w:val="18"/>
        </w:rPr>
        <w:t xml:space="preserve">D. Crystal, Language and the Internet, 2nd ed. Cambridge, UK: Cambridge University Press, 2006.</w:t>
      </w:r>
    </w:p>
    <w:p>
      <w:pPr>
        <w:spacing w:after="60" w:before="0"/>
        <w:ind w:left="360" w:hanging="360"/>
        <w:jc w:val="both"/>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val="false"/>
          <w:bCs w:val="false"/>
          <w:i w:val="false"/>
          <w:iCs w:val="false"/>
          <w:color w:val="000000"/>
          <w:sz w:val="18"/>
          <w:szCs w:val="18"/>
        </w:rPr>
        <w:t xml:space="preserve">S. C. Herring, L. A. Scheidt, S. Bonus, and E. Wright, "Bridging the gap: A genre analysis of weblogs," in Proc. 37th Hawaii Int. Conf. System Sciences, 2004, p. 101.</w:t>
      </w:r>
    </w:p>
    <w:p>
      <w:pPr>
        <w:spacing w:after="60" w:before="0"/>
        <w:ind w:left="360" w:hanging="360"/>
        <w:jc w:val="both"/>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val="false"/>
          <w:bCs w:val="false"/>
          <w:i w:val="false"/>
          <w:iCs w:val="false"/>
          <w:color w:val="000000"/>
          <w:sz w:val="18"/>
          <w:szCs w:val="18"/>
        </w:rPr>
        <w:t xml:space="preserve">C. Thurlow and K. Mroczek, Eds., Digital Discourse: Language in the New Media. Oxford, UK: Oxford University Press, 2011.</w:t>
      </w:r>
    </w:p>
    <w:p>
      <w:pPr>
        <w:spacing w:after="60" w:before="0"/>
        <w:ind w:left="360" w:hanging="360"/>
        <w:jc w:val="both"/>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val="false"/>
          <w:bCs w:val="false"/>
          <w:i w:val="false"/>
          <w:iCs w:val="false"/>
          <w:color w:val="000000"/>
          <w:sz w:val="18"/>
          <w:szCs w:val="18"/>
        </w:rPr>
        <w:t xml:space="preserve">J. Eisenstein, B. O'Connor, N. A. Smith, and E. P. Xing, "Diffusion of lexical change in social media," PLOS ONE, vol. 9, no. 11, 2014.</w:t>
      </w:r>
    </w:p>
    <w:p>
      <w:pPr>
        <w:spacing w:after="60" w:before="0"/>
        <w:ind w:left="360" w:hanging="360"/>
        <w:jc w:val="both"/>
      </w:pPr>
      <w:r>
        <w:rPr>
          <w:rFonts w:ascii="Times New Roman" w:cs="Times New Roman" w:eastAsia="Times New Roman" w:hAnsi="Times New Roman"/>
          <w:b w:val="false"/>
          <w:bCs w:val="false"/>
          <w:i w:val="false"/>
          <w:iCs w:val="false"/>
          <w:color w:val="000000"/>
          <w:sz w:val="18"/>
          <w:szCs w:val="18"/>
        </w:rPr>
        <w:t xml:space="preserve">[5] </w:t>
      </w:r>
      <w:r>
        <w:rPr>
          <w:rFonts w:ascii="Times New Roman" w:cs="Times New Roman" w:eastAsia="Times New Roman" w:hAnsi="Times New Roman"/>
          <w:b w:val="false"/>
          <w:bCs w:val="false"/>
          <w:i w:val="false"/>
          <w:iCs w:val="false"/>
          <w:color w:val="000000"/>
          <w:sz w:val="18"/>
          <w:szCs w:val="18"/>
        </w:rPr>
        <w:t xml:space="preserve">Y. Peirsman, K. Heylen, and D. Geeraerts, "Lexico-semantic change in Twitter slang," in Proc. ACL Workshop on Language in Social Media, 2015, pp. 45–54.</w:t>
      </w:r>
    </w:p>
    <w:p>
      <w:pPr>
        <w:spacing w:after="60" w:before="0"/>
        <w:ind w:left="360" w:hanging="360"/>
        <w:jc w:val="both"/>
      </w:pPr>
      <w:r>
        <w:rPr>
          <w:rFonts w:ascii="Times New Roman" w:cs="Times New Roman" w:eastAsia="Times New Roman" w:hAnsi="Times New Roman"/>
          <w:b w:val="false"/>
          <w:bCs w:val="false"/>
          <w:i w:val="false"/>
          <w:iCs w:val="false"/>
          <w:color w:val="000000"/>
          <w:sz w:val="18"/>
          <w:szCs w:val="18"/>
        </w:rPr>
        <w:t xml:space="preserve">[6] </w:t>
      </w:r>
      <w:r>
        <w:rPr>
          <w:rFonts w:ascii="Times New Roman" w:cs="Times New Roman" w:eastAsia="Times New Roman" w:hAnsi="Times New Roman"/>
          <w:b w:val="false"/>
          <w:bCs w:val="false"/>
          <w:i w:val="false"/>
          <w:iCs w:val="false"/>
          <w:color w:val="000000"/>
          <w:sz w:val="18"/>
          <w:szCs w:val="18"/>
        </w:rPr>
        <w:t xml:space="preserve">D. Nguyen, A. Dogruöz, C. P. Rosé, and F. de Jong, "Computational sociolinguistics: A survey," Comput. Linguistics, vol. 42, no. 3, pp. 537–593, 2016.</w:t>
      </w:r>
    </w:p>
    <w:p>
      <w:pPr>
        <w:spacing w:after="60" w:before="0"/>
        <w:ind w:left="360" w:hanging="360"/>
        <w:jc w:val="both"/>
      </w:pPr>
      <w:r>
        <w:rPr>
          <w:rFonts w:ascii="Times New Roman" w:cs="Times New Roman" w:eastAsia="Times New Roman" w:hAnsi="Times New Roman"/>
          <w:b w:val="false"/>
          <w:bCs w:val="false"/>
          <w:i w:val="false"/>
          <w:iCs w:val="false"/>
          <w:color w:val="000000"/>
          <w:sz w:val="18"/>
          <w:szCs w:val="18"/>
        </w:rPr>
        <w:t xml:space="preserve">[7] </w:t>
      </w:r>
      <w:r>
        <w:rPr>
          <w:rFonts w:ascii="Times New Roman" w:cs="Times New Roman" w:eastAsia="Times New Roman" w:hAnsi="Times New Roman"/>
          <w:b w:val="false"/>
          <w:bCs w:val="false"/>
          <w:i w:val="false"/>
          <w:iCs w:val="false"/>
          <w:color w:val="000000"/>
          <w:sz w:val="18"/>
          <w:szCs w:val="18"/>
        </w:rPr>
        <w:t xml:space="preserve">A. Birhane et al., "The values encoded in machine learning research," in Proc. ACM FAccT, 2022, pp. 173–184.</w:t>
      </w:r>
    </w:p>
    <w:p>
      <w:pPr>
        <w:spacing w:after="60" w:before="0"/>
        <w:ind w:left="360" w:hanging="360"/>
        <w:jc w:val="both"/>
      </w:pPr>
      <w:r>
        <w:rPr>
          <w:rFonts w:ascii="Times New Roman" w:cs="Times New Roman" w:eastAsia="Times New Roman" w:hAnsi="Times New Roman"/>
          <w:b w:val="false"/>
          <w:bCs w:val="false"/>
          <w:i w:val="false"/>
          <w:iCs w:val="false"/>
          <w:color w:val="000000"/>
          <w:sz w:val="18"/>
          <w:szCs w:val="18"/>
        </w:rPr>
        <w:t xml:space="preserve">[8] </w:t>
      </w:r>
      <w:r>
        <w:rPr>
          <w:rFonts w:ascii="Times New Roman" w:cs="Times New Roman" w:eastAsia="Times New Roman" w:hAnsi="Times New Roman"/>
          <w:b w:val="false"/>
          <w:bCs w:val="false"/>
          <w:i w:val="false"/>
          <w:iCs w:val="false"/>
          <w:color w:val="000000"/>
          <w:sz w:val="18"/>
          <w:szCs w:val="18"/>
        </w:rPr>
        <w:t xml:space="preserve">R. Anil et al., "Gemini: A family of highly capable multimodal models," arXiv preprint arXiv:2312.11805, 2023.</w:t>
      </w:r>
    </w:p>
    <w:p>
      <w:pPr>
        <w:spacing w:after="60" w:before="0"/>
        <w:ind w:left="360" w:hanging="360"/>
        <w:jc w:val="both"/>
      </w:pPr>
      <w:r>
        <w:rPr>
          <w:rFonts w:ascii="Times New Roman" w:cs="Times New Roman" w:eastAsia="Times New Roman" w:hAnsi="Times New Roman"/>
          <w:b w:val="false"/>
          <w:bCs w:val="false"/>
          <w:i w:val="false"/>
          <w:iCs w:val="false"/>
          <w:color w:val="000000"/>
          <w:sz w:val="18"/>
          <w:szCs w:val="18"/>
        </w:rPr>
        <w:t xml:space="preserve">[9] </w:t>
      </w:r>
      <w:r>
        <w:rPr>
          <w:rFonts w:ascii="Times New Roman" w:cs="Times New Roman" w:eastAsia="Times New Roman" w:hAnsi="Times New Roman"/>
          <w:b w:val="false"/>
          <w:bCs w:val="false"/>
          <w:i w:val="false"/>
          <w:iCs w:val="false"/>
          <w:color w:val="000000"/>
          <w:sz w:val="18"/>
          <w:szCs w:val="18"/>
        </w:rPr>
        <w:t xml:space="preserve">Google DeepMind, "Gemini 2.0: Our new AI model," Technical Report, Google DeepMind, Mountain View, CA, 2024. [Online]. Available: https://deepmind.google/technologies/gemini/</w:t>
      </w:r>
    </w:p>
    <w:p>
      <w:pPr>
        <w:spacing w:after="60" w:before="0"/>
        <w:ind w:left="360" w:hanging="360"/>
        <w:jc w:val="both"/>
      </w:pPr>
      <w:r>
        <w:rPr>
          <w:rFonts w:ascii="Times New Roman" w:cs="Times New Roman" w:eastAsia="Times New Roman" w:hAnsi="Times New Roman"/>
          <w:b w:val="false"/>
          <w:bCs w:val="false"/>
          <w:i w:val="false"/>
          <w:iCs w:val="false"/>
          <w:color w:val="000000"/>
          <w:sz w:val="18"/>
          <w:szCs w:val="18"/>
        </w:rPr>
        <w:t xml:space="preserve">[10] </w:t>
      </w:r>
      <w:r>
        <w:rPr>
          <w:rFonts w:ascii="Times New Roman" w:cs="Times New Roman" w:eastAsia="Times New Roman" w:hAnsi="Times New Roman"/>
          <w:b w:val="false"/>
          <w:bCs w:val="false"/>
          <w:i w:val="false"/>
          <w:iCs w:val="false"/>
          <w:color w:val="000000"/>
          <w:sz w:val="18"/>
          <w:szCs w:val="18"/>
        </w:rPr>
        <w:t xml:space="preserve">B. Kahle, "Preserving the internet," Scientific American, vol. 276, no. 3, pp. 82–83, 1997.</w:t>
      </w:r>
    </w:p>
    <w:p>
      <w:pPr>
        <w:spacing w:after="60" w:before="0"/>
        <w:ind w:left="360" w:hanging="360"/>
        <w:jc w:val="both"/>
      </w:pPr>
      <w:r>
        <w:rPr>
          <w:rFonts w:ascii="Times New Roman" w:cs="Times New Roman" w:eastAsia="Times New Roman" w:hAnsi="Times New Roman"/>
          <w:b w:val="false"/>
          <w:bCs w:val="false"/>
          <w:i w:val="false"/>
          <w:iCs w:val="false"/>
          <w:color w:val="000000"/>
          <w:sz w:val="18"/>
          <w:szCs w:val="18"/>
        </w:rPr>
        <w:t xml:space="preserve">[11] </w:t>
      </w:r>
      <w:r>
        <w:rPr>
          <w:rFonts w:ascii="Times New Roman" w:cs="Times New Roman" w:eastAsia="Times New Roman" w:hAnsi="Times New Roman"/>
          <w:b w:val="false"/>
          <w:bCs w:val="false"/>
          <w:i w:val="false"/>
          <w:iCs w:val="false"/>
          <w:color w:val="000000"/>
          <w:sz w:val="18"/>
          <w:szCs w:val="18"/>
        </w:rPr>
        <w:t xml:space="preserve">R. Rinehart and J. Ippolito, Eds., Re-collection: Art, New Media, and Social Memory. Cambridge, MA: MIT Press, 2014.</w:t>
      </w:r>
    </w:p>
    <w:sectPr>
      <w:headerReference w:type="default" r:id="rId7"/>
      <w:footerReference w:type="default" r:id="rId8"/>
      <w:pgSz w:w="11906" w:h="16838" w:orient="portrait"/>
      <w:pgMar w:top="1020"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Research Manuscript  ·  Hema Siri Guduru  ·  SE24UCSE043  ·  Mahindra University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b w:val="false"/>
        <w:bCs w:val="false"/>
        <w:i/>
        <w:iCs/>
        <w:color w:val="000000"/>
        <w:sz w:val="18"/>
        <w:szCs w:val="18"/>
      </w:rPr>
      <w:t xml:space="preserve">Project Chronos: AI-Assisted Reconstruction of Fragmented Internet Linguistic Artifacts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2026-05-11T11:06:23.764Z</dcterms:created>
  <dcterms:modified xsi:type="dcterms:W3CDTF">2026-05-11T11:06:23.786Z</dcterms:modified>
</cp:coreProperties>
</file>

<file path=docProps/custom.xml><?xml version="1.0" encoding="utf-8"?>
<Properties xmlns="http://schemas.openxmlformats.org/officeDocument/2006/custom-properties" xmlns:vt="http://schemas.openxmlformats.org/officeDocument/2006/docPropsVTypes"/>
</file>