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Independent Claim Verification Annotation Protocol</w:t>
      </w:r>
    </w:p>
    <w:p>
      <w:pPr>
        <w:jc w:val="center"/>
      </w:pPr>
      <w:r>
        <w:rPr>
          <w:i/>
          <w:sz w:val="22"/>
        </w:rPr>
        <w:t>Risk-Adaptive Agentic GraphRAG for Auditable Biomedical Question Answering</w:t>
      </w:r>
    </w:p>
    <w:p>
      <w:pPr>
        <w:jc w:val="center"/>
      </w:pPr>
      <w:r>
        <w:rPr>
          <w:color w:val="595959"/>
          <w:sz w:val="19"/>
        </w:rPr>
        <w:t>Version 1.0 | Development-stage blinded manual audit | 28 unique claims</w:t>
      </w:r>
    </w:p>
    <w:p>
      <w:r>
        <w:rPr>
          <w:b/>
        </w:rPr>
        <w:t xml:space="preserve">Purpose. </w:t>
      </w:r>
      <w:r>
        <w:t>This protocol independently evaluates whether each generated biomedical claim is supported by the retrieved evidence supplied in the audit packet. It does not assess general medical truth, clinical appropriateness, or answer completeness. Annotators must not use outside knowledge, web searches, or the model-prediction key.</w:t>
      </w:r>
    </w:p>
    <w:p>
      <w:pPr>
        <w:pStyle w:val="Heading1"/>
      </w:pPr>
      <w:r>
        <w:t>1. Files and blinding</w:t>
      </w:r>
    </w:p>
    <w:p>
      <w:pPr>
        <w:pStyle w:val="ListBullet"/>
      </w:pPr>
      <w:r>
        <w:t>Each annotator receives a separate CSV packet containing the question, one atomic claim, retrieved evidence, and the local evidence-derived graph.</w:t>
      </w:r>
    </w:p>
    <w:p>
      <w:pPr>
        <w:pStyle w:val="ListBullet"/>
      </w:pPr>
      <w:r>
        <w:t>Annotator A and Annotator B work independently and must not discuss labels before both files are returned.</w:t>
      </w:r>
    </w:p>
    <w:p>
      <w:pPr>
        <w:pStyle w:val="ListBullet"/>
      </w:pPr>
      <w:r>
        <w:t>The private model-label key must remain unopened until human adjudication is complete and locked.</w:t>
      </w:r>
    </w:p>
    <w:p>
      <w:pPr>
        <w:pStyle w:val="ListBullet"/>
      </w:pPr>
      <w:r>
        <w:t>Use only the three exact labels shown below. Do not invent additional categories.</w:t>
      </w:r>
    </w:p>
    <w:p>
      <w:pPr>
        <w:pStyle w:val="Heading1"/>
      </w:pPr>
      <w:r>
        <w:t>2. Unit of annotation</w:t>
      </w:r>
    </w:p>
    <w:p>
      <w:pPr>
        <w:pStyle w:val="ListBullet"/>
      </w:pPr>
      <w:r>
        <w:t>The unit is one atomic claim in the Claim column. Judge that claim only.</w:t>
      </w:r>
    </w:p>
    <w:p>
      <w:pPr>
        <w:pStyle w:val="ListBullet"/>
      </w:pPr>
      <w:r>
        <w:t>Do not score the entire answer, the question quality, retrieval quality, writing quality, or clinical usefulness.</w:t>
      </w:r>
    </w:p>
    <w:p>
      <w:pPr>
        <w:pStyle w:val="ListBullet"/>
      </w:pPr>
      <w:r>
        <w:t>The same or similar claim may appear in different answer variants; each audit row is judged from the evidence displayed in that row.</w:t>
      </w:r>
    </w:p>
    <w:p>
      <w:pPr>
        <w:pStyle w:val="Heading1"/>
      </w:pPr>
      <w:r>
        <w:t>3. Allowed labels and decision rules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F75B5"/>
            <w:vAlign w:val="center"/>
          </w:tcPr>
          <w:p>
            <w:r>
              <w:rPr>
                <w:b/>
                <w:color w:val="FFFFFF"/>
              </w:rPr>
              <w:t>Label</w:t>
            </w:r>
          </w:p>
        </w:tc>
        <w:tc>
          <w:tcPr>
            <w:tcW w:type="dxa" w:w="3360"/>
            <w:shd w:fill="2F75B5"/>
            <w:vAlign w:val="center"/>
          </w:tcPr>
          <w:p>
            <w:r>
              <w:rPr>
                <w:b/>
                <w:color w:val="FFFFFF"/>
              </w:rPr>
              <w:t>Use this label when</w:t>
            </w:r>
          </w:p>
        </w:tc>
        <w:tc>
          <w:tcPr>
            <w:tcW w:type="dxa" w:w="3360"/>
            <w:shd w:fill="2F75B5"/>
            <w:vAlign w:val="center"/>
          </w:tcPr>
          <w:p>
            <w:r>
              <w:rPr>
                <w:b/>
                <w:color w:val="FFFFFF"/>
              </w:rPr>
              <w:t>Do not use it when</w:t>
            </w:r>
          </w:p>
        </w:tc>
      </w:tr>
      <w:tr>
        <w:trPr>
          <w:cantSplit/>
        </w:trPr>
        <w:tc>
          <w:tcPr>
            <w:tcW w:type="dxa" w:w="3360"/>
            <w:shd w:fill="DDEBF7"/>
            <w:vAlign w:val="top"/>
          </w:tcPr>
          <w:p>
            <w:r>
              <w:rPr>
                <w:b/>
              </w:rPr>
              <w:t>supported</w:t>
            </w:r>
          </w:p>
        </w:tc>
        <w:tc>
          <w:tcPr>
            <w:tcW w:type="dxa" w:w="3360"/>
            <w:vAlign w:val="top"/>
          </w:tcPr>
          <w:p>
            <w:r>
              <w:t>Every material element of the claim is directly entailed by at least one displayed evidence passage, or by a graph edge that itself has valid evidence provenance. Minor wording differences are acceptable when meaning is unchanged.</w:t>
            </w:r>
          </w:p>
        </w:tc>
        <w:tc>
          <w:tcPr>
            <w:tcW w:type="dxa" w:w="3360"/>
            <w:vAlign w:val="top"/>
          </w:tcPr>
          <w:p>
            <w:r>
              <w:t>The evidence only mentions the topic, supports only part of the claim, requires outside knowledge, or leaves an essential qualifier uncertain.</w:t>
            </w:r>
          </w:p>
        </w:tc>
      </w:tr>
      <w:tr>
        <w:trPr>
          <w:cantSplit/>
        </w:trPr>
        <w:tc>
          <w:tcPr>
            <w:tcW w:type="dxa" w:w="3360"/>
            <w:shd w:fill="DDEBF7"/>
            <w:vAlign w:val="top"/>
          </w:tcPr>
          <w:p>
            <w:r>
              <w:rPr>
                <w:b/>
              </w:rPr>
              <w:t>contradicted</w:t>
            </w:r>
          </w:p>
        </w:tc>
        <w:tc>
          <w:tcPr>
            <w:tcW w:type="dxa" w:w="3360"/>
            <w:vAlign w:val="top"/>
          </w:tcPr>
          <w:p>
            <w:r>
              <w:t>The displayed evidence directly states or clearly entails the opposite of a material part of the claim, including reversed direction, negation, incompatible number, wrong entity, or incompatible time/status.</w:t>
            </w:r>
          </w:p>
        </w:tc>
        <w:tc>
          <w:tcPr>
            <w:tcW w:type="dxa" w:w="3360"/>
            <w:vAlign w:val="top"/>
          </w:tcPr>
          <w:p>
            <w:r>
              <w:t>The evidence is merely silent, incomplete, ambiguous, or less specific. Silence is insufficient_evidence, not contradicted.</w:t>
            </w:r>
          </w:p>
        </w:tc>
      </w:tr>
      <w:tr>
        <w:trPr>
          <w:cantSplit/>
        </w:trPr>
        <w:tc>
          <w:tcPr>
            <w:tcW w:type="dxa" w:w="3360"/>
            <w:shd w:fill="DDEBF7"/>
            <w:vAlign w:val="top"/>
          </w:tcPr>
          <w:p>
            <w:r>
              <w:rPr>
                <w:b/>
              </w:rPr>
              <w:t>insufficient_evidence</w:t>
            </w:r>
          </w:p>
        </w:tc>
        <w:tc>
          <w:tcPr>
            <w:tcW w:type="dxa" w:w="3360"/>
            <w:vAlign w:val="top"/>
          </w:tcPr>
          <w:p>
            <w:r>
              <w:t>The evidence does not establish the complete claim; support is partial, ambiguous, indirect, missing a material qualifier, dependent on outside knowledge, or internally conflicting without a clear resolution.</w:t>
            </w:r>
          </w:p>
        </w:tc>
        <w:tc>
          <w:tcPr>
            <w:tcW w:type="dxa" w:w="3360"/>
            <w:vAlign w:val="top"/>
          </w:tcPr>
          <w:p>
            <w:r>
              <w:t>The evidence explicitly supports the whole claim or explicitly indicates the opposite.</w:t>
            </w:r>
          </w:p>
        </w:tc>
      </w:tr>
    </w:tbl>
    <w:p>
      <w:pPr>
        <w:pStyle w:val="Heading1"/>
      </w:pPr>
      <w:r>
        <w:t>4. Material qualifiers that must be supported</w:t>
      </w:r>
    </w:p>
    <w:p>
      <w:pPr>
        <w:pStyle w:val="ListBullet"/>
      </w:pPr>
      <w:r>
        <w:t>Numbers, counts, percentages, dosage, rank, superlatives, and words such as “most”, “common”, “widely used”, or “definitive”.</w:t>
      </w:r>
    </w:p>
    <w:p>
      <w:pPr>
        <w:pStyle w:val="ListBullet"/>
      </w:pPr>
      <w:r>
        <w:t>Dates and status qualifiers such as “as of 2018”, “approved”, “on the market”, “currently”, or “previously”.</w:t>
      </w:r>
    </w:p>
    <w:p>
      <w:pPr>
        <w:pStyle w:val="ListBullet"/>
      </w:pPr>
      <w:r>
        <w:t>Negation and modality, including “does not”, “may”, “can”, “causes”, “associated with”, and “used for”.</w:t>
      </w:r>
    </w:p>
    <w:p>
      <w:pPr>
        <w:pStyle w:val="ListBullet"/>
      </w:pPr>
      <w:r>
        <w:t>Entity identity and directionality: a drug targeting a ligand is not automatically equivalent to targeting its receptor.</w:t>
      </w:r>
    </w:p>
    <w:p>
      <w:pPr>
        <w:pStyle w:val="ListBullet"/>
      </w:pPr>
      <w:r>
        <w:t>Population, disease subtype, experimental setting, and outcome qualifiers when they are part of the claim.</w:t>
      </w:r>
    </w:p>
    <w:p>
      <w:pPr>
        <w:pStyle w:val="Heading1"/>
      </w:pPr>
      <w:r>
        <w:t>5. Multi-part or imperfectly atomic claims</w:t>
      </w:r>
    </w:p>
    <w:p>
      <w:pPr>
        <w:pStyle w:val="ListBullet"/>
      </w:pPr>
      <w:r>
        <w:t>If one essential component is contradicted, label the whole claim contradicted.</w:t>
      </w:r>
    </w:p>
    <w:p>
      <w:pPr>
        <w:pStyle w:val="ListBullet"/>
      </w:pPr>
      <w:r>
        <w:t>If no component is contradicted but one essential component is unsupported, label the whole claim insufficient_evidence.</w:t>
      </w:r>
    </w:p>
    <w:p>
      <w:pPr>
        <w:pStyle w:val="ListBullet"/>
      </w:pPr>
      <w:r>
        <w:t>Use supported only when every essential component is supported.</w:t>
      </w:r>
    </w:p>
    <w:p>
      <w:pPr>
        <w:pStyle w:val="ListBullet"/>
      </w:pPr>
      <w:r>
        <w:t>Do not rewrite or split the claim during annotation; describe the issue briefly in the rationale.</w:t>
      </w:r>
    </w:p>
    <w:p>
      <w:pPr>
        <w:pStyle w:val="Heading1"/>
      </w:pPr>
      <w:r>
        <w:t>6. How to use the local graph</w:t>
      </w:r>
    </w:p>
    <w:p>
      <w:pPr>
        <w:pStyle w:val="ListBullet"/>
      </w:pPr>
      <w:r>
        <w:t>The graph is not an independent source. It is a structured representation of the displayed evidence.</w:t>
      </w:r>
    </w:p>
    <w:p>
      <w:pPr>
        <w:pStyle w:val="ListBullet"/>
      </w:pPr>
      <w:r>
        <w:t>Use a graph edge only when its evidence ID and supporting quotation are present and genuinely support the relation.</w:t>
      </w:r>
    </w:p>
    <w:p>
      <w:pPr>
        <w:pStyle w:val="ListBullet"/>
      </w:pPr>
      <w:r>
        <w:t>When graph and text appear inconsistent, rely on the underlying evidence passage and explain the inconsistency in the rationale.</w:t>
      </w:r>
    </w:p>
    <w:p>
      <w:pPr>
        <w:pStyle w:val="ListBullet"/>
      </w:pPr>
      <w:r>
        <w:t>A missing graph edge does not by itself make a text-supported claim insufficient.</w:t>
      </w:r>
    </w:p>
    <w:p>
      <w:pPr>
        <w:pStyle w:val="Heading1"/>
      </w:pPr>
      <w:r>
        <w:t>7. Annotation workflow for each row</w:t>
      </w:r>
    </w:p>
    <w:p>
      <w:pPr>
        <w:pStyle w:val="ListBullet"/>
      </w:pPr>
      <w:r>
        <w:t>Read the question only to understand context.</w:t>
      </w:r>
    </w:p>
    <w:p>
      <w:pPr>
        <w:pStyle w:val="ListBullet"/>
      </w:pPr>
      <w:r>
        <w:t>Read the claim carefully and identify all material elements and qualifiers.</w:t>
      </w:r>
    </w:p>
    <w:p>
      <w:pPr>
        <w:pStyle w:val="ListBullet"/>
      </w:pPr>
      <w:r>
        <w:t>Read every retrieved evidence passage shown in the row.</w:t>
      </w:r>
    </w:p>
    <w:p>
      <w:pPr>
        <w:pStyle w:val="ListBullet"/>
      </w:pPr>
      <w:r>
        <w:t>Inspect the graph only as an evidence-linked aid.</w:t>
      </w:r>
    </w:p>
    <w:p>
      <w:pPr>
        <w:pStyle w:val="ListBullet"/>
      </w:pPr>
      <w:r>
        <w:t>Choose exactly one label: supported, contradicted, or insufficient_evidence.</w:t>
      </w:r>
    </w:p>
    <w:p>
      <w:pPr>
        <w:pStyle w:val="ListBullet"/>
      </w:pPr>
      <w:r>
        <w:t>Write a brief rationale that cites the decisive evidence ID(s), for example: “E2 directly states …” or “E1 supports X but not the as-of-2018 market-status qualifier.”</w:t>
      </w:r>
    </w:p>
    <w:p>
      <w:pPr>
        <w:pStyle w:val="ListBullet"/>
      </w:pPr>
      <w:r>
        <w:t>Do not leave any label or rationale blank.</w:t>
      </w:r>
    </w:p>
    <w:p>
      <w:pPr>
        <w:pStyle w:val="Heading1"/>
      </w:pPr>
      <w:r>
        <w:t>8. Independence and quality controls</w:t>
      </w:r>
    </w:p>
    <w:p>
      <w:pPr>
        <w:pStyle w:val="ListBullet"/>
      </w:pPr>
      <w:r>
        <w:t>Do not view the other annotator’s file or discuss difficult rows before independent submission.</w:t>
      </w:r>
    </w:p>
    <w:p>
      <w:pPr>
        <w:pStyle w:val="ListBullet"/>
      </w:pPr>
      <w:r>
        <w:t>Do not open claim_manual_audit_model_key_private.jsonl.</w:t>
      </w:r>
    </w:p>
    <w:p>
      <w:pPr>
        <w:pStyle w:val="ListBullet"/>
      </w:pPr>
      <w:r>
        <w:t>Do not search PubMed, Google, clinical references, or any external source.</w:t>
      </w:r>
    </w:p>
    <w:p>
      <w:pPr>
        <w:pStyle w:val="ListBullet"/>
      </w:pPr>
      <w:r>
        <w:t>When uncertain between supported and another label, select insufficient_evidence unless the displayed evidence directly entails the complete claim.</w:t>
      </w:r>
    </w:p>
    <w:p>
      <w:pPr>
        <w:pStyle w:val="ListBullet"/>
      </w:pPr>
      <w:r>
        <w:t>Annotators may flag a malformed or non-atomic claim in the rationale, but must still assign one of the three allowed labels.</w:t>
      </w:r>
    </w:p>
    <w:p>
      <w:pPr>
        <w:pStyle w:val="Heading1"/>
        <w:pageBreakBefore/>
      </w:pPr>
      <w:r>
        <w:t>9. Adjudication procedure</w:t>
      </w:r>
    </w:p>
    <w:p>
      <w:pPr>
        <w:pStyle w:val="ListBullet"/>
      </w:pPr>
      <w:r>
        <w:t>After both independent files are returned, merge them by audit_id and calculate exact agreement and Cohen’s kappa.</w:t>
      </w:r>
    </w:p>
    <w:p>
      <w:pPr>
        <w:pStyle w:val="ListBullet"/>
      </w:pPr>
      <w:r>
        <w:t>Only rows with different labels proceed to adjudication.</w:t>
      </w:r>
    </w:p>
    <w:p>
      <w:pPr>
        <w:pStyle w:val="ListBullet"/>
      </w:pPr>
      <w:r>
        <w:t>The adjudicator re-reads the claim and displayed evidence without viewing the model prediction.</w:t>
      </w:r>
    </w:p>
    <w:p>
      <w:pPr>
        <w:pStyle w:val="ListBullet"/>
      </w:pPr>
      <w:r>
        <w:t>The adjudicated label and a short reason are recorded. The locked adjudicated file becomes the human reference set.</w:t>
      </w:r>
    </w:p>
    <w:p>
      <w:pPr>
        <w:pStyle w:val="ListBullet"/>
      </w:pPr>
      <w:r>
        <w:t>Only after adjudication is complete may the private model-label key be opened for comparison.</w:t>
      </w:r>
    </w:p>
    <w:p>
      <w:pPr>
        <w:pStyle w:val="Heading1"/>
      </w:pPr>
      <w:r>
        <w:t>10. Completion checklist</w:t>
      </w:r>
    </w:p>
    <w:p>
      <w:pPr>
        <w:pStyle w:val="ListBullet"/>
      </w:pPr>
      <w:r>
        <w:t>All 28 rows have one valid label and one rationale.</w:t>
      </w:r>
    </w:p>
    <w:p>
      <w:pPr>
        <w:pStyle w:val="ListBullet"/>
      </w:pPr>
      <w:r>
        <w:t>Only the permitted lower-case labels are used.</w:t>
      </w:r>
    </w:p>
    <w:p>
      <w:pPr>
        <w:pStyle w:val="ListBullet"/>
      </w:pPr>
      <w:r>
        <w:t>Rationales cite evidence IDs wherever possible.</w:t>
      </w:r>
    </w:p>
    <w:p>
      <w:pPr>
        <w:pStyle w:val="ListBullet"/>
      </w:pPr>
      <w:r>
        <w:t>No external sources were consulted.</w:t>
      </w:r>
    </w:p>
    <w:p>
      <w:pPr>
        <w:pStyle w:val="ListBullet"/>
      </w:pPr>
      <w:r>
        <w:t>The annotator confirms independent completion before returning the file.</w:t>
      </w:r>
    </w:p>
    <w:p>
      <w:r>
        <w:rPr>
          <w:b/>
        </w:rPr>
        <w:t xml:space="preserve">Important interpretation rule: </w:t>
      </w:r>
      <w:r>
        <w:t>Human labels evaluate evidence support, not real-world biomedical truth. A claim that is medically true but not supported by the displayed evidence must be labelled insufficient_evidence.</w:t>
      </w:r>
    </w:p>
    <w:sectPr w:rsidR="00FC693F" w:rsidRPr="0006063C" w:rsidSect="00034616">
      <w:footerReference w:type="default" r:id="rId9"/>
      <w:pgSz w:w="12240" w:h="15840"/>
      <w:pgMar w:top="835"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Independent Claim Verification Annotation Protocol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