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64"/>
          <w:szCs w:val="64"/>
        </w:rPr>
        <w:t xml:space="preserve">FinSight v2.0</w:t>
      </w:r>
    </w:p>
    <w:p>
      <w:pPr>
        <w:spacing w:after="80"/>
        <w:jc w:val="center"/>
      </w:pPr>
      <w:r>
        <w:rPr>
          <w:color w:val="404040"/>
          <w:sz w:val="30"/>
          <w:szCs w:val="30"/>
        </w:rPr>
        <w:t xml:space="preserve">Grid-Native Agentic Analysis for Structured Financial Documents</w:t>
      </w:r>
    </w:p>
    <w:p>
      <w:pPr>
        <w:spacing w:after="400"/>
        <w:jc w:val="center"/>
      </w:pPr>
      <w:r>
        <w:rPr>
          <w:i/>
          <w:iCs/>
          <w:color w:val="595959"/>
          <w:sz w:val="26"/>
          <w:szCs w:val="26"/>
        </w:rPr>
        <w:t xml:space="preserve">Technical Design &amp; Engineering Documentation</w:t>
      </w:r>
    </w:p>
    <w:p>
      <w:pPr>
        <w:spacing w:after="2000"/>
        <w:jc w:val="center"/>
      </w:pPr>
      <w:r>
        <w:rPr>
          <w:i/>
          <w:iCs/>
          <w:color w:val="808080"/>
          <w:sz w:val="22"/>
          <w:szCs w:val="22"/>
        </w:rPr>
        <w:t xml:space="preserve">“We adopted the shape that scales and kept the boundary that makes financial answers trustworthy.”</w:t>
      </w:r>
    </w:p>
    <w:p>
      <w:r>
        <w:br w:type="page"/>
      </w:r>
    </w:p>
    <w:p>
      <w:pPr>
        <w:pStyle w:val="Heading1"/>
        <w:spacing w:after="160" w:before="320"/>
      </w:pPr>
      <w:r>
        <w:t xml:space="preserve">Document Control</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6760"/>
      </w:tblGrid>
      <w:tr>
        <w:trPr>
          <w:tblHeader/>
        </w:trPr>
        <w:tc>
          <w:tcPr>
            <w:tcW w:type="dxa" w:w="2600"/>
            <w:shd w:fill="1F4E79" w:val="clear"/>
            <w:tcMar>
              <w:top w:type="dxa" w:w="60"/>
              <w:left w:type="dxa" w:w="110"/>
              <w:bottom w:type="dxa" w:w="60"/>
              <w:right w:type="dxa" w:w="110"/>
            </w:tcMar>
            <w:vAlign w:val="center"/>
          </w:tcPr>
          <w:p>
            <w:pPr>
              <w:spacing w:after="0" w:line="264"/>
            </w:pPr>
            <w:r>
              <w:rPr>
                <w:b/>
                <w:bCs/>
                <w:color w:val="FFFFFF"/>
              </w:rPr>
              <w:t xml:space="preserve">Field</w:t>
            </w:r>
          </w:p>
        </w:tc>
        <w:tc>
          <w:tcPr>
            <w:tcW w:type="dxa" w:w="6760"/>
            <w:shd w:fill="1F4E79" w:val="clear"/>
            <w:tcMar>
              <w:top w:type="dxa" w:w="60"/>
              <w:left w:type="dxa" w:w="110"/>
              <w:bottom w:type="dxa" w:w="60"/>
              <w:right w:type="dxa" w:w="110"/>
            </w:tcMar>
            <w:vAlign w:val="center"/>
          </w:tcPr>
          <w:p>
            <w:pPr>
              <w:spacing w:after="0" w:line="264"/>
            </w:pPr>
            <w:r>
              <w:rPr>
                <w:b/>
                <w:bCs/>
                <w:color w:val="FFFFFF"/>
              </w:rPr>
              <w:t xml:space="preserve">Value</w:t>
            </w:r>
          </w:p>
        </w:tc>
      </w:tr>
      <w:tr>
        <w:tc>
          <w:tcPr>
            <w:tcW w:type="dxa" w:w="2600"/>
            <w:tcMar>
              <w:top w:type="dxa" w:w="60"/>
              <w:left w:type="dxa" w:w="110"/>
              <w:bottom w:type="dxa" w:w="60"/>
              <w:right w:type="dxa" w:w="110"/>
            </w:tcMar>
            <w:vAlign w:val="center"/>
          </w:tcPr>
          <w:p>
            <w:pPr>
              <w:spacing w:after="0" w:line="264"/>
            </w:pPr>
            <w:r>
              <w:rPr>
                <w:b w:val="false"/>
                <w:bCs w:val="false"/>
                <w:color w:val="000000"/>
              </w:rPr>
              <w:t xml:space="preserve">Document title</w:t>
            </w:r>
          </w:p>
        </w:tc>
        <w:tc>
          <w:tcPr>
            <w:tcW w:type="dxa" w:w="6760"/>
            <w:tcMar>
              <w:top w:type="dxa" w:w="60"/>
              <w:left w:type="dxa" w:w="110"/>
              <w:bottom w:type="dxa" w:w="60"/>
              <w:right w:type="dxa" w:w="110"/>
            </w:tcMar>
            <w:vAlign w:val="center"/>
          </w:tcPr>
          <w:p>
            <w:pPr>
              <w:spacing w:after="0" w:line="264"/>
            </w:pPr>
            <w:r>
              <w:rPr>
                <w:b w:val="false"/>
                <w:bCs w:val="false"/>
                <w:color w:val="000000"/>
              </w:rPr>
              <w:t xml:space="preserve">FinSight v2.0 — Technical Design &amp; Engineering Documentation</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rPr>
              <w:t xml:space="preserve">Version</w:t>
            </w:r>
          </w:p>
        </w:tc>
        <w:tc>
          <w:tcPr>
            <w:tcW w:type="dxa" w:w="6760"/>
            <w:shd w:fill="F2F2F2" w:val="clear"/>
            <w:tcMar>
              <w:top w:type="dxa" w:w="60"/>
              <w:left w:type="dxa" w:w="110"/>
              <w:bottom w:type="dxa" w:w="60"/>
              <w:right w:type="dxa" w:w="110"/>
            </w:tcMar>
            <w:vAlign w:val="center"/>
          </w:tcPr>
          <w:p>
            <w:pPr>
              <w:spacing w:after="0" w:line="264"/>
            </w:pPr>
            <w:r>
              <w:rPr>
                <w:b w:val="false"/>
                <w:bCs w:val="false"/>
                <w:color w:val="000000"/>
              </w:rPr>
              <w:t xml:space="preserve">2.0</w:t>
            </w:r>
          </w:p>
        </w:tc>
      </w:tr>
      <w:tr>
        <w:tc>
          <w:tcPr>
            <w:tcW w:type="dxa" w:w="2600"/>
            <w:tcMar>
              <w:top w:type="dxa" w:w="60"/>
              <w:left w:type="dxa" w:w="110"/>
              <w:bottom w:type="dxa" w:w="60"/>
              <w:right w:type="dxa" w:w="110"/>
            </w:tcMar>
            <w:vAlign w:val="center"/>
          </w:tcPr>
          <w:p>
            <w:pPr>
              <w:spacing w:after="0" w:line="264"/>
            </w:pPr>
            <w:r>
              <w:rPr>
                <w:b w:val="false"/>
                <w:bCs w:val="false"/>
                <w:color w:val="000000"/>
              </w:rPr>
              <w:t xml:space="preserve">Status</w:t>
            </w:r>
          </w:p>
        </w:tc>
        <w:tc>
          <w:tcPr>
            <w:tcW w:type="dxa" w:w="6760"/>
            <w:tcMar>
              <w:top w:type="dxa" w:w="60"/>
              <w:left w:type="dxa" w:w="110"/>
              <w:bottom w:type="dxa" w:w="60"/>
              <w:right w:type="dxa" w:w="110"/>
            </w:tcMar>
            <w:vAlign w:val="center"/>
          </w:tcPr>
          <w:p>
            <w:pPr>
              <w:spacing w:after="0" w:line="264"/>
            </w:pPr>
            <w:r>
              <w:rPr>
                <w:b w:val="false"/>
                <w:bCs w:val="false"/>
                <w:color w:val="000000"/>
              </w:rPr>
              <w:t xml:space="preserve">Reference implementation — runnable end to end</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rPr>
              <w:t xml:space="preserve">Classification</w:t>
            </w:r>
          </w:p>
        </w:tc>
        <w:tc>
          <w:tcPr>
            <w:tcW w:type="dxa" w:w="6760"/>
            <w:shd w:fill="F2F2F2" w:val="clear"/>
            <w:tcMar>
              <w:top w:type="dxa" w:w="60"/>
              <w:left w:type="dxa" w:w="110"/>
              <w:bottom w:type="dxa" w:w="60"/>
              <w:right w:type="dxa" w:w="110"/>
            </w:tcMar>
            <w:vAlign w:val="center"/>
          </w:tcPr>
          <w:p>
            <w:pPr>
              <w:spacing w:after="0" w:line="264"/>
            </w:pPr>
            <w:r>
              <w:rPr>
                <w:b w:val="false"/>
                <w:bCs w:val="false"/>
                <w:color w:val="000000"/>
              </w:rPr>
              <w:t xml:space="preserve">Internal / Engineering</w:t>
            </w:r>
          </w:p>
        </w:tc>
      </w:tr>
      <w:tr>
        <w:tc>
          <w:tcPr>
            <w:tcW w:type="dxa" w:w="2600"/>
            <w:tcMar>
              <w:top w:type="dxa" w:w="60"/>
              <w:left w:type="dxa" w:w="110"/>
              <w:bottom w:type="dxa" w:w="60"/>
              <w:right w:type="dxa" w:w="110"/>
            </w:tcMar>
            <w:vAlign w:val="center"/>
          </w:tcPr>
          <w:p>
            <w:pPr>
              <w:spacing w:after="0" w:line="264"/>
            </w:pPr>
            <w:r>
              <w:rPr>
                <w:b w:val="false"/>
                <w:bCs w:val="false"/>
                <w:color w:val="000000"/>
              </w:rPr>
              <w:t xml:space="preserve">Primary artifact</w:t>
            </w:r>
          </w:p>
        </w:tc>
        <w:tc>
          <w:tcPr>
            <w:tcW w:type="dxa" w:w="6760"/>
            <w:tcMar>
              <w:top w:type="dxa" w:w="60"/>
              <w:left w:type="dxa" w:w="110"/>
              <w:bottom w:type="dxa" w:w="60"/>
              <w:right w:type="dxa" w:w="110"/>
            </w:tcMar>
            <w:vAlign w:val="center"/>
          </w:tcPr>
          <w:p>
            <w:pPr>
              <w:spacing w:after="0" w:line="264"/>
            </w:pPr>
            <w:r>
              <w:rPr>
                <w:b w:val="false"/>
                <w:bCs w:val="false"/>
                <w:color w:val="000000"/>
              </w:rPr>
              <w:t xml:space="preserve">Python package finsight (src/finsight), Streamlit UI, CLI</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rPr>
              <w:t xml:space="preserve">Audience</w:t>
            </w:r>
          </w:p>
        </w:tc>
        <w:tc>
          <w:tcPr>
            <w:tcW w:type="dxa" w:w="6760"/>
            <w:shd w:fill="F2F2F2" w:val="clear"/>
            <w:tcMar>
              <w:top w:type="dxa" w:w="60"/>
              <w:left w:type="dxa" w:w="110"/>
              <w:bottom w:type="dxa" w:w="60"/>
              <w:right w:type="dxa" w:w="110"/>
            </w:tcMar>
            <w:vAlign w:val="center"/>
          </w:tcPr>
          <w:p>
            <w:pPr>
              <w:spacing w:after="0" w:line="264"/>
            </w:pPr>
            <w:r>
              <w:rPr>
                <w:b w:val="false"/>
                <w:bCs w:val="false"/>
                <w:color w:val="000000"/>
              </w:rPr>
              <w:t xml:space="preserve">Engineering, solution architecture, technical leadership, evaluators</w:t>
            </w:r>
          </w:p>
        </w:tc>
      </w:tr>
      <w:tr>
        <w:tc>
          <w:tcPr>
            <w:tcW w:type="dxa" w:w="2600"/>
            <w:tcMar>
              <w:top w:type="dxa" w:w="60"/>
              <w:left w:type="dxa" w:w="110"/>
              <w:bottom w:type="dxa" w:w="60"/>
              <w:right w:type="dxa" w:w="110"/>
            </w:tcMar>
            <w:vAlign w:val="center"/>
          </w:tcPr>
          <w:p>
            <w:pPr>
              <w:spacing w:after="0" w:line="264"/>
            </w:pPr>
            <w:r>
              <w:rPr>
                <w:b w:val="false"/>
                <w:bCs w:val="false"/>
                <w:color w:val="000000"/>
              </w:rPr>
              <w:t xml:space="preserve">Runtime</w:t>
            </w:r>
          </w:p>
        </w:tc>
        <w:tc>
          <w:tcPr>
            <w:tcW w:type="dxa" w:w="6760"/>
            <w:tcMar>
              <w:top w:type="dxa" w:w="60"/>
              <w:left w:type="dxa" w:w="110"/>
              <w:bottom w:type="dxa" w:w="60"/>
              <w:right w:type="dxa" w:w="110"/>
            </w:tcMar>
            <w:vAlign w:val="center"/>
          </w:tcPr>
          <w:p>
            <w:pPr>
              <w:spacing w:after="0" w:line="264"/>
            </w:pPr>
            <w:r>
              <w:rPr>
                <w:b w:val="false"/>
                <w:bCs w:val="false"/>
                <w:color w:val="000000"/>
              </w:rPr>
              <w:t xml:space="preserve">Python 3.10+ (3.12 recommended)</w:t>
            </w:r>
          </w:p>
        </w:tc>
      </w:tr>
    </w:tbl>
    <w:p>
      <w:pPr>
        <w:spacing w:after="60"/>
      </w:pPr>
      <w:r>
        <w:t xml:space="preserve"/>
      </w:r>
    </w:p>
    <w:p>
      <w:pPr>
        <w:spacing w:after="120" w:line="276"/>
      </w:pPr>
      <w:r>
        <w:rPr>
          <w:b/>
          <w:bCs/>
        </w:rPr>
        <w:t xml:space="preserve">Purpose. </w:t>
      </w:r>
      <w:r>
        <w:t xml:space="preserve">This document describes the problem FinSight solves, the scope and goals of the system, its architecture layer by layer, the engineering decisions behind it, and the operational concerns (configuration, security, reliability, evaluation) relevant to running it at an industrial standard. It is written to be read both top to bottom and as a reference.</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Executive Summary</w:t>
      </w:r>
    </w:p>
    <w:p>
      <w:pPr>
        <w:spacing w:after="120" w:line="276"/>
      </w:pPr>
      <w:r>
        <w:t xml:space="preserve">FinSight is an analysis engine for structured financial documents — 10-K filings, annual reports, and the tables and prose inside them. It answers analytical questions that span many filings at once: comparisons of margins, ratios, trends, and qualitative disclosures across a set of companies.</w:t>
      </w:r>
    </w:p>
    <w:p>
      <w:pPr>
        <w:spacing w:after="120" w:line="276"/>
      </w:pPr>
      <w:r>
        <w:t xml:space="preserve">Its defining idea is to treat a cross-document question as a grid: documents become rows, the sub-questions the question decomposes into become columns, and every intersection is an independently answered, independently audited cell. Cells run in parallel, each scoped to exactly one document, and each one traces back to a single source span.</w:t>
      </w:r>
    </w:p>
    <w:p>
      <w:pPr>
        <w:spacing w:after="120" w:line="276"/>
      </w:pPr>
      <w:r>
        <w:rPr>
          <w:b/>
          <w:bCs/>
        </w:rPr>
        <w:t xml:space="preserve">The second defining idea is a hard trust boundary: </w:t>
      </w:r>
      <w:r>
        <w:t xml:space="preserve">every number leaves the language model and passes through a deterministic Python calculation engine the model cannot influence. Figures are extracted by deterministic parsers into a numeric store; ratios are computed by a fixed formula library; a missing input is refused, never guessed. The language model plans the grid and writes the narrative, but it never performs arithmetic. This is what makes the answers defensible for financial use.</w:t>
      </w:r>
    </w:p>
    <w:p>
      <w:pPr>
        <w:spacing w:after="120" w:line="276"/>
      </w:pPr>
      <w:r>
        <w:t xml:space="preserve">The system runs fully offline with no API key (a deterministic mock backend exercises the entire pipeline), and upgrades transparently to a live LLM — Anthropic Claude or OpenAI — when a key is supplied. Heavy ML dependencies (BGE embeddings, FAISS, cross-encoder reranking) are optional and degrade gracefully to lightweight pure-Python fallbacks, so the reference implementation is demonstrable on any machine.</w:t>
      </w:r>
    </w:p>
    <w:p>
      <w:pPr>
        <w:pStyle w:val="Heading1"/>
        <w:spacing w:after="160" w:before="320"/>
      </w:pPr>
      <w:r>
        <w:t xml:space="preserve">2. Problem Statement</w:t>
      </w:r>
    </w:p>
    <w:p>
      <w:pPr>
        <w:pStyle w:val="Heading2"/>
        <w:spacing w:after="120" w:before="240"/>
      </w:pPr>
      <w:r>
        <w:t xml:space="preserve">2.1 Context</w:t>
      </w:r>
    </w:p>
    <w:p>
      <w:pPr>
        <w:spacing w:after="120" w:line="276"/>
      </w:pPr>
      <w:r>
        <w:t xml:space="preserve">Financial analysts, investors, and corporate strategy teams routinely need to extract and compare specific figures and disclosures across many filings: revenue and net income across a peer set, leverage and liquidity ratios, multi-year growth trends, the risk factors each company discloses. The source material is long, semi-structured, and unforgiving — a single misread figure or a number attributed to the wrong company can invalidate an entire analysis.</w:t>
      </w:r>
    </w:p>
    <w:p>
      <w:pPr>
        <w:pStyle w:val="Heading2"/>
        <w:spacing w:after="120" w:before="240"/>
      </w:pPr>
      <w:r>
        <w:t xml:space="preserve">2.2 The core problem</w:t>
      </w:r>
    </w:p>
    <w:p>
      <w:pPr>
        <w:spacing w:after="120" w:line="276"/>
      </w:pPr>
      <w:r>
        <w:t xml:space="preserve">General-purpose retrieval-augmented generation (RAG) and single-loop agent systems are poorly suited to this task for three reasons:</w:t>
      </w:r>
    </w:p>
    <w:p>
      <w:pPr>
        <w:pStyle w:val="ListParagraph"/>
        <w:numPr>
          <w:ilvl w:val="0"/>
          <w:numId w:val="2"/>
        </w:numPr>
        <w:spacing w:after="60" w:line="270"/>
      </w:pPr>
      <w:r>
        <w:rPr>
          <w:b/>
          <w:bCs/>
        </w:rPr>
        <w:t xml:space="preserve">Cross-contamination. </w:t>
      </w:r>
      <w:r>
        <w:t xml:space="preserve">Blending many documents into one context lets one company's text leak into another company's answer. In finance this is not a cosmetic error; it is a wrong number.</w:t>
      </w:r>
    </w:p>
    <w:p>
      <w:pPr>
        <w:pStyle w:val="ListParagraph"/>
        <w:numPr>
          <w:ilvl w:val="0"/>
          <w:numId w:val="2"/>
        </w:numPr>
        <w:spacing w:after="60" w:line="270"/>
      </w:pPr>
      <w:r>
        <w:rPr>
          <w:b/>
          <w:bCs/>
        </w:rPr>
        <w:t xml:space="preserve">Hallucinated arithmetic. </w:t>
      </w:r>
      <w:r>
        <w:t xml:space="preserve">Language models are unreliable calculators. A net margin computed by an LLM may look plausible and be wrong, with no audit trail to catch it.</w:t>
      </w:r>
    </w:p>
    <w:p>
      <w:pPr>
        <w:pStyle w:val="ListParagraph"/>
        <w:numPr>
          <w:ilvl w:val="0"/>
          <w:numId w:val="2"/>
        </w:numPr>
        <w:spacing w:after="60" w:line="270"/>
      </w:pPr>
      <w:r>
        <w:rPr>
          <w:b/>
          <w:bCs/>
        </w:rPr>
        <w:t xml:space="preserve">No provenance. </w:t>
      </w:r>
      <w:r>
        <w:t xml:space="preserve">When an answer cannot be traced to a precise source span, it cannot be trusted, defended, or corrected.</w:t>
      </w:r>
    </w:p>
    <w:p>
      <w:pPr>
        <w:pStyle w:val="Heading2"/>
        <w:spacing w:after="120" w:before="240"/>
      </w:pPr>
      <w:r>
        <w:t xml:space="preserve">2.3 Why a single blended loop falls short</w:t>
      </w:r>
    </w:p>
    <w:p>
      <w:pPr>
        <w:spacing w:after="120" w:line="276"/>
      </w:pPr>
      <w:r>
        <w:t xml:space="preserve">A blended ReAct-style loop is excellent for a handful of documents but leaves performance and trust on the table when a question spans many filings. It cannot fan out cleanly across thousands of documents, it cannot guarantee isolation between documents, and it cannot guarantee that each answer maps to exactly one source span. FinSight v2.0 replaces that single loop with a planner plus many isolated per-document workers — the grid.</w:t>
      </w:r>
    </w:p>
    <w:p>
      <w:pPr>
        <w:pStyle w:val="Heading1"/>
        <w:spacing w:after="160" w:before="320"/>
      </w:pPr>
      <w:r>
        <w:t xml:space="preserve">3. Goals and Non-Goals</w:t>
      </w:r>
    </w:p>
    <w:p>
      <w:pPr>
        <w:pStyle w:val="Heading2"/>
        <w:spacing w:after="120" w:before="240"/>
      </w:pPr>
      <w:r>
        <w:t xml:space="preserve">3.1 Goals</w:t>
      </w:r>
    </w:p>
    <w:p>
      <w:pPr>
        <w:pStyle w:val="ListParagraph"/>
        <w:numPr>
          <w:ilvl w:val="0"/>
          <w:numId w:val="2"/>
        </w:numPr>
        <w:spacing w:after="60" w:line="270"/>
      </w:pPr>
      <w:r>
        <w:rPr>
          <w:b/>
          <w:bCs/>
        </w:rPr>
        <w:t xml:space="preserve">Correct numbers first. </w:t>
      </w:r>
      <w:r>
        <w:t xml:space="preserve">Figures and ratios must be exact and verifiable; numeric accuracy is the headline metric.</w:t>
      </w:r>
    </w:p>
    <w:p>
      <w:pPr>
        <w:pStyle w:val="ListParagraph"/>
        <w:numPr>
          <w:ilvl w:val="0"/>
          <w:numId w:val="2"/>
        </w:numPr>
        <w:spacing w:after="60" w:line="270"/>
      </w:pPr>
      <w:r>
        <w:rPr>
          <w:b/>
          <w:bCs/>
        </w:rPr>
        <w:t xml:space="preserve">Isolation. </w:t>
      </w:r>
      <w:r>
        <w:t xml:space="preserve">Each cell reads exactly one document; no cross-document contamination is possible by construction.</w:t>
      </w:r>
    </w:p>
    <w:p>
      <w:pPr>
        <w:pStyle w:val="ListParagraph"/>
        <w:numPr>
          <w:ilvl w:val="0"/>
          <w:numId w:val="2"/>
        </w:numPr>
        <w:spacing w:after="60" w:line="270"/>
      </w:pPr>
      <w:r>
        <w:rPr>
          <w:b/>
          <w:bCs/>
        </w:rPr>
        <w:t xml:space="preserve">Auditability. </w:t>
      </w:r>
      <w:r>
        <w:t xml:space="preserve">Every non-empty cell traces to one source span, with a route and a confidence.</w:t>
      </w:r>
    </w:p>
    <w:p>
      <w:pPr>
        <w:pStyle w:val="ListParagraph"/>
        <w:numPr>
          <w:ilvl w:val="0"/>
          <w:numId w:val="2"/>
        </w:numPr>
        <w:spacing w:after="60" w:line="270"/>
      </w:pPr>
      <w:r>
        <w:rPr>
          <w:b/>
          <w:bCs/>
        </w:rPr>
        <w:t xml:space="preserve">Scale through parallelism. </w:t>
      </w:r>
      <w:r>
        <w:t xml:space="preserve">Independent cells fan out across documents and sub-questions concurrently.</w:t>
      </w:r>
    </w:p>
    <w:p>
      <w:pPr>
        <w:pStyle w:val="ListParagraph"/>
        <w:numPr>
          <w:ilvl w:val="0"/>
          <w:numId w:val="2"/>
        </w:numPr>
        <w:spacing w:after="60" w:line="270"/>
      </w:pPr>
      <w:r>
        <w:rPr>
          <w:b/>
          <w:bCs/>
        </w:rPr>
        <w:t xml:space="preserve">Graceful degradation. </w:t>
      </w:r>
      <w:r>
        <w:t xml:space="preserve">The full pipeline runs offline with no key and no GPU; richer backends are optional.</w:t>
      </w:r>
    </w:p>
    <w:p>
      <w:pPr>
        <w:pStyle w:val="ListParagraph"/>
        <w:numPr>
          <w:ilvl w:val="0"/>
          <w:numId w:val="2"/>
        </w:numPr>
        <w:spacing w:after="60" w:line="270"/>
      </w:pPr>
      <w:r>
        <w:rPr>
          <w:b/>
          <w:bCs/>
        </w:rPr>
        <w:t xml:space="preserve">Refusal over fabrication. </w:t>
      </w:r>
      <w:r>
        <w:t xml:space="preserve">A missing figure is returned empty and flagged; a ratio depending on it is refused, not estimated.</w:t>
      </w:r>
    </w:p>
    <w:p>
      <w:pPr>
        <w:pStyle w:val="Heading2"/>
        <w:spacing w:after="120" w:before="240"/>
      </w:pPr>
      <w:r>
        <w:t xml:space="preserve">3.2 Non-Goals</w:t>
      </w:r>
    </w:p>
    <w:p>
      <w:pPr>
        <w:pStyle w:val="ListParagraph"/>
        <w:numPr>
          <w:ilvl w:val="0"/>
          <w:numId w:val="2"/>
        </w:numPr>
        <w:spacing w:after="60" w:line="270"/>
      </w:pPr>
      <w:r>
        <w:t xml:space="preserve">Open-domain question answering or general web research.</w:t>
      </w:r>
    </w:p>
    <w:p>
      <w:pPr>
        <w:pStyle w:val="ListParagraph"/>
        <w:numPr>
          <w:ilvl w:val="0"/>
          <w:numId w:val="2"/>
        </w:numPr>
        <w:spacing w:after="60" w:line="270"/>
      </w:pPr>
      <w:r>
        <w:t xml:space="preserve">Replacing a language model's reasoning for qualitative synthesis — the LLM still writes the narrative.</w:t>
      </w:r>
    </w:p>
    <w:p>
      <w:pPr>
        <w:pStyle w:val="ListParagraph"/>
        <w:numPr>
          <w:ilvl w:val="0"/>
          <w:numId w:val="2"/>
        </w:numPr>
        <w:spacing w:after="60" w:line="270"/>
      </w:pPr>
      <w:r>
        <w:t xml:space="preserve">OCR of scanned/image-only PDFs (text must be machine-extractable).</w:t>
      </w:r>
    </w:p>
    <w:p>
      <w:pPr>
        <w:pStyle w:val="ListParagraph"/>
        <w:numPr>
          <w:ilvl w:val="0"/>
          <w:numId w:val="2"/>
        </w:numPr>
        <w:spacing w:after="60" w:line="270"/>
      </w:pPr>
      <w:r>
        <w:t xml:space="preserve">Real-time market data, pricing feeds, or trading signals.</w:t>
      </w:r>
    </w:p>
    <w:p>
      <w:pPr>
        <w:pStyle w:val="ListParagraph"/>
        <w:numPr>
          <w:ilvl w:val="0"/>
          <w:numId w:val="2"/>
        </w:numPr>
        <w:spacing w:after="60" w:line="270"/>
      </w:pPr>
      <w:r>
        <w:t xml:space="preserve">A production multi-tenant service; this is a single-user reference implementation with production-grade internals.</w:t>
      </w:r>
    </w:p>
    <w:p>
      <w:pPr>
        <w:pStyle w:val="Heading1"/>
        <w:spacing w:after="160" w:before="320"/>
      </w:pPr>
      <w:r>
        <w:t xml:space="preserve">4. Scope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4680"/>
        <w:gridCol w:w="4680"/>
      </w:tblGrid>
      <w:tr>
        <w:trPr>
          <w:tblHeader/>
        </w:trPr>
        <w:tc>
          <w:tcPr>
            <w:tcW w:type="dxa" w:w="4680"/>
            <w:shd w:fill="1F4E79" w:val="clear"/>
            <w:tcMar>
              <w:top w:type="dxa" w:w="60"/>
              <w:left w:type="dxa" w:w="110"/>
              <w:bottom w:type="dxa" w:w="60"/>
              <w:right w:type="dxa" w:w="110"/>
            </w:tcMar>
            <w:vAlign w:val="center"/>
          </w:tcPr>
          <w:p>
            <w:pPr>
              <w:spacing w:after="0" w:line="264"/>
            </w:pPr>
            <w:r>
              <w:rPr>
                <w:b/>
                <w:bCs/>
                <w:color w:val="FFFFFF"/>
              </w:rPr>
              <w:t xml:space="preserve">In scope</w:t>
            </w:r>
          </w:p>
        </w:tc>
        <w:tc>
          <w:tcPr>
            <w:tcW w:type="dxa" w:w="4680"/>
            <w:shd w:fill="1F4E79" w:val="clear"/>
            <w:tcMar>
              <w:top w:type="dxa" w:w="60"/>
              <w:left w:type="dxa" w:w="110"/>
              <w:bottom w:type="dxa" w:w="60"/>
              <w:right w:type="dxa" w:w="110"/>
            </w:tcMar>
            <w:vAlign w:val="center"/>
          </w:tcPr>
          <w:p>
            <w:pPr>
              <w:spacing w:after="0" w:line="264"/>
            </w:pPr>
            <w:r>
              <w:rPr>
                <w:b/>
                <w:bCs/>
                <w:color w:val="FFFFFF"/>
              </w:rPr>
              <w:t xml:space="preserve">Out of scope</w:t>
            </w:r>
          </w:p>
        </w:tc>
      </w:tr>
      <w:tr>
        <w:tc>
          <w:tcPr>
            <w:tcW w:type="dxa" w:w="4680"/>
            <w:tcMar>
              <w:top w:type="dxa" w:w="60"/>
              <w:left w:type="dxa" w:w="110"/>
              <w:bottom w:type="dxa" w:w="60"/>
              <w:right w:type="dxa" w:w="110"/>
            </w:tcMar>
            <w:vAlign w:val="center"/>
          </w:tcPr>
          <w:p>
            <w:pPr>
              <w:spacing w:after="0" w:line="264"/>
            </w:pPr>
            <w:r>
              <w:rPr>
                <w:b w:val="false"/>
                <w:bCs w:val="false"/>
                <w:color w:val="000000"/>
              </w:rPr>
              <w:t xml:space="preserve">Ingesting txt, csv, pdf, docx, xlsx filings</w:t>
            </w:r>
          </w:p>
        </w:tc>
        <w:tc>
          <w:tcPr>
            <w:tcW w:type="dxa" w:w="4680"/>
            <w:tcMar>
              <w:top w:type="dxa" w:w="60"/>
              <w:left w:type="dxa" w:w="110"/>
              <w:bottom w:type="dxa" w:w="60"/>
              <w:right w:type="dxa" w:w="110"/>
            </w:tcMar>
            <w:vAlign w:val="center"/>
          </w:tcPr>
          <w:p>
            <w:pPr>
              <w:spacing w:after="0" w:line="264"/>
            </w:pPr>
            <w:r>
              <w:rPr>
                <w:b w:val="false"/>
                <w:bCs w:val="false"/>
                <w:color w:val="000000"/>
              </w:rPr>
              <w:t xml:space="preserve">Scanned/image PDFs requiring OCR</w:t>
            </w:r>
          </w:p>
        </w:tc>
      </w:tr>
      <w:tr>
        <w:tc>
          <w:tcPr>
            <w:tcW w:type="dxa" w:w="4680"/>
            <w:shd w:fill="F2F2F2" w:val="clear"/>
            <w:tcMar>
              <w:top w:type="dxa" w:w="60"/>
              <w:left w:type="dxa" w:w="110"/>
              <w:bottom w:type="dxa" w:w="60"/>
              <w:right w:type="dxa" w:w="110"/>
            </w:tcMar>
            <w:vAlign w:val="center"/>
          </w:tcPr>
          <w:p>
            <w:pPr>
              <w:spacing w:after="0" w:line="264"/>
            </w:pPr>
            <w:r>
              <w:rPr>
                <w:b w:val="false"/>
                <w:bCs w:val="false"/>
                <w:color w:val="000000"/>
              </w:rPr>
              <w:t xml:space="preserve">Cross-document numeric &amp; ratio analysis</w:t>
            </w:r>
          </w:p>
        </w:tc>
        <w:tc>
          <w:tcPr>
            <w:tcW w:type="dxa" w:w="4680"/>
            <w:shd w:fill="F2F2F2" w:val="clear"/>
            <w:tcMar>
              <w:top w:type="dxa" w:w="60"/>
              <w:left w:type="dxa" w:w="110"/>
              <w:bottom w:type="dxa" w:w="60"/>
              <w:right w:type="dxa" w:w="110"/>
            </w:tcMar>
            <w:vAlign w:val="center"/>
          </w:tcPr>
          <w:p>
            <w:pPr>
              <w:spacing w:after="0" w:line="264"/>
            </w:pPr>
            <w:r>
              <w:rPr>
                <w:b w:val="false"/>
                <w:bCs w:val="false"/>
                <w:color w:val="000000"/>
              </w:rPr>
              <w:t xml:space="preserve">Live market / pricing data</w:t>
            </w:r>
          </w:p>
        </w:tc>
      </w:tr>
      <w:tr>
        <w:tc>
          <w:tcPr>
            <w:tcW w:type="dxa" w:w="4680"/>
            <w:tcMar>
              <w:top w:type="dxa" w:w="60"/>
              <w:left w:type="dxa" w:w="110"/>
              <w:bottom w:type="dxa" w:w="60"/>
              <w:right w:type="dxa" w:w="110"/>
            </w:tcMar>
            <w:vAlign w:val="center"/>
          </w:tcPr>
          <w:p>
            <w:pPr>
              <w:spacing w:after="0" w:line="264"/>
            </w:pPr>
            <w:r>
              <w:rPr>
                <w:b w:val="false"/>
                <w:bCs w:val="false"/>
                <w:color w:val="000000"/>
              </w:rPr>
              <w:t xml:space="preserve">Qualitative extraction (risks, outlook)</w:t>
            </w:r>
          </w:p>
        </w:tc>
        <w:tc>
          <w:tcPr>
            <w:tcW w:type="dxa" w:w="4680"/>
            <w:tcMar>
              <w:top w:type="dxa" w:w="60"/>
              <w:left w:type="dxa" w:w="110"/>
              <w:bottom w:type="dxa" w:w="60"/>
              <w:right w:type="dxa" w:w="110"/>
            </w:tcMar>
            <w:vAlign w:val="center"/>
          </w:tcPr>
          <w:p>
            <w:pPr>
              <w:spacing w:after="0" w:line="264"/>
            </w:pPr>
            <w:r>
              <w:rPr>
                <w:b w:val="false"/>
                <w:bCs w:val="false"/>
                <w:color w:val="000000"/>
              </w:rPr>
              <w:t xml:space="preserve">Investment recommendations / advice</w:t>
            </w:r>
          </w:p>
        </w:tc>
      </w:tr>
      <w:tr>
        <w:tc>
          <w:tcPr>
            <w:tcW w:type="dxa" w:w="4680"/>
            <w:shd w:fill="F2F2F2" w:val="clear"/>
            <w:tcMar>
              <w:top w:type="dxa" w:w="60"/>
              <w:left w:type="dxa" w:w="110"/>
              <w:bottom w:type="dxa" w:w="60"/>
              <w:right w:type="dxa" w:w="110"/>
            </w:tcMar>
            <w:vAlign w:val="center"/>
          </w:tcPr>
          <w:p>
            <w:pPr>
              <w:spacing w:after="0" w:line="264"/>
            </w:pPr>
            <w:r>
              <w:rPr>
                <w:b w:val="false"/>
                <w:bCs w:val="false"/>
                <w:color w:val="000000"/>
              </w:rPr>
              <w:t xml:space="preserve">Deterministic ratio computation &amp; verification</w:t>
            </w:r>
          </w:p>
        </w:tc>
        <w:tc>
          <w:tcPr>
            <w:tcW w:type="dxa" w:w="4680"/>
            <w:shd w:fill="F2F2F2" w:val="clear"/>
            <w:tcMar>
              <w:top w:type="dxa" w:w="60"/>
              <w:left w:type="dxa" w:w="110"/>
              <w:bottom w:type="dxa" w:w="60"/>
              <w:right w:type="dxa" w:w="110"/>
            </w:tcMar>
            <w:vAlign w:val="center"/>
          </w:tcPr>
          <w:p>
            <w:pPr>
              <w:spacing w:after="0" w:line="264"/>
            </w:pPr>
            <w:r>
              <w:rPr>
                <w:b w:val="false"/>
                <w:bCs w:val="false"/>
                <w:color w:val="000000"/>
              </w:rPr>
              <w:t xml:space="preserve">LLM-performed arithmetic</w:t>
            </w:r>
          </w:p>
        </w:tc>
      </w:tr>
      <w:tr>
        <w:tc>
          <w:tcPr>
            <w:tcW w:type="dxa" w:w="4680"/>
            <w:tcMar>
              <w:top w:type="dxa" w:w="60"/>
              <w:left w:type="dxa" w:w="110"/>
              <w:bottom w:type="dxa" w:w="60"/>
              <w:right w:type="dxa" w:w="110"/>
            </w:tcMar>
            <w:vAlign w:val="center"/>
          </w:tcPr>
          <w:p>
            <w:pPr>
              <w:spacing w:after="0" w:line="264"/>
            </w:pPr>
            <w:r>
              <w:rPr>
                <w:b w:val="false"/>
                <w:bCs w:val="false"/>
                <w:color w:val="000000"/>
              </w:rPr>
              <w:t xml:space="preserve">Cited narrative synthesis</w:t>
            </w:r>
          </w:p>
        </w:tc>
        <w:tc>
          <w:tcPr>
            <w:tcW w:type="dxa" w:w="4680"/>
            <w:tcMar>
              <w:top w:type="dxa" w:w="60"/>
              <w:left w:type="dxa" w:w="110"/>
              <w:bottom w:type="dxa" w:w="60"/>
              <w:right w:type="dxa" w:w="110"/>
            </w:tcMar>
            <w:vAlign w:val="center"/>
          </w:tcPr>
          <w:p>
            <w:pPr>
              <w:spacing w:after="0" w:line="264"/>
            </w:pPr>
            <w:r>
              <w:rPr>
                <w:b w:val="false"/>
                <w:bCs w:val="false"/>
                <w:color w:val="000000"/>
              </w:rPr>
              <w:t xml:space="preserve">Multi-user auth, RBAC, billing</w:t>
            </w:r>
          </w:p>
        </w:tc>
      </w:tr>
      <w:tr>
        <w:tc>
          <w:tcPr>
            <w:tcW w:type="dxa" w:w="4680"/>
            <w:shd w:fill="F2F2F2" w:val="clear"/>
            <w:tcMar>
              <w:top w:type="dxa" w:w="60"/>
              <w:left w:type="dxa" w:w="110"/>
              <w:bottom w:type="dxa" w:w="60"/>
              <w:right w:type="dxa" w:w="110"/>
            </w:tcMar>
            <w:vAlign w:val="center"/>
          </w:tcPr>
          <w:p>
            <w:pPr>
              <w:spacing w:after="0" w:line="264"/>
            </w:pPr>
            <w:r>
              <w:rPr>
                <w:b w:val="false"/>
                <w:bCs w:val="false"/>
                <w:color w:val="000000"/>
              </w:rPr>
              <w:t xml:space="preserve">Offline mock + live LLM (Anthropic/OpenAI)</w:t>
            </w:r>
          </w:p>
        </w:tc>
        <w:tc>
          <w:tcPr>
            <w:tcW w:type="dxa" w:w="4680"/>
            <w:shd w:fill="F2F2F2" w:val="clear"/>
            <w:tcMar>
              <w:top w:type="dxa" w:w="60"/>
              <w:left w:type="dxa" w:w="110"/>
              <w:bottom w:type="dxa" w:w="60"/>
              <w:right w:type="dxa" w:w="110"/>
            </w:tcMar>
            <w:vAlign w:val="center"/>
          </w:tcPr>
          <w:p>
            <w:pPr>
              <w:spacing w:after="0" w:line="264"/>
            </w:pPr>
            <w:r>
              <w:rPr>
                <w:b w:val="false"/>
                <w:bCs w:val="false"/>
                <w:color w:val="000000"/>
              </w:rPr>
              <w:t xml:space="preserve">Fine-tuning or training models</w:t>
            </w:r>
          </w:p>
        </w:tc>
      </w:tr>
    </w:tbl>
    <w:p>
      <w:pPr>
        <w:pStyle w:val="Heading1"/>
        <w:spacing w:after="160" w:before="320"/>
      </w:pPr>
      <w:r>
        <w:t xml:space="preserve">5. Stakeholders and Use Cases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700"/>
        <w:gridCol w:w="6660"/>
      </w:tblGrid>
      <w:tr>
        <w:trPr>
          <w:tblHeader/>
        </w:trPr>
        <w:tc>
          <w:tcPr>
            <w:tcW w:type="dxa" w:w="2700"/>
            <w:shd w:fill="1F4E79" w:val="clear"/>
            <w:tcMar>
              <w:top w:type="dxa" w:w="60"/>
              <w:left w:type="dxa" w:w="110"/>
              <w:bottom w:type="dxa" w:w="60"/>
              <w:right w:type="dxa" w:w="110"/>
            </w:tcMar>
            <w:vAlign w:val="center"/>
          </w:tcPr>
          <w:p>
            <w:pPr>
              <w:spacing w:after="0" w:line="264"/>
            </w:pPr>
            <w:r>
              <w:rPr>
                <w:b/>
                <w:bCs/>
                <w:color w:val="FFFFFF"/>
              </w:rPr>
              <w:t xml:space="preserve">Stakeholder</w:t>
            </w:r>
          </w:p>
        </w:tc>
        <w:tc>
          <w:tcPr>
            <w:tcW w:type="dxa" w:w="6660"/>
            <w:shd w:fill="1F4E79" w:val="clear"/>
            <w:tcMar>
              <w:top w:type="dxa" w:w="60"/>
              <w:left w:type="dxa" w:w="110"/>
              <w:bottom w:type="dxa" w:w="60"/>
              <w:right w:type="dxa" w:w="110"/>
            </w:tcMar>
            <w:vAlign w:val="center"/>
          </w:tcPr>
          <w:p>
            <w:pPr>
              <w:spacing w:after="0" w:line="264"/>
            </w:pPr>
            <w:r>
              <w:rPr>
                <w:b/>
                <w:bCs/>
                <w:color w:val="FFFFFF"/>
              </w:rPr>
              <w:t xml:space="preserve">Representative use case</w:t>
            </w:r>
          </w:p>
        </w:tc>
      </w:tr>
      <w:tr>
        <w:tc>
          <w:tcPr>
            <w:tcW w:type="dxa" w:w="2700"/>
            <w:tcMar>
              <w:top w:type="dxa" w:w="60"/>
              <w:left w:type="dxa" w:w="110"/>
              <w:bottom w:type="dxa" w:w="60"/>
              <w:right w:type="dxa" w:w="110"/>
            </w:tcMar>
            <w:vAlign w:val="center"/>
          </w:tcPr>
          <w:p>
            <w:pPr>
              <w:spacing w:after="0" w:line="264"/>
            </w:pPr>
            <w:r>
              <w:rPr>
                <w:b w:val="false"/>
                <w:bCs w:val="false"/>
                <w:color w:val="000000"/>
              </w:rPr>
              <w:t xml:space="preserve">Equity / credit analyst</w:t>
            </w:r>
          </w:p>
        </w:tc>
        <w:tc>
          <w:tcPr>
            <w:tcW w:type="dxa" w:w="6660"/>
            <w:tcMar>
              <w:top w:type="dxa" w:w="60"/>
              <w:left w:type="dxa" w:w="110"/>
              <w:bottom w:type="dxa" w:w="60"/>
              <w:right w:type="dxa" w:w="110"/>
            </w:tcMar>
            <w:vAlign w:val="center"/>
          </w:tcPr>
          <w:p>
            <w:pPr>
              <w:spacing w:after="0" w:line="264"/>
            </w:pPr>
            <w:r>
              <w:rPr>
                <w:b w:val="false"/>
                <w:bCs w:val="false"/>
                <w:color w:val="000000"/>
              </w:rPr>
              <w:t xml:space="preserve">Compare net margin, ROE, and leverage across a peer set of filings.</w:t>
            </w:r>
          </w:p>
        </w:tc>
      </w:tr>
      <w:tr>
        <w:tc>
          <w:tcPr>
            <w:tcW w:type="dxa" w:w="2700"/>
            <w:shd w:fill="F2F2F2" w:val="clear"/>
            <w:tcMar>
              <w:top w:type="dxa" w:w="60"/>
              <w:left w:type="dxa" w:w="110"/>
              <w:bottom w:type="dxa" w:w="60"/>
              <w:right w:type="dxa" w:w="110"/>
            </w:tcMar>
            <w:vAlign w:val="center"/>
          </w:tcPr>
          <w:p>
            <w:pPr>
              <w:spacing w:after="0" w:line="264"/>
            </w:pPr>
            <w:r>
              <w:rPr>
                <w:b w:val="false"/>
                <w:bCs w:val="false"/>
                <w:color w:val="000000"/>
              </w:rPr>
              <w:t xml:space="preserve">Corporate strategy</w:t>
            </w:r>
          </w:p>
        </w:tc>
        <w:tc>
          <w:tcPr>
            <w:tcW w:type="dxa" w:w="6660"/>
            <w:shd w:fill="F2F2F2" w:val="clear"/>
            <w:tcMar>
              <w:top w:type="dxa" w:w="60"/>
              <w:left w:type="dxa" w:w="110"/>
              <w:bottom w:type="dxa" w:w="60"/>
              <w:right w:type="dxa" w:w="110"/>
            </w:tcMar>
            <w:vAlign w:val="center"/>
          </w:tcPr>
          <w:p>
            <w:pPr>
              <w:spacing w:after="0" w:line="264"/>
            </w:pPr>
            <w:r>
              <w:rPr>
                <w:b w:val="false"/>
                <w:bCs w:val="false"/>
                <w:color w:val="000000"/>
              </w:rPr>
              <w:t xml:space="preserve">Summarize and contrast the risk factors and outlook each competitor discloses.</w:t>
            </w:r>
          </w:p>
        </w:tc>
      </w:tr>
      <w:tr>
        <w:tc>
          <w:tcPr>
            <w:tcW w:type="dxa" w:w="2700"/>
            <w:tcMar>
              <w:top w:type="dxa" w:w="60"/>
              <w:left w:type="dxa" w:w="110"/>
              <w:bottom w:type="dxa" w:w="60"/>
              <w:right w:type="dxa" w:w="110"/>
            </w:tcMar>
            <w:vAlign w:val="center"/>
          </w:tcPr>
          <w:p>
            <w:pPr>
              <w:spacing w:after="0" w:line="264"/>
            </w:pPr>
            <w:r>
              <w:rPr>
                <w:b w:val="false"/>
                <w:bCs w:val="false"/>
                <w:color w:val="000000"/>
              </w:rPr>
              <w:t xml:space="preserve">Solution architect / SE</w:t>
            </w:r>
          </w:p>
        </w:tc>
        <w:tc>
          <w:tcPr>
            <w:tcW w:type="dxa" w:w="6660"/>
            <w:tcMar>
              <w:top w:type="dxa" w:w="60"/>
              <w:left w:type="dxa" w:w="110"/>
              <w:bottom w:type="dxa" w:w="60"/>
              <w:right w:type="dxa" w:w="110"/>
            </w:tcMar>
            <w:vAlign w:val="center"/>
          </w:tcPr>
          <w:p>
            <w:pPr>
              <w:spacing w:after="0" w:line="264"/>
            </w:pPr>
            <w:r>
              <w:rPr>
                <w:b w:val="false"/>
                <w:bCs w:val="false"/>
                <w:color w:val="000000"/>
              </w:rPr>
              <w:t xml:space="preserve">Demonstrate a trustworthy, auditable document-analysis pattern.</w:t>
            </w:r>
          </w:p>
        </w:tc>
      </w:tr>
      <w:tr>
        <w:tc>
          <w:tcPr>
            <w:tcW w:type="dxa" w:w="2700"/>
            <w:shd w:fill="F2F2F2" w:val="clear"/>
            <w:tcMar>
              <w:top w:type="dxa" w:w="60"/>
              <w:left w:type="dxa" w:w="110"/>
              <w:bottom w:type="dxa" w:w="60"/>
              <w:right w:type="dxa" w:w="110"/>
            </w:tcMar>
            <w:vAlign w:val="center"/>
          </w:tcPr>
          <w:p>
            <w:pPr>
              <w:spacing w:after="0" w:line="264"/>
            </w:pPr>
            <w:r>
              <w:rPr>
                <w:b w:val="false"/>
                <w:bCs w:val="false"/>
                <w:color w:val="000000"/>
              </w:rPr>
              <w:t xml:space="preserve">Data / ML engineer</w:t>
            </w:r>
          </w:p>
        </w:tc>
        <w:tc>
          <w:tcPr>
            <w:tcW w:type="dxa" w:w="6660"/>
            <w:shd w:fill="F2F2F2" w:val="clear"/>
            <w:tcMar>
              <w:top w:type="dxa" w:w="60"/>
              <w:left w:type="dxa" w:w="110"/>
              <w:bottom w:type="dxa" w:w="60"/>
              <w:right w:type="dxa" w:w="110"/>
            </w:tcMar>
            <w:vAlign w:val="center"/>
          </w:tcPr>
          <w:p>
            <w:pPr>
              <w:spacing w:after="0" w:line="264"/>
            </w:pPr>
            <w:r>
              <w:rPr>
                <w:b w:val="false"/>
                <w:bCs w:val="false"/>
                <w:color w:val="000000"/>
              </w:rPr>
              <w:t xml:space="preserve">Extend retrieval, embeddings, or the formula library.</w:t>
            </w:r>
          </w:p>
        </w:tc>
      </w:tr>
      <w:tr>
        <w:tc>
          <w:tcPr>
            <w:tcW w:type="dxa" w:w="2700"/>
            <w:tcMar>
              <w:top w:type="dxa" w:w="60"/>
              <w:left w:type="dxa" w:w="110"/>
              <w:bottom w:type="dxa" w:w="60"/>
              <w:right w:type="dxa" w:w="110"/>
            </w:tcMar>
            <w:vAlign w:val="center"/>
          </w:tcPr>
          <w:p>
            <w:pPr>
              <w:spacing w:after="0" w:line="264"/>
            </w:pPr>
            <w:r>
              <w:rPr>
                <w:b w:val="false"/>
                <w:bCs w:val="false"/>
                <w:color w:val="000000"/>
              </w:rPr>
              <w:t xml:space="preserve">Technical evaluator</w:t>
            </w:r>
          </w:p>
        </w:tc>
        <w:tc>
          <w:tcPr>
            <w:tcW w:type="dxa" w:w="6660"/>
            <w:tcMar>
              <w:top w:type="dxa" w:w="60"/>
              <w:left w:type="dxa" w:w="110"/>
              <w:bottom w:type="dxa" w:w="60"/>
              <w:right w:type="dxa" w:w="110"/>
            </w:tcMar>
            <w:vAlign w:val="center"/>
          </w:tcPr>
          <w:p>
            <w:pPr>
              <w:spacing w:after="0" w:line="264"/>
            </w:pPr>
            <w:r>
              <w:rPr>
                <w:b w:val="false"/>
                <w:bCs w:val="false"/>
                <w:color w:val="000000"/>
              </w:rPr>
              <w:t xml:space="preserve">Inspect provenance per cell and validate numeric accuracy against ground truth.</w:t>
            </w:r>
          </w:p>
        </w:tc>
      </w:tr>
    </w:tbl>
    <w:p>
      <w:pPr>
        <w:pStyle w:val="Heading1"/>
        <w:spacing w:after="160" w:before="320"/>
      </w:pPr>
      <w:r>
        <w:t xml:space="preserve">6. Solution Overview</w:t>
      </w:r>
    </w:p>
    <w:p>
      <w:pPr>
        <w:spacing w:after="120" w:line="276"/>
      </w:pPr>
      <w:r>
        <w:t xml:space="preserve">FinSight decomposes a question into a </w:t>
      </w:r>
      <w:r>
        <w:rPr>
          <w:b/>
          <w:bCs/>
        </w:rPr>
        <w:t xml:space="preserve">documents × sub-questions</w:t>
      </w:r>
      <w:r>
        <w:t xml:space="preserve"> grid, answers every cell independently and in parallel (each scoped to a single document), verifies across cells, and synthesizes a cited narrative. The control-flow change from a single blended loop to a planner plus isolated per-cell workers is the headline of v2.0; the deterministic numeric core is carried over intact.</w:t>
      </w:r>
    </w:p>
    <w:p>
      <w:pPr>
        <w:spacing w:after="120" w:line="276"/>
      </w:pPr>
      <w:r>
        <w:t xml:space="preserve">The end-to-end flow from a user query to a cited answer:</w:t>
      </w:r>
    </w:p>
    <w:p>
      <w:pPr>
        <w:spacing w:after="80" w:before="80"/>
        <w:jc w:val="center"/>
      </w:pPr>
      <w:r>
        <w:drawing>
          <wp:inline distT="0" distB="0" distL="0" distR="0">
            <wp:extent cx="5334000" cy="5448300"/>
            <wp:effectExtent t="0" r="0" b="0" l="0"/>
            <wp:docPr id="1" name="architecture" descr="Pipeline from user query through ingest, decompose, fan-out, verify, synthesize to a cited answer." title="FinSight query-to-answ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448300"/>
                    </a:xfrm>
                    <a:prstGeom prst="rect">
                      <a:avLst/>
                    </a:prstGeom>
                  </pic:spPr>
                </pic:pic>
              </a:graphicData>
            </a:graphic>
          </wp:inline>
        </w:drawing>
      </w:r>
    </w:p>
    <w:p>
      <w:pPr>
        <w:spacing w:after="120" w:line="276"/>
      </w:pPr>
      <w:r>
        <w:rPr>
          <w:b/>
          <w:bCs/>
          <w:i/>
          <w:iCs/>
        </w:rPr>
        <w:t xml:space="preserve">Figure 1. </w:t>
      </w:r>
      <w:r>
        <w:rPr>
          <w:i/>
          <w:iCs/>
          <w:color w:val="595959"/>
          <w:sz w:val="20"/>
          <w:szCs w:val="20"/>
        </w:rPr>
        <w:t xml:space="preserve">Query-to-answer pipeline. The built-once front half (ingest, chunk, numeric store, dual index) is reused across queries; each query runs decompose → fan-out → verify → synthesize.</w:t>
      </w:r>
    </w:p>
    <w:p>
      <w:pPr>
        <w:pStyle w:val="Heading1"/>
        <w:spacing w:after="160" w:before="320"/>
      </w:pPr>
      <w:r>
        <w:t xml:space="preserve">7. Key Design Principles</w:t>
      </w:r>
    </w:p>
    <w:p>
      <w:pPr>
        <w:pStyle w:val="ListParagraph"/>
        <w:numPr>
          <w:ilvl w:val="0"/>
          <w:numId w:val="3"/>
        </w:numPr>
        <w:spacing w:after="60" w:line="270"/>
      </w:pPr>
      <w:r>
        <w:rPr>
          <w:b/>
          <w:bCs/>
        </w:rPr>
        <w:t xml:space="preserve">Determinism boundary. </w:t>
      </w:r>
      <w:r>
        <w:t xml:space="preserve">Numbers never originate from the LLM. They are parsed deterministically and computed by a fixed engine. This is the system's load-bearing trust property.</w:t>
      </w:r>
    </w:p>
    <w:p>
      <w:pPr>
        <w:pStyle w:val="ListParagraph"/>
        <w:numPr>
          <w:ilvl w:val="0"/>
          <w:numId w:val="3"/>
        </w:numPr>
        <w:spacing w:after="60" w:line="270"/>
      </w:pPr>
      <w:r>
        <w:rPr>
          <w:b/>
          <w:bCs/>
        </w:rPr>
        <w:t xml:space="preserve">One cell, one document, one span. </w:t>
      </w:r>
      <w:r>
        <w:t xml:space="preserve">Isolation and auditability are structural, not best-effort.</w:t>
      </w:r>
    </w:p>
    <w:p>
      <w:pPr>
        <w:pStyle w:val="ListParagraph"/>
        <w:numPr>
          <w:ilvl w:val="0"/>
          <w:numId w:val="3"/>
        </w:numPr>
        <w:spacing w:after="60" w:line="270"/>
      </w:pPr>
      <w:r>
        <w:rPr>
          <w:b/>
          <w:bCs/>
        </w:rPr>
        <w:t xml:space="preserve">Refuse, don't guess. </w:t>
      </w:r>
      <w:r>
        <w:t xml:space="preserve">Missing inputs produce an explicit refusal rather than an invented figure.</w:t>
      </w:r>
    </w:p>
    <w:p>
      <w:pPr>
        <w:pStyle w:val="ListParagraph"/>
        <w:numPr>
          <w:ilvl w:val="0"/>
          <w:numId w:val="3"/>
        </w:numPr>
        <w:spacing w:after="60" w:line="270"/>
      </w:pPr>
      <w:r>
        <w:rPr>
          <w:b/>
          <w:bCs/>
        </w:rPr>
        <w:t xml:space="preserve">Pure-function cells. </w:t>
      </w:r>
      <w:r>
        <w:t xml:space="preserve">A cell is a pure function of (document, sub-question), which is exactly why it caches cleanly and parallelizes safely.</w:t>
      </w:r>
    </w:p>
    <w:p>
      <w:pPr>
        <w:pStyle w:val="ListParagraph"/>
        <w:numPr>
          <w:ilvl w:val="0"/>
          <w:numId w:val="3"/>
        </w:numPr>
        <w:spacing w:after="60" w:line="270"/>
      </w:pPr>
      <w:r>
        <w:rPr>
          <w:b/>
          <w:bCs/>
        </w:rPr>
        <w:t xml:space="preserve">Graceful degradation. </w:t>
      </w:r>
      <w:r>
        <w:t xml:space="preserve">Every heavy dependency has a lightweight fallback so the system always runs.</w:t>
      </w:r>
    </w:p>
    <w:p>
      <w:pPr>
        <w:pStyle w:val="ListParagraph"/>
        <w:numPr>
          <w:ilvl w:val="0"/>
          <w:numId w:val="3"/>
        </w:numPr>
        <w:spacing w:after="60" w:line="270"/>
      </w:pPr>
      <w:r>
        <w:rPr>
          <w:b/>
          <w:bCs/>
        </w:rPr>
        <w:t xml:space="preserve">Provider neutrality. </w:t>
      </w:r>
      <w:r>
        <w:t xml:space="preserve">The LLM is an injectable, swappable component (Anthropic, OpenAI, or deterministic mock).</w:t>
      </w:r>
    </w:p>
    <w:p>
      <w:pPr>
        <w:pStyle w:val="Heading1"/>
        <w:spacing w:after="160" w:before="320"/>
      </w:pPr>
      <w:r>
        <w:t xml:space="preserve">8. Domain Model</w:t>
      </w:r>
    </w:p>
    <w:p>
      <w:pPr>
        <w:spacing w:after="120" w:line="276"/>
      </w:pPr>
      <w:r>
        <w:t xml:space="preserve">The grid data model is the atomic vocabulary of the system. Everything good about the grid — parallelism, isolation, caching, traceability — falls out of these structures (defined in src/finsight/models.py).</w:t>
      </w:r>
    </w:p>
    <w:p>
      <w:pPr>
        <w:pStyle w:val="Heading2"/>
        <w:spacing w:after="120" w:before="240"/>
      </w:pPr>
      <w:r>
        <w:t xml:space="preserve">8.1 The Cell</w:t>
      </w:r>
    </w:p>
    <w:p>
      <w:pPr>
        <w:spacing w:after="120" w:line="276"/>
      </w:pPr>
      <w:r>
        <w:t xml:space="preserve">A Cell is one (document, sub-question) unit of work and of audit.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7060"/>
      </w:tblGrid>
      <w:tr>
        <w:trPr>
          <w:tblHeader/>
        </w:trPr>
        <w:tc>
          <w:tcPr>
            <w:tcW w:type="dxa" w:w="2300"/>
            <w:shd w:fill="1F4E79" w:val="clear"/>
            <w:tcMar>
              <w:top w:type="dxa" w:w="60"/>
              <w:left w:type="dxa" w:w="110"/>
              <w:bottom w:type="dxa" w:w="60"/>
              <w:right w:type="dxa" w:w="110"/>
            </w:tcMar>
            <w:vAlign w:val="center"/>
          </w:tcPr>
          <w:p>
            <w:pPr>
              <w:spacing w:after="0" w:line="264"/>
            </w:pPr>
            <w:r>
              <w:rPr>
                <w:b/>
                <w:bCs/>
                <w:color w:val="FFFFFF"/>
              </w:rPr>
              <w:t xml:space="preserve">Field</w:t>
            </w:r>
          </w:p>
        </w:tc>
        <w:tc>
          <w:tcPr>
            <w:tcW w:type="dxa" w:w="7060"/>
            <w:shd w:fill="1F4E79" w:val="clear"/>
            <w:tcMar>
              <w:top w:type="dxa" w:w="60"/>
              <w:left w:type="dxa" w:w="110"/>
              <w:bottom w:type="dxa" w:w="60"/>
              <w:right w:type="dxa" w:w="110"/>
            </w:tcMar>
            <w:vAlign w:val="center"/>
          </w:tcPr>
          <w:p>
            <w:pPr>
              <w:spacing w:after="0" w:line="264"/>
            </w:pPr>
            <w:r>
              <w:rPr>
                <w:b/>
                <w:bCs/>
                <w:color w:val="FFFFFF"/>
              </w:rPr>
              <w:t xml:space="preserve">Meaning</w:t>
            </w:r>
          </w:p>
        </w:tc>
      </w:tr>
      <w:tr>
        <w:tc>
          <w:tcPr>
            <w:tcW w:type="dxa" w:w="2300"/>
            <w:tcMar>
              <w:top w:type="dxa" w:w="60"/>
              <w:left w:type="dxa" w:w="110"/>
              <w:bottom w:type="dxa" w:w="60"/>
              <w:right w:type="dxa" w:w="110"/>
            </w:tcMar>
            <w:vAlign w:val="center"/>
          </w:tcPr>
          <w:p>
            <w:pPr>
              <w:spacing w:after="0" w:line="264"/>
            </w:pPr>
            <w:r>
              <w:rPr>
                <w:b w:val="false"/>
                <w:bCs w:val="false"/>
                <w:color w:val="000000"/>
              </w:rPr>
              <w:t xml:space="preserve">doc_id</w:t>
            </w:r>
          </w:p>
        </w:tc>
        <w:tc>
          <w:tcPr>
            <w:tcW w:type="dxa" w:w="7060"/>
            <w:tcMar>
              <w:top w:type="dxa" w:w="60"/>
              <w:left w:type="dxa" w:w="110"/>
              <w:bottom w:type="dxa" w:w="60"/>
              <w:right w:type="dxa" w:w="110"/>
            </w:tcMar>
            <w:vAlign w:val="center"/>
          </w:tcPr>
          <w:p>
            <w:pPr>
              <w:spacing w:after="0" w:line="264"/>
            </w:pPr>
            <w:r>
              <w:rPr>
                <w:b w:val="false"/>
                <w:bCs w:val="false"/>
                <w:color w:val="000000"/>
              </w:rPr>
              <w:t xml:space="preserve">The single document this cell reads.</w:t>
            </w:r>
          </w:p>
        </w:tc>
      </w:tr>
      <w:tr>
        <w:tc>
          <w:tcPr>
            <w:tcW w:type="dxa" w:w="2300"/>
            <w:shd w:fill="F2F2F2" w:val="clear"/>
            <w:tcMar>
              <w:top w:type="dxa" w:w="60"/>
              <w:left w:type="dxa" w:w="110"/>
              <w:bottom w:type="dxa" w:w="60"/>
              <w:right w:type="dxa" w:w="110"/>
            </w:tcMar>
            <w:vAlign w:val="center"/>
          </w:tcPr>
          <w:p>
            <w:pPr>
              <w:spacing w:after="0" w:line="264"/>
            </w:pPr>
            <w:r>
              <w:rPr>
                <w:b w:val="false"/>
                <w:bCs w:val="false"/>
                <w:color w:val="000000"/>
              </w:rPr>
              <w:t xml:space="preserve">column_id / question</w:t>
            </w:r>
          </w:p>
        </w:tc>
        <w:tc>
          <w:tcPr>
            <w:tcW w:type="dxa" w:w="7060"/>
            <w:shd w:fill="F2F2F2" w:val="clear"/>
            <w:tcMar>
              <w:top w:type="dxa" w:w="60"/>
              <w:left w:type="dxa" w:w="110"/>
              <w:bottom w:type="dxa" w:w="60"/>
              <w:right w:type="dxa" w:w="110"/>
            </w:tcMar>
            <w:vAlign w:val="center"/>
          </w:tcPr>
          <w:p>
            <w:pPr>
              <w:spacing w:after="0" w:line="264"/>
            </w:pPr>
            <w:r>
              <w:rPr>
                <w:b w:val="false"/>
                <w:bCs w:val="false"/>
                <w:color w:val="000000"/>
              </w:rPr>
              <w:t xml:space="preserve">Which sub-question / field, and its scoped text.</w:t>
            </w:r>
          </w:p>
        </w:tc>
      </w:tr>
      <w:tr>
        <w:tc>
          <w:tcPr>
            <w:tcW w:type="dxa" w:w="2300"/>
            <w:tcMar>
              <w:top w:type="dxa" w:w="60"/>
              <w:left w:type="dxa" w:w="110"/>
              <w:bottom w:type="dxa" w:w="60"/>
              <w:right w:type="dxa" w:w="110"/>
            </w:tcMar>
            <w:vAlign w:val="center"/>
          </w:tcPr>
          <w:p>
            <w:pPr>
              <w:spacing w:after="0" w:line="264"/>
            </w:pPr>
            <w:r>
              <w:rPr>
                <w:b w:val="false"/>
                <w:bCs w:val="false"/>
                <w:color w:val="000000"/>
              </w:rPr>
              <w:t xml:space="preserve">status</w:t>
            </w:r>
          </w:p>
        </w:tc>
        <w:tc>
          <w:tcPr>
            <w:tcW w:type="dxa" w:w="7060"/>
            <w:tcMar>
              <w:top w:type="dxa" w:w="60"/>
              <w:left w:type="dxa" w:w="110"/>
              <w:bottom w:type="dxa" w:w="60"/>
              <w:right w:type="dxa" w:w="110"/>
            </w:tcMar>
            <w:vAlign w:val="center"/>
          </w:tcPr>
          <w:p>
            <w:pPr>
              <w:spacing w:after="0" w:line="264"/>
            </w:pPr>
            <w:r>
              <w:rPr>
                <w:b w:val="false"/>
                <w:bCs w:val="false"/>
                <w:color w:val="000000"/>
              </w:rPr>
              <w:t xml:space="preserve">pending · running · done · failed · empty.</w:t>
            </w:r>
          </w:p>
        </w:tc>
      </w:tr>
      <w:tr>
        <w:tc>
          <w:tcPr>
            <w:tcW w:type="dxa" w:w="2300"/>
            <w:shd w:fill="F2F2F2" w:val="clear"/>
            <w:tcMar>
              <w:top w:type="dxa" w:w="60"/>
              <w:left w:type="dxa" w:w="110"/>
              <w:bottom w:type="dxa" w:w="60"/>
              <w:right w:type="dxa" w:w="110"/>
            </w:tcMar>
            <w:vAlign w:val="center"/>
          </w:tcPr>
          <w:p>
            <w:pPr>
              <w:spacing w:after="0" w:line="264"/>
            </w:pPr>
            <w:r>
              <w:rPr>
                <w:b w:val="false"/>
                <w:bCs w:val="false"/>
                <w:color w:val="000000"/>
              </w:rPr>
              <w:t xml:space="preserve">value / unit / detail</w:t>
            </w:r>
          </w:p>
        </w:tc>
        <w:tc>
          <w:tcPr>
            <w:tcW w:type="dxa" w:w="7060"/>
            <w:shd w:fill="F2F2F2" w:val="clear"/>
            <w:tcMar>
              <w:top w:type="dxa" w:w="60"/>
              <w:left w:type="dxa" w:w="110"/>
              <w:bottom w:type="dxa" w:w="60"/>
              <w:right w:type="dxa" w:w="110"/>
            </w:tcMar>
            <w:vAlign w:val="center"/>
          </w:tcPr>
          <w:p>
            <w:pPr>
              <w:spacing w:after="0" w:line="264"/>
            </w:pPr>
            <w:r>
              <w:rPr>
                <w:b w:val="false"/>
                <w:bCs w:val="false"/>
                <w:color w:val="000000"/>
              </w:rPr>
              <w:t xml:space="preserve">The answer, its unit, and the compute/extract expression.</w:t>
            </w:r>
          </w:p>
        </w:tc>
      </w:tr>
      <w:tr>
        <w:tc>
          <w:tcPr>
            <w:tcW w:type="dxa" w:w="2300"/>
            <w:tcMar>
              <w:top w:type="dxa" w:w="60"/>
              <w:left w:type="dxa" w:w="110"/>
              <w:bottom w:type="dxa" w:w="60"/>
              <w:right w:type="dxa" w:w="110"/>
            </w:tcMar>
            <w:vAlign w:val="center"/>
          </w:tcPr>
          <w:p>
            <w:pPr>
              <w:spacing w:after="0" w:line="264"/>
            </w:pPr>
            <w:r>
              <w:rPr>
                <w:b w:val="false"/>
                <w:bCs w:val="false"/>
                <w:color w:val="000000"/>
              </w:rPr>
              <w:t xml:space="preserve">source</w:t>
            </w:r>
          </w:p>
        </w:tc>
        <w:tc>
          <w:tcPr>
            <w:tcW w:type="dxa" w:w="7060"/>
            <w:tcMar>
              <w:top w:type="dxa" w:w="60"/>
              <w:left w:type="dxa" w:w="110"/>
              <w:bottom w:type="dxa" w:w="60"/>
              <w:right w:type="dxa" w:w="110"/>
            </w:tcMar>
            <w:vAlign w:val="center"/>
          </w:tcPr>
          <w:p>
            <w:pPr>
              <w:spacing w:after="0" w:line="264"/>
            </w:pPr>
            <w:r>
              <w:rPr>
                <w:b w:val="false"/>
                <w:bCs w:val="false"/>
                <w:color w:val="000000"/>
              </w:rPr>
              <w:t xml:space="preserve">Exactly one Source span (file, page, section, char span).</w:t>
            </w:r>
          </w:p>
        </w:tc>
      </w:tr>
      <w:tr>
        <w:tc>
          <w:tcPr>
            <w:tcW w:type="dxa" w:w="2300"/>
            <w:shd w:fill="F2F2F2" w:val="clear"/>
            <w:tcMar>
              <w:top w:type="dxa" w:w="60"/>
              <w:left w:type="dxa" w:w="110"/>
              <w:bottom w:type="dxa" w:w="60"/>
              <w:right w:type="dxa" w:w="110"/>
            </w:tcMar>
            <w:vAlign w:val="center"/>
          </w:tcPr>
          <w:p>
            <w:pPr>
              <w:spacing w:after="0" w:line="264"/>
            </w:pPr>
            <w:r>
              <w:rPr>
                <w:b w:val="false"/>
                <w:bCs w:val="false"/>
                <w:color w:val="000000"/>
              </w:rPr>
              <w:t xml:space="preserve">confidence</w:t>
            </w:r>
          </w:p>
        </w:tc>
        <w:tc>
          <w:tcPr>
            <w:tcW w:type="dxa" w:w="7060"/>
            <w:shd w:fill="F2F2F2" w:val="clear"/>
            <w:tcMar>
              <w:top w:type="dxa" w:w="60"/>
              <w:left w:type="dxa" w:w="110"/>
              <w:bottom w:type="dxa" w:w="60"/>
              <w:right w:type="dxa" w:w="110"/>
            </w:tcMar>
            <w:vAlign w:val="center"/>
          </w:tcPr>
          <w:p>
            <w:pPr>
              <w:spacing w:after="0" w:line="264"/>
            </w:pPr>
            <w:r>
              <w:rPr>
                <w:b w:val="false"/>
                <w:bCs w:val="false"/>
                <w:color w:val="000000"/>
              </w:rPr>
              <w:t xml:space="preserve">0–1 trust score for the cell.</w:t>
            </w:r>
          </w:p>
        </w:tc>
      </w:tr>
      <w:tr>
        <w:tc>
          <w:tcPr>
            <w:tcW w:type="dxa" w:w="2300"/>
            <w:tcMar>
              <w:top w:type="dxa" w:w="60"/>
              <w:left w:type="dxa" w:w="110"/>
              <w:bottom w:type="dxa" w:w="60"/>
              <w:right w:type="dxa" w:w="110"/>
            </w:tcMar>
            <w:vAlign w:val="center"/>
          </w:tcPr>
          <w:p>
            <w:pPr>
              <w:spacing w:after="0" w:line="264"/>
            </w:pPr>
            <w:r>
              <w:rPr>
                <w:b w:val="false"/>
                <w:bCs w:val="false"/>
                <w:color w:val="000000"/>
              </w:rPr>
              <w:t xml:space="preserve">path</w:t>
            </w:r>
          </w:p>
        </w:tc>
        <w:tc>
          <w:tcPr>
            <w:tcW w:type="dxa" w:w="7060"/>
            <w:tcMar>
              <w:top w:type="dxa" w:w="60"/>
              <w:left w:type="dxa" w:w="110"/>
              <w:bottom w:type="dxa" w:w="60"/>
              <w:right w:type="dxa" w:w="110"/>
            </w:tcMar>
            <w:vAlign w:val="center"/>
          </w:tcPr>
          <w:p>
            <w:pPr>
              <w:spacing w:after="0" w:line="264"/>
            </w:pPr>
            <w:r>
              <w:rPr>
                <w:b w:val="false"/>
                <w:bCs w:val="false"/>
                <w:color w:val="000000"/>
              </w:rPr>
              <w:t xml:space="preserve">Which route filled it: numeric_store · retrieval_extract · compute.</w:t>
            </w:r>
          </w:p>
        </w:tc>
      </w:tr>
      <w:tr>
        <w:tc>
          <w:tcPr>
            <w:tcW w:type="dxa" w:w="2300"/>
            <w:shd w:fill="F2F2F2" w:val="clear"/>
            <w:tcMar>
              <w:top w:type="dxa" w:w="60"/>
              <w:left w:type="dxa" w:w="110"/>
              <w:bottom w:type="dxa" w:w="60"/>
              <w:right w:type="dxa" w:w="110"/>
            </w:tcMar>
            <w:vAlign w:val="center"/>
          </w:tcPr>
          <w:p>
            <w:pPr>
              <w:spacing w:after="0" w:line="264"/>
            </w:pPr>
            <w:r>
              <w:rPr>
                <w:b w:val="false"/>
                <w:bCs w:val="false"/>
                <w:color w:val="000000"/>
              </w:rPr>
              <w:t xml:space="preserve">error</w:t>
            </w:r>
          </w:p>
        </w:tc>
        <w:tc>
          <w:tcPr>
            <w:tcW w:type="dxa" w:w="7060"/>
            <w:shd w:fill="F2F2F2" w:val="clear"/>
            <w:tcMar>
              <w:top w:type="dxa" w:w="60"/>
              <w:left w:type="dxa" w:w="110"/>
              <w:bottom w:type="dxa" w:w="60"/>
              <w:right w:type="dxa" w:w="110"/>
            </w:tcMar>
            <w:vAlign w:val="center"/>
          </w:tcPr>
          <w:p>
            <w:pPr>
              <w:spacing w:after="0" w:line="264"/>
            </w:pPr>
            <w:r>
              <w:rPr>
                <w:b w:val="false"/>
                <w:bCs w:val="false"/>
                <w:color w:val="000000"/>
              </w:rPr>
              <w:t xml:space="preserve">Refusal or failure reason, when applicable.</w:t>
            </w:r>
          </w:p>
        </w:tc>
      </w:tr>
    </w:tbl>
    <w:p>
      <w:pPr>
        <w:pStyle w:val="Heading2"/>
        <w:spacing w:after="120" w:before="240"/>
      </w:pPr>
      <w:r>
        <w:t xml:space="preserve">8.2 Plan and Grid</w:t>
      </w:r>
    </w:p>
    <w:p>
      <w:pPr>
        <w:pStyle w:val="ListParagraph"/>
        <w:numPr>
          <w:ilvl w:val="0"/>
          <w:numId w:val="2"/>
        </w:numPr>
        <w:spacing w:after="60" w:line="270"/>
      </w:pPr>
      <w:r>
        <w:rPr>
          <w:b/>
          <w:bCs/>
        </w:rPr>
        <w:t xml:space="preserve">ColumnSpec </w:t>
      </w:r>
      <w:r>
        <w:t xml:space="preserve">— one sub-question: id, name, scoped question, type (numeric · text · ratio), and for ratios a formula plus the depends_on input columns.</w:t>
      </w:r>
    </w:p>
    <w:p>
      <w:pPr>
        <w:pStyle w:val="ListParagraph"/>
        <w:numPr>
          <w:ilvl w:val="0"/>
          <w:numId w:val="2"/>
        </w:numPr>
        <w:spacing w:after="60" w:line="270"/>
      </w:pPr>
      <w:r>
        <w:rPr>
          <w:b/>
          <w:bCs/>
        </w:rPr>
        <w:t xml:space="preserve">GridPlan </w:t>
      </w:r>
      <w:r>
        <w:t xml:space="preserve">— the planner's strict structured output: the question, the columns, and the rows (documents in scope).</w:t>
      </w:r>
    </w:p>
    <w:p>
      <w:pPr>
        <w:pStyle w:val="ListParagraph"/>
        <w:numPr>
          <w:ilvl w:val="0"/>
          <w:numId w:val="2"/>
        </w:numPr>
        <w:spacing w:after="60" w:line="270"/>
      </w:pPr>
      <w:r>
        <w:rPr>
          <w:b/>
          <w:bCs/>
        </w:rPr>
        <w:t xml:space="preserve">Grid </w:t>
      </w:r>
      <w:r>
        <w:t xml:space="preserve">— rows × columns of Cells, plus the narrative and verification notes.</w:t>
      </w:r>
    </w:p>
    <w:p>
      <w:pPr>
        <w:pStyle w:val="ListParagraph"/>
        <w:numPr>
          <w:ilvl w:val="0"/>
          <w:numId w:val="2"/>
        </w:numPr>
        <w:spacing w:after="60" w:line="270"/>
      </w:pPr>
      <w:r>
        <w:rPr>
          <w:b/>
          <w:bCs/>
        </w:rPr>
        <w:t xml:space="preserve">Source </w:t>
      </w:r>
      <w:r>
        <w:t xml:space="preserve">— file, page, section, and character span: the single provenance record per cell.</w:t>
      </w:r>
    </w:p>
    <w:p>
      <w:pPr>
        <w:pStyle w:val="Heading1"/>
        <w:spacing w:after="160" w:before="320"/>
      </w:pPr>
      <w:r>
        <w:t xml:space="preserve">9. System Architecture — Layer by Layer</w:t>
      </w:r>
    </w:p>
    <w:p>
      <w:pPr>
        <w:spacing w:after="120" w:line="276"/>
      </w:pPr>
      <w:r>
        <w:t xml:space="preserve">The pipeline (orchestrated in pipeline.py) is built from ten layers plus two cross-cutting concerns. The front half (layers 1–4) is built once per corpus and reused across queries; layers 5–10 run per query.</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560"/>
        <w:gridCol w:w="3200"/>
        <w:gridCol w:w="5600"/>
      </w:tblGrid>
      <w:tr>
        <w:trPr>
          <w:tblHeader/>
        </w:trPr>
        <w:tc>
          <w:tcPr>
            <w:tcW w:type="dxa" w:w="560"/>
            <w:shd w:fill="1F4E79" w:val="clear"/>
            <w:tcMar>
              <w:top w:type="dxa" w:w="60"/>
              <w:left w:type="dxa" w:w="110"/>
              <w:bottom w:type="dxa" w:w="60"/>
              <w:right w:type="dxa" w:w="110"/>
            </w:tcMar>
            <w:vAlign w:val="center"/>
          </w:tcPr>
          <w:p>
            <w:pPr>
              <w:spacing w:after="0" w:line="264"/>
            </w:pPr>
            <w:r>
              <w:rPr>
                <w:b/>
                <w:bCs/>
                <w:color w:val="FFFFFF"/>
              </w:rPr>
              <w:t xml:space="preserve">#</w:t>
            </w:r>
          </w:p>
        </w:tc>
        <w:tc>
          <w:tcPr>
            <w:tcW w:type="dxa" w:w="3200"/>
            <w:shd w:fill="1F4E79" w:val="clear"/>
            <w:tcMar>
              <w:top w:type="dxa" w:w="60"/>
              <w:left w:type="dxa" w:w="110"/>
              <w:bottom w:type="dxa" w:w="60"/>
              <w:right w:type="dxa" w:w="110"/>
            </w:tcMar>
            <w:vAlign w:val="center"/>
          </w:tcPr>
          <w:p>
            <w:pPr>
              <w:spacing w:after="0" w:line="264"/>
            </w:pPr>
            <w:r>
              <w:rPr>
                <w:b/>
                <w:bCs/>
                <w:color w:val="FFFFFF"/>
              </w:rPr>
              <w:t xml:space="preserve">Layer</w:t>
            </w:r>
          </w:p>
        </w:tc>
        <w:tc>
          <w:tcPr>
            <w:tcW w:type="dxa" w:w="5600"/>
            <w:shd w:fill="1F4E79" w:val="clear"/>
            <w:tcMar>
              <w:top w:type="dxa" w:w="60"/>
              <w:left w:type="dxa" w:w="110"/>
              <w:bottom w:type="dxa" w:w="60"/>
              <w:right w:type="dxa" w:w="110"/>
            </w:tcMar>
            <w:vAlign w:val="center"/>
          </w:tcPr>
          <w:p>
            <w:pPr>
              <w:spacing w:after="0" w:line="264"/>
            </w:pPr>
            <w:r>
              <w:rPr>
                <w:b/>
                <w:bCs/>
                <w:color w:val="FFFFFF"/>
              </w:rPr>
              <w:t xml:space="preserve">Role</w:t>
            </w:r>
          </w:p>
        </w:tc>
      </w:tr>
      <w:tr>
        <w:tc>
          <w:tcPr>
            <w:tcW w:type="dxa" w:w="560"/>
            <w:tcMar>
              <w:top w:type="dxa" w:w="60"/>
              <w:left w:type="dxa" w:w="110"/>
              <w:bottom w:type="dxa" w:w="60"/>
              <w:right w:type="dxa" w:w="110"/>
            </w:tcMar>
            <w:vAlign w:val="center"/>
          </w:tcPr>
          <w:p>
            <w:pPr>
              <w:spacing w:after="0" w:line="264"/>
            </w:pPr>
            <w:r>
              <w:rPr>
                <w:b w:val="false"/>
                <w:bCs w:val="false"/>
                <w:color w:val="000000"/>
              </w:rPr>
              <w:t xml:space="preserve">1</w:t>
            </w:r>
          </w:p>
        </w:tc>
        <w:tc>
          <w:tcPr>
            <w:tcW w:type="dxa" w:w="3200"/>
            <w:tcMar>
              <w:top w:type="dxa" w:w="60"/>
              <w:left w:type="dxa" w:w="110"/>
              <w:bottom w:type="dxa" w:w="60"/>
              <w:right w:type="dxa" w:w="110"/>
            </w:tcMar>
            <w:vAlign w:val="center"/>
          </w:tcPr>
          <w:p>
            <w:pPr>
              <w:spacing w:after="0" w:line="264"/>
            </w:pPr>
            <w:r>
              <w:rPr>
                <w:b w:val="false"/>
                <w:bCs w:val="false"/>
                <w:color w:val="000000"/>
              </w:rPr>
              <w:t xml:space="preserve">Format-aware ingestion</w:t>
            </w:r>
          </w:p>
        </w:tc>
        <w:tc>
          <w:tcPr>
            <w:tcW w:type="dxa" w:w="5600"/>
            <w:tcMar>
              <w:top w:type="dxa" w:w="60"/>
              <w:left w:type="dxa" w:w="110"/>
              <w:bottom w:type="dxa" w:w="60"/>
              <w:right w:type="dxa" w:w="110"/>
            </w:tcMar>
            <w:vAlign w:val="center"/>
          </w:tcPr>
          <w:p>
            <w:pPr>
              <w:spacing w:after="0" w:line="264"/>
            </w:pPr>
            <w:r>
              <w:rPr>
                <w:b w:val="false"/>
                <w:bCs w:val="false"/>
                <w:color w:val="000000"/>
              </w:rPr>
              <w:t xml:space="preserve">Parse txt/csv/pdf/docx/xlsx into a unified block + table schema.</w:t>
            </w:r>
          </w:p>
        </w:tc>
      </w:tr>
      <w:tr>
        <w:tc>
          <w:tcPr>
            <w:tcW w:type="dxa" w:w="560"/>
            <w:shd w:fill="F2F2F2" w:val="clear"/>
            <w:tcMar>
              <w:top w:type="dxa" w:w="60"/>
              <w:left w:type="dxa" w:w="110"/>
              <w:bottom w:type="dxa" w:w="60"/>
              <w:right w:type="dxa" w:w="110"/>
            </w:tcMar>
            <w:vAlign w:val="center"/>
          </w:tcPr>
          <w:p>
            <w:pPr>
              <w:spacing w:after="0" w:line="264"/>
            </w:pPr>
            <w:r>
              <w:rPr>
                <w:b w:val="false"/>
                <w:bCs w:val="false"/>
                <w:color w:val="000000"/>
              </w:rPr>
              <w:t xml:space="preserve">2</w:t>
            </w:r>
          </w:p>
        </w:tc>
        <w:tc>
          <w:tcPr>
            <w:tcW w:type="dxa" w:w="3200"/>
            <w:shd w:fill="F2F2F2" w:val="clear"/>
            <w:tcMar>
              <w:top w:type="dxa" w:w="60"/>
              <w:left w:type="dxa" w:w="110"/>
              <w:bottom w:type="dxa" w:w="60"/>
              <w:right w:type="dxa" w:w="110"/>
            </w:tcMar>
            <w:vAlign w:val="center"/>
          </w:tcPr>
          <w:p>
            <w:pPr>
              <w:spacing w:after="0" w:line="264"/>
            </w:pPr>
            <w:r>
              <w:rPr>
                <w:b w:val="false"/>
                <w:bCs w:val="false"/>
                <w:color w:val="000000"/>
              </w:rPr>
              <w:t xml:space="preserve">Chunking</w:t>
            </w:r>
          </w:p>
        </w:tc>
        <w:tc>
          <w:tcPr>
            <w:tcW w:type="dxa" w:w="5600"/>
            <w:shd w:fill="F2F2F2" w:val="clear"/>
            <w:tcMar>
              <w:top w:type="dxa" w:w="60"/>
              <w:left w:type="dxa" w:w="110"/>
              <w:bottom w:type="dxa" w:w="60"/>
              <w:right w:type="dxa" w:w="110"/>
            </w:tcMar>
            <w:vAlign w:val="center"/>
          </w:tcPr>
          <w:p>
            <w:pPr>
              <w:spacing w:after="0" w:line="264"/>
            </w:pPr>
            <w:r>
              <w:rPr>
                <w:b w:val="false"/>
                <w:bCs w:val="false"/>
                <w:color w:val="000000"/>
              </w:rPr>
              <w:t xml:space="preserve">Tables kept whole; prose sliding-window; metadata (incl. doc_id) on every chunk.</w:t>
            </w:r>
          </w:p>
        </w:tc>
      </w:tr>
      <w:tr>
        <w:tc>
          <w:tcPr>
            <w:tcW w:type="dxa" w:w="560"/>
            <w:tcMar>
              <w:top w:type="dxa" w:w="60"/>
              <w:left w:type="dxa" w:w="110"/>
              <w:bottom w:type="dxa" w:w="60"/>
              <w:right w:type="dxa" w:w="110"/>
            </w:tcMar>
            <w:vAlign w:val="center"/>
          </w:tcPr>
          <w:p>
            <w:pPr>
              <w:spacing w:after="0" w:line="264"/>
            </w:pPr>
            <w:r>
              <w:rPr>
                <w:b w:val="false"/>
                <w:bCs w:val="false"/>
                <w:color w:val="000000"/>
              </w:rPr>
              <w:t xml:space="preserve">3</w:t>
            </w:r>
          </w:p>
        </w:tc>
        <w:tc>
          <w:tcPr>
            <w:tcW w:type="dxa" w:w="3200"/>
            <w:tcMar>
              <w:top w:type="dxa" w:w="60"/>
              <w:left w:type="dxa" w:w="110"/>
              <w:bottom w:type="dxa" w:w="60"/>
              <w:right w:type="dxa" w:w="110"/>
            </w:tcMar>
            <w:vAlign w:val="center"/>
          </w:tcPr>
          <w:p>
            <w:pPr>
              <w:spacing w:after="0" w:line="264"/>
            </w:pPr>
            <w:r>
              <w:rPr>
                <w:b w:val="false"/>
                <w:bCs w:val="false"/>
                <w:color w:val="000000"/>
              </w:rPr>
              <w:t xml:space="preserve">Numeric store</w:t>
            </w:r>
          </w:p>
        </w:tc>
        <w:tc>
          <w:tcPr>
            <w:tcW w:type="dxa" w:w="5600"/>
            <w:tcMar>
              <w:top w:type="dxa" w:w="60"/>
              <w:left w:type="dxa" w:w="110"/>
              <w:bottom w:type="dxa" w:w="60"/>
              <w:right w:type="dxa" w:w="110"/>
            </w:tcMar>
            <w:vAlign w:val="center"/>
          </w:tcPr>
          <w:p>
            <w:pPr>
              <w:spacing w:after="0" w:line="264"/>
            </w:pPr>
            <w:r>
              <w:rPr>
                <w:b w:val="false"/>
                <w:bCs w:val="false"/>
                <w:color w:val="000000"/>
              </w:rPr>
              <w:t xml:space="preserve">Regex extraction of figures keyed by (doc, metric) — the cell fast path.</w:t>
            </w:r>
          </w:p>
        </w:tc>
      </w:tr>
      <w:tr>
        <w:tc>
          <w:tcPr>
            <w:tcW w:type="dxa" w:w="560"/>
            <w:shd w:fill="F2F2F2" w:val="clear"/>
            <w:tcMar>
              <w:top w:type="dxa" w:w="60"/>
              <w:left w:type="dxa" w:w="110"/>
              <w:bottom w:type="dxa" w:w="60"/>
              <w:right w:type="dxa" w:w="110"/>
            </w:tcMar>
            <w:vAlign w:val="center"/>
          </w:tcPr>
          <w:p>
            <w:pPr>
              <w:spacing w:after="0" w:line="264"/>
            </w:pPr>
            <w:r>
              <w:rPr>
                <w:b w:val="false"/>
                <w:bCs w:val="false"/>
                <w:color w:val="000000"/>
              </w:rPr>
              <w:t xml:space="preserve">4</w:t>
            </w:r>
          </w:p>
        </w:tc>
        <w:tc>
          <w:tcPr>
            <w:tcW w:type="dxa" w:w="3200"/>
            <w:shd w:fill="F2F2F2" w:val="clear"/>
            <w:tcMar>
              <w:top w:type="dxa" w:w="60"/>
              <w:left w:type="dxa" w:w="110"/>
              <w:bottom w:type="dxa" w:w="60"/>
              <w:right w:type="dxa" w:w="110"/>
            </w:tcMar>
            <w:vAlign w:val="center"/>
          </w:tcPr>
          <w:p>
            <w:pPr>
              <w:spacing w:after="0" w:line="264"/>
            </w:pPr>
            <w:r>
              <w:rPr>
                <w:b w:val="false"/>
                <w:bCs w:val="false"/>
                <w:color w:val="000000"/>
              </w:rPr>
              <w:t xml:space="preserve">Dual indexing</w:t>
            </w:r>
          </w:p>
        </w:tc>
        <w:tc>
          <w:tcPr>
            <w:tcW w:type="dxa" w:w="5600"/>
            <w:shd w:fill="F2F2F2" w:val="clear"/>
            <w:tcMar>
              <w:top w:type="dxa" w:w="60"/>
              <w:left w:type="dxa" w:w="110"/>
              <w:bottom w:type="dxa" w:w="60"/>
              <w:right w:type="dxa" w:w="110"/>
            </w:tcMar>
            <w:vAlign w:val="center"/>
          </w:tcPr>
          <w:p>
            <w:pPr>
              <w:spacing w:after="0" w:line="264"/>
            </w:pPr>
            <w:r>
              <w:rPr>
                <w:b w:val="false"/>
                <w:bCs w:val="false"/>
                <w:color w:val="000000"/>
              </w:rPr>
              <w:t xml:space="preserve">BM25 + embeddings with a hard per-document filter.</w:t>
            </w:r>
          </w:p>
        </w:tc>
      </w:tr>
      <w:tr>
        <w:tc>
          <w:tcPr>
            <w:tcW w:type="dxa" w:w="560"/>
            <w:tcMar>
              <w:top w:type="dxa" w:w="60"/>
              <w:left w:type="dxa" w:w="110"/>
              <w:bottom w:type="dxa" w:w="60"/>
              <w:right w:type="dxa" w:w="110"/>
            </w:tcMar>
            <w:vAlign w:val="center"/>
          </w:tcPr>
          <w:p>
            <w:pPr>
              <w:spacing w:after="0" w:line="264"/>
            </w:pPr>
            <w:r>
              <w:rPr>
                <w:b w:val="false"/>
                <w:bCs w:val="false"/>
                <w:color w:val="000000"/>
              </w:rPr>
              <w:t xml:space="preserve">5</w:t>
            </w:r>
          </w:p>
        </w:tc>
        <w:tc>
          <w:tcPr>
            <w:tcW w:type="dxa" w:w="3200"/>
            <w:tcMar>
              <w:top w:type="dxa" w:w="60"/>
              <w:left w:type="dxa" w:w="110"/>
              <w:bottom w:type="dxa" w:w="60"/>
              <w:right w:type="dxa" w:w="110"/>
            </w:tcMar>
            <w:vAlign w:val="center"/>
          </w:tcPr>
          <w:p>
            <w:pPr>
              <w:spacing w:after="0" w:line="264"/>
            </w:pPr>
            <w:r>
              <w:rPr>
                <w:b w:val="false"/>
                <w:bCs w:val="false"/>
                <w:color w:val="000000"/>
              </w:rPr>
              <w:t xml:space="preserve">Decompose</w:t>
            </w:r>
          </w:p>
        </w:tc>
        <w:tc>
          <w:tcPr>
            <w:tcW w:type="dxa" w:w="5600"/>
            <w:tcMar>
              <w:top w:type="dxa" w:w="60"/>
              <w:left w:type="dxa" w:w="110"/>
              <w:bottom w:type="dxa" w:w="60"/>
              <w:right w:type="dxa" w:w="110"/>
            </w:tcMar>
            <w:vAlign w:val="center"/>
          </w:tcPr>
          <w:p>
            <w:pPr>
              <w:spacing w:after="0" w:line="264"/>
            </w:pPr>
            <w:r>
              <w:rPr>
                <w:b w:val="false"/>
                <w:bCs w:val="false"/>
                <w:color w:val="000000"/>
              </w:rPr>
              <w:t xml:space="preserve">Plan the grid: rows = documents, columns = sub-questions.</w:t>
            </w:r>
          </w:p>
        </w:tc>
      </w:tr>
      <w:tr>
        <w:tc>
          <w:tcPr>
            <w:tcW w:type="dxa" w:w="560"/>
            <w:shd w:fill="F2F2F2" w:val="clear"/>
            <w:tcMar>
              <w:top w:type="dxa" w:w="60"/>
              <w:left w:type="dxa" w:w="110"/>
              <w:bottom w:type="dxa" w:w="60"/>
              <w:right w:type="dxa" w:w="110"/>
            </w:tcMar>
            <w:vAlign w:val="center"/>
          </w:tcPr>
          <w:p>
            <w:pPr>
              <w:spacing w:after="0" w:line="264"/>
            </w:pPr>
            <w:r>
              <w:rPr>
                <w:b w:val="false"/>
                <w:bCs w:val="false"/>
                <w:color w:val="000000"/>
              </w:rPr>
              <w:t xml:space="preserve">6</w:t>
            </w:r>
          </w:p>
        </w:tc>
        <w:tc>
          <w:tcPr>
            <w:tcW w:type="dxa" w:w="3200"/>
            <w:shd w:fill="F2F2F2" w:val="clear"/>
            <w:tcMar>
              <w:top w:type="dxa" w:w="60"/>
              <w:left w:type="dxa" w:w="110"/>
              <w:bottom w:type="dxa" w:w="60"/>
              <w:right w:type="dxa" w:w="110"/>
            </w:tcMar>
            <w:vAlign w:val="center"/>
          </w:tcPr>
          <w:p>
            <w:pPr>
              <w:spacing w:after="0" w:line="264"/>
            </w:pPr>
            <w:r>
              <w:rPr>
                <w:b w:val="false"/>
                <w:bCs w:val="false"/>
                <w:color w:val="000000"/>
              </w:rPr>
              <w:t xml:space="preserve">Cell engine (fan-out)</w:t>
            </w:r>
          </w:p>
        </w:tc>
        <w:tc>
          <w:tcPr>
            <w:tcW w:type="dxa" w:w="5600"/>
            <w:shd w:fill="F2F2F2" w:val="clear"/>
            <w:tcMar>
              <w:top w:type="dxa" w:w="60"/>
              <w:left w:type="dxa" w:w="110"/>
              <w:bottom w:type="dxa" w:w="60"/>
              <w:right w:type="dxa" w:w="110"/>
            </w:tcMar>
            <w:vAlign w:val="center"/>
          </w:tcPr>
          <w:p>
            <w:pPr>
              <w:spacing w:after="0" w:line="264"/>
            </w:pPr>
            <w:r>
              <w:rPr>
                <w:b w:val="false"/>
                <w:bCs w:val="false"/>
                <w:color w:val="000000"/>
              </w:rPr>
              <w:t xml:space="preserve">Execute every cell in parallel via one of three routes.</w:t>
            </w:r>
          </w:p>
        </w:tc>
      </w:tr>
      <w:tr>
        <w:tc>
          <w:tcPr>
            <w:tcW w:type="dxa" w:w="560"/>
            <w:tcMar>
              <w:top w:type="dxa" w:w="60"/>
              <w:left w:type="dxa" w:w="110"/>
              <w:bottom w:type="dxa" w:w="60"/>
              <w:right w:type="dxa" w:w="110"/>
            </w:tcMar>
            <w:vAlign w:val="center"/>
          </w:tcPr>
          <w:p>
            <w:pPr>
              <w:spacing w:after="0" w:line="264"/>
            </w:pPr>
            <w:r>
              <w:rPr>
                <w:b w:val="false"/>
                <w:bCs w:val="false"/>
                <w:color w:val="000000"/>
              </w:rPr>
              <w:t xml:space="preserve">7</w:t>
            </w:r>
          </w:p>
        </w:tc>
        <w:tc>
          <w:tcPr>
            <w:tcW w:type="dxa" w:w="3200"/>
            <w:tcMar>
              <w:top w:type="dxa" w:w="60"/>
              <w:left w:type="dxa" w:w="110"/>
              <w:bottom w:type="dxa" w:w="60"/>
              <w:right w:type="dxa" w:w="110"/>
            </w:tcMar>
            <w:vAlign w:val="center"/>
          </w:tcPr>
          <w:p>
            <w:pPr>
              <w:spacing w:after="0" w:line="264"/>
            </w:pPr>
            <w:r>
              <w:rPr>
                <w:b w:val="false"/>
                <w:bCs w:val="false"/>
                <w:color w:val="000000"/>
              </w:rPr>
              <w:t xml:space="preserve">Scoped retrieval</w:t>
            </w:r>
          </w:p>
        </w:tc>
        <w:tc>
          <w:tcPr>
            <w:tcW w:type="dxa" w:w="5600"/>
            <w:tcMar>
              <w:top w:type="dxa" w:w="60"/>
              <w:left w:type="dxa" w:w="110"/>
              <w:bottom w:type="dxa" w:w="60"/>
              <w:right w:type="dxa" w:w="110"/>
            </w:tcMar>
            <w:vAlign w:val="center"/>
          </w:tcPr>
          <w:p>
            <w:pPr>
              <w:spacing w:after="0" w:line="264"/>
            </w:pPr>
            <w:r>
              <w:rPr>
                <w:b w:val="false"/>
                <w:bCs w:val="false"/>
                <w:color w:val="000000"/>
              </w:rPr>
              <w:t xml:space="preserve">RRF fusion + optional rerank, hard-filtered to one document.</w:t>
            </w:r>
          </w:p>
        </w:tc>
      </w:tr>
      <w:tr>
        <w:tc>
          <w:tcPr>
            <w:tcW w:type="dxa" w:w="560"/>
            <w:shd w:fill="F2F2F2" w:val="clear"/>
            <w:tcMar>
              <w:top w:type="dxa" w:w="60"/>
              <w:left w:type="dxa" w:w="110"/>
              <w:bottom w:type="dxa" w:w="60"/>
              <w:right w:type="dxa" w:w="110"/>
            </w:tcMar>
            <w:vAlign w:val="center"/>
          </w:tcPr>
          <w:p>
            <w:pPr>
              <w:spacing w:after="0" w:line="264"/>
            </w:pPr>
            <w:r>
              <w:rPr>
                <w:b w:val="false"/>
                <w:bCs w:val="false"/>
                <w:color w:val="000000"/>
              </w:rPr>
              <w:t xml:space="preserve">8</w:t>
            </w:r>
          </w:p>
        </w:tc>
        <w:tc>
          <w:tcPr>
            <w:tcW w:type="dxa" w:w="3200"/>
            <w:shd w:fill="F2F2F2" w:val="clear"/>
            <w:tcMar>
              <w:top w:type="dxa" w:w="60"/>
              <w:left w:type="dxa" w:w="110"/>
              <w:bottom w:type="dxa" w:w="60"/>
              <w:right w:type="dxa" w:w="110"/>
            </w:tcMar>
            <w:vAlign w:val="center"/>
          </w:tcPr>
          <w:p>
            <w:pPr>
              <w:spacing w:after="0" w:line="264"/>
            </w:pPr>
            <w:r>
              <w:rPr>
                <w:b w:val="false"/>
                <w:bCs w:val="false"/>
                <w:color w:val="000000"/>
              </w:rPr>
              <w:t xml:space="preserve">Calc engine</w:t>
            </w:r>
          </w:p>
        </w:tc>
        <w:tc>
          <w:tcPr>
            <w:tcW w:type="dxa" w:w="5600"/>
            <w:shd w:fill="F2F2F2" w:val="clear"/>
            <w:tcMar>
              <w:top w:type="dxa" w:w="60"/>
              <w:left w:type="dxa" w:w="110"/>
              <w:bottom w:type="dxa" w:w="60"/>
              <w:right w:type="dxa" w:w="110"/>
            </w:tcMar>
            <w:vAlign w:val="center"/>
          </w:tcPr>
          <w:p>
            <w:pPr>
              <w:spacing w:after="0" w:line="264"/>
            </w:pPr>
            <w:r>
              <w:rPr>
                <w:b w:val="false"/>
                <w:bCs w:val="false"/>
                <w:color w:val="000000"/>
              </w:rPr>
              <w:t xml:space="preserve">Deterministic formula library; the trust boundary.</w:t>
            </w:r>
          </w:p>
        </w:tc>
      </w:tr>
      <w:tr>
        <w:tc>
          <w:tcPr>
            <w:tcW w:type="dxa" w:w="560"/>
            <w:tcMar>
              <w:top w:type="dxa" w:w="60"/>
              <w:left w:type="dxa" w:w="110"/>
              <w:bottom w:type="dxa" w:w="60"/>
              <w:right w:type="dxa" w:w="110"/>
            </w:tcMar>
            <w:vAlign w:val="center"/>
          </w:tcPr>
          <w:p>
            <w:pPr>
              <w:spacing w:after="0" w:line="264"/>
            </w:pPr>
            <w:r>
              <w:rPr>
                <w:b w:val="false"/>
                <w:bCs w:val="false"/>
                <w:color w:val="000000"/>
              </w:rPr>
              <w:t xml:space="preserve">9</w:t>
            </w:r>
          </w:p>
        </w:tc>
        <w:tc>
          <w:tcPr>
            <w:tcW w:type="dxa" w:w="3200"/>
            <w:tcMar>
              <w:top w:type="dxa" w:w="60"/>
              <w:left w:type="dxa" w:w="110"/>
              <w:bottom w:type="dxa" w:w="60"/>
              <w:right w:type="dxa" w:w="110"/>
            </w:tcMar>
            <w:vAlign w:val="center"/>
          </w:tcPr>
          <w:p>
            <w:pPr>
              <w:spacing w:after="0" w:line="264"/>
            </w:pPr>
            <w:r>
              <w:rPr>
                <w:b w:val="false"/>
                <w:bCs w:val="false"/>
                <w:color w:val="000000"/>
              </w:rPr>
              <w:t xml:space="preserve">Verify &amp; synthesize</w:t>
            </w:r>
          </w:p>
        </w:tc>
        <w:tc>
          <w:tcPr>
            <w:tcW w:type="dxa" w:w="5600"/>
            <w:tcMar>
              <w:top w:type="dxa" w:w="60"/>
              <w:left w:type="dxa" w:w="110"/>
              <w:bottom w:type="dxa" w:w="60"/>
              <w:right w:type="dxa" w:w="110"/>
            </w:tcMar>
            <w:vAlign w:val="center"/>
          </w:tcPr>
          <w:p>
            <w:pPr>
              <w:spacing w:after="0" w:line="264"/>
            </w:pPr>
            <w:r>
              <w:rPr>
                <w:b w:val="false"/>
                <w:bCs w:val="false"/>
                <w:color w:val="000000"/>
              </w:rPr>
              <w:t xml:space="preserve">Cross-cell checks, then a cited narrative.</w:t>
            </w:r>
          </w:p>
        </w:tc>
      </w:tr>
      <w:tr>
        <w:tc>
          <w:tcPr>
            <w:tcW w:type="dxa" w:w="560"/>
            <w:shd w:fill="F2F2F2" w:val="clear"/>
            <w:tcMar>
              <w:top w:type="dxa" w:w="60"/>
              <w:left w:type="dxa" w:w="110"/>
              <w:bottom w:type="dxa" w:w="60"/>
              <w:right w:type="dxa" w:w="110"/>
            </w:tcMar>
            <w:vAlign w:val="center"/>
          </w:tcPr>
          <w:p>
            <w:pPr>
              <w:spacing w:after="0" w:line="264"/>
            </w:pPr>
            <w:r>
              <w:rPr>
                <w:b w:val="false"/>
                <w:bCs w:val="false"/>
                <w:color w:val="000000"/>
              </w:rPr>
              <w:t xml:space="preserve">10</w:t>
            </w:r>
          </w:p>
        </w:tc>
        <w:tc>
          <w:tcPr>
            <w:tcW w:type="dxa" w:w="3200"/>
            <w:shd w:fill="F2F2F2" w:val="clear"/>
            <w:tcMar>
              <w:top w:type="dxa" w:w="60"/>
              <w:left w:type="dxa" w:w="110"/>
              <w:bottom w:type="dxa" w:w="60"/>
              <w:right w:type="dxa" w:w="110"/>
            </w:tcMar>
            <w:vAlign w:val="center"/>
          </w:tcPr>
          <w:p>
            <w:pPr>
              <w:spacing w:after="0" w:line="264"/>
            </w:pPr>
            <w:r>
              <w:rPr>
                <w:b w:val="false"/>
                <w:bCs w:val="false"/>
                <w:color w:val="000000"/>
              </w:rPr>
              <w:t xml:space="preserve">Frontend</w:t>
            </w:r>
          </w:p>
        </w:tc>
        <w:tc>
          <w:tcPr>
            <w:tcW w:type="dxa" w:w="5600"/>
            <w:shd w:fill="F2F2F2" w:val="clear"/>
            <w:tcMar>
              <w:top w:type="dxa" w:w="60"/>
              <w:left w:type="dxa" w:w="110"/>
              <w:bottom w:type="dxa" w:w="60"/>
              <w:right w:type="dxa" w:w="110"/>
            </w:tcMar>
            <w:vAlign w:val="center"/>
          </w:tcPr>
          <w:p>
            <w:pPr>
              <w:spacing w:after="0" w:line="264"/>
            </w:pPr>
            <w:r>
              <w:rPr>
                <w:b w:val="false"/>
                <w:bCs w:val="false"/>
                <w:color w:val="000000"/>
              </w:rPr>
              <w:t xml:space="preserve">CLI and Streamlit grid UI with per-cell provenance.</w:t>
            </w:r>
          </w:p>
        </w:tc>
      </w:tr>
    </w:tbl>
    <w:p>
      <w:pPr>
        <w:spacing w:after="60"/>
      </w:pPr>
      <w:r>
        <w:t xml:space="preserve"/>
      </w:r>
    </w:p>
    <w:p>
      <w:pPr>
        <w:pStyle w:val="Heading2"/>
        <w:spacing w:after="120" w:before="240"/>
      </w:pPr>
      <w:r>
        <w:t xml:space="preserve">9.1 Layer 1 — Format-Aware Ingestion</w:t>
      </w:r>
    </w:p>
    <w:p>
      <w:pPr>
        <w:spacing w:after="120" w:line="276"/>
      </w:pPr>
      <w:r>
        <w:t xml:space="preserve">Files are routed by type and parsed into a unified schema of Blocks (a span of prose or a whole table) carrying page, section, and character-span metadata. Text/CSV parse with zero native dependencies; PDF (pdfplumber/PyMuPDF), DOCX (python-docx), and XLSX (openpyxl) are wired behind the optional [ingest] extra. A stable doc_id is derived from a hash of the filename so evaluation ground truth can reference documents reproducibly across machines.</w:t>
      </w:r>
    </w:p>
    <w:p>
      <w:pPr>
        <w:pStyle w:val="Heading2"/>
        <w:spacing w:after="120" w:before="240"/>
      </w:pPr>
      <w:r>
        <w:t xml:space="preserve">9.2 Layer 2 — Chunking</w:t>
      </w:r>
    </w:p>
    <w:p>
      <w:pPr>
        <w:spacing w:after="120" w:line="276"/>
      </w:pPr>
      <w:r>
        <w:t xml:space="preserve">Tables are never split — they are kept whole so a figure is never severed from its row label. Prose is chunked with a sliding window that prefers sentence/whitespace boundaries. Every chunk carries its doc_id, which the per-document retrieval filter depends on.</w:t>
      </w:r>
    </w:p>
    <w:p>
      <w:pPr>
        <w:pStyle w:val="Heading2"/>
        <w:spacing w:after="120" w:before="240"/>
      </w:pPr>
      <w:r>
        <w:t xml:space="preserve">9.3 Layer 3 — Structured Extraction → Numeric Store</w:t>
      </w:r>
    </w:p>
    <w:p>
      <w:pPr>
        <w:spacing w:after="120" w:line="276"/>
      </w:pPr>
      <w:r>
        <w:t xml:space="preserve">A regex pre-filter scans tables and prose for known metric phrases (a controlled vocabulary mapping surface phrases like "total revenue" to canonical keys like revenue), parses the adjacent figure (applying magnitude suffixes such as "million"/"billion" and treating parenthesized values as negatives), and records a validated NumericFact keyed by (doc_id, metric) with a confidence score. Table-sourced facts outrank prose-sourced facts. This store doubles as the cell fast path: a numeric cell answerable from it skips the LLM entirely.</w:t>
      </w:r>
    </w:p>
    <w:p>
      <w:pPr>
        <w:pStyle w:val="Heading2"/>
        <w:spacing w:after="120" w:before="240"/>
      </w:pPr>
      <w:r>
        <w:t xml:space="preserve">9.4 Layer 4 — Dual Indexing + Per-Document Filter</w:t>
      </w:r>
    </w:p>
    <w:p>
      <w:pPr>
        <w:spacing w:after="120" w:line="276"/>
      </w:pPr>
      <w:r>
        <w:t xml:space="preserve">A dense index (BGE embeddings via sentence-transformers, or a deterministic hashed bag-of-words fallback in pure NumPy) and a sparse BM25 index are built over all chunks. The single most important property is a hard per-document filter applied before scoring: there is no API to search across documents, which is what structurally guarantees cell isolation.</w:t>
      </w:r>
    </w:p>
    <w:p>
      <w:pPr>
        <w:pStyle w:val="Heading2"/>
        <w:spacing w:after="120" w:before="240"/>
      </w:pPr>
      <w:r>
        <w:t xml:space="preserve">9.5 Layer 5 — Query Decomposition &amp; Grid Construction</w:t>
      </w:r>
    </w:p>
    <w:p>
      <w:pPr>
        <w:spacing w:after="120" w:line="276"/>
      </w:pPr>
      <w:r>
        <w:t xml:space="preserve">The planner reads the question and the document set and emits a GridPlan as strict structured output. With a live LLM it decomposes flexibly; offline, a deterministic heuristic maps financial phrasing to numeric, ratio, and text columns and — critically — auto-adds the input columns a ratio depends on (you cannot compute net margin without net-income and revenue columns present). A repair pass guarantees every ratio's dependency columns exist even if the LLM omits them. This is the highest-leverage step; the quality of the whole system rides on it.</w:t>
      </w:r>
    </w:p>
    <w:p>
      <w:pPr>
        <w:pStyle w:val="Heading2"/>
        <w:spacing w:after="120" w:before="240"/>
      </w:pPr>
      <w:r>
        <w:t xml:space="preserve">9.6 Layer 6 — Per-Cell Execution Engine (Fan-Out)</w:t>
      </w:r>
    </w:p>
    <w:p>
      <w:pPr>
        <w:spacing w:after="120" w:line="276"/>
      </w:pPr>
      <w:r>
        <w:t xml:space="preserve">The grid is filled in two dependency-respecting waves — figures/text first, then the ratios that consume them — each wave fully parallel internally. Concurrency is bounded by a semaphore (the cost-control valve), each cell checks the cache first, and transient failures retry with exponential backoff. Every cell takes exactly one of three routes (Section 10).</w:t>
      </w:r>
    </w:p>
    <w:p>
      <w:pPr>
        <w:pStyle w:val="Heading2"/>
        <w:spacing w:after="120" w:before="240"/>
      </w:pPr>
      <w:r>
        <w:t xml:space="preserve">9.7 Layer 7 — Scoped Retrieval &amp; Reranking</w:t>
      </w:r>
    </w:p>
    <w:p>
      <w:pPr>
        <w:spacing w:after="120" w:line="276"/>
      </w:pPr>
      <w:r>
        <w:t xml:space="preserve">Invoked per cell with a mandatory document filter. Dense and sparse hits are fused by Reciprocal Rank Fusion (RRF); an optional cross-encoder reranks the top candidates, otherwise the fused order stands. This is a subroutine of the cell engine, never a single blended retrieval over mixed documents.</w:t>
      </w:r>
    </w:p>
    <w:p>
      <w:pPr>
        <w:pStyle w:val="Heading2"/>
        <w:spacing w:after="120" w:before="240"/>
      </w:pPr>
      <w:r>
        <w:t xml:space="preserve">9.8 Layer 8 — Deterministic Calculation Engine</w:t>
      </w:r>
    </w:p>
    <w:p>
      <w:pPr>
        <w:spacing w:after="120" w:line="276"/>
      </w:pPr>
      <w:r>
        <w:t xml:space="preserve">The trust boundary. Exact figures in; formula name, inputs, human-readable expression, and result out. Unsupported formulas and missing or non-numeric inputs are refused via a typed error, never approximated. Division-by-zero and boolean inputs are rejected explicitly. The LLM never reaches this code.</w:t>
      </w:r>
    </w:p>
    <w:p>
      <w:pPr>
        <w:pStyle w:val="Heading2"/>
        <w:spacing w:after="120" w:before="240"/>
      </w:pPr>
      <w:r>
        <w:t xml:space="preserve">9.9 Layer 9 — Cross-Cell Verification &amp; Synthesis</w:t>
      </w:r>
    </w:p>
    <w:p>
      <w:pPr>
        <w:spacing w:after="120" w:line="276"/>
      </w:pPr>
      <w:r>
        <w:t xml:space="preserve">Three checks run across the filled grid: row identities (e.g., gross profit must not exceed revenue; equity must not exceed total assets), column consistency (margins outside a plausible band are flagged), and citation match (a stated figure must actually appear in its cited span, magnitude-aware). The verified grid is then synthesized into a cited narrative — by the LLM when live, or a deterministic template offline.</w:t>
      </w:r>
    </w:p>
    <w:p>
      <w:pPr>
        <w:pStyle w:val="Heading2"/>
        <w:spacing w:after="120" w:before="240"/>
      </w:pPr>
      <w:r>
        <w:t xml:space="preserve">9.10 Layer 10 — Frontend</w:t>
      </w:r>
    </w:p>
    <w:p>
      <w:pPr>
        <w:spacing w:after="120" w:line="276"/>
      </w:pPr>
      <w:r>
        <w:t xml:space="preserve">Two entry points share the same pipeline: a colorized CLI (finsight info | ask | eval) and a Streamlit grid UI. The UI supports drag-and-drop upload or a folder path, streams the grid, color-codes each cell by route, and exposes per-cell click-through provenance (value, confidence, route, source span).</w:t>
      </w:r>
    </w:p>
    <w:p>
      <w:pPr>
        <w:pStyle w:val="Heading2"/>
        <w:spacing w:after="120" w:before="240"/>
      </w:pPr>
      <w:r>
        <w:t xml:space="preserve">9.11 Cross-Cutting — Caching and Evaluation</w:t>
      </w:r>
    </w:p>
    <w:p>
      <w:pPr>
        <w:spacing w:after="120" w:line="276"/>
      </w:pPr>
      <w:r>
        <w:t xml:space="preserve">A cell-level disk cache and an evaluation harness sit across the pipeline; both are detailed in Sections 13 and 15.</w:t>
      </w:r>
    </w:p>
    <w:p>
      <w:pPr>
        <w:pStyle w:val="Heading1"/>
        <w:spacing w:after="160" w:before="320"/>
      </w:pPr>
      <w:r>
        <w:t xml:space="preserve">10. The Three Cell Routes</w:t>
      </w:r>
    </w:p>
    <w:p>
      <w:pPr>
        <w:spacing w:after="120" w:line="276"/>
      </w:pPr>
      <w:r>
        <w:t xml:space="preserve">Every cell resolves through exactly one route. Two of the three never invoke the LLM — which is why numeric and ratio questions are exact and cheap.</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5760"/>
        <w:gridCol w:w="1400"/>
      </w:tblGrid>
      <w:tr>
        <w:trPr>
          <w:tblHeader/>
        </w:trPr>
        <w:tc>
          <w:tcPr>
            <w:tcW w:type="dxa" w:w="2200"/>
            <w:shd w:fill="1F4E79" w:val="clear"/>
            <w:tcMar>
              <w:top w:type="dxa" w:w="60"/>
              <w:left w:type="dxa" w:w="110"/>
              <w:bottom w:type="dxa" w:w="60"/>
              <w:right w:type="dxa" w:w="110"/>
            </w:tcMar>
            <w:vAlign w:val="center"/>
          </w:tcPr>
          <w:p>
            <w:pPr>
              <w:spacing w:after="0" w:line="264"/>
            </w:pPr>
            <w:r>
              <w:rPr>
                <w:b/>
                <w:bCs/>
                <w:color w:val="FFFFFF"/>
              </w:rPr>
              <w:t xml:space="preserve">Route</w:t>
            </w:r>
          </w:p>
        </w:tc>
        <w:tc>
          <w:tcPr>
            <w:tcW w:type="dxa" w:w="5760"/>
            <w:shd w:fill="1F4E79" w:val="clear"/>
            <w:tcMar>
              <w:top w:type="dxa" w:w="60"/>
              <w:left w:type="dxa" w:w="110"/>
              <w:bottom w:type="dxa" w:w="60"/>
              <w:right w:type="dxa" w:w="110"/>
            </w:tcMar>
            <w:vAlign w:val="center"/>
          </w:tcPr>
          <w:p>
            <w:pPr>
              <w:spacing w:after="0" w:line="264"/>
            </w:pPr>
            <w:r>
              <w:rPr>
                <w:b/>
                <w:bCs/>
                <w:color w:val="FFFFFF"/>
              </w:rPr>
              <w:t xml:space="preserve">How it answers</w:t>
            </w:r>
          </w:p>
        </w:tc>
        <w:tc>
          <w:tcPr>
            <w:tcW w:type="dxa" w:w="1400"/>
            <w:shd w:fill="1F4E79" w:val="clear"/>
            <w:tcMar>
              <w:top w:type="dxa" w:w="60"/>
              <w:left w:type="dxa" w:w="110"/>
              <w:bottom w:type="dxa" w:w="60"/>
              <w:right w:type="dxa" w:w="110"/>
            </w:tcMar>
            <w:vAlign w:val="center"/>
          </w:tcPr>
          <w:p>
            <w:pPr>
              <w:spacing w:after="0" w:line="264"/>
            </w:pPr>
            <w:r>
              <w:rPr>
                <w:b/>
                <w:bCs/>
                <w:color w:val="FFFFFF"/>
              </w:rPr>
              <w:t xml:space="preserve">LLM?</w:t>
            </w:r>
          </w:p>
        </w:tc>
      </w:tr>
      <w:tr>
        <w:tc>
          <w:tcPr>
            <w:tcW w:type="dxa" w:w="2200"/>
            <w:tcMar>
              <w:top w:type="dxa" w:w="60"/>
              <w:left w:type="dxa" w:w="110"/>
              <w:bottom w:type="dxa" w:w="60"/>
              <w:right w:type="dxa" w:w="110"/>
            </w:tcMar>
            <w:vAlign w:val="center"/>
          </w:tcPr>
          <w:p>
            <w:pPr>
              <w:spacing w:after="0" w:line="264"/>
            </w:pPr>
            <w:r>
              <w:rPr>
                <w:b w:val="false"/>
                <w:bCs w:val="false"/>
                <w:color w:val="000000"/>
              </w:rPr>
              <w:t xml:space="preserve">numeric_store</w:t>
            </w:r>
          </w:p>
        </w:tc>
        <w:tc>
          <w:tcPr>
            <w:tcW w:type="dxa" w:w="5760"/>
            <w:tcMar>
              <w:top w:type="dxa" w:w="60"/>
              <w:left w:type="dxa" w:w="110"/>
              <w:bottom w:type="dxa" w:w="60"/>
              <w:right w:type="dxa" w:w="110"/>
            </w:tcMar>
            <w:vAlign w:val="center"/>
          </w:tcPr>
          <w:p>
            <w:pPr>
              <w:spacing w:after="0" w:line="264"/>
            </w:pPr>
            <w:r>
              <w:rPr>
                <w:b w:val="false"/>
                <w:bCs w:val="false"/>
                <w:color w:val="000000"/>
              </w:rPr>
              <w:t xml:space="preserve">Pull a pre-extracted figure from the store (fast path).</w:t>
            </w:r>
          </w:p>
        </w:tc>
        <w:tc>
          <w:tcPr>
            <w:tcW w:type="dxa" w:w="1400"/>
            <w:tcMar>
              <w:top w:type="dxa" w:w="60"/>
              <w:left w:type="dxa" w:w="110"/>
              <w:bottom w:type="dxa" w:w="60"/>
              <w:right w:type="dxa" w:w="110"/>
            </w:tcMar>
            <w:vAlign w:val="center"/>
          </w:tcPr>
          <w:p>
            <w:pPr>
              <w:spacing w:after="0" w:line="264"/>
            </w:pPr>
            <w:r>
              <w:rPr>
                <w:b w:val="false"/>
                <w:bCs w:val="false"/>
                <w:color w:val="000000"/>
              </w:rPr>
              <w:t xml:space="preserve">No</w:t>
            </w:r>
          </w:p>
        </w:tc>
      </w:tr>
      <w:tr>
        <w:tc>
          <w:tcPr>
            <w:tcW w:type="dxa" w:w="2200"/>
            <w:shd w:fill="F2F2F2" w:val="clear"/>
            <w:tcMar>
              <w:top w:type="dxa" w:w="60"/>
              <w:left w:type="dxa" w:w="110"/>
              <w:bottom w:type="dxa" w:w="60"/>
              <w:right w:type="dxa" w:w="110"/>
            </w:tcMar>
            <w:vAlign w:val="center"/>
          </w:tcPr>
          <w:p>
            <w:pPr>
              <w:spacing w:after="0" w:line="264"/>
            </w:pPr>
            <w:r>
              <w:rPr>
                <w:b w:val="false"/>
                <w:bCs w:val="false"/>
                <w:color w:val="000000"/>
              </w:rPr>
              <w:t xml:space="preserve">retrieval_extract</w:t>
            </w:r>
          </w:p>
        </w:tc>
        <w:tc>
          <w:tcPr>
            <w:tcW w:type="dxa" w:w="5760"/>
            <w:shd w:fill="F2F2F2" w:val="clear"/>
            <w:tcMar>
              <w:top w:type="dxa" w:w="60"/>
              <w:left w:type="dxa" w:w="110"/>
              <w:bottom w:type="dxa" w:w="60"/>
              <w:right w:type="dxa" w:w="110"/>
            </w:tcMar>
            <w:vAlign w:val="center"/>
          </w:tcPr>
          <w:p>
            <w:pPr>
              <w:spacing w:after="0" w:line="264"/>
            </w:pPr>
            <w:r>
              <w:rPr>
                <w:b w:val="false"/>
                <w:bCs w:val="false"/>
                <w:color w:val="000000"/>
              </w:rPr>
              <w:t xml:space="preserve">Scoped RRF + rerank in one document, then extract the figure or qualitative answer from the span.</w:t>
            </w:r>
          </w:p>
        </w:tc>
        <w:tc>
          <w:tcPr>
            <w:tcW w:type="dxa" w:w="1400"/>
            <w:shd w:fill="F2F2F2" w:val="clear"/>
            <w:tcMar>
              <w:top w:type="dxa" w:w="60"/>
              <w:left w:type="dxa" w:w="110"/>
              <w:bottom w:type="dxa" w:w="60"/>
              <w:right w:type="dxa" w:w="110"/>
            </w:tcMar>
            <w:vAlign w:val="center"/>
          </w:tcPr>
          <w:p>
            <w:pPr>
              <w:spacing w:after="0" w:line="264"/>
            </w:pPr>
            <w:r>
              <w:rPr>
                <w:b w:val="false"/>
                <w:bCs w:val="false"/>
                <w:color w:val="000000"/>
              </w:rPr>
              <w:t xml:space="preserve">Text cells: yes · Numeric fallback: no</w:t>
            </w:r>
          </w:p>
        </w:tc>
      </w:tr>
      <w:tr>
        <w:tc>
          <w:tcPr>
            <w:tcW w:type="dxa" w:w="2200"/>
            <w:tcMar>
              <w:top w:type="dxa" w:w="60"/>
              <w:left w:type="dxa" w:w="110"/>
              <w:bottom w:type="dxa" w:w="60"/>
              <w:right w:type="dxa" w:w="110"/>
            </w:tcMar>
            <w:vAlign w:val="center"/>
          </w:tcPr>
          <w:p>
            <w:pPr>
              <w:spacing w:after="0" w:line="264"/>
            </w:pPr>
            <w:r>
              <w:rPr>
                <w:b w:val="false"/>
                <w:bCs w:val="false"/>
                <w:color w:val="000000"/>
              </w:rPr>
              <w:t xml:space="preserve">compute</w:t>
            </w:r>
          </w:p>
        </w:tc>
        <w:tc>
          <w:tcPr>
            <w:tcW w:type="dxa" w:w="5760"/>
            <w:tcMar>
              <w:top w:type="dxa" w:w="60"/>
              <w:left w:type="dxa" w:w="110"/>
              <w:bottom w:type="dxa" w:w="60"/>
              <w:right w:type="dxa" w:w="110"/>
            </w:tcMar>
            <w:vAlign w:val="center"/>
          </w:tcPr>
          <w:p>
            <w:pPr>
              <w:spacing w:after="0" w:line="264"/>
            </w:pPr>
            <w:r>
              <w:rPr>
                <w:b w:val="false"/>
                <w:bCs w:val="false"/>
                <w:color w:val="000000"/>
              </w:rPr>
              <w:t xml:space="preserve">Call the deterministic calc engine with exact figures from peer cells.</w:t>
            </w:r>
          </w:p>
        </w:tc>
        <w:tc>
          <w:tcPr>
            <w:tcW w:type="dxa" w:w="1400"/>
            <w:tcMar>
              <w:top w:type="dxa" w:w="60"/>
              <w:left w:type="dxa" w:w="110"/>
              <w:bottom w:type="dxa" w:w="60"/>
              <w:right w:type="dxa" w:w="110"/>
            </w:tcMar>
            <w:vAlign w:val="center"/>
          </w:tcPr>
          <w:p>
            <w:pPr>
              <w:spacing w:after="0" w:line="264"/>
            </w:pPr>
            <w:r>
              <w:rPr>
                <w:b w:val="false"/>
                <w:bCs w:val="false"/>
                <w:color w:val="000000"/>
              </w:rPr>
              <w:t xml:space="preserve">No</w:t>
            </w:r>
          </w:p>
        </w:tc>
      </w:tr>
    </w:tbl>
    <w:p>
      <w:pPr>
        <w:spacing w:after="60"/>
      </w:pPr>
      <w:r>
        <w:t xml:space="preserve"/>
      </w:r>
    </w:p>
    <w:p>
      <w:pPr>
        <w:spacing w:after="120" w:line="276"/>
      </w:pPr>
      <w:r>
        <w:t xml:space="preserve">A numeric cell tries the store first; on a miss it falls back to scoped retrieval-and-scan; if still not found it returns empty and flagged. A ratio cell reads its already-filled input cells and calls the calc engine; if any input is missing it is refused. A text cell retrieves the top span and asks the LLM to answer strictly from that span (or returns empty).</w:t>
      </w:r>
    </w:p>
    <w:p>
      <w:pPr>
        <w:pStyle w:val="Heading1"/>
        <w:spacing w:after="160" w:before="320"/>
      </w:pPr>
      <w:r>
        <w:t xml:space="preserve">11. Deterministic Calculation Engine</w:t>
      </w:r>
    </w:p>
    <w:p>
      <w:pPr>
        <w:spacing w:after="120" w:line="276"/>
      </w:pPr>
      <w:r>
        <w:t xml:space="preserve">The formula library (calc/engine.py) is a set of pure functions over named numeric inputs. Each returns a full audit trail: the formula name, the exact inputs used, a rendered expression, and the result.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200"/>
        <w:gridCol w:w="4760"/>
        <w:gridCol w:w="1400"/>
      </w:tblGrid>
      <w:tr>
        <w:trPr>
          <w:tblHeader/>
        </w:trPr>
        <w:tc>
          <w:tcPr>
            <w:tcW w:type="dxa" w:w="3200"/>
            <w:shd w:fill="1F4E79" w:val="clear"/>
            <w:tcMar>
              <w:top w:type="dxa" w:w="60"/>
              <w:left w:type="dxa" w:w="110"/>
              <w:bottom w:type="dxa" w:w="60"/>
              <w:right w:type="dxa" w:w="110"/>
            </w:tcMar>
            <w:vAlign w:val="center"/>
          </w:tcPr>
          <w:p>
            <w:pPr>
              <w:spacing w:after="0" w:line="264"/>
            </w:pPr>
            <w:r>
              <w:rPr>
                <w:b/>
                <w:bCs/>
                <w:color w:val="FFFFFF"/>
              </w:rPr>
              <w:t xml:space="preserve">Formula</w:t>
            </w:r>
          </w:p>
        </w:tc>
        <w:tc>
          <w:tcPr>
            <w:tcW w:type="dxa" w:w="4760"/>
            <w:shd w:fill="1F4E79" w:val="clear"/>
            <w:tcMar>
              <w:top w:type="dxa" w:w="60"/>
              <w:left w:type="dxa" w:w="110"/>
              <w:bottom w:type="dxa" w:w="60"/>
              <w:right w:type="dxa" w:w="110"/>
            </w:tcMar>
            <w:vAlign w:val="center"/>
          </w:tcPr>
          <w:p>
            <w:pPr>
              <w:spacing w:after="0" w:line="264"/>
            </w:pPr>
            <w:r>
              <w:rPr>
                <w:b/>
                <w:bCs/>
                <w:color w:val="FFFFFF"/>
              </w:rPr>
              <w:t xml:space="preserve">Inputs</w:t>
            </w:r>
          </w:p>
        </w:tc>
        <w:tc>
          <w:tcPr>
            <w:tcW w:type="dxa" w:w="1400"/>
            <w:shd w:fill="1F4E79" w:val="clear"/>
            <w:tcMar>
              <w:top w:type="dxa" w:w="60"/>
              <w:left w:type="dxa" w:w="110"/>
              <w:bottom w:type="dxa" w:w="60"/>
              <w:right w:type="dxa" w:w="110"/>
            </w:tcMar>
            <w:vAlign w:val="center"/>
          </w:tcPr>
          <w:p>
            <w:pPr>
              <w:spacing w:after="0" w:line="264"/>
            </w:pPr>
            <w:r>
              <w:rPr>
                <w:b/>
                <w:bCs/>
                <w:color w:val="FFFFFF"/>
              </w:rPr>
              <w:t xml:space="preserve">Output</w:t>
            </w:r>
          </w:p>
        </w:tc>
      </w:tr>
      <w:tr>
        <w:tc>
          <w:tcPr>
            <w:tcW w:type="dxa" w:w="3200"/>
            <w:tcMar>
              <w:top w:type="dxa" w:w="60"/>
              <w:left w:type="dxa" w:w="110"/>
              <w:bottom w:type="dxa" w:w="60"/>
              <w:right w:type="dxa" w:w="110"/>
            </w:tcMar>
            <w:vAlign w:val="center"/>
          </w:tcPr>
          <w:p>
            <w:pPr>
              <w:spacing w:after="0" w:line="264"/>
            </w:pPr>
            <w:r>
              <w:rPr>
                <w:b w:val="false"/>
                <w:bCs w:val="false"/>
                <w:color w:val="000000"/>
              </w:rPr>
              <w:t xml:space="preserve">net_profit_margin</w:t>
            </w:r>
          </w:p>
        </w:tc>
        <w:tc>
          <w:tcPr>
            <w:tcW w:type="dxa" w:w="4760"/>
            <w:tcMar>
              <w:top w:type="dxa" w:w="60"/>
              <w:left w:type="dxa" w:w="110"/>
              <w:bottom w:type="dxa" w:w="60"/>
              <w:right w:type="dxa" w:w="110"/>
            </w:tcMar>
            <w:vAlign w:val="center"/>
          </w:tcPr>
          <w:p>
            <w:pPr>
              <w:spacing w:after="0" w:line="264"/>
            </w:pPr>
            <w:r>
              <w:rPr>
                <w:b w:val="false"/>
                <w:bCs w:val="false"/>
                <w:color w:val="000000"/>
              </w:rPr>
              <w:t xml:space="preserve">net_income, revenue</w:t>
            </w:r>
          </w:p>
        </w:tc>
        <w:tc>
          <w:tcPr>
            <w:tcW w:type="dxa" w:w="1400"/>
            <w:tcMar>
              <w:top w:type="dxa" w:w="60"/>
              <w:left w:type="dxa" w:w="110"/>
              <w:bottom w:type="dxa" w:w="60"/>
              <w:right w:type="dxa" w:w="110"/>
            </w:tcMar>
            <w:vAlign w:val="center"/>
          </w:tcPr>
          <w:p>
            <w:pPr>
              <w:spacing w:after="0" w:line="264"/>
            </w:pPr>
            <w:r>
              <w:rPr>
                <w:b w:val="false"/>
                <w:bCs w:val="false"/>
                <w:color w:val="000000"/>
              </w:rPr>
              <w:t xml:space="preserve">%</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rPr>
              <w:t xml:space="preserve">gross_margin</w:t>
            </w:r>
          </w:p>
        </w:tc>
        <w:tc>
          <w:tcPr>
            <w:tcW w:type="dxa" w:w="4760"/>
            <w:shd w:fill="F2F2F2" w:val="clear"/>
            <w:tcMar>
              <w:top w:type="dxa" w:w="60"/>
              <w:left w:type="dxa" w:w="110"/>
              <w:bottom w:type="dxa" w:w="60"/>
              <w:right w:type="dxa" w:w="110"/>
            </w:tcMar>
            <w:vAlign w:val="center"/>
          </w:tcPr>
          <w:p>
            <w:pPr>
              <w:spacing w:after="0" w:line="264"/>
            </w:pPr>
            <w:r>
              <w:rPr>
                <w:b w:val="false"/>
                <w:bCs w:val="false"/>
                <w:color w:val="000000"/>
              </w:rPr>
              <w:t xml:space="preserve">gross_profit, revenue</w:t>
            </w:r>
          </w:p>
        </w:tc>
        <w:tc>
          <w:tcPr>
            <w:tcW w:type="dxa" w:w="1400"/>
            <w:shd w:fill="F2F2F2" w:val="clear"/>
            <w:tcMar>
              <w:top w:type="dxa" w:w="60"/>
              <w:left w:type="dxa" w:w="110"/>
              <w:bottom w:type="dxa" w:w="60"/>
              <w:right w:type="dxa" w:w="110"/>
            </w:tcMar>
            <w:vAlign w:val="center"/>
          </w:tcPr>
          <w:p>
            <w:pPr>
              <w:spacing w:after="0" w:line="264"/>
            </w:pPr>
            <w:r>
              <w:rPr>
                <w:b w:val="false"/>
                <w:bCs w:val="false"/>
                <w:color w:val="000000"/>
              </w:rPr>
              <w:t xml:space="preserve">%</w:t>
            </w:r>
          </w:p>
        </w:tc>
      </w:tr>
      <w:tr>
        <w:tc>
          <w:tcPr>
            <w:tcW w:type="dxa" w:w="3200"/>
            <w:tcMar>
              <w:top w:type="dxa" w:w="60"/>
              <w:left w:type="dxa" w:w="110"/>
              <w:bottom w:type="dxa" w:w="60"/>
              <w:right w:type="dxa" w:w="110"/>
            </w:tcMar>
            <w:vAlign w:val="center"/>
          </w:tcPr>
          <w:p>
            <w:pPr>
              <w:spacing w:after="0" w:line="264"/>
            </w:pPr>
            <w:r>
              <w:rPr>
                <w:b w:val="false"/>
                <w:bCs w:val="false"/>
                <w:color w:val="000000"/>
              </w:rPr>
              <w:t xml:space="preserve">operating_margin</w:t>
            </w:r>
          </w:p>
        </w:tc>
        <w:tc>
          <w:tcPr>
            <w:tcW w:type="dxa" w:w="4760"/>
            <w:tcMar>
              <w:top w:type="dxa" w:w="60"/>
              <w:left w:type="dxa" w:w="110"/>
              <w:bottom w:type="dxa" w:w="60"/>
              <w:right w:type="dxa" w:w="110"/>
            </w:tcMar>
            <w:vAlign w:val="center"/>
          </w:tcPr>
          <w:p>
            <w:pPr>
              <w:spacing w:after="0" w:line="264"/>
            </w:pPr>
            <w:r>
              <w:rPr>
                <w:b w:val="false"/>
                <w:bCs w:val="false"/>
                <w:color w:val="000000"/>
              </w:rPr>
              <w:t xml:space="preserve">operating_income, revenue</w:t>
            </w:r>
          </w:p>
        </w:tc>
        <w:tc>
          <w:tcPr>
            <w:tcW w:type="dxa" w:w="1400"/>
            <w:tcMar>
              <w:top w:type="dxa" w:w="60"/>
              <w:left w:type="dxa" w:w="110"/>
              <w:bottom w:type="dxa" w:w="60"/>
              <w:right w:type="dxa" w:w="110"/>
            </w:tcMar>
            <w:vAlign w:val="center"/>
          </w:tcPr>
          <w:p>
            <w:pPr>
              <w:spacing w:after="0" w:line="264"/>
            </w:pPr>
            <w:r>
              <w:rPr>
                <w:b w:val="false"/>
                <w:bCs w:val="false"/>
                <w:color w:val="000000"/>
              </w:rPr>
              <w:t xml:space="preserve">%</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rPr>
              <w:t xml:space="preserve">return_on_equity</w:t>
            </w:r>
          </w:p>
        </w:tc>
        <w:tc>
          <w:tcPr>
            <w:tcW w:type="dxa" w:w="4760"/>
            <w:shd w:fill="F2F2F2" w:val="clear"/>
            <w:tcMar>
              <w:top w:type="dxa" w:w="60"/>
              <w:left w:type="dxa" w:w="110"/>
              <w:bottom w:type="dxa" w:w="60"/>
              <w:right w:type="dxa" w:w="110"/>
            </w:tcMar>
            <w:vAlign w:val="center"/>
          </w:tcPr>
          <w:p>
            <w:pPr>
              <w:spacing w:after="0" w:line="264"/>
            </w:pPr>
            <w:r>
              <w:rPr>
                <w:b w:val="false"/>
                <w:bCs w:val="false"/>
                <w:color w:val="000000"/>
              </w:rPr>
              <w:t xml:space="preserve">net_income, total_equity</w:t>
            </w:r>
          </w:p>
        </w:tc>
        <w:tc>
          <w:tcPr>
            <w:tcW w:type="dxa" w:w="1400"/>
            <w:shd w:fill="F2F2F2" w:val="clear"/>
            <w:tcMar>
              <w:top w:type="dxa" w:w="60"/>
              <w:left w:type="dxa" w:w="110"/>
              <w:bottom w:type="dxa" w:w="60"/>
              <w:right w:type="dxa" w:w="110"/>
            </w:tcMar>
            <w:vAlign w:val="center"/>
          </w:tcPr>
          <w:p>
            <w:pPr>
              <w:spacing w:after="0" w:line="264"/>
            </w:pPr>
            <w:r>
              <w:rPr>
                <w:b w:val="false"/>
                <w:bCs w:val="false"/>
                <w:color w:val="000000"/>
              </w:rPr>
              <w:t xml:space="preserve">%</w:t>
            </w:r>
          </w:p>
        </w:tc>
      </w:tr>
      <w:tr>
        <w:tc>
          <w:tcPr>
            <w:tcW w:type="dxa" w:w="3200"/>
            <w:tcMar>
              <w:top w:type="dxa" w:w="60"/>
              <w:left w:type="dxa" w:w="110"/>
              <w:bottom w:type="dxa" w:w="60"/>
              <w:right w:type="dxa" w:w="110"/>
            </w:tcMar>
            <w:vAlign w:val="center"/>
          </w:tcPr>
          <w:p>
            <w:pPr>
              <w:spacing w:after="0" w:line="264"/>
            </w:pPr>
            <w:r>
              <w:rPr>
                <w:b w:val="false"/>
                <w:bCs w:val="false"/>
                <w:color w:val="000000"/>
              </w:rPr>
              <w:t xml:space="preserve">return_on_assets</w:t>
            </w:r>
          </w:p>
        </w:tc>
        <w:tc>
          <w:tcPr>
            <w:tcW w:type="dxa" w:w="4760"/>
            <w:tcMar>
              <w:top w:type="dxa" w:w="60"/>
              <w:left w:type="dxa" w:w="110"/>
              <w:bottom w:type="dxa" w:w="60"/>
              <w:right w:type="dxa" w:w="110"/>
            </w:tcMar>
            <w:vAlign w:val="center"/>
          </w:tcPr>
          <w:p>
            <w:pPr>
              <w:spacing w:after="0" w:line="264"/>
            </w:pPr>
            <w:r>
              <w:rPr>
                <w:b w:val="false"/>
                <w:bCs w:val="false"/>
                <w:color w:val="000000"/>
              </w:rPr>
              <w:t xml:space="preserve">net_income, total_assets</w:t>
            </w:r>
          </w:p>
        </w:tc>
        <w:tc>
          <w:tcPr>
            <w:tcW w:type="dxa" w:w="1400"/>
            <w:tcMar>
              <w:top w:type="dxa" w:w="60"/>
              <w:left w:type="dxa" w:w="110"/>
              <w:bottom w:type="dxa" w:w="60"/>
              <w:right w:type="dxa" w:w="110"/>
            </w:tcMar>
            <w:vAlign w:val="center"/>
          </w:tcPr>
          <w:p>
            <w:pPr>
              <w:spacing w:after="0" w:line="264"/>
            </w:pPr>
            <w:r>
              <w:rPr>
                <w:b w:val="false"/>
                <w:bCs w:val="false"/>
                <w:color w:val="000000"/>
              </w:rPr>
              <w:t xml:space="preserve">%</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rPr>
              <w:t xml:space="preserve">current_ratio</w:t>
            </w:r>
          </w:p>
        </w:tc>
        <w:tc>
          <w:tcPr>
            <w:tcW w:type="dxa" w:w="4760"/>
            <w:shd w:fill="F2F2F2" w:val="clear"/>
            <w:tcMar>
              <w:top w:type="dxa" w:w="60"/>
              <w:left w:type="dxa" w:w="110"/>
              <w:bottom w:type="dxa" w:w="60"/>
              <w:right w:type="dxa" w:w="110"/>
            </w:tcMar>
            <w:vAlign w:val="center"/>
          </w:tcPr>
          <w:p>
            <w:pPr>
              <w:spacing w:after="0" w:line="264"/>
            </w:pPr>
            <w:r>
              <w:rPr>
                <w:b w:val="false"/>
                <w:bCs w:val="false"/>
                <w:color w:val="000000"/>
              </w:rPr>
              <w:t xml:space="preserve">current_assets, current_liabilities</w:t>
            </w:r>
          </w:p>
        </w:tc>
        <w:tc>
          <w:tcPr>
            <w:tcW w:type="dxa" w:w="1400"/>
            <w:shd w:fill="F2F2F2" w:val="clear"/>
            <w:tcMar>
              <w:top w:type="dxa" w:w="60"/>
              <w:left w:type="dxa" w:w="110"/>
              <w:bottom w:type="dxa" w:w="60"/>
              <w:right w:type="dxa" w:w="110"/>
            </w:tcMar>
            <w:vAlign w:val="center"/>
          </w:tcPr>
          <w:p>
            <w:pPr>
              <w:spacing w:after="0" w:line="264"/>
            </w:pPr>
            <w:r>
              <w:rPr>
                <w:b w:val="false"/>
                <w:bCs w:val="false"/>
                <w:color w:val="000000"/>
              </w:rPr>
              <w:t xml:space="preserve">x</w:t>
            </w:r>
          </w:p>
        </w:tc>
      </w:tr>
      <w:tr>
        <w:tc>
          <w:tcPr>
            <w:tcW w:type="dxa" w:w="3200"/>
            <w:tcMar>
              <w:top w:type="dxa" w:w="60"/>
              <w:left w:type="dxa" w:w="110"/>
              <w:bottom w:type="dxa" w:w="60"/>
              <w:right w:type="dxa" w:w="110"/>
            </w:tcMar>
            <w:vAlign w:val="center"/>
          </w:tcPr>
          <w:p>
            <w:pPr>
              <w:spacing w:after="0" w:line="264"/>
            </w:pPr>
            <w:r>
              <w:rPr>
                <w:b w:val="false"/>
                <w:bCs w:val="false"/>
                <w:color w:val="000000"/>
              </w:rPr>
              <w:t xml:space="preserve">debt_to_equity</w:t>
            </w:r>
          </w:p>
        </w:tc>
        <w:tc>
          <w:tcPr>
            <w:tcW w:type="dxa" w:w="4760"/>
            <w:tcMar>
              <w:top w:type="dxa" w:w="60"/>
              <w:left w:type="dxa" w:w="110"/>
              <w:bottom w:type="dxa" w:w="60"/>
              <w:right w:type="dxa" w:w="110"/>
            </w:tcMar>
            <w:vAlign w:val="center"/>
          </w:tcPr>
          <w:p>
            <w:pPr>
              <w:spacing w:after="0" w:line="264"/>
            </w:pPr>
            <w:r>
              <w:rPr>
                <w:b w:val="false"/>
                <w:bCs w:val="false"/>
                <w:color w:val="000000"/>
              </w:rPr>
              <w:t xml:space="preserve">total_debt, total_equity</w:t>
            </w:r>
          </w:p>
        </w:tc>
        <w:tc>
          <w:tcPr>
            <w:tcW w:type="dxa" w:w="1400"/>
            <w:tcMar>
              <w:top w:type="dxa" w:w="60"/>
              <w:left w:type="dxa" w:w="110"/>
              <w:bottom w:type="dxa" w:w="60"/>
              <w:right w:type="dxa" w:w="110"/>
            </w:tcMar>
            <w:vAlign w:val="center"/>
          </w:tcPr>
          <w:p>
            <w:pPr>
              <w:spacing w:after="0" w:line="264"/>
            </w:pPr>
            <w:r>
              <w:rPr>
                <w:b w:val="false"/>
                <w:bCs w:val="false"/>
                <w:color w:val="000000"/>
              </w:rPr>
              <w:t xml:space="preserve">x</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rPr>
              <w:t xml:space="preserve">yoy_growth</w:t>
            </w:r>
          </w:p>
        </w:tc>
        <w:tc>
          <w:tcPr>
            <w:tcW w:type="dxa" w:w="4760"/>
            <w:shd w:fill="F2F2F2" w:val="clear"/>
            <w:tcMar>
              <w:top w:type="dxa" w:w="60"/>
              <w:left w:type="dxa" w:w="110"/>
              <w:bottom w:type="dxa" w:w="60"/>
              <w:right w:type="dxa" w:w="110"/>
            </w:tcMar>
            <w:vAlign w:val="center"/>
          </w:tcPr>
          <w:p>
            <w:pPr>
              <w:spacing w:after="0" w:line="264"/>
            </w:pPr>
            <w:r>
              <w:rPr>
                <w:b w:val="false"/>
                <w:bCs w:val="false"/>
                <w:color w:val="000000"/>
              </w:rPr>
              <w:t xml:space="preserve">current, prior</w:t>
            </w:r>
          </w:p>
        </w:tc>
        <w:tc>
          <w:tcPr>
            <w:tcW w:type="dxa" w:w="1400"/>
            <w:shd w:fill="F2F2F2" w:val="clear"/>
            <w:tcMar>
              <w:top w:type="dxa" w:w="60"/>
              <w:left w:type="dxa" w:w="110"/>
              <w:bottom w:type="dxa" w:w="60"/>
              <w:right w:type="dxa" w:w="110"/>
            </w:tcMar>
            <w:vAlign w:val="center"/>
          </w:tcPr>
          <w:p>
            <w:pPr>
              <w:spacing w:after="0" w:line="264"/>
            </w:pPr>
            <w:r>
              <w:rPr>
                <w:b w:val="false"/>
                <w:bCs w:val="false"/>
                <w:color w:val="000000"/>
              </w:rPr>
              <w:t xml:space="preserve">%</w:t>
            </w:r>
          </w:p>
        </w:tc>
      </w:tr>
      <w:tr>
        <w:tc>
          <w:tcPr>
            <w:tcW w:type="dxa" w:w="3200"/>
            <w:tcMar>
              <w:top w:type="dxa" w:w="60"/>
              <w:left w:type="dxa" w:w="110"/>
              <w:bottom w:type="dxa" w:w="60"/>
              <w:right w:type="dxa" w:w="110"/>
            </w:tcMar>
            <w:vAlign w:val="center"/>
          </w:tcPr>
          <w:p>
            <w:pPr>
              <w:spacing w:after="0" w:line="264"/>
            </w:pPr>
            <w:r>
              <w:rPr>
                <w:b w:val="false"/>
                <w:bCs w:val="false"/>
                <w:color w:val="000000"/>
              </w:rPr>
              <w:t xml:space="preserve">cagr</w:t>
            </w:r>
          </w:p>
        </w:tc>
        <w:tc>
          <w:tcPr>
            <w:tcW w:type="dxa" w:w="4760"/>
            <w:tcMar>
              <w:top w:type="dxa" w:w="60"/>
              <w:left w:type="dxa" w:w="110"/>
              <w:bottom w:type="dxa" w:w="60"/>
              <w:right w:type="dxa" w:w="110"/>
            </w:tcMar>
            <w:vAlign w:val="center"/>
          </w:tcPr>
          <w:p>
            <w:pPr>
              <w:spacing w:after="0" w:line="264"/>
            </w:pPr>
            <w:r>
              <w:rPr>
                <w:b w:val="false"/>
                <w:bCs w:val="false"/>
                <w:color w:val="000000"/>
              </w:rPr>
              <w:t xml:space="preserve">begin, end, years</w:t>
            </w:r>
          </w:p>
        </w:tc>
        <w:tc>
          <w:tcPr>
            <w:tcW w:type="dxa" w:w="1400"/>
            <w:tcMar>
              <w:top w:type="dxa" w:w="60"/>
              <w:left w:type="dxa" w:w="110"/>
              <w:bottom w:type="dxa" w:w="60"/>
              <w:right w:type="dxa" w:w="110"/>
            </w:tcMar>
            <w:vAlign w:val="center"/>
          </w:tcPr>
          <w:p>
            <w:pPr>
              <w:spacing w:after="0" w:line="264"/>
            </w:pPr>
            <w:r>
              <w:rPr>
                <w:b w:val="false"/>
                <w:bCs w:val="false"/>
                <w:color w:val="000000"/>
              </w:rPr>
              <w:t xml:space="preserve">%</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rPr>
              <w:t xml:space="preserve">eps</w:t>
            </w:r>
          </w:p>
        </w:tc>
        <w:tc>
          <w:tcPr>
            <w:tcW w:type="dxa" w:w="4760"/>
            <w:shd w:fill="F2F2F2" w:val="clear"/>
            <w:tcMar>
              <w:top w:type="dxa" w:w="60"/>
              <w:left w:type="dxa" w:w="110"/>
              <w:bottom w:type="dxa" w:w="60"/>
              <w:right w:type="dxa" w:w="110"/>
            </w:tcMar>
            <w:vAlign w:val="center"/>
          </w:tcPr>
          <w:p>
            <w:pPr>
              <w:spacing w:after="0" w:line="264"/>
            </w:pPr>
            <w:r>
              <w:rPr>
                <w:b w:val="false"/>
                <w:bCs w:val="false"/>
                <w:color w:val="000000"/>
              </w:rPr>
              <w:t xml:space="preserve">net_income, shares_outstanding</w:t>
            </w:r>
          </w:p>
        </w:tc>
        <w:tc>
          <w:tcPr>
            <w:tcW w:type="dxa" w:w="1400"/>
            <w:shd w:fill="F2F2F2" w:val="clear"/>
            <w:tcMar>
              <w:top w:type="dxa" w:w="60"/>
              <w:left w:type="dxa" w:w="110"/>
              <w:bottom w:type="dxa" w:w="60"/>
              <w:right w:type="dxa" w:w="110"/>
            </w:tcMar>
            <w:vAlign w:val="center"/>
          </w:tcPr>
          <w:p>
            <w:pPr>
              <w:spacing w:after="0" w:line="264"/>
            </w:pPr>
            <w:r>
              <w:rPr>
                <w:b w:val="false"/>
                <w:bCs w:val="false"/>
                <w:color w:val="000000"/>
              </w:rPr>
              <w:t xml:space="preserve">$</w:t>
            </w:r>
          </w:p>
        </w:tc>
      </w:tr>
    </w:tbl>
    <w:p>
      <w:pPr>
        <w:spacing w:after="60"/>
      </w:pPr>
      <w:r>
        <w:t xml:space="preserve"/>
      </w:r>
    </w:p>
    <w:p>
      <w:pPr>
        <w:spacing w:after="120" w:line="276"/>
      </w:pPr>
      <w:r>
        <w:rPr>
          <w:b/>
          <w:bCs/>
        </w:rPr>
        <w:t xml:space="preserve">Refusals are a feature, not a bug. </w:t>
      </w:r>
      <w:r>
        <w:t xml:space="preserve">An unsupported formula, a missing input, a non-numeric input, or a zero denominator all raise a typed CalcError that surfaces as an explicit refusal on the cell — a missing figure is never computed on a guess.</w:t>
      </w:r>
    </w:p>
    <w:p>
      <w:pPr>
        <w:pStyle w:val="Heading1"/>
        <w:spacing w:after="160" w:before="320"/>
      </w:pPr>
      <w:r>
        <w:t xml:space="preserve">12. LLM Integration Layer</w:t>
      </w:r>
    </w:p>
    <w:p>
      <w:pPr>
        <w:spacing w:after="120" w:line="276"/>
      </w:pPr>
      <w:r>
        <w:t xml:space="preserve">The LLM is an injectable component (llm/client.py) with a small, uniform contract: structured output (a validated Pydantic object) and free-form completion, each at a routable model tier ("small" or "large").</w:t>
      </w:r>
    </w:p>
    <w:p>
      <w:pPr>
        <w:pStyle w:val="Heading2"/>
        <w:spacing w:after="120" w:before="240"/>
      </w:pPr>
      <w:r>
        <w:t xml:space="preserve">12.1 Providers</w:t>
      </w:r>
    </w:p>
    <w:p>
      <w:pPr>
        <w:pStyle w:val="ListParagraph"/>
        <w:numPr>
          <w:ilvl w:val="0"/>
          <w:numId w:val="2"/>
        </w:numPr>
        <w:spacing w:after="60" w:line="270"/>
      </w:pPr>
      <w:r>
        <w:rPr>
          <w:b/>
          <w:bCs/>
        </w:rPr>
        <w:t xml:space="preserve">Anthropic </w:t>
      </w:r>
      <w:r>
        <w:t xml:space="preserve">— structured output via forced single-tool use; tiers map to configured Claude models.</w:t>
      </w:r>
    </w:p>
    <w:p>
      <w:pPr>
        <w:pStyle w:val="ListParagraph"/>
        <w:numPr>
          <w:ilvl w:val="0"/>
          <w:numId w:val="2"/>
        </w:numPr>
        <w:spacing w:after="60" w:line="270"/>
      </w:pPr>
      <w:r>
        <w:rPr>
          <w:b/>
          <w:bCs/>
        </w:rPr>
        <w:t xml:space="preserve">OpenAI </w:t>
      </w:r>
      <w:r>
        <w:t xml:space="preserve">— structured output via a forced function call; tiers map to configured GPT models (e.g., gpt-4o-mini).</w:t>
      </w:r>
    </w:p>
    <w:p>
      <w:pPr>
        <w:pStyle w:val="ListParagraph"/>
        <w:numPr>
          <w:ilvl w:val="0"/>
          <w:numId w:val="2"/>
        </w:numPr>
        <w:spacing w:after="60" w:line="270"/>
      </w:pPr>
      <w:r>
        <w:rPr>
          <w:b/>
          <w:bCs/>
        </w:rPr>
        <w:t xml:space="preserve">Mock (offline) </w:t>
      </w:r>
      <w:r>
        <w:t xml:space="preserve">— a deterministic backend. The data-owning layer precomputes a best-effort answer and passes it as a hint; the mock validates it back into the requested schema. Intelligence lives in the layer that owns the data, never hidden in the mock.</w:t>
      </w:r>
    </w:p>
    <w:p>
      <w:pPr>
        <w:pStyle w:val="Heading2"/>
        <w:spacing w:after="120" w:before="240"/>
      </w:pPr>
      <w:r>
        <w:t xml:space="preserve">12.2 Model routing and selection</w:t>
      </w:r>
    </w:p>
    <w:p>
      <w:pPr>
        <w:spacing w:after="120" w:line="276"/>
      </w:pPr>
      <w:r>
        <w:t xml:space="preserve">Callers request a tier; the client resolves it to a concrete model per active provider. Provider, keys, and model names are all configuration. TLS for live calls is pinned to certifi's CA bundle so connectivity does not depend on the host's system certificate store (a common failure mode on fresh macOS Python builds).</w:t>
      </w:r>
    </w:p>
    <w:p>
      <w:pPr>
        <w:pStyle w:val="Heading1"/>
        <w:spacing w:after="160" w:before="320"/>
      </w:pPr>
      <w:r>
        <w:t xml:space="preserve">13. Cost Model — the D × C Tax and Mitigations</w:t>
      </w:r>
    </w:p>
    <w:p>
      <w:pPr>
        <w:spacing w:after="120" w:line="276"/>
      </w:pPr>
      <w:r>
        <w:t xml:space="preserve">A grid issues up to D documents × C columns model calls. Four mitigations make the common case fast and cheap, and all are implemented:</w:t>
      </w:r>
    </w:p>
    <w:p>
      <w:pPr>
        <w:pStyle w:val="ListParagraph"/>
        <w:numPr>
          <w:ilvl w:val="0"/>
          <w:numId w:val="2"/>
        </w:numPr>
        <w:spacing w:after="60" w:line="270"/>
      </w:pPr>
      <w:r>
        <w:rPr>
          <w:b/>
          <w:bCs/>
        </w:rPr>
        <w:t xml:space="preserve">Concurrency cap. </w:t>
      </w:r>
      <w:r>
        <w:t xml:space="preserve">A semaphore bounds in-flight calls (FINSIGHT_MAX_CONCURRENCY), protecting rate limits.</w:t>
      </w:r>
    </w:p>
    <w:p>
      <w:pPr>
        <w:pStyle w:val="ListParagraph"/>
        <w:numPr>
          <w:ilvl w:val="0"/>
          <w:numId w:val="2"/>
        </w:numPr>
        <w:spacing w:after="60" w:line="270"/>
      </w:pPr>
      <w:r>
        <w:rPr>
          <w:b/>
          <w:bCs/>
        </w:rPr>
        <w:t xml:space="preserve">Cell-level cache. </w:t>
      </w:r>
      <w:r>
        <w:t xml:space="preserve">A cell is a pure function of (document, sub-question); re-running a grid after one column changes recomputes only that column.</w:t>
      </w:r>
    </w:p>
    <w:p>
      <w:pPr>
        <w:pStyle w:val="ListParagraph"/>
        <w:numPr>
          <w:ilvl w:val="0"/>
          <w:numId w:val="2"/>
        </w:numPr>
        <w:spacing w:after="60" w:line="270"/>
      </w:pPr>
      <w:r>
        <w:rPr>
          <w:b/>
          <w:bCs/>
        </w:rPr>
        <w:t xml:space="preserve">Model routing. </w:t>
      </w:r>
      <w:r>
        <w:t xml:space="preserve">Simple extraction cells use a small model; only hard cells, planning, and synthesis need a frontier model.</w:t>
      </w:r>
    </w:p>
    <w:p>
      <w:pPr>
        <w:pStyle w:val="ListParagraph"/>
        <w:numPr>
          <w:ilvl w:val="0"/>
          <w:numId w:val="2"/>
        </w:numPr>
        <w:spacing w:after="60" w:line="270"/>
      </w:pPr>
      <w:r>
        <w:rPr>
          <w:b/>
          <w:bCs/>
        </w:rPr>
        <w:t xml:space="preserve">Numeric fast path. </w:t>
      </w:r>
      <w:r>
        <w:t xml:space="preserve">Cells answerable from the numeric store skip the LLM entirely.</w:t>
      </w:r>
    </w:p>
    <w:p>
      <w:pPr>
        <w:pStyle w:val="Heading1"/>
        <w:spacing w:after="160" w:before="320"/>
      </w:pPr>
      <w:r>
        <w:t xml:space="preserve">14. Caching Strategy</w:t>
      </w:r>
    </w:p>
    <w:p>
      <w:pPr>
        <w:spacing w:after="120" w:line="276"/>
      </w:pPr>
      <w:r>
        <w:t xml:space="preserve">The cell cache (diskcache-backed) keys each entry on a content signature of (doc_id, question, type, formula, depends_on). Editing one column's question invalidates only that column's cells while every other cell stays a hit. Only terminal states (done, empty) are cached; transient failures are never cached.</w:t>
      </w:r>
    </w:p>
    <w:p>
      <w:pPr>
        <w:spacing w:after="120" w:line="276"/>
      </w:pPr>
      <w:r>
        <w:rPr>
          <w:b/>
          <w:bCs/>
        </w:rPr>
        <w:t xml:space="preserve">Known caveat. </w:t>
      </w:r>
      <w:r>
        <w:t xml:space="preserve">The signature includes the document id but not the document's content. Because the doc_id derives from the filename, re-uploading a same-named file with changed numbers can serve stale cells. The UI upload path mitigates this by namespacing the cache to a hash of the uploaded content; for the folder path, clear the cache after editing a file in place.</w:t>
      </w:r>
    </w:p>
    <w:p>
      <w:pPr>
        <w:pStyle w:val="Heading1"/>
        <w:spacing w:after="160" w:before="320"/>
      </w:pPr>
      <w:r>
        <w:t xml:space="preserve">15. Reliability and Error Handling</w:t>
      </w:r>
    </w:p>
    <w:p>
      <w:pPr>
        <w:pStyle w:val="ListParagraph"/>
        <w:numPr>
          <w:ilvl w:val="0"/>
          <w:numId w:val="2"/>
        </w:numPr>
        <w:spacing w:after="60" w:line="270"/>
      </w:pPr>
      <w:r>
        <w:rPr>
          <w:b/>
          <w:bCs/>
        </w:rPr>
        <w:t xml:space="preserve">Retry with backoff. </w:t>
      </w:r>
      <w:r>
        <w:t xml:space="preserve">Transient cell failures and retryable API errors (HTTP 429 and 5xx, timeouts, connection errors) retry with exponential backoff; 4xx client errors are not retried.</w:t>
      </w:r>
    </w:p>
    <w:p>
      <w:pPr>
        <w:pStyle w:val="ListParagraph"/>
        <w:numPr>
          <w:ilvl w:val="0"/>
          <w:numId w:val="2"/>
        </w:numPr>
        <w:spacing w:after="60" w:line="270"/>
      </w:pPr>
      <w:r>
        <w:rPr>
          <w:b/>
          <w:bCs/>
        </w:rPr>
        <w:t xml:space="preserve">Refusal semantics. </w:t>
      </w:r>
      <w:r>
        <w:t xml:space="preserve">Missing or invalid inputs yield an explicit, recorded refusal rather than a fabricated value.</w:t>
      </w:r>
    </w:p>
    <w:p>
      <w:pPr>
        <w:pStyle w:val="ListParagraph"/>
        <w:numPr>
          <w:ilvl w:val="0"/>
          <w:numId w:val="2"/>
        </w:numPr>
        <w:spacing w:after="60" w:line="270"/>
      </w:pPr>
      <w:r>
        <w:rPr>
          <w:b/>
          <w:bCs/>
        </w:rPr>
        <w:t xml:space="preserve">Isolation of failure. </w:t>
      </w:r>
      <w:r>
        <w:t xml:space="preserve">A failed cell is recorded and contained; it does not corrupt peers or halt the grid.</w:t>
      </w:r>
    </w:p>
    <w:p>
      <w:pPr>
        <w:pStyle w:val="ListParagraph"/>
        <w:numPr>
          <w:ilvl w:val="0"/>
          <w:numId w:val="2"/>
        </w:numPr>
        <w:spacing w:after="60" w:line="270"/>
      </w:pPr>
      <w:r>
        <w:rPr>
          <w:b/>
          <w:bCs/>
        </w:rPr>
        <w:t xml:space="preserve">TLS pinning. </w:t>
      </w:r>
      <w:r>
        <w:t xml:space="preserve">Live clients verify against certifi, decoupling connectivity from host SSL configuration.</w:t>
      </w:r>
    </w:p>
    <w:p>
      <w:pPr>
        <w:pStyle w:val="ListParagraph"/>
        <w:numPr>
          <w:ilvl w:val="0"/>
          <w:numId w:val="2"/>
        </w:numPr>
        <w:spacing w:after="60" w:line="270"/>
      </w:pPr>
      <w:r>
        <w:rPr>
          <w:b/>
          <w:bCs/>
        </w:rPr>
        <w:t xml:space="preserve">Offline guarantee. </w:t>
      </w:r>
      <w:r>
        <w:t xml:space="preserve">With no key, the full pipeline still executes deterministically end to end.</w:t>
      </w:r>
    </w:p>
    <w:p>
      <w:pPr>
        <w:pStyle w:val="Heading1"/>
        <w:spacing w:after="160" w:before="320"/>
      </w:pPr>
      <w:r>
        <w:t xml:space="preserve">16. Evaluation Methodology</w:t>
      </w:r>
    </w:p>
    <w:p>
      <w:pPr>
        <w:spacing w:after="120" w:line="276"/>
      </w:pPr>
      <w:r>
        <w:t xml:space="preserve">The grid makes three metrics natural, and adds the one a financial tool most needs — is the number actually right — which none of the standard RAGAS retrieval metrics capture.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6360"/>
      </w:tblGrid>
      <w:tr>
        <w:trPr>
          <w:tblHeader/>
        </w:trPr>
        <w:tc>
          <w:tcPr>
            <w:tcW w:type="dxa" w:w="3000"/>
            <w:shd w:fill="1F4E79" w:val="clear"/>
            <w:tcMar>
              <w:top w:type="dxa" w:w="60"/>
              <w:left w:type="dxa" w:w="110"/>
              <w:bottom w:type="dxa" w:w="60"/>
              <w:right w:type="dxa" w:w="110"/>
            </w:tcMar>
            <w:vAlign w:val="center"/>
          </w:tcPr>
          <w:p>
            <w:pPr>
              <w:spacing w:after="0" w:line="264"/>
            </w:pPr>
            <w:r>
              <w:rPr>
                <w:b/>
                <w:bCs/>
                <w:color w:val="FFFFFF"/>
              </w:rPr>
              <w:t xml:space="preserve">Metric</w:t>
            </w:r>
          </w:p>
        </w:tc>
        <w:tc>
          <w:tcPr>
            <w:tcW w:type="dxa" w:w="6360"/>
            <w:shd w:fill="1F4E79" w:val="clear"/>
            <w:tcMar>
              <w:top w:type="dxa" w:w="60"/>
              <w:left w:type="dxa" w:w="110"/>
              <w:bottom w:type="dxa" w:w="60"/>
              <w:right w:type="dxa" w:w="110"/>
            </w:tcMar>
            <w:vAlign w:val="center"/>
          </w:tcPr>
          <w:p>
            <w:pPr>
              <w:spacing w:after="0" w:line="264"/>
            </w:pPr>
            <w:r>
              <w:rPr>
                <w:b/>
                <w:bCs/>
                <w:color w:val="FFFFFF"/>
              </w:rPr>
              <w:t xml:space="preserve">Definition</w:t>
            </w:r>
          </w:p>
        </w:tc>
      </w:tr>
      <w:tr>
        <w:tc>
          <w:tcPr>
            <w:tcW w:type="dxa" w:w="3000"/>
            <w:tcMar>
              <w:top w:type="dxa" w:w="60"/>
              <w:left w:type="dxa" w:w="110"/>
              <w:bottom w:type="dxa" w:w="60"/>
              <w:right w:type="dxa" w:w="110"/>
            </w:tcMar>
            <w:vAlign w:val="center"/>
          </w:tcPr>
          <w:p>
            <w:pPr>
              <w:spacing w:after="0" w:line="264"/>
            </w:pPr>
            <w:r>
              <w:rPr>
                <w:b w:val="false"/>
                <w:bCs w:val="false"/>
                <w:color w:val="000000"/>
              </w:rPr>
              <w:t xml:space="preserve">Cell Numeric Accuracy</w:t>
            </w:r>
          </w:p>
        </w:tc>
        <w:tc>
          <w:tcPr>
            <w:tcW w:type="dxa" w:w="6360"/>
            <w:tcMar>
              <w:top w:type="dxa" w:w="60"/>
              <w:left w:type="dxa" w:w="110"/>
              <w:bottom w:type="dxa" w:w="60"/>
              <w:right w:type="dxa" w:w="110"/>
            </w:tcMar>
            <w:vAlign w:val="center"/>
          </w:tcPr>
          <w:p>
            <w:pPr>
              <w:spacing w:after="0" w:line="264"/>
            </w:pPr>
            <w:r>
              <w:rPr>
                <w:b w:val="false"/>
                <w:bCs w:val="false"/>
                <w:color w:val="000000"/>
              </w:rPr>
              <w:t xml:space="preserve">Fraction of numeric cells equal to ground truth (within tolerance). The headline number.</w:t>
            </w:r>
          </w:p>
        </w:tc>
      </w:tr>
      <w:tr>
        <w:tc>
          <w:tcPr>
            <w:tcW w:type="dxa" w:w="3000"/>
            <w:shd w:fill="F2F2F2" w:val="clear"/>
            <w:tcMar>
              <w:top w:type="dxa" w:w="60"/>
              <w:left w:type="dxa" w:w="110"/>
              <w:bottom w:type="dxa" w:w="60"/>
              <w:right w:type="dxa" w:w="110"/>
            </w:tcMar>
            <w:vAlign w:val="center"/>
          </w:tcPr>
          <w:p>
            <w:pPr>
              <w:spacing w:after="0" w:line="264"/>
            </w:pPr>
            <w:r>
              <w:rPr>
                <w:b w:val="false"/>
                <w:bCs w:val="false"/>
                <w:color w:val="000000"/>
              </w:rPr>
              <w:t xml:space="preserve">Grid Completion</w:t>
            </w:r>
          </w:p>
        </w:tc>
        <w:tc>
          <w:tcPr>
            <w:tcW w:type="dxa" w:w="6360"/>
            <w:shd w:fill="F2F2F2" w:val="clear"/>
            <w:tcMar>
              <w:top w:type="dxa" w:w="60"/>
              <w:left w:type="dxa" w:w="110"/>
              <w:bottom w:type="dxa" w:w="60"/>
              <w:right w:type="dxa" w:w="110"/>
            </w:tcMar>
            <w:vAlign w:val="center"/>
          </w:tcPr>
          <w:p>
            <w:pPr>
              <w:spacing w:after="0" w:line="264"/>
            </w:pPr>
            <w:r>
              <w:rPr>
                <w:b w:val="false"/>
                <w:bCs w:val="false"/>
                <w:color w:val="000000"/>
              </w:rPr>
              <w:t xml:space="preserve">Fraction of cells filled rather than failed/empty.</w:t>
            </w:r>
          </w:p>
        </w:tc>
      </w:tr>
      <w:tr>
        <w:tc>
          <w:tcPr>
            <w:tcW w:type="dxa" w:w="3000"/>
            <w:tcMar>
              <w:top w:type="dxa" w:w="60"/>
              <w:left w:type="dxa" w:w="110"/>
              <w:bottom w:type="dxa" w:w="60"/>
              <w:right w:type="dxa" w:w="110"/>
            </w:tcMar>
            <w:vAlign w:val="center"/>
          </w:tcPr>
          <w:p>
            <w:pPr>
              <w:spacing w:after="0" w:line="264"/>
            </w:pPr>
            <w:r>
              <w:rPr>
                <w:b w:val="false"/>
                <w:bCs w:val="false"/>
                <w:color w:val="000000"/>
              </w:rPr>
              <w:t xml:space="preserve">Attribution Correctness</w:t>
            </w:r>
          </w:p>
        </w:tc>
        <w:tc>
          <w:tcPr>
            <w:tcW w:type="dxa" w:w="6360"/>
            <w:tcMar>
              <w:top w:type="dxa" w:w="60"/>
              <w:left w:type="dxa" w:w="110"/>
              <w:bottom w:type="dxa" w:w="60"/>
              <w:right w:type="dxa" w:w="110"/>
            </w:tcMar>
            <w:vAlign w:val="center"/>
          </w:tcPr>
          <w:p>
            <w:pPr>
              <w:spacing w:after="0" w:line="264"/>
            </w:pPr>
            <w:r>
              <w:rPr>
                <w:b w:val="false"/>
                <w:bCs w:val="false"/>
                <w:color w:val="000000"/>
              </w:rPr>
              <w:t xml:space="preserve">Whether each cell's cited span actually contains its stated value (magnitude-aware).</w:t>
            </w:r>
          </w:p>
        </w:tc>
      </w:tr>
      <w:tr>
        <w:tc>
          <w:tcPr>
            <w:tcW w:type="dxa" w:w="3000"/>
            <w:shd w:fill="F2F2F2" w:val="clear"/>
            <w:tcMar>
              <w:top w:type="dxa" w:w="60"/>
              <w:left w:type="dxa" w:w="110"/>
              <w:bottom w:type="dxa" w:w="60"/>
              <w:right w:type="dxa" w:w="110"/>
            </w:tcMar>
            <w:vAlign w:val="center"/>
          </w:tcPr>
          <w:p>
            <w:pPr>
              <w:spacing w:after="0" w:line="264"/>
            </w:pPr>
            <w:r>
              <w:rPr>
                <w:b w:val="false"/>
                <w:bCs w:val="false"/>
                <w:color w:val="000000"/>
              </w:rPr>
              <w:t xml:space="preserve">RAGAS (optional)</w:t>
            </w:r>
          </w:p>
        </w:tc>
        <w:tc>
          <w:tcPr>
            <w:tcW w:type="dxa" w:w="6360"/>
            <w:shd w:fill="F2F2F2" w:val="clear"/>
            <w:tcMar>
              <w:top w:type="dxa" w:w="60"/>
              <w:left w:type="dxa" w:w="110"/>
              <w:bottom w:type="dxa" w:w="60"/>
              <w:right w:type="dxa" w:w="110"/>
            </w:tcMar>
            <w:vAlign w:val="center"/>
          </w:tcPr>
          <w:p>
            <w:pPr>
              <w:spacing w:after="0" w:line="264"/>
            </w:pPr>
            <w:r>
              <w:rPr>
                <w:b w:val="false"/>
                <w:bCs w:val="false"/>
                <w:color w:val="000000"/>
              </w:rPr>
              <w:t xml:space="preserve">Faithfulness / relevancy / precision / recall, behind the [eval] extra.</w:t>
            </w:r>
          </w:p>
        </w:tc>
      </w:tr>
    </w:tbl>
    <w:p>
      <w:pPr>
        <w:spacing w:after="60"/>
      </w:pPr>
      <w:r>
        <w:t xml:space="preserve"/>
      </w:r>
    </w:p>
    <w:p>
      <w:pPr>
        <w:spacing w:after="120" w:line="276"/>
      </w:pPr>
      <w:r>
        <w:t xml:space="preserve">On the bundled three-filing demo with ground truth, the reference configuration reports 100% cell numeric accuracy and 100% attribution correctness. Note that low grid completion on open-ended questions is expected and healthy: an ambitious planner may create columns the filings do not disclose, which correctly resolve to refused/empty rather than fabricated values.</w:t>
      </w:r>
    </w:p>
    <w:p>
      <w:pPr>
        <w:pStyle w:val="Heading1"/>
        <w:spacing w:after="160" w:before="320"/>
      </w:pPr>
      <w:r>
        <w:t xml:space="preserve">17. Configuration and Deployment</w:t>
      </w:r>
    </w:p>
    <w:p>
      <w:pPr>
        <w:pStyle w:val="Heading2"/>
        <w:spacing w:after="120" w:before="240"/>
      </w:pPr>
      <w:r>
        <w:t xml:space="preserve">17.1 Key settings (env, FINSIGHT_ prefix)</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4560"/>
        <w:gridCol w:w="1800"/>
      </w:tblGrid>
      <w:tr>
        <w:trPr>
          <w:tblHeader/>
        </w:trPr>
        <w:tc>
          <w:tcPr>
            <w:tcW w:type="dxa" w:w="3000"/>
            <w:shd w:fill="1F4E79" w:val="clear"/>
            <w:tcMar>
              <w:top w:type="dxa" w:w="60"/>
              <w:left w:type="dxa" w:w="110"/>
              <w:bottom w:type="dxa" w:w="60"/>
              <w:right w:type="dxa" w:w="110"/>
            </w:tcMar>
            <w:vAlign w:val="center"/>
          </w:tcPr>
          <w:p>
            <w:pPr>
              <w:spacing w:after="0" w:line="264"/>
            </w:pPr>
            <w:r>
              <w:rPr>
                <w:b/>
                <w:bCs/>
                <w:color w:val="FFFFFF"/>
              </w:rPr>
              <w:t xml:space="preserve">Setting</w:t>
            </w:r>
          </w:p>
        </w:tc>
        <w:tc>
          <w:tcPr>
            <w:tcW w:type="dxa" w:w="4560"/>
            <w:shd w:fill="1F4E79" w:val="clear"/>
            <w:tcMar>
              <w:top w:type="dxa" w:w="60"/>
              <w:left w:type="dxa" w:w="110"/>
              <w:bottom w:type="dxa" w:w="60"/>
              <w:right w:type="dxa" w:w="110"/>
            </w:tcMar>
            <w:vAlign w:val="center"/>
          </w:tcPr>
          <w:p>
            <w:pPr>
              <w:spacing w:after="0" w:line="264"/>
            </w:pPr>
            <w:r>
              <w:rPr>
                <w:b/>
                <w:bCs/>
                <w:color w:val="FFFFFF"/>
              </w:rPr>
              <w:t xml:space="preserve">Purpose</w:t>
            </w:r>
          </w:p>
        </w:tc>
        <w:tc>
          <w:tcPr>
            <w:tcW w:type="dxa" w:w="1800"/>
            <w:shd w:fill="1F4E79" w:val="clear"/>
            <w:tcMar>
              <w:top w:type="dxa" w:w="60"/>
              <w:left w:type="dxa" w:w="110"/>
              <w:bottom w:type="dxa" w:w="60"/>
              <w:right w:type="dxa" w:w="110"/>
            </w:tcMar>
            <w:vAlign w:val="center"/>
          </w:tcPr>
          <w:p>
            <w:pPr>
              <w:spacing w:after="0" w:line="264"/>
            </w:pPr>
            <w:r>
              <w:rPr>
                <w:b/>
                <w:bCs/>
                <w:color w:val="FFFFFF"/>
              </w:rPr>
              <w:t xml:space="preserve">Default</w:t>
            </w:r>
          </w:p>
        </w:tc>
      </w:tr>
      <w:tr>
        <w:tc>
          <w:tcPr>
            <w:tcW w:type="dxa" w:w="3000"/>
            <w:tcMar>
              <w:top w:type="dxa" w:w="60"/>
              <w:left w:type="dxa" w:w="110"/>
              <w:bottom w:type="dxa" w:w="60"/>
              <w:right w:type="dxa" w:w="110"/>
            </w:tcMar>
            <w:vAlign w:val="center"/>
          </w:tcPr>
          <w:p>
            <w:pPr>
              <w:spacing w:after="0" w:line="264"/>
            </w:pPr>
            <w:r>
              <w:rPr>
                <w:b w:val="false"/>
                <w:bCs w:val="false"/>
                <w:color w:val="000000"/>
              </w:rPr>
              <w:t xml:space="preserve">LLM_PROVIDER</w:t>
            </w:r>
          </w:p>
        </w:tc>
        <w:tc>
          <w:tcPr>
            <w:tcW w:type="dxa" w:w="4560"/>
            <w:tcMar>
              <w:top w:type="dxa" w:w="60"/>
              <w:left w:type="dxa" w:w="110"/>
              <w:bottom w:type="dxa" w:w="60"/>
              <w:right w:type="dxa" w:w="110"/>
            </w:tcMar>
            <w:vAlign w:val="center"/>
          </w:tcPr>
          <w:p>
            <w:pPr>
              <w:spacing w:after="0" w:line="264"/>
            </w:pPr>
            <w:r>
              <w:rPr>
                <w:b w:val="false"/>
                <w:bCs w:val="false"/>
                <w:color w:val="000000"/>
              </w:rPr>
              <w:t xml:space="preserve">anthropic | openai</w:t>
            </w:r>
          </w:p>
        </w:tc>
        <w:tc>
          <w:tcPr>
            <w:tcW w:type="dxa" w:w="1800"/>
            <w:tcMar>
              <w:top w:type="dxa" w:w="60"/>
              <w:left w:type="dxa" w:w="110"/>
              <w:bottom w:type="dxa" w:w="60"/>
              <w:right w:type="dxa" w:w="110"/>
            </w:tcMar>
            <w:vAlign w:val="center"/>
          </w:tcPr>
          <w:p>
            <w:pPr>
              <w:spacing w:after="0" w:line="264"/>
            </w:pPr>
            <w:r>
              <w:rPr>
                <w:b w:val="false"/>
                <w:bCs w:val="false"/>
                <w:color w:val="000000"/>
              </w:rPr>
              <w:t xml:space="preserve">anthropic</w:t>
            </w:r>
          </w:p>
        </w:tc>
      </w:tr>
      <w:tr>
        <w:tc>
          <w:tcPr>
            <w:tcW w:type="dxa" w:w="3000"/>
            <w:shd w:fill="F2F2F2" w:val="clear"/>
            <w:tcMar>
              <w:top w:type="dxa" w:w="60"/>
              <w:left w:type="dxa" w:w="110"/>
              <w:bottom w:type="dxa" w:w="60"/>
              <w:right w:type="dxa" w:w="110"/>
            </w:tcMar>
            <w:vAlign w:val="center"/>
          </w:tcPr>
          <w:p>
            <w:pPr>
              <w:spacing w:after="0" w:line="264"/>
            </w:pPr>
            <w:r>
              <w:rPr>
                <w:b w:val="false"/>
                <w:bCs w:val="false"/>
                <w:color w:val="000000"/>
              </w:rPr>
              <w:t xml:space="preserve">ANTHROPIC_API_KEY / OPENAI_API_KEY</w:t>
            </w:r>
          </w:p>
        </w:tc>
        <w:tc>
          <w:tcPr>
            <w:tcW w:type="dxa" w:w="4560"/>
            <w:shd w:fill="F2F2F2" w:val="clear"/>
            <w:tcMar>
              <w:top w:type="dxa" w:w="60"/>
              <w:left w:type="dxa" w:w="110"/>
              <w:bottom w:type="dxa" w:w="60"/>
              <w:right w:type="dxa" w:w="110"/>
            </w:tcMar>
            <w:vAlign w:val="center"/>
          </w:tcPr>
          <w:p>
            <w:pPr>
              <w:spacing w:after="0" w:line="264"/>
            </w:pPr>
            <w:r>
              <w:rPr>
                <w:b w:val="false"/>
                <w:bCs w:val="false"/>
                <w:color w:val="000000"/>
              </w:rPr>
              <w:t xml:space="preserve">Provider credential (blank ⇒ mock)</w:t>
            </w:r>
          </w:p>
        </w:tc>
        <w:tc>
          <w:tcPr>
            <w:tcW w:type="dxa" w:w="1800"/>
            <w:shd w:fill="F2F2F2" w:val="clear"/>
            <w:tcMar>
              <w:top w:type="dxa" w:w="60"/>
              <w:left w:type="dxa" w:w="110"/>
              <w:bottom w:type="dxa" w:w="60"/>
              <w:right w:type="dxa" w:w="110"/>
            </w:tcMar>
            <w:vAlign w:val="center"/>
          </w:tcPr>
          <w:p>
            <w:pPr>
              <w:spacing w:after="0" w:line="264"/>
            </w:pPr>
            <w:r>
              <w:rPr>
                <w:b w:val="false"/>
                <w:bCs w:val="false"/>
                <w:color w:val="000000"/>
              </w:rPr>
              <w:t xml:space="preserve">(blank)</w:t>
            </w:r>
          </w:p>
        </w:tc>
      </w:tr>
      <w:tr>
        <w:tc>
          <w:tcPr>
            <w:tcW w:type="dxa" w:w="3000"/>
            <w:tcMar>
              <w:top w:type="dxa" w:w="60"/>
              <w:left w:type="dxa" w:w="110"/>
              <w:bottom w:type="dxa" w:w="60"/>
              <w:right w:type="dxa" w:w="110"/>
            </w:tcMar>
            <w:vAlign w:val="center"/>
          </w:tcPr>
          <w:p>
            <w:pPr>
              <w:spacing w:after="0" w:line="264"/>
            </w:pPr>
            <w:r>
              <w:rPr>
                <w:b w:val="false"/>
                <w:bCs w:val="false"/>
                <w:color w:val="000000"/>
              </w:rPr>
              <w:t xml:space="preserve">MODEL_SMALL / MODEL_LARGE</w:t>
            </w:r>
          </w:p>
        </w:tc>
        <w:tc>
          <w:tcPr>
            <w:tcW w:type="dxa" w:w="4560"/>
            <w:tcMar>
              <w:top w:type="dxa" w:w="60"/>
              <w:left w:type="dxa" w:w="110"/>
              <w:bottom w:type="dxa" w:w="60"/>
              <w:right w:type="dxa" w:w="110"/>
            </w:tcMar>
            <w:vAlign w:val="center"/>
          </w:tcPr>
          <w:p>
            <w:pPr>
              <w:spacing w:after="0" w:line="264"/>
            </w:pPr>
            <w:r>
              <w:rPr>
                <w:b w:val="false"/>
                <w:bCs w:val="false"/>
                <w:color w:val="000000"/>
              </w:rPr>
              <w:t xml:space="preserve">Anthropic tier models</w:t>
            </w:r>
          </w:p>
        </w:tc>
        <w:tc>
          <w:tcPr>
            <w:tcW w:type="dxa" w:w="1800"/>
            <w:tcMar>
              <w:top w:type="dxa" w:w="60"/>
              <w:left w:type="dxa" w:w="110"/>
              <w:bottom w:type="dxa" w:w="60"/>
              <w:right w:type="dxa" w:w="110"/>
            </w:tcMar>
            <w:vAlign w:val="center"/>
          </w:tcPr>
          <w:p>
            <w:pPr>
              <w:spacing w:after="0" w:line="264"/>
            </w:pPr>
            <w:r>
              <w:rPr>
                <w:b w:val="false"/>
                <w:bCs w:val="false"/>
                <w:color w:val="000000"/>
              </w:rPr>
              <w:t xml:space="preserve">Haiku / Opus</w:t>
            </w:r>
          </w:p>
        </w:tc>
      </w:tr>
      <w:tr>
        <w:tc>
          <w:tcPr>
            <w:tcW w:type="dxa" w:w="3000"/>
            <w:shd w:fill="F2F2F2" w:val="clear"/>
            <w:tcMar>
              <w:top w:type="dxa" w:w="60"/>
              <w:left w:type="dxa" w:w="110"/>
              <w:bottom w:type="dxa" w:w="60"/>
              <w:right w:type="dxa" w:w="110"/>
            </w:tcMar>
            <w:vAlign w:val="center"/>
          </w:tcPr>
          <w:p>
            <w:pPr>
              <w:spacing w:after="0" w:line="264"/>
            </w:pPr>
            <w:r>
              <w:rPr>
                <w:b w:val="false"/>
                <w:bCs w:val="false"/>
                <w:color w:val="000000"/>
              </w:rPr>
              <w:t xml:space="preserve">OPENAI_MODEL_SMALL / _LARGE</w:t>
            </w:r>
          </w:p>
        </w:tc>
        <w:tc>
          <w:tcPr>
            <w:tcW w:type="dxa" w:w="4560"/>
            <w:shd w:fill="F2F2F2" w:val="clear"/>
            <w:tcMar>
              <w:top w:type="dxa" w:w="60"/>
              <w:left w:type="dxa" w:w="110"/>
              <w:bottom w:type="dxa" w:w="60"/>
              <w:right w:type="dxa" w:w="110"/>
            </w:tcMar>
            <w:vAlign w:val="center"/>
          </w:tcPr>
          <w:p>
            <w:pPr>
              <w:spacing w:after="0" w:line="264"/>
            </w:pPr>
            <w:r>
              <w:rPr>
                <w:b w:val="false"/>
                <w:bCs w:val="false"/>
                <w:color w:val="000000"/>
              </w:rPr>
              <w:t xml:space="preserve">OpenAI tier models</w:t>
            </w:r>
          </w:p>
        </w:tc>
        <w:tc>
          <w:tcPr>
            <w:tcW w:type="dxa" w:w="1800"/>
            <w:shd w:fill="F2F2F2" w:val="clear"/>
            <w:tcMar>
              <w:top w:type="dxa" w:w="60"/>
              <w:left w:type="dxa" w:w="110"/>
              <w:bottom w:type="dxa" w:w="60"/>
              <w:right w:type="dxa" w:w="110"/>
            </w:tcMar>
            <w:vAlign w:val="center"/>
          </w:tcPr>
          <w:p>
            <w:pPr>
              <w:spacing w:after="0" w:line="264"/>
            </w:pPr>
            <w:r>
              <w:rPr>
                <w:b w:val="false"/>
                <w:bCs w:val="false"/>
                <w:color w:val="000000"/>
              </w:rPr>
              <w:t xml:space="preserve">gpt-4o-mini</w:t>
            </w:r>
          </w:p>
        </w:tc>
      </w:tr>
      <w:tr>
        <w:tc>
          <w:tcPr>
            <w:tcW w:type="dxa" w:w="3000"/>
            <w:tcMar>
              <w:top w:type="dxa" w:w="60"/>
              <w:left w:type="dxa" w:w="110"/>
              <w:bottom w:type="dxa" w:w="60"/>
              <w:right w:type="dxa" w:w="110"/>
            </w:tcMar>
            <w:vAlign w:val="center"/>
          </w:tcPr>
          <w:p>
            <w:pPr>
              <w:spacing w:after="0" w:line="264"/>
            </w:pPr>
            <w:r>
              <w:rPr>
                <w:b w:val="false"/>
                <w:bCs w:val="false"/>
                <w:color w:val="000000"/>
              </w:rPr>
              <w:t xml:space="preserve">MAX_CONCURRENCY</w:t>
            </w:r>
          </w:p>
        </w:tc>
        <w:tc>
          <w:tcPr>
            <w:tcW w:type="dxa" w:w="4560"/>
            <w:tcMar>
              <w:top w:type="dxa" w:w="60"/>
              <w:left w:type="dxa" w:w="110"/>
              <w:bottom w:type="dxa" w:w="60"/>
              <w:right w:type="dxa" w:w="110"/>
            </w:tcMar>
            <w:vAlign w:val="center"/>
          </w:tcPr>
          <w:p>
            <w:pPr>
              <w:spacing w:after="0" w:line="264"/>
            </w:pPr>
            <w:r>
              <w:rPr>
                <w:b w:val="false"/>
                <w:bCs w:val="false"/>
                <w:color w:val="000000"/>
              </w:rPr>
              <w:t xml:space="preserve">Fan-out semaphore size</w:t>
            </w:r>
          </w:p>
        </w:tc>
        <w:tc>
          <w:tcPr>
            <w:tcW w:type="dxa" w:w="1800"/>
            <w:tcMar>
              <w:top w:type="dxa" w:w="60"/>
              <w:left w:type="dxa" w:w="110"/>
              <w:bottom w:type="dxa" w:w="60"/>
              <w:right w:type="dxa" w:w="110"/>
            </w:tcMar>
            <w:vAlign w:val="center"/>
          </w:tcPr>
          <w:p>
            <w:pPr>
              <w:spacing w:after="0" w:line="264"/>
            </w:pPr>
            <w:r>
              <w:rPr>
                <w:b w:val="false"/>
                <w:bCs w:val="false"/>
                <w:color w:val="000000"/>
              </w:rPr>
              <w:t xml:space="preserve">8</w:t>
            </w:r>
          </w:p>
        </w:tc>
      </w:tr>
      <w:tr>
        <w:tc>
          <w:tcPr>
            <w:tcW w:type="dxa" w:w="3000"/>
            <w:shd w:fill="F2F2F2" w:val="clear"/>
            <w:tcMar>
              <w:top w:type="dxa" w:w="60"/>
              <w:left w:type="dxa" w:w="110"/>
              <w:bottom w:type="dxa" w:w="60"/>
              <w:right w:type="dxa" w:w="110"/>
            </w:tcMar>
            <w:vAlign w:val="center"/>
          </w:tcPr>
          <w:p>
            <w:pPr>
              <w:spacing w:after="0" w:line="264"/>
            </w:pPr>
            <w:r>
              <w:rPr>
                <w:b w:val="false"/>
                <w:bCs w:val="false"/>
                <w:color w:val="000000"/>
              </w:rPr>
              <w:t xml:space="preserve">MOCK_LLM</w:t>
            </w:r>
          </w:p>
        </w:tc>
        <w:tc>
          <w:tcPr>
            <w:tcW w:type="dxa" w:w="4560"/>
            <w:shd w:fill="F2F2F2" w:val="clear"/>
            <w:tcMar>
              <w:top w:type="dxa" w:w="60"/>
              <w:left w:type="dxa" w:w="110"/>
              <w:bottom w:type="dxa" w:w="60"/>
              <w:right w:type="dxa" w:w="110"/>
            </w:tcMar>
            <w:vAlign w:val="center"/>
          </w:tcPr>
          <w:p>
            <w:pPr>
              <w:spacing w:after="0" w:line="264"/>
            </w:pPr>
            <w:r>
              <w:rPr>
                <w:b w:val="false"/>
                <w:bCs w:val="false"/>
                <w:color w:val="000000"/>
              </w:rPr>
              <w:t xml:space="preserve">Force offline mock even with a key</w:t>
            </w:r>
          </w:p>
        </w:tc>
        <w:tc>
          <w:tcPr>
            <w:tcW w:type="dxa" w:w="1800"/>
            <w:shd w:fill="F2F2F2" w:val="clear"/>
            <w:tcMar>
              <w:top w:type="dxa" w:w="60"/>
              <w:left w:type="dxa" w:w="110"/>
              <w:bottom w:type="dxa" w:w="60"/>
              <w:right w:type="dxa" w:w="110"/>
            </w:tcMar>
            <w:vAlign w:val="center"/>
          </w:tcPr>
          <w:p>
            <w:pPr>
              <w:spacing w:after="0" w:line="264"/>
            </w:pPr>
            <w:r>
              <w:rPr>
                <w:b w:val="false"/>
                <w:bCs w:val="false"/>
                <w:color w:val="000000"/>
              </w:rPr>
              <w:t xml:space="preserve">false</w:t>
            </w:r>
          </w:p>
        </w:tc>
      </w:tr>
    </w:tbl>
    <w:p>
      <w:pPr>
        <w:pStyle w:val="Heading2"/>
        <w:spacing w:after="120" w:before="240"/>
      </w:pPr>
      <w:r>
        <w:t xml:space="preserve">17.2 Optional dependency extras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800"/>
        <w:gridCol w:w="7560"/>
      </w:tblGrid>
      <w:tr>
        <w:trPr>
          <w:tblHeader/>
        </w:trPr>
        <w:tc>
          <w:tcPr>
            <w:tcW w:type="dxa" w:w="1800"/>
            <w:shd w:fill="1F4E79" w:val="clear"/>
            <w:tcMar>
              <w:top w:type="dxa" w:w="60"/>
              <w:left w:type="dxa" w:w="110"/>
              <w:bottom w:type="dxa" w:w="60"/>
              <w:right w:type="dxa" w:w="110"/>
            </w:tcMar>
            <w:vAlign w:val="center"/>
          </w:tcPr>
          <w:p>
            <w:pPr>
              <w:spacing w:after="0" w:line="264"/>
            </w:pPr>
            <w:r>
              <w:rPr>
                <w:b/>
                <w:bCs/>
                <w:color w:val="FFFFFF"/>
              </w:rPr>
              <w:t xml:space="preserve">Extra</w:t>
            </w:r>
          </w:p>
        </w:tc>
        <w:tc>
          <w:tcPr>
            <w:tcW w:type="dxa" w:w="7560"/>
            <w:shd w:fill="1F4E79" w:val="clear"/>
            <w:tcMar>
              <w:top w:type="dxa" w:w="60"/>
              <w:left w:type="dxa" w:w="110"/>
              <w:bottom w:type="dxa" w:w="60"/>
              <w:right w:type="dxa" w:w="110"/>
            </w:tcMar>
            <w:vAlign w:val="center"/>
          </w:tcPr>
          <w:p>
            <w:pPr>
              <w:spacing w:after="0" w:line="264"/>
            </w:pPr>
            <w:r>
              <w:rPr>
                <w:b/>
                <w:bCs/>
                <w:color w:val="FFFFFF"/>
              </w:rPr>
              <w:t xml:space="preserve">Adds</w:t>
            </w:r>
          </w:p>
        </w:tc>
      </w:tr>
      <w:tr>
        <w:tc>
          <w:tcPr>
            <w:tcW w:type="dxa" w:w="1800"/>
            <w:tcMar>
              <w:top w:type="dxa" w:w="60"/>
              <w:left w:type="dxa" w:w="110"/>
              <w:bottom w:type="dxa" w:w="60"/>
              <w:right w:type="dxa" w:w="110"/>
            </w:tcMar>
            <w:vAlign w:val="center"/>
          </w:tcPr>
          <w:p>
            <w:pPr>
              <w:spacing w:after="0" w:line="264"/>
            </w:pPr>
            <w:r>
              <w:rPr>
                <w:b w:val="false"/>
                <w:bCs w:val="false"/>
                <w:color w:val="000000"/>
              </w:rPr>
              <w:t xml:space="preserve">[ml]</w:t>
            </w:r>
          </w:p>
        </w:tc>
        <w:tc>
          <w:tcPr>
            <w:tcW w:type="dxa" w:w="7560"/>
            <w:tcMar>
              <w:top w:type="dxa" w:w="60"/>
              <w:left w:type="dxa" w:w="110"/>
              <w:bottom w:type="dxa" w:w="60"/>
              <w:right w:type="dxa" w:w="110"/>
            </w:tcMar>
            <w:vAlign w:val="center"/>
          </w:tcPr>
          <w:p>
            <w:pPr>
              <w:spacing w:after="0" w:line="264"/>
            </w:pPr>
            <w:r>
              <w:rPr>
                <w:b w:val="false"/>
                <w:bCs w:val="false"/>
                <w:color w:val="000000"/>
              </w:rPr>
              <w:t xml:space="preserve">BGE embeddings (sentence-transformers), FAISS, cross-encoder rerank.</w:t>
            </w:r>
          </w:p>
        </w:tc>
      </w:tr>
      <w:tr>
        <w:tc>
          <w:tcPr>
            <w:tcW w:type="dxa" w:w="1800"/>
            <w:shd w:fill="F2F2F2" w:val="clear"/>
            <w:tcMar>
              <w:top w:type="dxa" w:w="60"/>
              <w:left w:type="dxa" w:w="110"/>
              <w:bottom w:type="dxa" w:w="60"/>
              <w:right w:type="dxa" w:w="110"/>
            </w:tcMar>
            <w:vAlign w:val="center"/>
          </w:tcPr>
          <w:p>
            <w:pPr>
              <w:spacing w:after="0" w:line="264"/>
            </w:pPr>
            <w:r>
              <w:rPr>
                <w:b w:val="false"/>
                <w:bCs w:val="false"/>
                <w:color w:val="000000"/>
              </w:rPr>
              <w:t xml:space="preserve">[ingest]</w:t>
            </w:r>
          </w:p>
        </w:tc>
        <w:tc>
          <w:tcPr>
            <w:tcW w:type="dxa" w:w="7560"/>
            <w:shd w:fill="F2F2F2" w:val="clear"/>
            <w:tcMar>
              <w:top w:type="dxa" w:w="60"/>
              <w:left w:type="dxa" w:w="110"/>
              <w:bottom w:type="dxa" w:w="60"/>
              <w:right w:type="dxa" w:w="110"/>
            </w:tcMar>
            <w:vAlign w:val="center"/>
          </w:tcPr>
          <w:p>
            <w:pPr>
              <w:spacing w:after="0" w:line="264"/>
            </w:pPr>
            <w:r>
              <w:rPr>
                <w:b w:val="false"/>
                <w:bCs w:val="false"/>
                <w:color w:val="000000"/>
              </w:rPr>
              <w:t xml:space="preserve">Real PDF/DOCX/XLSX parsing (pdfplumber, PyMuPDF, python-docx, openpyxl).</w:t>
            </w:r>
          </w:p>
        </w:tc>
      </w:tr>
      <w:tr>
        <w:tc>
          <w:tcPr>
            <w:tcW w:type="dxa" w:w="1800"/>
            <w:tcMar>
              <w:top w:type="dxa" w:w="60"/>
              <w:left w:type="dxa" w:w="110"/>
              <w:bottom w:type="dxa" w:w="60"/>
              <w:right w:type="dxa" w:w="110"/>
            </w:tcMar>
            <w:vAlign w:val="center"/>
          </w:tcPr>
          <w:p>
            <w:pPr>
              <w:spacing w:after="0" w:line="264"/>
            </w:pPr>
            <w:r>
              <w:rPr>
                <w:b w:val="false"/>
                <w:bCs w:val="false"/>
                <w:color w:val="000000"/>
              </w:rPr>
              <w:t xml:space="preserve">[ui]</w:t>
            </w:r>
          </w:p>
        </w:tc>
        <w:tc>
          <w:tcPr>
            <w:tcW w:type="dxa" w:w="7560"/>
            <w:tcMar>
              <w:top w:type="dxa" w:w="60"/>
              <w:left w:type="dxa" w:w="110"/>
              <w:bottom w:type="dxa" w:w="60"/>
              <w:right w:type="dxa" w:w="110"/>
            </w:tcMar>
            <w:vAlign w:val="center"/>
          </w:tcPr>
          <w:p>
            <w:pPr>
              <w:spacing w:after="0" w:line="264"/>
            </w:pPr>
            <w:r>
              <w:rPr>
                <w:b w:val="false"/>
                <w:bCs w:val="false"/>
                <w:color w:val="000000"/>
              </w:rPr>
              <w:t xml:space="preserve">Streamlit grid UI (streamlit, streamlit-aggrid).</w:t>
            </w:r>
          </w:p>
        </w:tc>
      </w:tr>
      <w:tr>
        <w:tc>
          <w:tcPr>
            <w:tcW w:type="dxa" w:w="1800"/>
            <w:shd w:fill="F2F2F2" w:val="clear"/>
            <w:tcMar>
              <w:top w:type="dxa" w:w="60"/>
              <w:left w:type="dxa" w:w="110"/>
              <w:bottom w:type="dxa" w:w="60"/>
              <w:right w:type="dxa" w:w="110"/>
            </w:tcMar>
            <w:vAlign w:val="center"/>
          </w:tcPr>
          <w:p>
            <w:pPr>
              <w:spacing w:after="0" w:line="264"/>
            </w:pPr>
            <w:r>
              <w:rPr>
                <w:b w:val="false"/>
                <w:bCs w:val="false"/>
                <w:color w:val="000000"/>
              </w:rPr>
              <w:t xml:space="preserve">[eval]</w:t>
            </w:r>
          </w:p>
        </w:tc>
        <w:tc>
          <w:tcPr>
            <w:tcW w:type="dxa" w:w="7560"/>
            <w:shd w:fill="F2F2F2" w:val="clear"/>
            <w:tcMar>
              <w:top w:type="dxa" w:w="60"/>
              <w:left w:type="dxa" w:w="110"/>
              <w:bottom w:type="dxa" w:w="60"/>
              <w:right w:type="dxa" w:w="110"/>
            </w:tcMar>
            <w:vAlign w:val="center"/>
          </w:tcPr>
          <w:p>
            <w:pPr>
              <w:spacing w:after="0" w:line="264"/>
            </w:pPr>
            <w:r>
              <w:rPr>
                <w:b w:val="false"/>
                <w:bCs w:val="false"/>
                <w:color w:val="000000"/>
              </w:rPr>
              <w:t xml:space="preserve">RAGAS retrieval metrics.</w:t>
            </w:r>
          </w:p>
        </w:tc>
      </w:tr>
      <w:tr>
        <w:tc>
          <w:tcPr>
            <w:tcW w:type="dxa" w:w="1800"/>
            <w:tcMar>
              <w:top w:type="dxa" w:w="60"/>
              <w:left w:type="dxa" w:w="110"/>
              <w:bottom w:type="dxa" w:w="60"/>
              <w:right w:type="dxa" w:w="110"/>
            </w:tcMar>
            <w:vAlign w:val="center"/>
          </w:tcPr>
          <w:p>
            <w:pPr>
              <w:spacing w:after="0" w:line="264"/>
            </w:pPr>
            <w:r>
              <w:rPr>
                <w:b w:val="false"/>
                <w:bCs w:val="false"/>
                <w:color w:val="000000"/>
              </w:rPr>
              <w:t xml:space="preserve">[dev]</w:t>
            </w:r>
          </w:p>
        </w:tc>
        <w:tc>
          <w:tcPr>
            <w:tcW w:type="dxa" w:w="7560"/>
            <w:tcMar>
              <w:top w:type="dxa" w:w="60"/>
              <w:left w:type="dxa" w:w="110"/>
              <w:bottom w:type="dxa" w:w="60"/>
              <w:right w:type="dxa" w:w="110"/>
            </w:tcMar>
            <w:vAlign w:val="center"/>
          </w:tcPr>
          <w:p>
            <w:pPr>
              <w:spacing w:after="0" w:line="264"/>
            </w:pPr>
            <w:r>
              <w:rPr>
                <w:b w:val="false"/>
                <w:bCs w:val="false"/>
                <w:color w:val="000000"/>
              </w:rPr>
              <w:t xml:space="preserve">pytest, pytest-asyncio, ruff.</w:t>
            </w:r>
          </w:p>
        </w:tc>
      </w:tr>
    </w:tbl>
    <w:p>
      <w:pPr>
        <w:pStyle w:val="Heading2"/>
        <w:spacing w:after="120" w:before="240"/>
      </w:pPr>
      <w:r>
        <w:t xml:space="preserve">17.3 Quickstart</w:t>
      </w:r>
    </w:p>
    <w:p>
      <w:pPr>
        <w:pStyle w:val="ListParagraph"/>
        <w:numPr>
          <w:ilvl w:val="0"/>
          <w:numId w:val="3"/>
        </w:numPr>
        <w:spacing w:after="60" w:line="270"/>
      </w:pPr>
      <w:r>
        <w:t xml:space="preserve">Create a venv and install: pip install -e ".[ui]" (add [ingest] for real PDFs).</w:t>
      </w:r>
    </w:p>
    <w:p>
      <w:pPr>
        <w:pStyle w:val="ListParagraph"/>
        <w:numPr>
          <w:ilvl w:val="0"/>
          <w:numId w:val="3"/>
        </w:numPr>
        <w:spacing w:after="60" w:line="270"/>
      </w:pPr>
      <w:r>
        <w:t xml:space="preserve">Run offline: finsight info / finsight ask "…" / finsight eval — no key required.</w:t>
      </w:r>
    </w:p>
    <w:p>
      <w:pPr>
        <w:pStyle w:val="ListParagraph"/>
        <w:numPr>
          <w:ilvl w:val="0"/>
          <w:numId w:val="3"/>
        </w:numPr>
        <w:spacing w:after="60" w:line="270"/>
      </w:pPr>
      <w:r>
        <w:t xml:space="preserve">Go live: copy .env.example to .env, set the provider and key, restart.</w:t>
      </w:r>
    </w:p>
    <w:p>
      <w:pPr>
        <w:pStyle w:val="ListParagraph"/>
        <w:numPr>
          <w:ilvl w:val="0"/>
          <w:numId w:val="3"/>
        </w:numPr>
        <w:spacing w:after="60" w:line="270"/>
      </w:pPr>
      <w:r>
        <w:t xml:space="preserve">UI: streamlit run app/streamlit_app.py, upload filings, ask a cross-document question.</w:t>
      </w:r>
    </w:p>
    <w:p>
      <w:pPr>
        <w:pStyle w:val="Heading1"/>
        <w:spacing w:after="160" w:before="320"/>
      </w:pPr>
      <w:r>
        <w:t xml:space="preserve">18. Security and Compliance Considerations</w:t>
      </w:r>
    </w:p>
    <w:p>
      <w:pPr>
        <w:pStyle w:val="ListParagraph"/>
        <w:numPr>
          <w:ilvl w:val="0"/>
          <w:numId w:val="2"/>
        </w:numPr>
        <w:spacing w:after="60" w:line="270"/>
      </w:pPr>
      <w:r>
        <w:rPr>
          <w:b/>
          <w:bCs/>
        </w:rPr>
        <w:t xml:space="preserve">Secret handling. </w:t>
      </w:r>
      <w:r>
        <w:t xml:space="preserve">Keys live in a gitignored .env and are never committed; the client trims and validates them. Keys pasted into shared channels should be rotated.</w:t>
      </w:r>
    </w:p>
    <w:p>
      <w:pPr>
        <w:pStyle w:val="ListParagraph"/>
        <w:numPr>
          <w:ilvl w:val="0"/>
          <w:numId w:val="2"/>
        </w:numPr>
        <w:spacing w:after="60" w:line="270"/>
      </w:pPr>
      <w:r>
        <w:rPr>
          <w:b/>
          <w:bCs/>
        </w:rPr>
        <w:t xml:space="preserve">Data residency. </w:t>
      </w:r>
      <w:r>
        <w:t xml:space="preserve">In mock mode no data leaves the machine. In live mode, only scoped spans and the grid table are sent to the chosen provider; raw documents are not bulk-uploaded.</w:t>
      </w:r>
    </w:p>
    <w:p>
      <w:pPr>
        <w:pStyle w:val="ListParagraph"/>
        <w:numPr>
          <w:ilvl w:val="0"/>
          <w:numId w:val="2"/>
        </w:numPr>
        <w:spacing w:after="60" w:line="270"/>
      </w:pPr>
      <w:r>
        <w:rPr>
          <w:b/>
          <w:bCs/>
        </w:rPr>
        <w:t xml:space="preserve">Least exposure. </w:t>
      </w:r>
      <w:r>
        <w:t xml:space="preserve">The numeric core, calc engine, and verification run locally regardless of provider.</w:t>
      </w:r>
    </w:p>
    <w:p>
      <w:pPr>
        <w:pStyle w:val="ListParagraph"/>
        <w:numPr>
          <w:ilvl w:val="0"/>
          <w:numId w:val="2"/>
        </w:numPr>
        <w:spacing w:after="60" w:line="270"/>
      </w:pPr>
      <w:r>
        <w:rPr>
          <w:b/>
          <w:bCs/>
        </w:rPr>
        <w:t xml:space="preserve">Auditability. </w:t>
      </w:r>
      <w:r>
        <w:t xml:space="preserve">Per-cell provenance supports review and post-hoc verification of every figure.</w:t>
      </w:r>
    </w:p>
    <w:p>
      <w:pPr>
        <w:pStyle w:val="ListParagraph"/>
        <w:numPr>
          <w:ilvl w:val="0"/>
          <w:numId w:val="2"/>
        </w:numPr>
        <w:spacing w:after="60" w:line="270"/>
      </w:pPr>
      <w:r>
        <w:rPr>
          <w:b/>
          <w:bCs/>
        </w:rPr>
        <w:t xml:space="preserve">Determinism for sensitive use. </w:t>
      </w:r>
      <w:r>
        <w:t xml:space="preserve">Because numbers never depend on the model, switching providers or running offline does not change the figures.</w:t>
      </w:r>
    </w:p>
    <w:p>
      <w:pPr>
        <w:pStyle w:val="Heading1"/>
        <w:spacing w:after="160" w:before="320"/>
      </w:pPr>
      <w:r>
        <w:t xml:space="preserve">19. Performance and Scalability</w:t>
      </w:r>
    </w:p>
    <w:p>
      <w:pPr>
        <w:pStyle w:val="ListParagraph"/>
        <w:numPr>
          <w:ilvl w:val="0"/>
          <w:numId w:val="2"/>
        </w:numPr>
        <w:spacing w:after="60" w:line="270"/>
      </w:pPr>
      <w:r>
        <w:rPr>
          <w:b/>
          <w:bCs/>
        </w:rPr>
        <w:t xml:space="preserve">Parallel fan-out. </w:t>
      </w:r>
      <w:r>
        <w:t xml:space="preserve">Independent cells run concurrently under a semaphore; throughput scales with the concurrency cap and provider limits.</w:t>
      </w:r>
    </w:p>
    <w:p>
      <w:pPr>
        <w:pStyle w:val="ListParagraph"/>
        <w:numPr>
          <w:ilvl w:val="0"/>
          <w:numId w:val="2"/>
        </w:numPr>
        <w:spacing w:after="60" w:line="270"/>
      </w:pPr>
      <w:r>
        <w:rPr>
          <w:b/>
          <w:bCs/>
        </w:rPr>
        <w:t xml:space="preserve">Built-once front half. </w:t>
      </w:r>
      <w:r>
        <w:t xml:space="preserve">Ingestion, chunking, the numeric store, and the index are constructed once per corpus and reused across queries.</w:t>
      </w:r>
    </w:p>
    <w:p>
      <w:pPr>
        <w:pStyle w:val="ListParagraph"/>
        <w:numPr>
          <w:ilvl w:val="0"/>
          <w:numId w:val="2"/>
        </w:numPr>
        <w:spacing w:after="60" w:line="270"/>
      </w:pPr>
      <w:r>
        <w:rPr>
          <w:b/>
          <w:bCs/>
        </w:rPr>
        <w:t xml:space="preserve">Cache amortization. </w:t>
      </w:r>
      <w:r>
        <w:t xml:space="preserve">Repeated (document, sub-question) pairs are free; iterating on one column recomputes only that column.</w:t>
      </w:r>
    </w:p>
    <w:p>
      <w:pPr>
        <w:pStyle w:val="ListParagraph"/>
        <w:numPr>
          <w:ilvl w:val="0"/>
          <w:numId w:val="2"/>
        </w:numPr>
        <w:spacing w:after="60" w:line="270"/>
      </w:pPr>
      <w:r>
        <w:rPr>
          <w:b/>
          <w:bCs/>
        </w:rPr>
        <w:t xml:space="preserve">Cheap fast path. </w:t>
      </w:r>
      <w:r>
        <w:t xml:space="preserve">Numeric and ratio cells avoid the LLM entirely, so figure-heavy questions are dominated by local compute.</w:t>
      </w:r>
    </w:p>
    <w:p>
      <w:pPr>
        <w:pStyle w:val="ListParagraph"/>
        <w:numPr>
          <w:ilvl w:val="0"/>
          <w:numId w:val="2"/>
        </w:numPr>
        <w:spacing w:after="60" w:line="270"/>
      </w:pPr>
      <w:r>
        <w:rPr>
          <w:b/>
          <w:bCs/>
        </w:rPr>
        <w:t xml:space="preserve">Backend scaling. </w:t>
      </w:r>
      <w:r>
        <w:t xml:space="preserve">Embeddings/index swap from pure-Python fallbacks to BGE + FAISS without code changes for larger corpora.</w:t>
      </w:r>
    </w:p>
    <w:p>
      <w:pPr>
        <w:pStyle w:val="Heading1"/>
        <w:spacing w:after="160" w:before="320"/>
      </w:pPr>
      <w:r>
        <w:t xml:space="preserve">20. Technology Stack</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3580"/>
        <w:gridCol w:w="3180"/>
      </w:tblGrid>
      <w:tr>
        <w:trPr>
          <w:tblHeader/>
        </w:trPr>
        <w:tc>
          <w:tcPr>
            <w:tcW w:type="dxa" w:w="2600"/>
            <w:shd w:fill="1F4E79" w:val="clear"/>
            <w:tcMar>
              <w:top w:type="dxa" w:w="60"/>
              <w:left w:type="dxa" w:w="110"/>
              <w:bottom w:type="dxa" w:w="60"/>
              <w:right w:type="dxa" w:w="110"/>
            </w:tcMar>
            <w:vAlign w:val="center"/>
          </w:tcPr>
          <w:p>
            <w:pPr>
              <w:spacing w:after="0" w:line="264"/>
            </w:pPr>
            <w:r>
              <w:rPr>
                <w:b/>
                <w:bCs/>
                <w:color w:val="FFFFFF"/>
              </w:rPr>
              <w:t xml:space="preserve">Concern</w:t>
            </w:r>
          </w:p>
        </w:tc>
        <w:tc>
          <w:tcPr>
            <w:tcW w:type="dxa" w:w="3580"/>
            <w:shd w:fill="1F4E79" w:val="clear"/>
            <w:tcMar>
              <w:top w:type="dxa" w:w="60"/>
              <w:left w:type="dxa" w:w="110"/>
              <w:bottom w:type="dxa" w:w="60"/>
              <w:right w:type="dxa" w:w="110"/>
            </w:tcMar>
            <w:vAlign w:val="center"/>
          </w:tcPr>
          <w:p>
            <w:pPr>
              <w:spacing w:after="0" w:line="264"/>
            </w:pPr>
            <w:r>
              <w:rPr>
                <w:b/>
                <w:bCs/>
                <w:color w:val="FFFFFF"/>
              </w:rPr>
              <w:t xml:space="preserve">Reference (default)</w:t>
            </w:r>
          </w:p>
        </w:tc>
        <w:tc>
          <w:tcPr>
            <w:tcW w:type="dxa" w:w="3180"/>
            <w:shd w:fill="1F4E79" w:val="clear"/>
            <w:tcMar>
              <w:top w:type="dxa" w:w="60"/>
              <w:left w:type="dxa" w:w="110"/>
              <w:bottom w:type="dxa" w:w="60"/>
              <w:right w:type="dxa" w:w="110"/>
            </w:tcMar>
            <w:vAlign w:val="center"/>
          </w:tcPr>
          <w:p>
            <w:pPr>
              <w:spacing w:after="0" w:line="264"/>
            </w:pPr>
            <w:r>
              <w:rPr>
                <w:b/>
                <w:bCs/>
                <w:color w:val="FFFFFF"/>
              </w:rPr>
              <w:t xml:space="preserve">Heavy (optional)</w:t>
            </w:r>
          </w:p>
        </w:tc>
      </w:tr>
      <w:tr>
        <w:tc>
          <w:tcPr>
            <w:tcW w:type="dxa" w:w="2600"/>
            <w:tcMar>
              <w:top w:type="dxa" w:w="60"/>
              <w:left w:type="dxa" w:w="110"/>
              <w:bottom w:type="dxa" w:w="60"/>
              <w:right w:type="dxa" w:w="110"/>
            </w:tcMar>
            <w:vAlign w:val="center"/>
          </w:tcPr>
          <w:p>
            <w:pPr>
              <w:spacing w:after="0" w:line="264"/>
            </w:pPr>
            <w:r>
              <w:rPr>
                <w:b w:val="false"/>
                <w:bCs w:val="false"/>
                <w:color w:val="000000"/>
              </w:rPr>
              <w:t xml:space="preserve">Language / runtime</w:t>
            </w:r>
          </w:p>
        </w:tc>
        <w:tc>
          <w:tcPr>
            <w:tcW w:type="dxa" w:w="3580"/>
            <w:tcMar>
              <w:top w:type="dxa" w:w="60"/>
              <w:left w:type="dxa" w:w="110"/>
              <w:bottom w:type="dxa" w:w="60"/>
              <w:right w:type="dxa" w:w="110"/>
            </w:tcMar>
            <w:vAlign w:val="center"/>
          </w:tcPr>
          <w:p>
            <w:pPr>
              <w:spacing w:after="0" w:line="264"/>
            </w:pPr>
            <w:r>
              <w:rPr>
                <w:b w:val="false"/>
                <w:bCs w:val="false"/>
                <w:color w:val="000000"/>
              </w:rPr>
              <w:t xml:space="preserve">Python 3.10+ (asyncio)</w:t>
            </w:r>
          </w:p>
        </w:tc>
        <w:tc>
          <w:tcPr>
            <w:tcW w:type="dxa" w:w="3180"/>
            <w:tcMar>
              <w:top w:type="dxa" w:w="60"/>
              <w:left w:type="dxa" w:w="110"/>
              <w:bottom w:type="dxa" w:w="60"/>
              <w:right w:type="dxa" w:w="110"/>
            </w:tcMar>
            <w:vAlign w:val="center"/>
          </w:tcPr>
          <w:p>
            <w:pPr>
              <w:spacing w:after="0" w:line="264"/>
            </w:pPr>
            <w:r>
              <w:rPr>
                <w:b w:val="false"/>
                <w:bCs w:val="false"/>
                <w:color w:val="000000"/>
              </w:rPr>
              <w:t xml:space="preserve">—</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rPr>
              <w:t xml:space="preserve">Data model / validation</w:t>
            </w:r>
          </w:p>
        </w:tc>
        <w:tc>
          <w:tcPr>
            <w:tcW w:type="dxa" w:w="3580"/>
            <w:shd w:fill="F2F2F2" w:val="clear"/>
            <w:tcMar>
              <w:top w:type="dxa" w:w="60"/>
              <w:left w:type="dxa" w:w="110"/>
              <w:bottom w:type="dxa" w:w="60"/>
              <w:right w:type="dxa" w:w="110"/>
            </w:tcMar>
            <w:vAlign w:val="center"/>
          </w:tcPr>
          <w:p>
            <w:pPr>
              <w:spacing w:after="0" w:line="264"/>
            </w:pPr>
            <w:r>
              <w:rPr>
                <w:b w:val="false"/>
                <w:bCs w:val="false"/>
                <w:color w:val="000000"/>
              </w:rPr>
              <w:t xml:space="preserve">Pydantic v2, pydantic-settings</w:t>
            </w:r>
          </w:p>
        </w:tc>
        <w:tc>
          <w:tcPr>
            <w:tcW w:type="dxa" w:w="3180"/>
            <w:shd w:fill="F2F2F2" w:val="clear"/>
            <w:tcMar>
              <w:top w:type="dxa" w:w="60"/>
              <w:left w:type="dxa" w:w="110"/>
              <w:bottom w:type="dxa" w:w="60"/>
              <w:right w:type="dxa" w:w="110"/>
            </w:tcMar>
            <w:vAlign w:val="center"/>
          </w:tcPr>
          <w:p>
            <w:pPr>
              <w:spacing w:after="0" w:line="264"/>
            </w:pPr>
            <w:r>
              <w:rPr>
                <w:b w:val="false"/>
                <w:bCs w:val="false"/>
                <w:color w:val="000000"/>
              </w:rPr>
              <w:t xml:space="preserve">—</w:t>
            </w:r>
          </w:p>
        </w:tc>
      </w:tr>
      <w:tr>
        <w:tc>
          <w:tcPr>
            <w:tcW w:type="dxa" w:w="2600"/>
            <w:tcMar>
              <w:top w:type="dxa" w:w="60"/>
              <w:left w:type="dxa" w:w="110"/>
              <w:bottom w:type="dxa" w:w="60"/>
              <w:right w:type="dxa" w:w="110"/>
            </w:tcMar>
            <w:vAlign w:val="center"/>
          </w:tcPr>
          <w:p>
            <w:pPr>
              <w:spacing w:after="0" w:line="264"/>
            </w:pPr>
            <w:r>
              <w:rPr>
                <w:b w:val="false"/>
                <w:bCs w:val="false"/>
                <w:color w:val="000000"/>
              </w:rPr>
              <w:t xml:space="preserve">Dense embeddings</w:t>
            </w:r>
          </w:p>
        </w:tc>
        <w:tc>
          <w:tcPr>
            <w:tcW w:type="dxa" w:w="3580"/>
            <w:tcMar>
              <w:top w:type="dxa" w:w="60"/>
              <w:left w:type="dxa" w:w="110"/>
              <w:bottom w:type="dxa" w:w="60"/>
              <w:right w:type="dxa" w:w="110"/>
            </w:tcMar>
            <w:vAlign w:val="center"/>
          </w:tcPr>
          <w:p>
            <w:pPr>
              <w:spacing w:after="0" w:line="264"/>
            </w:pPr>
            <w:r>
              <w:rPr>
                <w:b w:val="false"/>
                <w:bCs w:val="false"/>
                <w:color w:val="000000"/>
              </w:rPr>
              <w:t xml:space="preserve">Hashed bag-of-words (NumPy)</w:t>
            </w:r>
          </w:p>
        </w:tc>
        <w:tc>
          <w:tcPr>
            <w:tcW w:type="dxa" w:w="3180"/>
            <w:tcMar>
              <w:top w:type="dxa" w:w="60"/>
              <w:left w:type="dxa" w:w="110"/>
              <w:bottom w:type="dxa" w:w="60"/>
              <w:right w:type="dxa" w:w="110"/>
            </w:tcMar>
            <w:vAlign w:val="center"/>
          </w:tcPr>
          <w:p>
            <w:pPr>
              <w:spacing w:after="0" w:line="264"/>
            </w:pPr>
            <w:r>
              <w:rPr>
                <w:b w:val="false"/>
                <w:bCs w:val="false"/>
                <w:color w:val="000000"/>
              </w:rPr>
              <w:t xml:space="preserve">BGE (sentence-transformers)</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rPr>
              <w:t xml:space="preserve">ANN index</w:t>
            </w:r>
          </w:p>
        </w:tc>
        <w:tc>
          <w:tcPr>
            <w:tcW w:type="dxa" w:w="3580"/>
            <w:shd w:fill="F2F2F2" w:val="clear"/>
            <w:tcMar>
              <w:top w:type="dxa" w:w="60"/>
              <w:left w:type="dxa" w:w="110"/>
              <w:bottom w:type="dxa" w:w="60"/>
              <w:right w:type="dxa" w:w="110"/>
            </w:tcMar>
            <w:vAlign w:val="center"/>
          </w:tcPr>
          <w:p>
            <w:pPr>
              <w:spacing w:after="0" w:line="264"/>
            </w:pPr>
            <w:r>
              <w:rPr>
                <w:b w:val="false"/>
                <w:bCs w:val="false"/>
                <w:color w:val="000000"/>
              </w:rPr>
              <w:t xml:space="preserve">Brute-force NumPy cosine</w:t>
            </w:r>
          </w:p>
        </w:tc>
        <w:tc>
          <w:tcPr>
            <w:tcW w:type="dxa" w:w="3180"/>
            <w:shd w:fill="F2F2F2" w:val="clear"/>
            <w:tcMar>
              <w:top w:type="dxa" w:w="60"/>
              <w:left w:type="dxa" w:w="110"/>
              <w:bottom w:type="dxa" w:w="60"/>
              <w:right w:type="dxa" w:w="110"/>
            </w:tcMar>
            <w:vAlign w:val="center"/>
          </w:tcPr>
          <w:p>
            <w:pPr>
              <w:spacing w:after="0" w:line="264"/>
            </w:pPr>
            <w:r>
              <w:rPr>
                <w:b w:val="false"/>
                <w:bCs w:val="false"/>
                <w:color w:val="000000"/>
              </w:rPr>
              <w:t xml:space="preserve">FAISS</w:t>
            </w:r>
          </w:p>
        </w:tc>
      </w:tr>
      <w:tr>
        <w:tc>
          <w:tcPr>
            <w:tcW w:type="dxa" w:w="2600"/>
            <w:tcMar>
              <w:top w:type="dxa" w:w="60"/>
              <w:left w:type="dxa" w:w="110"/>
              <w:bottom w:type="dxa" w:w="60"/>
              <w:right w:type="dxa" w:w="110"/>
            </w:tcMar>
            <w:vAlign w:val="center"/>
          </w:tcPr>
          <w:p>
            <w:pPr>
              <w:spacing w:after="0" w:line="264"/>
            </w:pPr>
            <w:r>
              <w:rPr>
                <w:b w:val="false"/>
                <w:bCs w:val="false"/>
                <w:color w:val="000000"/>
              </w:rPr>
              <w:t xml:space="preserve">Sparse retrieval</w:t>
            </w:r>
          </w:p>
        </w:tc>
        <w:tc>
          <w:tcPr>
            <w:tcW w:type="dxa" w:w="3580"/>
            <w:tcMar>
              <w:top w:type="dxa" w:w="60"/>
              <w:left w:type="dxa" w:w="110"/>
              <w:bottom w:type="dxa" w:w="60"/>
              <w:right w:type="dxa" w:w="110"/>
            </w:tcMar>
            <w:vAlign w:val="center"/>
          </w:tcPr>
          <w:p>
            <w:pPr>
              <w:spacing w:after="0" w:line="264"/>
            </w:pPr>
            <w:r>
              <w:rPr>
                <w:b w:val="false"/>
                <w:bCs w:val="false"/>
                <w:color w:val="000000"/>
              </w:rPr>
              <w:t xml:space="preserve">rank-bm25</w:t>
            </w:r>
          </w:p>
        </w:tc>
        <w:tc>
          <w:tcPr>
            <w:tcW w:type="dxa" w:w="3180"/>
            <w:tcMar>
              <w:top w:type="dxa" w:w="60"/>
              <w:left w:type="dxa" w:w="110"/>
              <w:bottom w:type="dxa" w:w="60"/>
              <w:right w:type="dxa" w:w="110"/>
            </w:tcMar>
            <w:vAlign w:val="center"/>
          </w:tcPr>
          <w:p>
            <w:pPr>
              <w:spacing w:after="0" w:line="264"/>
            </w:pPr>
            <w:r>
              <w:rPr>
                <w:b w:val="false"/>
                <w:bCs w:val="false"/>
                <w:color w:val="000000"/>
              </w:rPr>
              <w:t xml:space="preserve">rank-bm25</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rPr>
              <w:t xml:space="preserve">Reranking</w:t>
            </w:r>
          </w:p>
        </w:tc>
        <w:tc>
          <w:tcPr>
            <w:tcW w:type="dxa" w:w="3580"/>
            <w:shd w:fill="F2F2F2" w:val="clear"/>
            <w:tcMar>
              <w:top w:type="dxa" w:w="60"/>
              <w:left w:type="dxa" w:w="110"/>
              <w:bottom w:type="dxa" w:w="60"/>
              <w:right w:type="dxa" w:w="110"/>
            </w:tcMar>
            <w:vAlign w:val="center"/>
          </w:tcPr>
          <w:p>
            <w:pPr>
              <w:spacing w:after="0" w:line="264"/>
            </w:pPr>
            <w:r>
              <w:rPr>
                <w:b w:val="false"/>
                <w:bCs w:val="false"/>
                <w:color w:val="000000"/>
              </w:rPr>
              <w:t xml:space="preserve">RRF order</w:t>
            </w:r>
          </w:p>
        </w:tc>
        <w:tc>
          <w:tcPr>
            <w:tcW w:type="dxa" w:w="3180"/>
            <w:shd w:fill="F2F2F2" w:val="clear"/>
            <w:tcMar>
              <w:top w:type="dxa" w:w="60"/>
              <w:left w:type="dxa" w:w="110"/>
              <w:bottom w:type="dxa" w:w="60"/>
              <w:right w:type="dxa" w:w="110"/>
            </w:tcMar>
            <w:vAlign w:val="center"/>
          </w:tcPr>
          <w:p>
            <w:pPr>
              <w:spacing w:after="0" w:line="264"/>
            </w:pPr>
            <w:r>
              <w:rPr>
                <w:b w:val="false"/>
                <w:bCs w:val="false"/>
                <w:color w:val="000000"/>
              </w:rPr>
              <w:t xml:space="preserve">Cross-encoder</w:t>
            </w:r>
          </w:p>
        </w:tc>
      </w:tr>
      <w:tr>
        <w:tc>
          <w:tcPr>
            <w:tcW w:type="dxa" w:w="2600"/>
            <w:tcMar>
              <w:top w:type="dxa" w:w="60"/>
              <w:left w:type="dxa" w:w="110"/>
              <w:bottom w:type="dxa" w:w="60"/>
              <w:right w:type="dxa" w:w="110"/>
            </w:tcMar>
            <w:vAlign w:val="center"/>
          </w:tcPr>
          <w:p>
            <w:pPr>
              <w:spacing w:after="0" w:line="264"/>
            </w:pPr>
            <w:r>
              <w:rPr>
                <w:b w:val="false"/>
                <w:bCs w:val="false"/>
                <w:color w:val="000000"/>
              </w:rPr>
              <w:t xml:space="preserve">LLM</w:t>
            </w:r>
          </w:p>
        </w:tc>
        <w:tc>
          <w:tcPr>
            <w:tcW w:type="dxa" w:w="3580"/>
            <w:tcMar>
              <w:top w:type="dxa" w:w="60"/>
              <w:left w:type="dxa" w:w="110"/>
              <w:bottom w:type="dxa" w:w="60"/>
              <w:right w:type="dxa" w:w="110"/>
            </w:tcMar>
            <w:vAlign w:val="center"/>
          </w:tcPr>
          <w:p>
            <w:pPr>
              <w:spacing w:after="0" w:line="264"/>
            </w:pPr>
            <w:r>
              <w:rPr>
                <w:b w:val="false"/>
                <w:bCs w:val="false"/>
                <w:color w:val="000000"/>
              </w:rPr>
              <w:t xml:space="preserve">Deterministic mock</w:t>
            </w:r>
          </w:p>
        </w:tc>
        <w:tc>
          <w:tcPr>
            <w:tcW w:type="dxa" w:w="3180"/>
            <w:tcMar>
              <w:top w:type="dxa" w:w="60"/>
              <w:left w:type="dxa" w:w="110"/>
              <w:bottom w:type="dxa" w:w="60"/>
              <w:right w:type="dxa" w:w="110"/>
            </w:tcMar>
            <w:vAlign w:val="center"/>
          </w:tcPr>
          <w:p>
            <w:pPr>
              <w:spacing w:after="0" w:line="264"/>
            </w:pPr>
            <w:r>
              <w:rPr>
                <w:b w:val="false"/>
                <w:bCs w:val="false"/>
                <w:color w:val="000000"/>
              </w:rPr>
              <w:t xml:space="preserve">Claude / OpenAI</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rPr>
              <w:t xml:space="preserve">Calc / verify</w:t>
            </w:r>
          </w:p>
        </w:tc>
        <w:tc>
          <w:tcPr>
            <w:tcW w:type="dxa" w:w="3580"/>
            <w:shd w:fill="F2F2F2" w:val="clear"/>
            <w:tcMar>
              <w:top w:type="dxa" w:w="60"/>
              <w:left w:type="dxa" w:w="110"/>
              <w:bottom w:type="dxa" w:w="60"/>
              <w:right w:type="dxa" w:w="110"/>
            </w:tcMar>
            <w:vAlign w:val="center"/>
          </w:tcPr>
          <w:p>
            <w:pPr>
              <w:spacing w:after="0" w:line="264"/>
            </w:pPr>
            <w:r>
              <w:rPr>
                <w:b w:val="false"/>
                <w:bCs w:val="false"/>
                <w:color w:val="000000"/>
              </w:rPr>
              <w:t xml:space="preserve">Pure Python</w:t>
            </w:r>
          </w:p>
        </w:tc>
        <w:tc>
          <w:tcPr>
            <w:tcW w:type="dxa" w:w="3180"/>
            <w:shd w:fill="F2F2F2" w:val="clear"/>
            <w:tcMar>
              <w:top w:type="dxa" w:w="60"/>
              <w:left w:type="dxa" w:w="110"/>
              <w:bottom w:type="dxa" w:w="60"/>
              <w:right w:type="dxa" w:w="110"/>
            </w:tcMar>
            <w:vAlign w:val="center"/>
          </w:tcPr>
          <w:p>
            <w:pPr>
              <w:spacing w:after="0" w:line="264"/>
            </w:pPr>
            <w:r>
              <w:rPr>
                <w:b w:val="false"/>
                <w:bCs w:val="false"/>
                <w:color w:val="000000"/>
              </w:rPr>
              <w:t xml:space="preserve">—</w:t>
            </w:r>
          </w:p>
        </w:tc>
      </w:tr>
      <w:tr>
        <w:tc>
          <w:tcPr>
            <w:tcW w:type="dxa" w:w="2600"/>
            <w:tcMar>
              <w:top w:type="dxa" w:w="60"/>
              <w:left w:type="dxa" w:w="110"/>
              <w:bottom w:type="dxa" w:w="60"/>
              <w:right w:type="dxa" w:w="110"/>
            </w:tcMar>
            <w:vAlign w:val="center"/>
          </w:tcPr>
          <w:p>
            <w:pPr>
              <w:spacing w:after="0" w:line="264"/>
            </w:pPr>
            <w:r>
              <w:rPr>
                <w:b w:val="false"/>
                <w:bCs w:val="false"/>
                <w:color w:val="000000"/>
              </w:rPr>
              <w:t xml:space="preserve">Persistence</w:t>
            </w:r>
          </w:p>
        </w:tc>
        <w:tc>
          <w:tcPr>
            <w:tcW w:type="dxa" w:w="3580"/>
            <w:tcMar>
              <w:top w:type="dxa" w:w="60"/>
              <w:left w:type="dxa" w:w="110"/>
              <w:bottom w:type="dxa" w:w="60"/>
              <w:right w:type="dxa" w:w="110"/>
            </w:tcMar>
            <w:vAlign w:val="center"/>
          </w:tcPr>
          <w:p>
            <w:pPr>
              <w:spacing w:after="0" w:line="264"/>
            </w:pPr>
            <w:r>
              <w:rPr>
                <w:b w:val="false"/>
                <w:bCs w:val="false"/>
                <w:color w:val="000000"/>
              </w:rPr>
              <w:t xml:space="preserve">diskcache, DuckDB, pandas</w:t>
            </w:r>
          </w:p>
        </w:tc>
        <w:tc>
          <w:tcPr>
            <w:tcW w:type="dxa" w:w="3180"/>
            <w:tcMar>
              <w:top w:type="dxa" w:w="60"/>
              <w:left w:type="dxa" w:w="110"/>
              <w:bottom w:type="dxa" w:w="60"/>
              <w:right w:type="dxa" w:w="110"/>
            </w:tcMar>
            <w:vAlign w:val="center"/>
          </w:tcPr>
          <w:p>
            <w:pPr>
              <w:spacing w:after="0" w:line="264"/>
            </w:pPr>
            <w:r>
              <w:rPr>
                <w:b w:val="false"/>
                <w:bCs w:val="false"/>
                <w:color w:val="000000"/>
              </w:rPr>
              <w:t xml:space="preserve">—</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rPr>
              <w:t xml:space="preserve">Frontend</w:t>
            </w:r>
          </w:p>
        </w:tc>
        <w:tc>
          <w:tcPr>
            <w:tcW w:type="dxa" w:w="3580"/>
            <w:shd w:fill="F2F2F2" w:val="clear"/>
            <w:tcMar>
              <w:top w:type="dxa" w:w="60"/>
              <w:left w:type="dxa" w:w="110"/>
              <w:bottom w:type="dxa" w:w="60"/>
              <w:right w:type="dxa" w:w="110"/>
            </w:tcMar>
            <w:vAlign w:val="center"/>
          </w:tcPr>
          <w:p>
            <w:pPr>
              <w:spacing w:after="0" w:line="264"/>
            </w:pPr>
            <w:r>
              <w:rPr>
                <w:b w:val="false"/>
                <w:bCs w:val="false"/>
                <w:color w:val="000000"/>
              </w:rPr>
              <w:t xml:space="preserve">CLI; Streamlit + AgGrid</w:t>
            </w:r>
          </w:p>
        </w:tc>
        <w:tc>
          <w:tcPr>
            <w:tcW w:type="dxa" w:w="3180"/>
            <w:shd w:fill="F2F2F2" w:val="clear"/>
            <w:tcMar>
              <w:top w:type="dxa" w:w="60"/>
              <w:left w:type="dxa" w:w="110"/>
              <w:bottom w:type="dxa" w:w="60"/>
              <w:right w:type="dxa" w:w="110"/>
            </w:tcMar>
            <w:vAlign w:val="center"/>
          </w:tcPr>
          <w:p>
            <w:pPr>
              <w:spacing w:after="0" w:line="264"/>
            </w:pPr>
            <w:r>
              <w:rPr>
                <w:b w:val="false"/>
                <w:bCs w:val="false"/>
                <w:color w:val="000000"/>
              </w:rPr>
              <w:t xml:space="preserve">—</w:t>
            </w:r>
          </w:p>
        </w:tc>
      </w:tr>
    </w:tbl>
    <w:p>
      <w:pPr>
        <w:pStyle w:val="Heading1"/>
        <w:spacing w:after="160" w:before="320"/>
      </w:pPr>
      <w:r>
        <w:t xml:space="preserve">21. Testing Strategy</w:t>
      </w:r>
    </w:p>
    <w:p>
      <w:pPr>
        <w:spacing w:after="120" w:line="276"/>
      </w:pPr>
      <w:r>
        <w:t xml:space="preserve">The suite (pytest, async-aware) covers extraction, indexing, the calc engine, the eval metrics, and an end-to-end pipeline integration test, all runnable offline in well under a second. Determinism makes the tests stable: with the mock backend the pipeline produces the same grid every run, so regressions surface immediately. Numeric correctness is additionally validated against bundled ground truth via finsight eval.</w:t>
      </w:r>
    </w:p>
    <w:p>
      <w:pPr>
        <w:pStyle w:val="Heading1"/>
        <w:spacing w:after="160" w:before="320"/>
      </w:pPr>
      <w:r>
        <w:t xml:space="preserve">22. Limitations and Known Issues</w:t>
      </w:r>
    </w:p>
    <w:p>
      <w:pPr>
        <w:pStyle w:val="ListParagraph"/>
        <w:numPr>
          <w:ilvl w:val="0"/>
          <w:numId w:val="2"/>
        </w:numPr>
        <w:spacing w:after="60" w:line="270"/>
      </w:pPr>
      <w:r>
        <w:t xml:space="preserve">Extraction is regex/vocabulary-driven: figures must read like statements; image-only PDFs and unconventional layouts may yield empty cells.</w:t>
      </w:r>
    </w:p>
    <w:p>
      <w:pPr>
        <w:pStyle w:val="ListParagraph"/>
        <w:numPr>
          <w:ilvl w:val="0"/>
          <w:numId w:val="2"/>
        </w:numPr>
        <w:spacing w:after="60" w:line="270"/>
      </w:pPr>
      <w:r>
        <w:t xml:space="preserve">Table magnitude is read per-cell; a bare "18000" without a "million" suffix is taken literally unless the header magnitude is embedded.</w:t>
      </w:r>
    </w:p>
    <w:p>
      <w:pPr>
        <w:pStyle w:val="ListParagraph"/>
        <w:numPr>
          <w:ilvl w:val="0"/>
          <w:numId w:val="2"/>
        </w:numPr>
        <w:spacing w:after="60" w:line="270"/>
      </w:pPr>
      <w:r>
        <w:t xml:space="preserve">The offline planner is keyword-based: questions outside its catalog fall back to a single text column.</w:t>
      </w:r>
    </w:p>
    <w:p>
      <w:pPr>
        <w:pStyle w:val="ListParagraph"/>
        <w:numPr>
          <w:ilvl w:val="0"/>
          <w:numId w:val="2"/>
        </w:numPr>
        <w:spacing w:after="60" w:line="270"/>
      </w:pPr>
      <w:r>
        <w:t xml:space="preserve">Live planners (especially smaller models) can over-generate unanswerable columns, lowering completion (figures remain correct).</w:t>
      </w:r>
    </w:p>
    <w:p>
      <w:pPr>
        <w:pStyle w:val="ListParagraph"/>
        <w:numPr>
          <w:ilvl w:val="0"/>
          <w:numId w:val="2"/>
        </w:numPr>
        <w:spacing w:after="60" w:line="270"/>
      </w:pPr>
      <w:r>
        <w:t xml:space="preserve">The cell cache keys on filename, not content (see Section 14).</w:t>
      </w:r>
    </w:p>
    <w:p>
      <w:pPr>
        <w:pStyle w:val="ListParagraph"/>
        <w:numPr>
          <w:ilvl w:val="0"/>
          <w:numId w:val="2"/>
        </w:numPr>
        <w:spacing w:after="60" w:line="270"/>
      </w:pPr>
      <w:r>
        <w:t xml:space="preserve">Single-user reference scope: no auth, quotas, or multi-tenant isolation.</w:t>
      </w:r>
    </w:p>
    <w:p>
      <w:pPr>
        <w:pStyle w:val="Heading1"/>
        <w:spacing w:after="160" w:before="320"/>
      </w:pPr>
      <w:r>
        <w:t xml:space="preserve">23. Future Roadmap</w:t>
      </w:r>
    </w:p>
    <w:p>
      <w:pPr>
        <w:pStyle w:val="ListParagraph"/>
        <w:numPr>
          <w:ilvl w:val="0"/>
          <w:numId w:val="2"/>
        </w:numPr>
        <w:spacing w:after="60" w:line="270"/>
      </w:pPr>
      <w:r>
        <w:t xml:space="preserve">Planner guardrails to suppress unanswerable columns on open-ended questions.</w:t>
      </w:r>
    </w:p>
    <w:p>
      <w:pPr>
        <w:pStyle w:val="ListParagraph"/>
        <w:numPr>
          <w:ilvl w:val="0"/>
          <w:numId w:val="2"/>
        </w:numPr>
        <w:spacing w:after="60" w:line="270"/>
      </w:pPr>
      <w:r>
        <w:t xml:space="preserve">Content-hash doc ids to fully close the stale-cache caveat on the folder path.</w:t>
      </w:r>
    </w:p>
    <w:p>
      <w:pPr>
        <w:pStyle w:val="ListParagraph"/>
        <w:numPr>
          <w:ilvl w:val="0"/>
          <w:numId w:val="2"/>
        </w:numPr>
        <w:spacing w:after="60" w:line="270"/>
      </w:pPr>
      <w:r>
        <w:t xml:space="preserve">Period-aware extraction (multi-year columns) and header-magnitude propagation for tables.</w:t>
      </w:r>
    </w:p>
    <w:p>
      <w:pPr>
        <w:pStyle w:val="ListParagraph"/>
        <w:numPr>
          <w:ilvl w:val="0"/>
          <w:numId w:val="2"/>
        </w:numPr>
        <w:spacing w:after="60" w:line="270"/>
      </w:pPr>
      <w:r>
        <w:t xml:space="preserve">Live cell streaming in the UI and one-click grid/CSV export.</w:t>
      </w:r>
    </w:p>
    <w:p>
      <w:pPr>
        <w:pStyle w:val="ListParagraph"/>
        <w:numPr>
          <w:ilvl w:val="0"/>
          <w:numId w:val="2"/>
        </w:numPr>
        <w:spacing w:after="60" w:line="270"/>
      </w:pPr>
      <w:r>
        <w:t xml:space="preserve">Expanded formula library and configurable verification identities.</w:t>
      </w:r>
    </w:p>
    <w:p>
      <w:pPr>
        <w:pStyle w:val="ListParagraph"/>
        <w:numPr>
          <w:ilvl w:val="0"/>
          <w:numId w:val="2"/>
        </w:numPr>
        <w:spacing w:after="60" w:line="270"/>
      </w:pPr>
      <w:r>
        <w:t xml:space="preserve">Optional vector-DB backend for very large corpora.</w:t>
      </w:r>
    </w:p>
    <w:p>
      <w:pPr>
        <w:pStyle w:val="Heading1"/>
        <w:spacing w:after="160" w:before="320"/>
      </w:pPr>
      <w:r>
        <w:t xml:space="preserve">Appendix A — Module Map</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400"/>
        <w:gridCol w:w="5960"/>
      </w:tblGrid>
      <w:tr>
        <w:trPr>
          <w:tblHeader/>
        </w:trPr>
        <w:tc>
          <w:tcPr>
            <w:tcW w:type="dxa" w:w="3400"/>
            <w:shd w:fill="1F4E79" w:val="clear"/>
            <w:tcMar>
              <w:top w:type="dxa" w:w="60"/>
              <w:left w:type="dxa" w:w="110"/>
              <w:bottom w:type="dxa" w:w="60"/>
              <w:right w:type="dxa" w:w="110"/>
            </w:tcMar>
            <w:vAlign w:val="center"/>
          </w:tcPr>
          <w:p>
            <w:pPr>
              <w:spacing w:after="0" w:line="264"/>
            </w:pPr>
            <w:r>
              <w:rPr>
                <w:b/>
                <w:bCs/>
                <w:color w:val="FFFFFF"/>
              </w:rPr>
              <w:t xml:space="preserve">Path</w:t>
            </w:r>
          </w:p>
        </w:tc>
        <w:tc>
          <w:tcPr>
            <w:tcW w:type="dxa" w:w="5960"/>
            <w:shd w:fill="1F4E79" w:val="clear"/>
            <w:tcMar>
              <w:top w:type="dxa" w:w="60"/>
              <w:left w:type="dxa" w:w="110"/>
              <w:bottom w:type="dxa" w:w="60"/>
              <w:right w:type="dxa" w:w="110"/>
            </w:tcMar>
            <w:vAlign w:val="center"/>
          </w:tcPr>
          <w:p>
            <w:pPr>
              <w:spacing w:after="0" w:line="264"/>
            </w:pPr>
            <w:r>
              <w:rPr>
                <w:b/>
                <w:bCs/>
                <w:color w:val="FFFFFF"/>
              </w:rPr>
              <w:t xml:space="preserve">Responsibility</w:t>
            </w:r>
          </w:p>
        </w:tc>
      </w:tr>
      <w:tr>
        <w:tc>
          <w:tcPr>
            <w:tcW w:type="dxa" w:w="3400"/>
            <w:tcMar>
              <w:top w:type="dxa" w:w="60"/>
              <w:left w:type="dxa" w:w="110"/>
              <w:bottom w:type="dxa" w:w="60"/>
              <w:right w:type="dxa" w:w="110"/>
            </w:tcMar>
            <w:vAlign w:val="center"/>
          </w:tcPr>
          <w:p>
            <w:pPr>
              <w:spacing w:after="0" w:line="264"/>
            </w:pPr>
            <w:r>
              <w:rPr>
                <w:b w:val="false"/>
                <w:bCs w:val="false"/>
                <w:color w:val="000000"/>
              </w:rPr>
              <w:t xml:space="preserve">models.py</w:t>
            </w:r>
          </w:p>
        </w:tc>
        <w:tc>
          <w:tcPr>
            <w:tcW w:type="dxa" w:w="5960"/>
            <w:tcMar>
              <w:top w:type="dxa" w:w="60"/>
              <w:left w:type="dxa" w:w="110"/>
              <w:bottom w:type="dxa" w:w="60"/>
              <w:right w:type="dxa" w:w="110"/>
            </w:tcMar>
            <w:vAlign w:val="center"/>
          </w:tcPr>
          <w:p>
            <w:pPr>
              <w:spacing w:after="0" w:line="264"/>
            </w:pPr>
            <w:r>
              <w:rPr>
                <w:b w:val="false"/>
                <w:bCs w:val="false"/>
                <w:color w:val="000000"/>
              </w:rPr>
              <w:t xml:space="preserve">Grid data model: Cell, Grid, GridPlan, ColumnSpec, Source.</w:t>
            </w:r>
          </w:p>
        </w:tc>
      </w:tr>
      <w:tr>
        <w:tc>
          <w:tcPr>
            <w:tcW w:type="dxa" w:w="3400"/>
            <w:shd w:fill="F2F2F2" w:val="clear"/>
            <w:tcMar>
              <w:top w:type="dxa" w:w="60"/>
              <w:left w:type="dxa" w:w="110"/>
              <w:bottom w:type="dxa" w:w="60"/>
              <w:right w:type="dxa" w:w="110"/>
            </w:tcMar>
            <w:vAlign w:val="center"/>
          </w:tcPr>
          <w:p>
            <w:pPr>
              <w:spacing w:after="0" w:line="264"/>
            </w:pPr>
            <w:r>
              <w:rPr>
                <w:b w:val="false"/>
                <w:bCs w:val="false"/>
                <w:color w:val="000000"/>
              </w:rPr>
              <w:t xml:space="preserve">config.py</w:t>
            </w:r>
          </w:p>
        </w:tc>
        <w:tc>
          <w:tcPr>
            <w:tcW w:type="dxa" w:w="5960"/>
            <w:shd w:fill="F2F2F2" w:val="clear"/>
            <w:tcMar>
              <w:top w:type="dxa" w:w="60"/>
              <w:left w:type="dxa" w:w="110"/>
              <w:bottom w:type="dxa" w:w="60"/>
              <w:right w:type="dxa" w:w="110"/>
            </w:tcMar>
            <w:vAlign w:val="center"/>
          </w:tcPr>
          <w:p>
            <w:pPr>
              <w:spacing w:after="0" w:line="264"/>
            </w:pPr>
            <w:r>
              <w:rPr>
                <w:b w:val="false"/>
                <w:bCs w:val="false"/>
                <w:color w:val="000000"/>
              </w:rPr>
              <w:t xml:space="preserve">Settings, provider selection, optional-dependency capability flags.</w:t>
            </w:r>
          </w:p>
        </w:tc>
      </w:tr>
      <w:tr>
        <w:tc>
          <w:tcPr>
            <w:tcW w:type="dxa" w:w="3400"/>
            <w:tcMar>
              <w:top w:type="dxa" w:w="60"/>
              <w:left w:type="dxa" w:w="110"/>
              <w:bottom w:type="dxa" w:w="60"/>
              <w:right w:type="dxa" w:w="110"/>
            </w:tcMar>
            <w:vAlign w:val="center"/>
          </w:tcPr>
          <w:p>
            <w:pPr>
              <w:spacing w:after="0" w:line="264"/>
            </w:pPr>
            <w:r>
              <w:rPr>
                <w:b w:val="false"/>
                <w:bCs w:val="false"/>
                <w:color w:val="000000"/>
              </w:rPr>
              <w:t xml:space="preserve">pipeline.py</w:t>
            </w:r>
          </w:p>
        </w:tc>
        <w:tc>
          <w:tcPr>
            <w:tcW w:type="dxa" w:w="5960"/>
            <w:tcMar>
              <w:top w:type="dxa" w:w="60"/>
              <w:left w:type="dxa" w:w="110"/>
              <w:bottom w:type="dxa" w:w="60"/>
              <w:right w:type="dxa" w:w="110"/>
            </w:tcMar>
            <w:vAlign w:val="center"/>
          </w:tcPr>
          <w:p>
            <w:pPr>
              <w:spacing w:after="0" w:line="264"/>
            </w:pPr>
            <w:r>
              <w:rPr>
                <w:b w:val="false"/>
                <w:bCs w:val="false"/>
                <w:color w:val="000000"/>
              </w:rPr>
              <w:t xml:space="preserve">Orchestrates all ten layers.</w:t>
            </w:r>
          </w:p>
        </w:tc>
      </w:tr>
      <w:tr>
        <w:tc>
          <w:tcPr>
            <w:tcW w:type="dxa" w:w="3400"/>
            <w:shd w:fill="F2F2F2" w:val="clear"/>
            <w:tcMar>
              <w:top w:type="dxa" w:w="60"/>
              <w:left w:type="dxa" w:w="110"/>
              <w:bottom w:type="dxa" w:w="60"/>
              <w:right w:type="dxa" w:w="110"/>
            </w:tcMar>
            <w:vAlign w:val="center"/>
          </w:tcPr>
          <w:p>
            <w:pPr>
              <w:spacing w:after="0" w:line="264"/>
            </w:pPr>
            <w:r>
              <w:rPr>
                <w:b w:val="false"/>
                <w:bCs w:val="false"/>
                <w:color w:val="000000"/>
              </w:rPr>
              <w:t xml:space="preserve">ingestion/ingest.py</w:t>
            </w:r>
          </w:p>
        </w:tc>
        <w:tc>
          <w:tcPr>
            <w:tcW w:type="dxa" w:w="5960"/>
            <w:shd w:fill="F2F2F2" w:val="clear"/>
            <w:tcMar>
              <w:top w:type="dxa" w:w="60"/>
              <w:left w:type="dxa" w:w="110"/>
              <w:bottom w:type="dxa" w:w="60"/>
              <w:right w:type="dxa" w:w="110"/>
            </w:tcMar>
            <w:vAlign w:val="center"/>
          </w:tcPr>
          <w:p>
            <w:pPr>
              <w:spacing w:after="0" w:line="264"/>
            </w:pPr>
            <w:r>
              <w:rPr>
                <w:b w:val="false"/>
                <w:bCs w:val="false"/>
                <w:color w:val="000000"/>
              </w:rPr>
              <w:t xml:space="preserve">Layer 1 — format-aware parsing.</w:t>
            </w:r>
          </w:p>
        </w:tc>
      </w:tr>
      <w:tr>
        <w:tc>
          <w:tcPr>
            <w:tcW w:type="dxa" w:w="3400"/>
            <w:tcMar>
              <w:top w:type="dxa" w:w="60"/>
              <w:left w:type="dxa" w:w="110"/>
              <w:bottom w:type="dxa" w:w="60"/>
              <w:right w:type="dxa" w:w="110"/>
            </w:tcMar>
            <w:vAlign w:val="center"/>
          </w:tcPr>
          <w:p>
            <w:pPr>
              <w:spacing w:after="0" w:line="264"/>
            </w:pPr>
            <w:r>
              <w:rPr>
                <w:b w:val="false"/>
                <w:bCs w:val="false"/>
                <w:color w:val="000000"/>
              </w:rPr>
              <w:t xml:space="preserve">chunking/chunker.py</w:t>
            </w:r>
          </w:p>
        </w:tc>
        <w:tc>
          <w:tcPr>
            <w:tcW w:type="dxa" w:w="5960"/>
            <w:tcMar>
              <w:top w:type="dxa" w:w="60"/>
              <w:left w:type="dxa" w:w="110"/>
              <w:bottom w:type="dxa" w:w="60"/>
              <w:right w:type="dxa" w:w="110"/>
            </w:tcMar>
            <w:vAlign w:val="center"/>
          </w:tcPr>
          <w:p>
            <w:pPr>
              <w:spacing w:after="0" w:line="264"/>
            </w:pPr>
            <w:r>
              <w:rPr>
                <w:b w:val="false"/>
                <w:bCs w:val="false"/>
                <w:color w:val="000000"/>
              </w:rPr>
              <w:t xml:space="preserve">Layer 2 — chunking.</w:t>
            </w:r>
          </w:p>
        </w:tc>
      </w:tr>
      <w:tr>
        <w:tc>
          <w:tcPr>
            <w:tcW w:type="dxa" w:w="3400"/>
            <w:shd w:fill="F2F2F2" w:val="clear"/>
            <w:tcMar>
              <w:top w:type="dxa" w:w="60"/>
              <w:left w:type="dxa" w:w="110"/>
              <w:bottom w:type="dxa" w:w="60"/>
              <w:right w:type="dxa" w:w="110"/>
            </w:tcMar>
            <w:vAlign w:val="center"/>
          </w:tcPr>
          <w:p>
            <w:pPr>
              <w:spacing w:after="0" w:line="264"/>
            </w:pPr>
            <w:r>
              <w:rPr>
                <w:b w:val="false"/>
                <w:bCs w:val="false"/>
                <w:color w:val="000000"/>
              </w:rPr>
              <w:t xml:space="preserve">extraction/numeric_store.py</w:t>
            </w:r>
          </w:p>
        </w:tc>
        <w:tc>
          <w:tcPr>
            <w:tcW w:type="dxa" w:w="5960"/>
            <w:shd w:fill="F2F2F2" w:val="clear"/>
            <w:tcMar>
              <w:top w:type="dxa" w:w="60"/>
              <w:left w:type="dxa" w:w="110"/>
              <w:bottom w:type="dxa" w:w="60"/>
              <w:right w:type="dxa" w:w="110"/>
            </w:tcMar>
            <w:vAlign w:val="center"/>
          </w:tcPr>
          <w:p>
            <w:pPr>
              <w:spacing w:after="0" w:line="264"/>
            </w:pPr>
            <w:r>
              <w:rPr>
                <w:b w:val="false"/>
                <w:bCs w:val="false"/>
                <w:color w:val="000000"/>
              </w:rPr>
              <w:t xml:space="preserve">Layer 3 — numeric store + scan.</w:t>
            </w:r>
          </w:p>
        </w:tc>
      </w:tr>
      <w:tr>
        <w:tc>
          <w:tcPr>
            <w:tcW w:type="dxa" w:w="3400"/>
            <w:tcMar>
              <w:top w:type="dxa" w:w="60"/>
              <w:left w:type="dxa" w:w="110"/>
              <w:bottom w:type="dxa" w:w="60"/>
              <w:right w:type="dxa" w:w="110"/>
            </w:tcMar>
            <w:vAlign w:val="center"/>
          </w:tcPr>
          <w:p>
            <w:pPr>
              <w:spacing w:after="0" w:line="264"/>
            </w:pPr>
            <w:r>
              <w:rPr>
                <w:b w:val="false"/>
                <w:bCs w:val="false"/>
                <w:color w:val="000000"/>
              </w:rPr>
              <w:t xml:space="preserve">indexing/dual_index.py, embeddings.py</w:t>
            </w:r>
          </w:p>
        </w:tc>
        <w:tc>
          <w:tcPr>
            <w:tcW w:type="dxa" w:w="5960"/>
            <w:tcMar>
              <w:top w:type="dxa" w:w="60"/>
              <w:left w:type="dxa" w:w="110"/>
              <w:bottom w:type="dxa" w:w="60"/>
              <w:right w:type="dxa" w:w="110"/>
            </w:tcMar>
            <w:vAlign w:val="center"/>
          </w:tcPr>
          <w:p>
            <w:pPr>
              <w:spacing w:after="0" w:line="264"/>
            </w:pPr>
            <w:r>
              <w:rPr>
                <w:b w:val="false"/>
                <w:bCs w:val="false"/>
                <w:color w:val="000000"/>
              </w:rPr>
              <w:t xml:space="preserve">Layer 4 — dual index + per-doc filter.</w:t>
            </w:r>
          </w:p>
        </w:tc>
      </w:tr>
      <w:tr>
        <w:tc>
          <w:tcPr>
            <w:tcW w:type="dxa" w:w="3400"/>
            <w:shd w:fill="F2F2F2" w:val="clear"/>
            <w:tcMar>
              <w:top w:type="dxa" w:w="60"/>
              <w:left w:type="dxa" w:w="110"/>
              <w:bottom w:type="dxa" w:w="60"/>
              <w:right w:type="dxa" w:w="110"/>
            </w:tcMar>
            <w:vAlign w:val="center"/>
          </w:tcPr>
          <w:p>
            <w:pPr>
              <w:spacing w:after="0" w:line="264"/>
            </w:pPr>
            <w:r>
              <w:rPr>
                <w:b w:val="false"/>
                <w:bCs w:val="false"/>
                <w:color w:val="000000"/>
              </w:rPr>
              <w:t xml:space="preserve">grid/decompose.py</w:t>
            </w:r>
          </w:p>
        </w:tc>
        <w:tc>
          <w:tcPr>
            <w:tcW w:type="dxa" w:w="5960"/>
            <w:shd w:fill="F2F2F2" w:val="clear"/>
            <w:tcMar>
              <w:top w:type="dxa" w:w="60"/>
              <w:left w:type="dxa" w:w="110"/>
              <w:bottom w:type="dxa" w:w="60"/>
              <w:right w:type="dxa" w:w="110"/>
            </w:tcMar>
            <w:vAlign w:val="center"/>
          </w:tcPr>
          <w:p>
            <w:pPr>
              <w:spacing w:after="0" w:line="264"/>
            </w:pPr>
            <w:r>
              <w:rPr>
                <w:b w:val="false"/>
                <w:bCs w:val="false"/>
                <w:color w:val="000000"/>
              </w:rPr>
              <w:t xml:space="preserve">Layer 5 — planner.</w:t>
            </w:r>
          </w:p>
        </w:tc>
      </w:tr>
      <w:tr>
        <w:tc>
          <w:tcPr>
            <w:tcW w:type="dxa" w:w="3400"/>
            <w:tcMar>
              <w:top w:type="dxa" w:w="60"/>
              <w:left w:type="dxa" w:w="110"/>
              <w:bottom w:type="dxa" w:w="60"/>
              <w:right w:type="dxa" w:w="110"/>
            </w:tcMar>
            <w:vAlign w:val="center"/>
          </w:tcPr>
          <w:p>
            <w:pPr>
              <w:spacing w:after="0" w:line="264"/>
            </w:pPr>
            <w:r>
              <w:rPr>
                <w:b w:val="false"/>
                <w:bCs w:val="false"/>
                <w:color w:val="000000"/>
              </w:rPr>
              <w:t xml:space="preserve">grid/cell_engine.py</w:t>
            </w:r>
          </w:p>
        </w:tc>
        <w:tc>
          <w:tcPr>
            <w:tcW w:type="dxa" w:w="5960"/>
            <w:tcMar>
              <w:top w:type="dxa" w:w="60"/>
              <w:left w:type="dxa" w:w="110"/>
              <w:bottom w:type="dxa" w:w="60"/>
              <w:right w:type="dxa" w:w="110"/>
            </w:tcMar>
            <w:vAlign w:val="center"/>
          </w:tcPr>
          <w:p>
            <w:pPr>
              <w:spacing w:after="0" w:line="264"/>
            </w:pPr>
            <w:r>
              <w:rPr>
                <w:b w:val="false"/>
                <w:bCs w:val="false"/>
                <w:color w:val="000000"/>
              </w:rPr>
              <w:t xml:space="preserve">Layer 6 — fan-out execution + routes.</w:t>
            </w:r>
          </w:p>
        </w:tc>
      </w:tr>
      <w:tr>
        <w:tc>
          <w:tcPr>
            <w:tcW w:type="dxa" w:w="3400"/>
            <w:shd w:fill="F2F2F2" w:val="clear"/>
            <w:tcMar>
              <w:top w:type="dxa" w:w="60"/>
              <w:left w:type="dxa" w:w="110"/>
              <w:bottom w:type="dxa" w:w="60"/>
              <w:right w:type="dxa" w:w="110"/>
            </w:tcMar>
            <w:vAlign w:val="center"/>
          </w:tcPr>
          <w:p>
            <w:pPr>
              <w:spacing w:after="0" w:line="264"/>
            </w:pPr>
            <w:r>
              <w:rPr>
                <w:b w:val="false"/>
                <w:bCs w:val="false"/>
                <w:color w:val="000000"/>
              </w:rPr>
              <w:t xml:space="preserve">retrieval/retriever.py</w:t>
            </w:r>
          </w:p>
        </w:tc>
        <w:tc>
          <w:tcPr>
            <w:tcW w:type="dxa" w:w="5960"/>
            <w:shd w:fill="F2F2F2" w:val="clear"/>
            <w:tcMar>
              <w:top w:type="dxa" w:w="60"/>
              <w:left w:type="dxa" w:w="110"/>
              <w:bottom w:type="dxa" w:w="60"/>
              <w:right w:type="dxa" w:w="110"/>
            </w:tcMar>
            <w:vAlign w:val="center"/>
          </w:tcPr>
          <w:p>
            <w:pPr>
              <w:spacing w:after="0" w:line="264"/>
            </w:pPr>
            <w:r>
              <w:rPr>
                <w:b w:val="false"/>
                <w:bCs w:val="false"/>
                <w:color w:val="000000"/>
              </w:rPr>
              <w:t xml:space="preserve">Layer 7 — RRF + rerank.</w:t>
            </w:r>
          </w:p>
        </w:tc>
      </w:tr>
      <w:tr>
        <w:tc>
          <w:tcPr>
            <w:tcW w:type="dxa" w:w="3400"/>
            <w:tcMar>
              <w:top w:type="dxa" w:w="60"/>
              <w:left w:type="dxa" w:w="110"/>
              <w:bottom w:type="dxa" w:w="60"/>
              <w:right w:type="dxa" w:w="110"/>
            </w:tcMar>
            <w:vAlign w:val="center"/>
          </w:tcPr>
          <w:p>
            <w:pPr>
              <w:spacing w:after="0" w:line="264"/>
            </w:pPr>
            <w:r>
              <w:rPr>
                <w:b w:val="false"/>
                <w:bCs w:val="false"/>
                <w:color w:val="000000"/>
              </w:rPr>
              <w:t xml:space="preserve">calc/engine.py</w:t>
            </w:r>
          </w:p>
        </w:tc>
        <w:tc>
          <w:tcPr>
            <w:tcW w:type="dxa" w:w="5960"/>
            <w:tcMar>
              <w:top w:type="dxa" w:w="60"/>
              <w:left w:type="dxa" w:w="110"/>
              <w:bottom w:type="dxa" w:w="60"/>
              <w:right w:type="dxa" w:w="110"/>
            </w:tcMar>
            <w:vAlign w:val="center"/>
          </w:tcPr>
          <w:p>
            <w:pPr>
              <w:spacing w:after="0" w:line="264"/>
            </w:pPr>
            <w:r>
              <w:rPr>
                <w:b w:val="false"/>
                <w:bCs w:val="false"/>
                <w:color w:val="000000"/>
              </w:rPr>
              <w:t xml:space="preserve">Layer 8 — deterministic formulas.</w:t>
            </w:r>
          </w:p>
        </w:tc>
      </w:tr>
      <w:tr>
        <w:tc>
          <w:tcPr>
            <w:tcW w:type="dxa" w:w="3400"/>
            <w:shd w:fill="F2F2F2" w:val="clear"/>
            <w:tcMar>
              <w:top w:type="dxa" w:w="60"/>
              <w:left w:type="dxa" w:w="110"/>
              <w:bottom w:type="dxa" w:w="60"/>
              <w:right w:type="dxa" w:w="110"/>
            </w:tcMar>
            <w:vAlign w:val="center"/>
          </w:tcPr>
          <w:p>
            <w:pPr>
              <w:spacing w:after="0" w:line="264"/>
            </w:pPr>
            <w:r>
              <w:rPr>
                <w:b w:val="false"/>
                <w:bCs w:val="false"/>
                <w:color w:val="000000"/>
              </w:rPr>
              <w:t xml:space="preserve">grid/verify.py</w:t>
            </w:r>
          </w:p>
        </w:tc>
        <w:tc>
          <w:tcPr>
            <w:tcW w:type="dxa" w:w="5960"/>
            <w:shd w:fill="F2F2F2" w:val="clear"/>
            <w:tcMar>
              <w:top w:type="dxa" w:w="60"/>
              <w:left w:type="dxa" w:w="110"/>
              <w:bottom w:type="dxa" w:w="60"/>
              <w:right w:type="dxa" w:w="110"/>
            </w:tcMar>
            <w:vAlign w:val="center"/>
          </w:tcPr>
          <w:p>
            <w:pPr>
              <w:spacing w:after="0" w:line="264"/>
            </w:pPr>
            <w:r>
              <w:rPr>
                <w:b w:val="false"/>
                <w:bCs w:val="false"/>
                <w:color w:val="000000"/>
              </w:rPr>
              <w:t xml:space="preserve">Layer 9 — verification + synthesis.</w:t>
            </w:r>
          </w:p>
        </w:tc>
      </w:tr>
      <w:tr>
        <w:tc>
          <w:tcPr>
            <w:tcW w:type="dxa" w:w="3400"/>
            <w:tcMar>
              <w:top w:type="dxa" w:w="60"/>
              <w:left w:type="dxa" w:w="110"/>
              <w:bottom w:type="dxa" w:w="60"/>
              <w:right w:type="dxa" w:w="110"/>
            </w:tcMar>
            <w:vAlign w:val="center"/>
          </w:tcPr>
          <w:p>
            <w:pPr>
              <w:spacing w:after="0" w:line="264"/>
            </w:pPr>
            <w:r>
              <w:rPr>
                <w:b w:val="false"/>
                <w:bCs w:val="false"/>
                <w:color w:val="000000"/>
              </w:rPr>
              <w:t xml:space="preserve">grid/store.py</w:t>
            </w:r>
          </w:p>
        </w:tc>
        <w:tc>
          <w:tcPr>
            <w:tcW w:type="dxa" w:w="5960"/>
            <w:tcMar>
              <w:top w:type="dxa" w:w="60"/>
              <w:left w:type="dxa" w:w="110"/>
              <w:bottom w:type="dxa" w:w="60"/>
              <w:right w:type="dxa" w:w="110"/>
            </w:tcMar>
            <w:vAlign w:val="center"/>
          </w:tcPr>
          <w:p>
            <w:pPr>
              <w:spacing w:after="0" w:line="264"/>
            </w:pPr>
            <w:r>
              <w:rPr>
                <w:b w:val="false"/>
                <w:bCs w:val="false"/>
                <w:color w:val="000000"/>
              </w:rPr>
              <w:t xml:space="preserve">Grid → DuckDB / CSV persistence.</w:t>
            </w:r>
          </w:p>
        </w:tc>
      </w:tr>
      <w:tr>
        <w:tc>
          <w:tcPr>
            <w:tcW w:type="dxa" w:w="3400"/>
            <w:shd w:fill="F2F2F2" w:val="clear"/>
            <w:tcMar>
              <w:top w:type="dxa" w:w="60"/>
              <w:left w:type="dxa" w:w="110"/>
              <w:bottom w:type="dxa" w:w="60"/>
              <w:right w:type="dxa" w:w="110"/>
            </w:tcMar>
            <w:vAlign w:val="center"/>
          </w:tcPr>
          <w:p>
            <w:pPr>
              <w:spacing w:after="0" w:line="264"/>
            </w:pPr>
            <w:r>
              <w:rPr>
                <w:b w:val="false"/>
                <w:bCs w:val="false"/>
                <w:color w:val="000000"/>
              </w:rPr>
              <w:t xml:space="preserve">cache/cell_cache.py</w:t>
            </w:r>
          </w:p>
        </w:tc>
        <w:tc>
          <w:tcPr>
            <w:tcW w:type="dxa" w:w="5960"/>
            <w:shd w:fill="F2F2F2" w:val="clear"/>
            <w:tcMar>
              <w:top w:type="dxa" w:w="60"/>
              <w:left w:type="dxa" w:w="110"/>
              <w:bottom w:type="dxa" w:w="60"/>
              <w:right w:type="dxa" w:w="110"/>
            </w:tcMar>
            <w:vAlign w:val="center"/>
          </w:tcPr>
          <w:p>
            <w:pPr>
              <w:spacing w:after="0" w:line="264"/>
            </w:pPr>
            <w:r>
              <w:rPr>
                <w:b w:val="false"/>
                <w:bCs w:val="false"/>
                <w:color w:val="000000"/>
              </w:rPr>
              <w:t xml:space="preserve">Cell-level cache.</w:t>
            </w:r>
          </w:p>
        </w:tc>
      </w:tr>
      <w:tr>
        <w:tc>
          <w:tcPr>
            <w:tcW w:type="dxa" w:w="3400"/>
            <w:tcMar>
              <w:top w:type="dxa" w:w="60"/>
              <w:left w:type="dxa" w:w="110"/>
              <w:bottom w:type="dxa" w:w="60"/>
              <w:right w:type="dxa" w:w="110"/>
            </w:tcMar>
            <w:vAlign w:val="center"/>
          </w:tcPr>
          <w:p>
            <w:pPr>
              <w:spacing w:after="0" w:line="264"/>
            </w:pPr>
            <w:r>
              <w:rPr>
                <w:b w:val="false"/>
                <w:bCs w:val="false"/>
                <w:color w:val="000000"/>
              </w:rPr>
              <w:t xml:space="preserve">eval/metrics.py</w:t>
            </w:r>
          </w:p>
        </w:tc>
        <w:tc>
          <w:tcPr>
            <w:tcW w:type="dxa" w:w="5960"/>
            <w:tcMar>
              <w:top w:type="dxa" w:w="60"/>
              <w:left w:type="dxa" w:w="110"/>
              <w:bottom w:type="dxa" w:w="60"/>
              <w:right w:type="dxa" w:w="110"/>
            </w:tcMar>
            <w:vAlign w:val="center"/>
          </w:tcPr>
          <w:p>
            <w:pPr>
              <w:spacing w:after="0" w:line="264"/>
            </w:pPr>
            <w:r>
              <w:rPr>
                <w:b w:val="false"/>
                <w:bCs w:val="false"/>
                <w:color w:val="000000"/>
              </w:rPr>
              <w:t xml:space="preserve">Evaluation metrics.</w:t>
            </w:r>
          </w:p>
        </w:tc>
      </w:tr>
      <w:tr>
        <w:tc>
          <w:tcPr>
            <w:tcW w:type="dxa" w:w="3400"/>
            <w:shd w:fill="F2F2F2" w:val="clear"/>
            <w:tcMar>
              <w:top w:type="dxa" w:w="60"/>
              <w:left w:type="dxa" w:w="110"/>
              <w:bottom w:type="dxa" w:w="60"/>
              <w:right w:type="dxa" w:w="110"/>
            </w:tcMar>
            <w:vAlign w:val="center"/>
          </w:tcPr>
          <w:p>
            <w:pPr>
              <w:spacing w:after="0" w:line="264"/>
            </w:pPr>
            <w:r>
              <w:rPr>
                <w:b w:val="false"/>
                <w:bCs w:val="false"/>
                <w:color w:val="000000"/>
              </w:rPr>
              <w:t xml:space="preserve">llm/client.py, mock.py</w:t>
            </w:r>
          </w:p>
        </w:tc>
        <w:tc>
          <w:tcPr>
            <w:tcW w:type="dxa" w:w="5960"/>
            <w:shd w:fill="F2F2F2" w:val="clear"/>
            <w:tcMar>
              <w:top w:type="dxa" w:w="60"/>
              <w:left w:type="dxa" w:w="110"/>
              <w:bottom w:type="dxa" w:w="60"/>
              <w:right w:type="dxa" w:w="110"/>
            </w:tcMar>
            <w:vAlign w:val="center"/>
          </w:tcPr>
          <w:p>
            <w:pPr>
              <w:spacing w:after="0" w:line="264"/>
            </w:pPr>
            <w:r>
              <w:rPr>
                <w:b w:val="false"/>
                <w:bCs w:val="false"/>
                <w:color w:val="000000"/>
              </w:rPr>
              <w:t xml:space="preserve">LLM client (Anthropic/OpenAI) + offline mock.</w:t>
            </w:r>
          </w:p>
        </w:tc>
      </w:tr>
      <w:tr>
        <w:tc>
          <w:tcPr>
            <w:tcW w:type="dxa" w:w="3400"/>
            <w:tcMar>
              <w:top w:type="dxa" w:w="60"/>
              <w:left w:type="dxa" w:w="110"/>
              <w:bottom w:type="dxa" w:w="60"/>
              <w:right w:type="dxa" w:w="110"/>
            </w:tcMar>
            <w:vAlign w:val="center"/>
          </w:tcPr>
          <w:p>
            <w:pPr>
              <w:spacing w:after="0" w:line="264"/>
            </w:pPr>
            <w:r>
              <w:rPr>
                <w:b w:val="false"/>
                <w:bCs w:val="false"/>
                <w:color w:val="000000"/>
              </w:rPr>
              <w:t xml:space="preserve">cli.py, app/streamlit_app.py</w:t>
            </w:r>
          </w:p>
        </w:tc>
        <w:tc>
          <w:tcPr>
            <w:tcW w:type="dxa" w:w="5960"/>
            <w:tcMar>
              <w:top w:type="dxa" w:w="60"/>
              <w:left w:type="dxa" w:w="110"/>
              <w:bottom w:type="dxa" w:w="60"/>
              <w:right w:type="dxa" w:w="110"/>
            </w:tcMar>
            <w:vAlign w:val="center"/>
          </w:tcPr>
          <w:p>
            <w:pPr>
              <w:spacing w:after="0" w:line="264"/>
            </w:pPr>
            <w:r>
              <w:rPr>
                <w:b w:val="false"/>
                <w:bCs w:val="false"/>
                <w:color w:val="000000"/>
              </w:rPr>
              <w:t xml:space="preserve">Layer 10 — CLI and grid UI.</w:t>
            </w:r>
          </w:p>
        </w:tc>
      </w:tr>
    </w:tbl>
    <w:p>
      <w:pPr>
        <w:pStyle w:val="Heading1"/>
        <w:spacing w:after="160" w:before="320"/>
      </w:pPr>
      <w:r>
        <w:t xml:space="preserve">Appendix B — Canonical Metric Vocabulary (excerpt)</w:t>
      </w:r>
    </w:p>
    <w:p>
      <w:pPr>
        <w:spacing w:after="120" w:line="276"/>
      </w:pPr>
      <w:r>
        <w:t xml:space="preserve">The extractor maps surface phrases to canonical keys (longest-phrase-first to avoid partial matches). A representative subset:</w:t>
      </w:r>
    </w:p>
    <w:p>
      <w:pPr>
        <w:pStyle w:val="ListParagraph"/>
        <w:numPr>
          <w:ilvl w:val="0"/>
          <w:numId w:val="2"/>
        </w:numPr>
        <w:spacing w:after="60" w:line="270"/>
      </w:pPr>
      <w:r>
        <w:t xml:space="preserve">revenue ← total revenue, net revenue, net sales, total sales, revenue, sales</w:t>
      </w:r>
    </w:p>
    <w:p>
      <w:pPr>
        <w:pStyle w:val="ListParagraph"/>
        <w:numPr>
          <w:ilvl w:val="0"/>
          <w:numId w:val="2"/>
        </w:numPr>
        <w:spacing w:after="60" w:line="270"/>
      </w:pPr>
      <w:r>
        <w:t xml:space="preserve">net_income ← net income, net earnings, net profit, profit for the year</w:t>
      </w:r>
    </w:p>
    <w:p>
      <w:pPr>
        <w:pStyle w:val="ListParagraph"/>
        <w:numPr>
          <w:ilvl w:val="0"/>
          <w:numId w:val="2"/>
        </w:numPr>
        <w:spacing w:after="60" w:line="270"/>
      </w:pPr>
      <w:r>
        <w:t xml:space="preserve">gross_profit ← gross profit; operating_income ← operating income, income from operations</w:t>
      </w:r>
    </w:p>
    <w:p>
      <w:pPr>
        <w:pStyle w:val="ListParagraph"/>
        <w:numPr>
          <w:ilvl w:val="0"/>
          <w:numId w:val="2"/>
        </w:numPr>
        <w:spacing w:after="60" w:line="270"/>
      </w:pPr>
      <w:r>
        <w:t xml:space="preserve">total_assets, total_liabilities, total_equity (shareholders'/stockholders' equity)</w:t>
      </w:r>
    </w:p>
    <w:p>
      <w:pPr>
        <w:pStyle w:val="ListParagraph"/>
        <w:numPr>
          <w:ilvl w:val="0"/>
          <w:numId w:val="2"/>
        </w:numPr>
        <w:spacing w:after="60" w:line="270"/>
      </w:pPr>
      <w:r>
        <w:t xml:space="preserve">current_assets / current_liabilities (total current …)</w:t>
      </w:r>
    </w:p>
    <w:p>
      <w:pPr>
        <w:pStyle w:val="ListParagraph"/>
        <w:numPr>
          <w:ilvl w:val="0"/>
          <w:numId w:val="2"/>
        </w:numPr>
        <w:spacing w:after="60" w:line="270"/>
      </w:pPr>
      <w:r>
        <w:t xml:space="preserve">total_debt (incl. long-term debt), cash (cash and cash equivalents), shares_outstanding, rd_expense</w:t>
      </w:r>
    </w:p>
    <w:p>
      <w:pPr>
        <w:pStyle w:val="Heading1"/>
        <w:spacing w:after="160" w:before="320"/>
      </w:pPr>
      <w:r>
        <w:t xml:space="preserve">Appendix C — Glossary</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400"/>
        <w:gridCol w:w="6960"/>
      </w:tblGrid>
      <w:tr>
        <w:trPr>
          <w:tblHeader/>
        </w:trPr>
        <w:tc>
          <w:tcPr>
            <w:tcW w:type="dxa" w:w="2400"/>
            <w:shd w:fill="1F4E79" w:val="clear"/>
            <w:tcMar>
              <w:top w:type="dxa" w:w="60"/>
              <w:left w:type="dxa" w:w="110"/>
              <w:bottom w:type="dxa" w:w="60"/>
              <w:right w:type="dxa" w:w="110"/>
            </w:tcMar>
            <w:vAlign w:val="center"/>
          </w:tcPr>
          <w:p>
            <w:pPr>
              <w:spacing w:after="0" w:line="264"/>
            </w:pPr>
            <w:r>
              <w:rPr>
                <w:b/>
                <w:bCs/>
                <w:color w:val="FFFFFF"/>
              </w:rPr>
              <w:t xml:space="preserve">Term</w:t>
            </w:r>
          </w:p>
        </w:tc>
        <w:tc>
          <w:tcPr>
            <w:tcW w:type="dxa" w:w="6960"/>
            <w:shd w:fill="1F4E79" w:val="clear"/>
            <w:tcMar>
              <w:top w:type="dxa" w:w="60"/>
              <w:left w:type="dxa" w:w="110"/>
              <w:bottom w:type="dxa" w:w="60"/>
              <w:right w:type="dxa" w:w="110"/>
            </w:tcMar>
            <w:vAlign w:val="center"/>
          </w:tcPr>
          <w:p>
            <w:pPr>
              <w:spacing w:after="0" w:line="264"/>
            </w:pPr>
            <w:r>
              <w:rPr>
                <w:b/>
                <w:bCs/>
                <w:color w:val="FFFFFF"/>
              </w:rPr>
              <w:t xml:space="preserve">Meaning</w:t>
            </w:r>
          </w:p>
        </w:tc>
      </w:tr>
      <w:tr>
        <w:tc>
          <w:tcPr>
            <w:tcW w:type="dxa" w:w="2400"/>
            <w:tcMar>
              <w:top w:type="dxa" w:w="60"/>
              <w:left w:type="dxa" w:w="110"/>
              <w:bottom w:type="dxa" w:w="60"/>
              <w:right w:type="dxa" w:w="110"/>
            </w:tcMar>
            <w:vAlign w:val="center"/>
          </w:tcPr>
          <w:p>
            <w:pPr>
              <w:spacing w:after="0" w:line="264"/>
            </w:pPr>
            <w:r>
              <w:rPr>
                <w:b w:val="false"/>
                <w:bCs w:val="false"/>
                <w:color w:val="000000"/>
              </w:rPr>
              <w:t xml:space="preserve">Cell</w:t>
            </w:r>
          </w:p>
        </w:tc>
        <w:tc>
          <w:tcPr>
            <w:tcW w:type="dxa" w:w="6960"/>
            <w:tcMar>
              <w:top w:type="dxa" w:w="60"/>
              <w:left w:type="dxa" w:w="110"/>
              <w:bottom w:type="dxa" w:w="60"/>
              <w:right w:type="dxa" w:w="110"/>
            </w:tcMar>
            <w:vAlign w:val="center"/>
          </w:tcPr>
          <w:p>
            <w:pPr>
              <w:spacing w:after="0" w:line="264"/>
            </w:pPr>
            <w:r>
              <w:rPr>
                <w:b w:val="false"/>
                <w:bCs w:val="false"/>
                <w:color w:val="000000"/>
              </w:rPr>
              <w:t xml:space="preserve">One (document, sub-question) unit of work and audit.</w:t>
            </w:r>
          </w:p>
        </w:tc>
      </w:tr>
      <w:tr>
        <w:tc>
          <w:tcPr>
            <w:tcW w:type="dxa" w:w="2400"/>
            <w:shd w:fill="F2F2F2" w:val="clear"/>
            <w:tcMar>
              <w:top w:type="dxa" w:w="60"/>
              <w:left w:type="dxa" w:w="110"/>
              <w:bottom w:type="dxa" w:w="60"/>
              <w:right w:type="dxa" w:w="110"/>
            </w:tcMar>
            <w:vAlign w:val="center"/>
          </w:tcPr>
          <w:p>
            <w:pPr>
              <w:spacing w:after="0" w:line="264"/>
            </w:pPr>
            <w:r>
              <w:rPr>
                <w:b w:val="false"/>
                <w:bCs w:val="false"/>
                <w:color w:val="000000"/>
              </w:rPr>
              <w:t xml:space="preserve">Grid</w:t>
            </w:r>
          </w:p>
        </w:tc>
        <w:tc>
          <w:tcPr>
            <w:tcW w:type="dxa" w:w="6960"/>
            <w:shd w:fill="F2F2F2" w:val="clear"/>
            <w:tcMar>
              <w:top w:type="dxa" w:w="60"/>
              <w:left w:type="dxa" w:w="110"/>
              <w:bottom w:type="dxa" w:w="60"/>
              <w:right w:type="dxa" w:w="110"/>
            </w:tcMar>
            <w:vAlign w:val="center"/>
          </w:tcPr>
          <w:p>
            <w:pPr>
              <w:spacing w:after="0" w:line="264"/>
            </w:pPr>
            <w:r>
              <w:rPr>
                <w:b w:val="false"/>
                <w:bCs w:val="false"/>
                <w:color w:val="000000"/>
              </w:rPr>
              <w:t xml:space="preserve">Documents (rows) × sub-questions (columns) of cells.</w:t>
            </w:r>
          </w:p>
        </w:tc>
      </w:tr>
      <w:tr>
        <w:tc>
          <w:tcPr>
            <w:tcW w:type="dxa" w:w="2400"/>
            <w:tcMar>
              <w:top w:type="dxa" w:w="60"/>
              <w:left w:type="dxa" w:w="110"/>
              <w:bottom w:type="dxa" w:w="60"/>
              <w:right w:type="dxa" w:w="110"/>
            </w:tcMar>
            <w:vAlign w:val="center"/>
          </w:tcPr>
          <w:p>
            <w:pPr>
              <w:spacing w:after="0" w:line="264"/>
            </w:pPr>
            <w:r>
              <w:rPr>
                <w:b w:val="false"/>
                <w:bCs w:val="false"/>
                <w:color w:val="000000"/>
              </w:rPr>
              <w:t xml:space="preserve">Route</w:t>
            </w:r>
          </w:p>
        </w:tc>
        <w:tc>
          <w:tcPr>
            <w:tcW w:type="dxa" w:w="6960"/>
            <w:tcMar>
              <w:top w:type="dxa" w:w="60"/>
              <w:left w:type="dxa" w:w="110"/>
              <w:bottom w:type="dxa" w:w="60"/>
              <w:right w:type="dxa" w:w="110"/>
            </w:tcMar>
            <w:vAlign w:val="center"/>
          </w:tcPr>
          <w:p>
            <w:pPr>
              <w:spacing w:after="0" w:line="264"/>
            </w:pPr>
            <w:r>
              <w:rPr>
                <w:b w:val="false"/>
                <w:bCs w:val="false"/>
                <w:color w:val="000000"/>
              </w:rPr>
              <w:t xml:space="preserve">How a cell is filled: numeric_store, retrieval_extract, or compute.</w:t>
            </w:r>
          </w:p>
        </w:tc>
      </w:tr>
      <w:tr>
        <w:tc>
          <w:tcPr>
            <w:tcW w:type="dxa" w:w="2400"/>
            <w:shd w:fill="F2F2F2" w:val="clear"/>
            <w:tcMar>
              <w:top w:type="dxa" w:w="60"/>
              <w:left w:type="dxa" w:w="110"/>
              <w:bottom w:type="dxa" w:w="60"/>
              <w:right w:type="dxa" w:w="110"/>
            </w:tcMar>
            <w:vAlign w:val="center"/>
          </w:tcPr>
          <w:p>
            <w:pPr>
              <w:spacing w:after="0" w:line="264"/>
            </w:pPr>
            <w:r>
              <w:rPr>
                <w:b w:val="false"/>
                <w:bCs w:val="false"/>
                <w:color w:val="000000"/>
              </w:rPr>
              <w:t xml:space="preserve">Numeric store</w:t>
            </w:r>
          </w:p>
        </w:tc>
        <w:tc>
          <w:tcPr>
            <w:tcW w:type="dxa" w:w="6960"/>
            <w:shd w:fill="F2F2F2" w:val="clear"/>
            <w:tcMar>
              <w:top w:type="dxa" w:w="60"/>
              <w:left w:type="dxa" w:w="110"/>
              <w:bottom w:type="dxa" w:w="60"/>
              <w:right w:type="dxa" w:w="110"/>
            </w:tcMar>
            <w:vAlign w:val="center"/>
          </w:tcPr>
          <w:p>
            <w:pPr>
              <w:spacing w:after="0" w:line="264"/>
            </w:pPr>
            <w:r>
              <w:rPr>
                <w:b w:val="false"/>
                <w:bCs w:val="false"/>
                <w:color w:val="000000"/>
              </w:rPr>
              <w:t xml:space="preserve">Pre-extracted figures keyed by (doc, metric); the LLM-free fast path.</w:t>
            </w:r>
          </w:p>
        </w:tc>
      </w:tr>
      <w:tr>
        <w:tc>
          <w:tcPr>
            <w:tcW w:type="dxa" w:w="2400"/>
            <w:tcMar>
              <w:top w:type="dxa" w:w="60"/>
              <w:left w:type="dxa" w:w="110"/>
              <w:bottom w:type="dxa" w:w="60"/>
              <w:right w:type="dxa" w:w="110"/>
            </w:tcMar>
            <w:vAlign w:val="center"/>
          </w:tcPr>
          <w:p>
            <w:pPr>
              <w:spacing w:after="0" w:line="264"/>
            </w:pPr>
            <w:r>
              <w:rPr>
                <w:b w:val="false"/>
                <w:bCs w:val="false"/>
                <w:color w:val="000000"/>
              </w:rPr>
              <w:t xml:space="preserve">RRF</w:t>
            </w:r>
          </w:p>
        </w:tc>
        <w:tc>
          <w:tcPr>
            <w:tcW w:type="dxa" w:w="6960"/>
            <w:tcMar>
              <w:top w:type="dxa" w:w="60"/>
              <w:left w:type="dxa" w:w="110"/>
              <w:bottom w:type="dxa" w:w="60"/>
              <w:right w:type="dxa" w:w="110"/>
            </w:tcMar>
            <w:vAlign w:val="center"/>
          </w:tcPr>
          <w:p>
            <w:pPr>
              <w:spacing w:after="0" w:line="264"/>
            </w:pPr>
            <w:r>
              <w:rPr>
                <w:b w:val="false"/>
                <w:bCs w:val="false"/>
                <w:color w:val="000000"/>
              </w:rPr>
              <w:t xml:space="preserve">Reciprocal Rank Fusion — combines dense and sparse rankings.</w:t>
            </w:r>
          </w:p>
        </w:tc>
      </w:tr>
      <w:tr>
        <w:tc>
          <w:tcPr>
            <w:tcW w:type="dxa" w:w="2400"/>
            <w:shd w:fill="F2F2F2" w:val="clear"/>
            <w:tcMar>
              <w:top w:type="dxa" w:w="60"/>
              <w:left w:type="dxa" w:w="110"/>
              <w:bottom w:type="dxa" w:w="60"/>
              <w:right w:type="dxa" w:w="110"/>
            </w:tcMar>
            <w:vAlign w:val="center"/>
          </w:tcPr>
          <w:p>
            <w:pPr>
              <w:spacing w:after="0" w:line="264"/>
            </w:pPr>
            <w:r>
              <w:rPr>
                <w:b w:val="false"/>
                <w:bCs w:val="false"/>
                <w:color w:val="000000"/>
              </w:rPr>
              <w:t xml:space="preserve">Determinism boundary</w:t>
            </w:r>
          </w:p>
        </w:tc>
        <w:tc>
          <w:tcPr>
            <w:tcW w:type="dxa" w:w="6960"/>
            <w:shd w:fill="F2F2F2" w:val="clear"/>
            <w:tcMar>
              <w:top w:type="dxa" w:w="60"/>
              <w:left w:type="dxa" w:w="110"/>
              <w:bottom w:type="dxa" w:w="60"/>
              <w:right w:type="dxa" w:w="110"/>
            </w:tcMar>
            <w:vAlign w:val="center"/>
          </w:tcPr>
          <w:p>
            <w:pPr>
              <w:spacing w:after="0" w:line="264"/>
            </w:pPr>
            <w:r>
              <w:rPr>
                <w:b w:val="false"/>
                <w:bCs w:val="false"/>
                <w:color w:val="000000"/>
              </w:rPr>
              <w:t xml:space="preserve">The rule that all numbers come from code, never the LLM.</w:t>
            </w:r>
          </w:p>
        </w:tc>
      </w:tr>
      <w:tr>
        <w:tc>
          <w:tcPr>
            <w:tcW w:type="dxa" w:w="2400"/>
            <w:tcMar>
              <w:top w:type="dxa" w:w="60"/>
              <w:left w:type="dxa" w:w="110"/>
              <w:bottom w:type="dxa" w:w="60"/>
              <w:right w:type="dxa" w:w="110"/>
            </w:tcMar>
            <w:vAlign w:val="center"/>
          </w:tcPr>
          <w:p>
            <w:pPr>
              <w:spacing w:after="0" w:line="264"/>
            </w:pPr>
            <w:r>
              <w:rPr>
                <w:b w:val="false"/>
                <w:bCs w:val="false"/>
                <w:color w:val="000000"/>
              </w:rPr>
              <w:t xml:space="preserve">Refusal</w:t>
            </w:r>
          </w:p>
        </w:tc>
        <w:tc>
          <w:tcPr>
            <w:tcW w:type="dxa" w:w="6960"/>
            <w:tcMar>
              <w:top w:type="dxa" w:w="60"/>
              <w:left w:type="dxa" w:w="110"/>
              <w:bottom w:type="dxa" w:w="60"/>
              <w:right w:type="dxa" w:w="110"/>
            </w:tcMar>
            <w:vAlign w:val="center"/>
          </w:tcPr>
          <w:p>
            <w:pPr>
              <w:spacing w:after="0" w:line="264"/>
            </w:pPr>
            <w:r>
              <w:rPr>
                <w:b w:val="false"/>
                <w:bCs w:val="false"/>
                <w:color w:val="000000"/>
              </w:rPr>
              <w:t xml:space="preserve">Explicit non-answer when an input is missing/invalid — never a guess.</w:t>
            </w:r>
          </w:p>
        </w:tc>
      </w:tr>
      <w:tr>
        <w:tc>
          <w:tcPr>
            <w:tcW w:type="dxa" w:w="2400"/>
            <w:shd w:fill="F2F2F2" w:val="clear"/>
            <w:tcMar>
              <w:top w:type="dxa" w:w="60"/>
              <w:left w:type="dxa" w:w="110"/>
              <w:bottom w:type="dxa" w:w="60"/>
              <w:right w:type="dxa" w:w="110"/>
            </w:tcMar>
            <w:vAlign w:val="center"/>
          </w:tcPr>
          <w:p>
            <w:pPr>
              <w:spacing w:after="0" w:line="264"/>
            </w:pPr>
            <w:r>
              <w:rPr>
                <w:b w:val="false"/>
                <w:bCs w:val="false"/>
                <w:color w:val="000000"/>
              </w:rPr>
              <w:t xml:space="preserve">D × C tax</w:t>
            </w:r>
          </w:p>
        </w:tc>
        <w:tc>
          <w:tcPr>
            <w:tcW w:type="dxa" w:w="6960"/>
            <w:shd w:fill="F2F2F2" w:val="clear"/>
            <w:tcMar>
              <w:top w:type="dxa" w:w="60"/>
              <w:left w:type="dxa" w:w="110"/>
              <w:bottom w:type="dxa" w:w="60"/>
              <w:right w:type="dxa" w:w="110"/>
            </w:tcMar>
            <w:vAlign w:val="center"/>
          </w:tcPr>
          <w:p>
            <w:pPr>
              <w:spacing w:after="0" w:line="264"/>
            </w:pPr>
            <w:r>
              <w:rPr>
                <w:b w:val="false"/>
                <w:bCs w:val="false"/>
                <w:color w:val="000000"/>
              </w:rPr>
              <w:t xml:space="preserve">Up to documents × columns model calls; controlled by four mitigations.</w:t>
            </w:r>
          </w:p>
        </w:tc>
      </w:tr>
    </w:tbl>
    <w:p>
      <w:pPr>
        <w:spacing w:after="60"/>
      </w:pPr>
      <w:r>
        <w:t xml:space="preserve"/>
      </w:r>
    </w:p>
    <w:p>
      <w:pPr>
        <w:spacing w:after="120" w:line="276"/>
      </w:pPr>
      <w:r>
        <w:rPr>
          <w:i/>
          <w:iCs/>
          <w:color w:val="80808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color w:val="808080"/>
        <w:sz w:val="16"/>
        <w:szCs w:val="16"/>
      </w:rPr>
      <w:t xml:space="preserve">FinSight v2.0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2"/>
      </w:pBd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9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38eccd777914eeb06f1217faf32e8b9706477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v2.0 — Technical Documentation</dc:title>
  <dc:creator>FinSight Engineering</dc:creator>
  <cp:lastModifiedBy>Un-named</cp:lastModifiedBy>
  <cp:revision>1</cp:revision>
  <dcterms:created xsi:type="dcterms:W3CDTF">2026-06-22T22:23:23.282Z</dcterms:created>
  <dcterms:modified xsi:type="dcterms:W3CDTF">2026-06-22T22:23:23.282Z</dcterms:modified>
</cp:coreProperties>
</file>

<file path=docProps/custom.xml><?xml version="1.0" encoding="utf-8"?>
<Properties xmlns="http://schemas.openxmlformats.org/officeDocument/2006/custom-properties" xmlns:vt="http://schemas.openxmlformats.org/officeDocument/2006/docPropsVTypes"/>
</file>