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32"/>
          <w:szCs w:val="32"/>
        </w:rPr>
        <w:t xml:space="preserve">CV Quality Inspection — Toy PoC vs. Real Deployment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What we're building this week, and how it maps to the real Jetson-based system</w:t>
      </w:r>
    </w:p>
    <w:p>
      <w:pPr>
        <w:pStyle w:val="Heading1"/>
        <w:spacing w:after="150" w:before="300"/>
      </w:pPr>
      <w:r>
        <w:t xml:space="preserve">1. What we're doing right now</w:t>
      </w:r>
    </w:p>
    <w:p>
      <w:pPr>
        <w:spacing w:after="120"/>
      </w:pPr>
      <w:r>
        <w:t xml:space="preserve">Goal: build a small proof-of-concept that validates the sense → think → verdict pipeline concept, before touching any of the real hardware (Jetson, PLC, OPC-UA).</w:t>
      </w:r>
    </w:p>
    <w:p>
      <w:pPr>
        <w:spacing w:after="120"/>
      </w:pPr>
      <w:r>
        <w:t xml:space="preserve">Scope: only the “Think” stage — training and testing a computer vision model that looks at an image of an object and decides good vs. defective. No barcode scanner, no PLC, no actuation.</w:t>
      </w:r>
    </w:p>
    <w:p>
      <w:pPr>
        <w:pStyle w:val="Heading2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PatchCore anomaly detection — a frozen ImageNet-pretrained ResNet-18 turns each image into a grid of local patch features. No weights are trained.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only on “good” images per object category — no defect images needed for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gradient training loop: the patch features from every “good” image are collected into a memory bank, then compressed with a greedy coreset (a representative subset). That memory bank is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test time: each test patch is scored by its distance to the nearest “good” patch in the bank; a defect sits far from anything normal → per-patch anomaly map (heatmap), image score = worst patch → threshold → ACCEPT / REJECT.</w:t>
      </w:r>
    </w:p>
    <w:p>
      <w:pPr>
        <w:pStyle w:val="Heading2"/>
        <w:spacing w:after="120" w:before="240"/>
      </w:pPr>
      <w:r>
        <w:t xml:space="preserve">Objects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Bottle, screw, tile, toothbrush — 4 categories from the MVTec AD dataset for training and metrics.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 versions of the same objects, captured on a laptop webcam, for a live demo.</w:t>
      </w:r>
    </w:p>
    <w:p>
      <w:pPr>
        <w:pStyle w:val="Heading2"/>
        <w:spacing w:after="120" w:before="240"/>
      </w:pPr>
      <w:r>
        <w:t xml:space="preserve">Note on the live webcam demo</w:t>
      </w:r>
    </w:p>
    <w:p>
      <w:pPr>
        <w:spacing w:after="120"/>
      </w:pPr>
      <w:r>
        <w:t xml:space="preserve">The model is trained on MVTec AD images captured under controlled conditions; the physical demo objects are viewed through a laptop webcam, so some domain shift is expected. PoC success is measured on the MVTec test sets — the webcam demo is an illustration on top of that.</w:t>
      </w:r>
    </w:p>
    <w:p>
      <w:pPr>
        <w:pStyle w:val="Heading2"/>
        <w:spacing w:after="120" w:before="240"/>
      </w:pPr>
      <w:r>
        <w:t xml:space="preserve">Why one-class (not a normal binary classifier)</w:t>
      </w:r>
    </w:p>
    <w:p>
      <w:pPr>
        <w:spacing w:after="120"/>
      </w:pPr>
      <w:r>
        <w:t xml:space="preserve">A binary good/bad classifier needs a large, balanced set of labeled defect images, and only recognizes defect types it was explicitly trained on. Defects on a real line are rare, varied, and expensive to collect — new defect types show up that were never in the training set. Training only on “good” avoids this: the model just needs to learn what normal looks like, and flags anything sufficiently different — including defect types it has never seen. This is also why the real system uses this same one-class philosophy (via PatchCore).</w:t>
      </w:r>
    </w:p>
    <w:p>
      <w:pPr>
        <w:pStyle w:val="Heading2"/>
        <w:spacing w:after="120" w:before="240"/>
      </w:pPr>
      <w:r>
        <w:t xml:space="preserve">Deliverables (by Monday)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Jupyter notebook: data loading, model, training, evaluation (AUROC per category, plus precision/recall at the operating threshold, heatmaps).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webcam inference script.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written report: approach, results, limitations, and path to real deployment.</w:t>
      </w:r>
    </w:p>
    <w:p>
      <w:pPr>
        <w:pStyle w:val="Heading2"/>
        <w:spacing w:after="120" w:before="240"/>
      </w:pPr>
      <w:r>
        <w:t xml:space="preserve">What counts as success</w:t>
      </w:r>
    </w:p>
    <w:p>
      <w:pPr>
        <w:spacing w:after="120"/>
      </w:pPr>
      <w:r>
        <w:t xml:space="preserve">This PoC is considered successful if: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AUROC ≥ 0.85 per category on the MVTec AD test sets (defect images used for evaluation only, never training).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Heatmaps localize the defective region on MVTec test images.</w:t>
      </w:r>
    </w:p>
    <w:p>
      <w:pPr>
        <w:spacing w:after="120"/>
      </w:pPr>
      <w:r>
        <w:t xml:space="preserve">If these hold, the sense → think → verdict logic is validated and ready to carry into the Jetson phase.</w:t>
      </w:r>
    </w:p>
    <w:p>
      <w:pPr>
        <w:pStyle w:val="Heading1"/>
        <w:spacing w:after="150" w:before="300"/>
      </w:pPr>
      <w:r>
        <w:t xml:space="preserve">2. Side-by-side: PoC vs. real system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800"/>
      </w:tblGrid>
      <w:tr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Toy PoC (this week)</w:t>
            </w:r>
          </w:p>
        </w:tc>
        <w:tc>
          <w:tcPr>
            <w:tcW w:type="dxa" w:w="38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deployment (Jetson phase)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Camera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MacBook built-in webcam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Basler ace2 GigE industrial camera, triggered by barcode scan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Bottle, screw, tile, toothbrush (MVTec AD + physical samples)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automotive parts on the production line (e.g. Honda Ohio)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PatchCore — frozen ImageNet ResNet-18 backbone + greedy-coreset memory bank of “good” patches, one per object category (no gradient training)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PatchCore architecture carried forward, likely a stronger backbone (e.g. WideResNet-50) + memory bank, calibrated on in-domain “good” images from the line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it runs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MacBook Air M3 (CPU / Apple MPS)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NVIDIA Jetson Orin (GPU), model converted to TensorRT for fast on-device inference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 location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laptop, this week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Off-device (dev machine / cloud), before deployment — Jetson never trains, only runs inference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Verdict output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Printed to console / shown in notebook (ACCEPT / REJECT + heatmap)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 via OPC-UA to the Siemens S7-1500 PLC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Actuation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— no physical action taken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PLC fires the actuator (arm, air jet, gate, etc.) to physically remove rejected parts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 the sense → think → verdict concept works end to end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that same logic reliably, in real time, at production line speed</w:t>
            </w:r>
          </w:p>
        </w:tc>
      </w:tr>
    </w:tbl>
    <w:p>
      <w:pPr>
        <w:pStyle w:val="Heading2"/>
        <w:spacing w:after="120" w:before="240"/>
      </w:pPr>
      <w:r>
        <w:t xml:space="preserve">What this PoC does not prove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performance: no latency or throughput testing at line speed — that is what the TensorRT/Jetson phase validates.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integration: no camera triggering, PLC communication, or actuation — the OPC-UA path is exercised only in the real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imaging conditions: MVTec and webcam images do not replicate the Basler camera’s optics and lighting on the actual line.</w:t>
      </w:r>
    </w:p>
    <w:p>
      <w:pPr>
        <w:spacing w:after="120"/>
      </w:pPr>
      <w:r>
        <w:t xml:space="preserve">The PoC validates the detection logic; the Jetson phase validates that the same logic runs reliably at production speed.</w:t>
      </w:r>
    </w:p>
    <w:p>
      <w:pPr>
        <w:pStyle w:val="Heading1"/>
        <w:spacing w:after="150" w:before="300"/>
      </w:pPr>
      <w:r>
        <w:t xml:space="preserve">3. Where NVIDIA / Jetson actually comes in</w:t>
      </w:r>
    </w:p>
    <w:p>
      <w:pPr>
        <w:spacing w:after="120"/>
      </w:pPr>
      <w:r>
        <w:t xml:space="preserve">Jetson is a deployment target, not a training environment. It runs inference only — it never trains a model.</w:t>
      </w:r>
    </w:p>
    <w:p>
      <w:pPr>
        <w:spacing w:after="120"/>
      </w:pPr>
      <w:r>
        <w:t xml:space="preserve">The real flow, once this PoC validates the concept: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Design and train the model on a dev machine (this is the part we're doing now, just with a laptop and simpler tooling).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Convert the trained model to TensorRT — NVIDIA's optimized inference format for their GPUs, so it runs fast enough for real-time inspection on the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Deploy the converted model onto the Jetson Orin, which processes live frames from the Basler camera as parts pass by.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Jetson outputs just the verdict (accept/reject) — no PLC logic, no actuation decision — and sends it via OPC-UA.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The Siemens S7-1500 PLC receives that verdict and physically fires the actuator.</w:t>
      </w:r>
    </w:p>
    <w:p>
      <w:pPr>
        <w:spacing w:after="120"/>
      </w:pPr>
      <w:r>
        <w:t xml:space="preserve">In short: everything we build this week — the model architecture, the training approach, the scoring/thresholding logic — is the same logic Jetson will eventually run. The PoC swaps out only the hardware and communication layer (webcam → industrial camera, console print → OPC-UA, MacBook → Jetson+TensorRT, no actuation → PLC actuation).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2026-07-03T19:35:52.934Z</dcterms:created>
  <dcterms:modified xsi:type="dcterms:W3CDTF">2026-07-03T19:35:52.934Z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