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pPr>
      <w:r>
        <w:rPr>
          <w:b/>
          <w:bCs/>
          <w:color w:val="64748B"/>
          <w:spacing w:val="40"/>
          <w:sz w:val="30"/>
          <w:szCs w:val="30"/>
        </w:rPr>
        <w:t xml:space="preserve">KEEL</w:t>
      </w:r>
    </w:p>
    <w:p>
      <w:pPr>
        <w:spacing w:after="200"/>
      </w:pPr>
      <w:r>
        <w:rPr>
          <w:b/>
          <w:bCs/>
          <w:color w:val="0F172A"/>
          <w:sz w:val="52"/>
          <w:szCs w:val="52"/>
        </w:rPr>
        <w:t xml:space="preserve">Keel Deliver &amp; KeelConnect</w:t>
      </w:r>
    </w:p>
    <w:p>
      <w:pPr>
        <w:spacing w:after="400"/>
      </w:pPr>
      <w:r>
        <w:rPr>
          <w:color w:val="334155"/>
          <w:sz w:val="26"/>
          <w:szCs w:val="26"/>
        </w:rPr>
        <w:t xml:space="preserve">Product Strategy Review: Gaps, Positioning, Pricing &amp; Integration Roadmap</w:t>
      </w:r>
    </w:p>
    <w:p>
      <w:pPr>
        <w:pBdr>
          <w:bottom w:val="single" w:color="4F46E5" w:sz="6" w:space="8"/>
        </w:pBdr>
        <w:spacing w:after="300"/>
      </w:pPr>
      <w:r>
        <w:t xml:space="preserve"/>
      </w:r>
    </w:p>
    <w:p>
      <w:pPr>
        <w:spacing w:after="80"/>
      </w:pPr>
      <w:r>
        <w:rPr>
          <w:color w:val="334155"/>
          <w:sz w:val="21"/>
          <w:szCs w:val="21"/>
        </w:rPr>
        <w:t xml:space="preserve">Prepared for: Hemender Kumar</w:t>
      </w:r>
    </w:p>
    <w:p>
      <w:pPr>
        <w:spacing w:after="80"/>
      </w:pPr>
      <w:r>
        <w:rPr>
          <w:color w:val="334155"/>
          <w:sz w:val="21"/>
          <w:szCs w:val="21"/>
        </w:rPr>
        <w:t xml:space="preserve">Date: July 22, 2026</w:t>
      </w:r>
    </w:p>
    <w:p>
      <w:pPr>
        <w:spacing w:after="1200"/>
      </w:pPr>
      <w:r>
        <w:rPr>
          <w:i/>
          <w:iCs/>
          <w:color w:val="64748B"/>
          <w:sz w:val="19"/>
          <w:szCs w:val="19"/>
        </w:rPr>
        <w:t xml:space="preserve">Confidential — internal strategy document</w:t>
      </w:r>
    </w:p>
    <w:p>
      <w:r>
        <w:br w:type="page"/>
      </w:r>
    </w:p>
    <w:p>
      <w:pPr>
        <w:pStyle w:val="Heading1"/>
        <w:spacing w:after="200" w:before="400"/>
      </w:pPr>
      <w:r>
        <w:t xml:space="preserve">Executive Summary</w:t>
      </w:r>
    </w:p>
    <w:p>
      <w:pPr>
        <w:spacing w:after="160"/>
      </w:pPr>
      <w:r>
        <w:rPr>
          <w:color w:val="334155"/>
          <w:sz w:val="21"/>
          <w:szCs w:val="21"/>
        </w:rPr>
        <w:t xml:space="preserve">Keel is actually two products sharing one login: Keel Deliver, an internal project/portfolio delivery tool, and KeelConnect, a B2B outsourcing marketplace. Both are functionally deeper than they look from the outside — Deliver's ideation-gate system, AI drafting everywhere, and built-in RFP/SOW/cost machinery are genuinely differentiated; KeelConnect's full bid → negotiate → agreement → milestone → payment → review lifecycle is real and usable end-to-end, not a prototype.</w:t>
      </w:r>
    </w:p>
    <w:p>
      <w:pPr>
        <w:spacing w:after="160"/>
      </w:pPr>
      <w:r>
        <w:rPr>
          <w:color w:val="334155"/>
          <w:sz w:val="21"/>
          <w:szCs w:val="21"/>
        </w:rPr>
        <w:t xml:space="preserve">The gap in both products is the same shape: the transactional core is strong, but the surrounding layer that makes a tool sticky — collaboration, discovery, notifications, integrations — is thin or missing. That layer is exactly what determines whether a team keeps using a PM tool daily, and whether a marketplace ever reaches liquidity.</w:t>
      </w:r>
    </w:p>
    <w:p>
      <w:pPr>
        <w:pStyle w:val="ListParagraph"/>
        <w:numPr>
          <w:ilvl w:val="0"/>
          <w:numId w:val="2"/>
        </w:numPr>
        <w:spacing w:after="90"/>
      </w:pPr>
      <w:r>
        <w:rPr>
          <w:b/>
          <w:bCs/>
          <w:color w:val="0F172A"/>
          <w:sz w:val="21"/>
          <w:szCs w:val="21"/>
        </w:rPr>
        <w:t xml:space="preserve">Launch recommendation: </w:t>
      </w:r>
      <w:r>
        <w:rPr>
          <w:color w:val="334155"/>
          <w:sz w:val="21"/>
          <w:szCs w:val="21"/>
        </w:rPr>
        <w:t xml:space="preserve">yes, but sequence it. Keel Deliver is close to being sellable today to teams like the one it was built for (a boutique delivery/consulting shop). KeelConnect is not yet a marketplace — it's a well-built private transaction pipe with no discovery layer. Launch Deliver first as a standalone paid product; keep KeelConnect in closed-beta / concierge mode until vendor discovery and payments are real.</w:t>
      </w:r>
    </w:p>
    <w:p>
      <w:pPr>
        <w:pStyle w:val="ListParagraph"/>
        <w:numPr>
          <w:ilvl w:val="0"/>
          <w:numId w:val="2"/>
        </w:numPr>
        <w:spacing w:after="90"/>
      </w:pPr>
      <w:r>
        <w:rPr>
          <w:b/>
          <w:bCs/>
          <w:color w:val="0F172A"/>
          <w:sz w:val="21"/>
          <w:szCs w:val="21"/>
        </w:rPr>
        <w:t xml:space="preserve">Pricing: </w:t>
      </w:r>
      <w:r>
        <w:rPr>
          <w:color w:val="334155"/>
          <w:sz w:val="21"/>
          <w:szCs w:val="21"/>
        </w:rPr>
        <w:t xml:space="preserve">run separate pricing models, not one bundle. Deliver should be per-seat SaaS (like its competitors). KeelConnect should be take-rate/commission on completed engagements (like its competitors). Bundling them into one price obscures both and makes neither easy to sell.</w:t>
      </w:r>
    </w:p>
    <w:p>
      <w:pPr>
        <w:pStyle w:val="ListParagraph"/>
        <w:numPr>
          <w:ilvl w:val="0"/>
          <w:numId w:val="2"/>
        </w:numPr>
        <w:spacing w:after="90"/>
      </w:pPr>
      <w:r>
        <w:rPr>
          <w:b/>
          <w:bCs/>
          <w:color w:val="0F172A"/>
          <w:sz w:val="21"/>
          <w:szCs w:val="21"/>
        </w:rPr>
        <w:t xml:space="preserve">Internal connection: </w:t>
      </w:r>
      <w:r>
        <w:rPr>
          <w:color w:val="334155"/>
          <w:sz w:val="21"/>
          <w:szCs w:val="21"/>
        </w:rPr>
        <w:t xml:space="preserve">the one-way task→project bridge already built this session is the right shape — the fix is making it two-way and automatic (a KeelConnect award should be able to spin up execution tracking back in Deliver), not merging the two data models.</w:t>
      </w:r>
    </w:p>
    <w:p>
      <w:pPr>
        <w:pStyle w:val="ListParagraph"/>
        <w:numPr>
          <w:ilvl w:val="0"/>
          <w:numId w:val="2"/>
        </w:numPr>
        <w:spacing w:after="90"/>
      </w:pPr>
      <w:r>
        <w:rPr>
          <w:b/>
          <w:bCs/>
          <w:color w:val="0F172A"/>
          <w:sz w:val="21"/>
          <w:szCs w:val="21"/>
        </w:rPr>
        <w:t xml:space="preserve">eWorkConnection: </w:t>
      </w:r>
      <w:r>
        <w:rPr>
          <w:color w:val="334155"/>
          <w:sz w:val="21"/>
          <w:szCs w:val="21"/>
        </w:rPr>
        <w:t xml:space="preserve">eworkconnections.org is not a random third party — it's a sibling product (same domain family, same infrastructure lineage) with an actual candidate pool and a consent-based recruiter-visibility model already built. Surfacing its talent inside a KeelConnect Resource Request is feasible and is the single highest-leverage move available to solve KeelConnect's biggest problem: cold-start liquidity.</w:t>
      </w:r>
    </w:p>
    <w:p>
      <w:r>
        <w:br w:type="page"/>
      </w:r>
    </w:p>
    <w:p>
      <w:pPr>
        <w:pStyle w:val="Heading1"/>
        <w:spacing w:after="200" w:before="400"/>
      </w:pPr>
      <w:r>
        <w:t xml:space="preserve">1. Keel Deliver — Gaps &amp; Appeal</w:t>
      </w:r>
    </w:p>
    <w:p>
      <w:pPr>
        <w:pStyle w:val="Heading2"/>
        <w:spacing w:after="150" w:before="300"/>
      </w:pPr>
      <w:r>
        <w:t xml:space="preserve">What's genuinely strong</w:t>
      </w:r>
    </w:p>
    <w:p>
      <w:pPr>
        <w:pStyle w:val="ListParagraph"/>
        <w:numPr>
          <w:ilvl w:val="0"/>
          <w:numId w:val="2"/>
        </w:numPr>
        <w:spacing w:after="90"/>
      </w:pPr>
      <w:r>
        <w:rPr>
          <w:b/>
          <w:bCs/>
          <w:color w:val="0F172A"/>
          <w:sz w:val="21"/>
          <w:szCs w:val="21"/>
        </w:rPr>
        <w:t xml:space="preserve">Ideation-to-delivery gates: </w:t>
      </w:r>
      <w:r>
        <w:rPr>
          <w:color w:val="334155"/>
          <w:sz w:val="21"/>
          <w:szCs w:val="21"/>
        </w:rPr>
        <w:t xml:space="preserve">unanimous reviewer approval, feasibility, architecture, and resourcing sign-off, each gating the next stage. Most competitors leave this to process discipline alone — Keel enforces it in the product.</w:t>
      </w:r>
    </w:p>
    <w:p>
      <w:pPr>
        <w:pStyle w:val="ListParagraph"/>
        <w:numPr>
          <w:ilvl w:val="0"/>
          <w:numId w:val="2"/>
        </w:numPr>
        <w:spacing w:after="90"/>
      </w:pPr>
      <w:r>
        <w:rPr>
          <w:b/>
          <w:bCs/>
          <w:color w:val="0F172A"/>
          <w:sz w:val="21"/>
          <w:szCs w:val="21"/>
        </w:rPr>
        <w:t xml:space="preserve">AI drafting everywhere: </w:t>
      </w:r>
      <w:r>
        <w:rPr>
          <w:color w:val="334155"/>
          <w:sz w:val="21"/>
          <w:szCs w:val="21"/>
        </w:rPr>
        <w:t xml:space="preserve">30+ AI endpoints (charter, SOW, deliverables, tasks, risks, sprint planning, technical recommendations) plus a reusable “propose → diff → apply” edit-via-chat pattern wired into almost every tab, and a natural-language project Q&amp;A.</w:t>
      </w:r>
    </w:p>
    <w:p>
      <w:pPr>
        <w:pStyle w:val="ListParagraph"/>
        <w:numPr>
          <w:ilvl w:val="0"/>
          <w:numId w:val="2"/>
        </w:numPr>
        <w:spacing w:after="90"/>
      </w:pPr>
      <w:r>
        <w:rPr>
          <w:b/>
          <w:bCs/>
          <w:color w:val="0F172A"/>
          <w:sz w:val="21"/>
          <w:szCs w:val="21"/>
        </w:rPr>
        <w:t xml:space="preserve">Built-in RFP and vendor evaluation: </w:t>
      </w:r>
      <w:r>
        <w:rPr>
          <w:color w:val="334155"/>
          <w:sz w:val="21"/>
          <w:szCs w:val="21"/>
        </w:rPr>
        <w:t xml:space="preserve">AI-drafted RFPs, tokenized no-login vendor responses, weighted scoring, AI recommendation — a workflow most PM tools don't attempt at all.</w:t>
      </w:r>
    </w:p>
    <w:p>
      <w:pPr>
        <w:pStyle w:val="ListParagraph"/>
        <w:numPr>
          <w:ilvl w:val="0"/>
          <w:numId w:val="2"/>
        </w:numPr>
        <w:spacing w:after="90"/>
      </w:pPr>
      <w:r>
        <w:rPr>
          <w:b/>
          <w:bCs/>
          <w:color w:val="0F172A"/>
          <w:sz w:val="21"/>
          <w:szCs w:val="21"/>
        </w:rPr>
        <w:t xml:space="preserve">Contract-grade SOW/Deliverable documents: </w:t>
      </w:r>
      <w:r>
        <w:rPr>
          <w:color w:val="334155"/>
          <w:sz w:val="21"/>
          <w:szCs w:val="21"/>
        </w:rPr>
        <w:t xml:space="preserve">status lifecycle, Word/PDF export, signed-copy upload — a real document/approval loop, not just a task list.</w:t>
      </w:r>
    </w:p>
    <w:p>
      <w:pPr>
        <w:pStyle w:val="ListParagraph"/>
        <w:numPr>
          <w:ilvl w:val="0"/>
          <w:numId w:val="2"/>
        </w:numPr>
        <w:spacing w:after="90"/>
      </w:pPr>
      <w:r>
        <w:rPr>
          <w:b/>
          <w:bCs/>
          <w:color w:val="0F172A"/>
          <w:sz w:val="21"/>
          <w:szCs w:val="21"/>
        </w:rPr>
        <w:t xml:space="preserve">Cost/rate-card driven budgeting: </w:t>
      </w:r>
      <w:r>
        <w:rPr>
          <w:color w:val="334155"/>
          <w:sz w:val="21"/>
          <w:szCs w:val="21"/>
        </w:rPr>
        <w:t xml:space="preserve">role × sourcing-type rate cards, AI-recommended delivery mix, itemized costs, contingency, ongoing-support estimates — materially more mature than typical task trackers' budget fields.</w:t>
      </w:r>
    </w:p>
    <w:p>
      <w:pPr>
        <w:pStyle w:val="ListParagraph"/>
        <w:numPr>
          <w:ilvl w:val="0"/>
          <w:numId w:val="2"/>
        </w:numPr>
        <w:spacing w:after="90"/>
      </w:pPr>
      <w:r>
        <w:rPr>
          <w:b/>
          <w:bCs/>
          <w:color w:val="0F172A"/>
          <w:sz w:val="21"/>
          <w:szCs w:val="21"/>
        </w:rPr>
        <w:t xml:space="preserve">Reporting: </w:t>
      </w:r>
      <w:r>
        <w:rPr>
          <w:color w:val="334155"/>
          <w:sz w:val="21"/>
          <w:szCs w:val="21"/>
        </w:rPr>
        <w:t xml:space="preserve">branded PDF/PPTX exports across status reports, steering-committee decks, and portfolio views, with scheduled generation.</w:t>
      </w:r>
    </w:p>
    <w:p>
      <w:pPr>
        <w:pStyle w:val="Heading2"/>
        <w:spacing w:after="150" w:before="300"/>
      </w:pPr>
      <w:r>
        <w:t xml:space="preserve">What's limiting adoption (prioritized)</w:t>
      </w:r>
    </w:p>
    <w:p>
      <w:pPr>
        <w:pStyle w:val="ListParagraph"/>
        <w:numPr>
          <w:ilvl w:val="0"/>
          <w:numId w:val="2"/>
        </w:numPr>
        <w:spacing w:after="90"/>
      </w:pPr>
      <w:r>
        <w:rPr>
          <w:b/>
          <w:bCs/>
          <w:color w:val="0F172A"/>
          <w:sz w:val="21"/>
          <w:szCs w:val="21"/>
        </w:rPr>
        <w:t xml:space="preserve">1. No task dependencies or Gantt/timeline view. </w:t>
      </w:r>
      <w:r>
        <w:rPr>
          <w:color w:val="334155"/>
          <w:sz w:val="21"/>
          <w:szCs w:val="21"/>
        </w:rPr>
        <w:t xml:space="preserve">Tasks have no predecessor/successor relationship and there's no schedule visualization. For anyone coming from Jira/Monday/MS Project, this reads as a missing baseline capability, not a nice-to-have.</w:t>
      </w:r>
    </w:p>
    <w:p>
      <w:pPr>
        <w:pStyle w:val="ListParagraph"/>
        <w:numPr>
          <w:ilvl w:val="0"/>
          <w:numId w:val="2"/>
        </w:numPr>
        <w:spacing w:after="90"/>
      </w:pPr>
      <w:r>
        <w:rPr>
          <w:b/>
          <w:bCs/>
          <w:color w:val="0F172A"/>
          <w:sz w:val="21"/>
          <w:szCs w:val="21"/>
        </w:rPr>
        <w:t xml:space="preserve">2. No collaboration layer. </w:t>
      </w:r>
      <w:r>
        <w:rPr>
          <w:color w:val="334155"/>
          <w:sz w:val="21"/>
          <w:szCs w:val="21"/>
        </w:rPr>
        <w:t xml:space="preserve">No comments, @mentions, or notifications on tasks — only scheduled reports and one-off status-request links. Teams live inside a PM tool because of the conversation trail on work; without it, people fall back to Slack/email and the tool becomes a system of record, not a system of work.</w:t>
      </w:r>
    </w:p>
    <w:p>
      <w:pPr>
        <w:pStyle w:val="ListParagraph"/>
        <w:numPr>
          <w:ilvl w:val="0"/>
          <w:numId w:val="2"/>
        </w:numPr>
        <w:spacing w:after="90"/>
      </w:pPr>
      <w:r>
        <w:rPr>
          <w:b/>
          <w:bCs/>
          <w:color w:val="0F172A"/>
          <w:sz w:val="21"/>
          <w:szCs w:val="21"/>
        </w:rPr>
        <w:t xml:space="preserve">3. No automation/workflow rules. </w:t>
      </w:r>
      <w:r>
        <w:rPr>
          <w:color w:val="334155"/>
          <w:sz w:val="21"/>
          <w:szCs w:val="21"/>
        </w:rPr>
        <w:t xml:space="preserve">No “when X then Y” triggers — the single most-cited reason teams get attached to Monday/Asana.</w:t>
      </w:r>
    </w:p>
    <w:p>
      <w:pPr>
        <w:pStyle w:val="ListParagraph"/>
        <w:numPr>
          <w:ilvl w:val="0"/>
          <w:numId w:val="2"/>
        </w:numPr>
        <w:spacing w:after="90"/>
      </w:pPr>
      <w:r>
        <w:rPr>
          <w:b/>
          <w:bCs/>
          <w:color w:val="0F172A"/>
          <w:sz w:val="21"/>
          <w:szCs w:val="21"/>
        </w:rPr>
        <w:t xml:space="preserve">4. No integrations or public API. </w:t>
      </w:r>
      <w:r>
        <w:rPr>
          <w:color w:val="334155"/>
          <w:sz w:val="21"/>
          <w:szCs w:val="21"/>
        </w:rPr>
        <w:t xml:space="preserve">No Slack, Teams, Jira, GitHub, or calendar connectors, and no webhook/API surface for anyone else to build on. This blocks adoption by any team not willing to fully replace their existing stack.</w:t>
      </w:r>
    </w:p>
    <w:p>
      <w:pPr>
        <w:pStyle w:val="ListParagraph"/>
        <w:numPr>
          <w:ilvl w:val="0"/>
          <w:numId w:val="2"/>
        </w:numPr>
        <w:spacing w:after="90"/>
      </w:pPr>
      <w:r>
        <w:rPr>
          <w:b/>
          <w:bCs/>
          <w:color w:val="0F172A"/>
          <w:sz w:val="21"/>
          <w:szCs w:val="21"/>
        </w:rPr>
        <w:t xml:space="preserve">5. No custom fields or per-project workflow configuration. </w:t>
      </w:r>
      <w:r>
        <w:rPr>
          <w:color w:val="334155"/>
          <w:sz w:val="21"/>
          <w:szCs w:val="21"/>
        </w:rPr>
        <w:t xml:space="preserve">Status values and fields are fixed globally; there's no way to adapt the tool to a team's own vocabulary.</w:t>
      </w:r>
    </w:p>
    <w:p>
      <w:pPr>
        <w:pStyle w:val="ListParagraph"/>
        <w:numPr>
          <w:ilvl w:val="0"/>
          <w:numId w:val="2"/>
        </w:numPr>
        <w:spacing w:after="90"/>
      </w:pPr>
      <w:r>
        <w:rPr>
          <w:b/>
          <w:bCs/>
          <w:color w:val="0F172A"/>
          <w:sz w:val="21"/>
          <w:szCs w:val="21"/>
        </w:rPr>
        <w:t xml:space="preserve">6. No resource capacity heatmap or portfolio timeline rollup. </w:t>
      </w:r>
      <w:r>
        <w:rPr>
          <w:color w:val="334155"/>
          <w:sz w:val="21"/>
          <w:szCs w:val="21"/>
        </w:rPr>
        <w:t xml:space="preserve">Resourcing shows a flat allocation number per project; there's no cross-project overallocation view, which matters a lot for the PPM/portfolio buyer this tool is otherwise built for.</w:t>
      </w:r>
    </w:p>
    <w:p>
      <w:pPr>
        <w:pStyle w:val="ListParagraph"/>
        <w:numPr>
          <w:ilvl w:val="0"/>
          <w:numId w:val="2"/>
        </w:numPr>
        <w:spacing w:after="90"/>
      </w:pPr>
      <w:r>
        <w:rPr>
          <w:b/>
          <w:bCs/>
          <w:color w:val="0F172A"/>
          <w:sz w:val="21"/>
          <w:szCs w:val="21"/>
        </w:rPr>
        <w:t xml:space="preserve">7. No project templates, no global search. </w:t>
      </w:r>
      <w:r>
        <w:rPr>
          <w:color w:val="334155"/>
          <w:sz w:val="21"/>
          <w:szCs w:val="21"/>
        </w:rPr>
        <w:t xml:space="preserve">Every project starts blank; nothing is searchable across projects/tasks/deliverables.</w:t>
      </w:r>
    </w:p>
    <w:p>
      <w:pPr>
        <w:pStyle w:val="ListParagraph"/>
        <w:numPr>
          <w:ilvl w:val="0"/>
          <w:numId w:val="2"/>
        </w:numPr>
        <w:spacing w:after="90"/>
      </w:pPr>
      <w:r>
        <w:rPr>
          <w:b/>
          <w:bCs/>
          <w:color w:val="0F172A"/>
          <w:sz w:val="21"/>
          <w:szCs w:val="21"/>
        </w:rPr>
        <w:t xml:space="preserve">8. Scale/reliability risk. </w:t>
      </w:r>
      <w:r>
        <w:rPr>
          <w:color w:val="334155"/>
          <w:sz w:val="21"/>
          <w:szCs w:val="21"/>
        </w:rPr>
        <w:t xml:space="preserve">The portfolio dashboard loads every project/task/risk row and joins in application code rather than SQL, with no caching layer. This will get slow well before a real customer's portfolio gets large — worth fixing before any serious sales push, not after.</w:t>
      </w:r>
    </w:p>
    <w:p>
      <w:pPr>
        <w:pStyle w:val="Heading2"/>
        <w:spacing w:after="150" w:before="300"/>
      </w:pPr>
      <w:r>
        <w:t xml:space="preserve">What would make it more appealing</w:t>
      </w:r>
    </w:p>
    <w:p>
      <w:pPr>
        <w:pStyle w:val="ListParagraph"/>
        <w:numPr>
          <w:ilvl w:val="0"/>
          <w:numId w:val="2"/>
        </w:numPr>
        <w:spacing w:after="90"/>
      </w:pPr>
      <w:r>
        <w:rPr>
          <w:color w:val="334155"/>
          <w:sz w:val="21"/>
          <w:szCs w:val="21"/>
        </w:rPr>
        <w:t xml:space="preserve">Add task dependencies + a basic Gantt/timeline view — table stakes for the PPM buyer this product is positioned for.</w:t>
      </w:r>
    </w:p>
    <w:p>
      <w:pPr>
        <w:pStyle w:val="ListParagraph"/>
        <w:numPr>
          <w:ilvl w:val="0"/>
          <w:numId w:val="2"/>
        </w:numPr>
        <w:spacing w:after="90"/>
      </w:pPr>
      <w:r>
        <w:rPr>
          <w:color w:val="334155"/>
          <w:sz w:val="21"/>
          <w:szCs w:val="21"/>
        </w:rPr>
        <w:t xml:space="preserve">Add in-context comments + @mentions + a notification/digest system — this alone would close most of the “why would my team live here” gap.</w:t>
      </w:r>
    </w:p>
    <w:p>
      <w:pPr>
        <w:pStyle w:val="ListParagraph"/>
        <w:numPr>
          <w:ilvl w:val="0"/>
          <w:numId w:val="2"/>
        </w:numPr>
        <w:spacing w:after="90"/>
      </w:pPr>
      <w:r>
        <w:rPr>
          <w:color w:val="334155"/>
          <w:sz w:val="21"/>
          <w:szCs w:val="21"/>
        </w:rPr>
        <w:t xml:space="preserve">Ship a narrow but real integration story: start with Slack notifications and a calendar feed — cheap to build, disproportionately valuable for adoption.</w:t>
      </w:r>
    </w:p>
    <w:p>
      <w:pPr>
        <w:pStyle w:val="ListParagraph"/>
        <w:numPr>
          <w:ilvl w:val="0"/>
          <w:numId w:val="2"/>
        </w:numPr>
        <w:spacing w:after="90"/>
      </w:pPr>
      <w:r>
        <w:rPr>
          <w:color w:val="334155"/>
          <w:sz w:val="21"/>
          <w:szCs w:val="21"/>
        </w:rPr>
        <w:t xml:space="preserve">Lean into the actual differentiators in marketing and onboarding: the ideation gates, AI drafting, and built-in RFP/SOW workflow are not things Asana or Monday do — that's the wedge, not “yet another task tracker.”</w:t>
      </w:r>
    </w:p>
    <w:p>
      <w:pPr>
        <w:pStyle w:val="ListParagraph"/>
        <w:numPr>
          <w:ilvl w:val="0"/>
          <w:numId w:val="2"/>
        </w:numPr>
        <w:spacing w:after="90"/>
      </w:pPr>
      <w:r>
        <w:rPr>
          <w:color w:val="334155"/>
          <w:sz w:val="21"/>
          <w:szCs w:val="21"/>
        </w:rPr>
        <w:t xml:space="preserve">Fix the portfolio-query performance issue before onboarding any customer with more than a handful of concurrent projects.</w:t>
      </w:r>
    </w:p>
    <w:p>
      <w:r>
        <w:br w:type="page"/>
      </w:r>
    </w:p>
    <w:p>
      <w:pPr>
        <w:pStyle w:val="Heading1"/>
        <w:spacing w:after="200" w:before="400"/>
      </w:pPr>
      <w:r>
        <w:t xml:space="preserve">2. KeelConnect — Gaps &amp; Appeal</w:t>
      </w:r>
    </w:p>
    <w:p>
      <w:pPr>
        <w:pStyle w:val="Heading2"/>
        <w:spacing w:after="150" w:before="300"/>
      </w:pPr>
      <w:r>
        <w:t xml:space="preserve">What's genuinely strong</w:t>
      </w:r>
    </w:p>
    <w:p>
      <w:pPr>
        <w:pStyle w:val="ListParagraph"/>
        <w:numPr>
          <w:ilvl w:val="0"/>
          <w:numId w:val="2"/>
        </w:numPr>
        <w:spacing w:after="90"/>
      </w:pPr>
      <w:r>
        <w:rPr>
          <w:b/>
          <w:bCs/>
          <w:color w:val="0F172A"/>
          <w:sz w:val="21"/>
          <w:szCs w:val="21"/>
        </w:rPr>
        <w:t xml:space="preserve">The full lifecycle is real, end-to-end. </w:t>
      </w:r>
      <w:r>
        <w:rPr>
          <w:color w:val="334155"/>
          <w:sz w:val="21"/>
          <w:szCs w:val="21"/>
        </w:rPr>
        <w:t xml:space="preserve">Post → bid → counter-negotiate → accept → auto-generate agreement(s) → milestones → payments → review is wired and usable today, not stubbed.</w:t>
      </w:r>
    </w:p>
    <w:p>
      <w:pPr>
        <w:pStyle w:val="ListParagraph"/>
        <w:numPr>
          <w:ilvl w:val="0"/>
          <w:numId w:val="2"/>
        </w:numPr>
        <w:spacing w:after="90"/>
      </w:pPr>
      <w:r>
        <w:rPr>
          <w:b/>
          <w:bCs/>
          <w:color w:val="0F172A"/>
          <w:sz w:val="21"/>
          <w:szCs w:val="21"/>
        </w:rPr>
        <w:t xml:space="preserve">Two engagement models actually work differently. </w:t>
      </w:r>
      <w:r>
        <w:rPr>
          <w:color w:val="334155"/>
          <w:sz w:val="21"/>
          <w:szCs w:val="21"/>
        </w:rPr>
        <w:t xml:space="preserve">Marketplace (direct Client-Vendor agreement) versus Mediator (Keel is a contracting party on both sides) drive genuinely different agreement and payment-routing behavior, not just a label.</w:t>
      </w:r>
    </w:p>
    <w:p>
      <w:pPr>
        <w:pStyle w:val="ListParagraph"/>
        <w:numPr>
          <w:ilvl w:val="0"/>
          <w:numId w:val="2"/>
        </w:numPr>
        <w:spacing w:after="90"/>
      </w:pPr>
      <w:r>
        <w:rPr>
          <w:b/>
          <w:bCs/>
          <w:color w:val="0F172A"/>
          <w:sz w:val="21"/>
          <w:szCs w:val="21"/>
        </w:rPr>
        <w:t xml:space="preserve">Real RBAC and real MFA. </w:t>
      </w:r>
      <w:r>
        <w:rPr>
          <w:color w:val="334155"/>
          <w:sz w:val="21"/>
          <w:szCs w:val="21"/>
        </w:rPr>
        <w:t xml:space="preserve">Eight KeelConnect-specific roles with per-entity visibility rules, and actual TOTP MFA enforcement (not a checkbox) for Finance Approver and Platform roles.</w:t>
      </w:r>
    </w:p>
    <w:p>
      <w:pPr>
        <w:pStyle w:val="ListParagraph"/>
        <w:numPr>
          <w:ilvl w:val="0"/>
          <w:numId w:val="2"/>
        </w:numPr>
        <w:spacing w:after="90"/>
      </w:pPr>
      <w:r>
        <w:rPr>
          <w:b/>
          <w:bCs/>
          <w:color w:val="0F172A"/>
          <w:sz w:val="21"/>
          <w:szCs w:val="21"/>
        </w:rPr>
        <w:t xml:space="preserve">Usable compliance workflow. </w:t>
      </w:r>
      <w:r>
        <w:rPr>
          <w:color w:val="334155"/>
          <w:sz w:val="21"/>
          <w:szCs w:val="21"/>
        </w:rPr>
        <w:t xml:space="preserve">KYC/KYB/sanctions/tax record submission and Platform Admin review, plus org verification — a real trust layer, not just a status flag.</w:t>
      </w:r>
    </w:p>
    <w:p>
      <w:pPr>
        <w:pStyle w:val="ListParagraph"/>
        <w:numPr>
          <w:ilvl w:val="0"/>
          <w:numId w:val="2"/>
        </w:numPr>
        <w:spacing w:after="90"/>
      </w:pPr>
      <w:r>
        <w:rPr>
          <w:b/>
          <w:bCs/>
          <w:color w:val="0F172A"/>
          <w:sz w:val="21"/>
          <w:szCs w:val="21"/>
        </w:rPr>
        <w:t xml:space="preserve">Disputes and agreement change-requests have real UI, </w:t>
      </w:r>
      <w:r>
        <w:rPr>
          <w:color w:val="334155"/>
          <w:sz w:val="21"/>
          <w:szCs w:val="21"/>
        </w:rPr>
        <w:t xml:space="preserve">not just backend tables — including the change-request-on-ACTIVE-agreement flow built this session.</w:t>
      </w:r>
    </w:p>
    <w:p>
      <w:pPr>
        <w:pStyle w:val="ListParagraph"/>
        <w:numPr>
          <w:ilvl w:val="0"/>
          <w:numId w:val="2"/>
        </w:numPr>
        <w:spacing w:after="90"/>
      </w:pPr>
      <w:r>
        <w:rPr>
          <w:b/>
          <w:bCs/>
          <w:color w:val="0F172A"/>
          <w:sz w:val="21"/>
          <w:szCs w:val="21"/>
        </w:rPr>
        <w:t xml:space="preserve">The Deliver bridge is a genuine differentiator. </w:t>
      </w:r>
      <w:r>
        <w:rPr>
          <w:color w:val="334155"/>
          <w:sz w:val="21"/>
          <w:szCs w:val="21"/>
        </w:rPr>
        <w:t xml:space="preserve">No other marketplace on the market lets an internal delivery task get posted straight to a vetted outsourcing marketplace with one click, or links back to show where a posting came from.</w:t>
      </w:r>
    </w:p>
    <w:p>
      <w:pPr>
        <w:pStyle w:val="Heading2"/>
        <w:spacing w:after="150" w:before="300"/>
      </w:pPr>
      <w:r>
        <w:t xml:space="preserve">What's limiting adoption — ranked by liquidity impact</w:t>
      </w:r>
    </w:p>
    <w:p>
      <w:pPr>
        <w:pStyle w:val="ListParagraph"/>
        <w:numPr>
          <w:ilvl w:val="0"/>
          <w:numId w:val="2"/>
        </w:numPr>
        <w:spacing w:after="90"/>
      </w:pPr>
      <w:r>
        <w:rPr>
          <w:b/>
          <w:bCs/>
          <w:color w:val="0F172A"/>
          <w:sz w:val="21"/>
          <w:szCs w:val="21"/>
        </w:rPr>
        <w:t xml:space="preserve">1. No vendor discovery at all. </w:t>
      </w:r>
      <w:r>
        <w:rPr>
          <w:color w:val="334155"/>
          <w:sz w:val="21"/>
          <w:szCs w:val="21"/>
        </w:rPr>
        <w:t xml:space="preserve">This is the single biggest problem. The project browse page returns a flat, unfiltered list — no search by skill, category, price, rating, or past performance — and there's no way for a Client to browse vendors either. A marketplace where neither side can find the other only works if they already know each other, which means it isn't really a marketplace yet.</w:t>
      </w:r>
    </w:p>
    <w:p>
      <w:pPr>
        <w:pStyle w:val="ListParagraph"/>
        <w:numPr>
          <w:ilvl w:val="0"/>
          <w:numId w:val="2"/>
        </w:numPr>
        <w:spacing w:after="90"/>
      </w:pPr>
      <w:r>
        <w:rPr>
          <w:b/>
          <w:bCs/>
          <w:color w:val="0F172A"/>
          <w:sz w:val="21"/>
          <w:szCs w:val="21"/>
        </w:rPr>
        <w:t xml:space="preserve">2. No public vendor profile page. </w:t>
      </w:r>
      <w:r>
        <w:rPr>
          <w:color w:val="334155"/>
          <w:sz w:val="21"/>
          <w:szCs w:val="21"/>
        </w:rPr>
        <w:t xml:space="preserve">A vendor's portfolio, aggregate rating, and verification badge are never shown to a Client before they engage — reviews only ever surface on the originating project.</w:t>
      </w:r>
    </w:p>
    <w:p>
      <w:pPr>
        <w:pStyle w:val="ListParagraph"/>
        <w:numPr>
          <w:ilvl w:val="0"/>
          <w:numId w:val="2"/>
        </w:numPr>
        <w:spacing w:after="90"/>
      </w:pPr>
      <w:r>
        <w:rPr>
          <w:b/>
          <w:bCs/>
          <w:color w:val="0F172A"/>
          <w:sz w:val="21"/>
          <w:szCs w:val="21"/>
        </w:rPr>
        <w:t xml:space="preserve">3. No public, logged-out landing page for postings. </w:t>
      </w:r>
      <w:r>
        <w:rPr>
          <w:color w:val="334155"/>
          <w:sz w:val="21"/>
          <w:szCs w:val="21"/>
        </w:rPr>
        <w:t xml:space="preserve">Everything sits behind login. A vendor can't discover open work via Google or a shared link, which kills organic vendor-side growth.</w:t>
      </w:r>
    </w:p>
    <w:p>
      <w:pPr>
        <w:pStyle w:val="ListParagraph"/>
        <w:numPr>
          <w:ilvl w:val="0"/>
          <w:numId w:val="2"/>
        </w:numPr>
        <w:spacing w:after="90"/>
      </w:pPr>
      <w:r>
        <w:rPr>
          <w:b/>
          <w:bCs/>
          <w:color w:val="0F172A"/>
          <w:sz w:val="21"/>
          <w:szCs w:val="21"/>
        </w:rPr>
        <w:t xml:space="preserve">4. No messaging between Client and Vendor </w:t>
      </w:r>
      <w:r>
        <w:rPr>
          <w:color w:val="334155"/>
          <w:sz w:val="21"/>
          <w:szCs w:val="21"/>
        </w:rPr>
        <w:t xml:space="preserve">outside the price/terms negotiation thread — no free text, no attachments, no pre-bid questions.</w:t>
      </w:r>
    </w:p>
    <w:p>
      <w:pPr>
        <w:pStyle w:val="ListParagraph"/>
        <w:numPr>
          <w:ilvl w:val="0"/>
          <w:numId w:val="2"/>
        </w:numPr>
        <w:spacing w:after="90"/>
      </w:pPr>
      <w:r>
        <w:rPr>
          <w:b/>
          <w:bCs/>
          <w:color w:val="0F172A"/>
          <w:sz w:val="21"/>
          <w:szCs w:val="21"/>
        </w:rPr>
        <w:t xml:space="preserve">5. No notifications at all. </w:t>
      </w:r>
      <w:r>
        <w:rPr>
          <w:color w:val="334155"/>
          <w:sz w:val="21"/>
          <w:szCs w:val="21"/>
        </w:rPr>
        <w:t xml:space="preserve">No email or in-app alert on a new bid, counter, award, or status change — both sides have to manually poll the app.</w:t>
      </w:r>
    </w:p>
    <w:p>
      <w:pPr>
        <w:pStyle w:val="ListParagraph"/>
        <w:numPr>
          <w:ilvl w:val="0"/>
          <w:numId w:val="2"/>
        </w:numPr>
        <w:spacing w:after="90"/>
      </w:pPr>
      <w:r>
        <w:rPr>
          <w:b/>
          <w:bCs/>
          <w:color w:val="0F172A"/>
          <w:sz w:val="21"/>
          <w:szCs w:val="21"/>
        </w:rPr>
        <w:t xml:space="preserve">6. No real payment rail. </w:t>
      </w:r>
      <w:r>
        <w:rPr>
          <w:color w:val="334155"/>
          <w:sz w:val="21"/>
          <w:szCs w:val="21"/>
        </w:rPr>
        <w:t xml:space="preserve">Payments are an internal ledger with a Platform Admin manually flipping HELD/RELEASED/REFUNDED — no Stripe Connect or equivalent, so money never actually moves through the product.</w:t>
      </w:r>
    </w:p>
    <w:p>
      <w:pPr>
        <w:pStyle w:val="ListParagraph"/>
        <w:numPr>
          <w:ilvl w:val="0"/>
          <w:numId w:val="2"/>
        </w:numPr>
        <w:spacing w:after="90"/>
      </w:pPr>
      <w:r>
        <w:rPr>
          <w:b/>
          <w:bCs/>
          <w:color w:val="0F172A"/>
          <w:sz w:val="21"/>
          <w:szCs w:val="21"/>
        </w:rPr>
        <w:t xml:space="preserve">7. No analytics for either side. </w:t>
      </w:r>
      <w:r>
        <w:rPr>
          <w:color w:val="334155"/>
          <w:sz w:val="21"/>
          <w:szCs w:val="21"/>
        </w:rPr>
        <w:t xml:space="preserve">No Client spend/vendor-performance view, and no Platform Admin GMV/take-rate/dispute-rate dashboard to know if the marketplace is even healthy.</w:t>
      </w:r>
    </w:p>
    <w:p>
      <w:pPr>
        <w:pStyle w:val="ListParagraph"/>
        <w:numPr>
          <w:ilvl w:val="0"/>
          <w:numId w:val="2"/>
        </w:numPr>
        <w:spacing w:after="90"/>
      </w:pPr>
      <w:r>
        <w:rPr>
          <w:b/>
          <w:bCs/>
          <w:color w:val="0F172A"/>
          <w:sz w:val="21"/>
          <w:szCs w:val="21"/>
        </w:rPr>
        <w:t xml:space="preserve">8. Multi-currency exists only as an unused column </w:t>
      </w:r>
      <w:r>
        <w:rPr>
          <w:color w:val="334155"/>
          <w:sz w:val="21"/>
          <w:szCs w:val="21"/>
        </w:rPr>
        <w:t xml:space="preserve">(fxRateApplied is never populated), and there's no e-signature — “signing” is a click, not a document.</w:t>
      </w:r>
    </w:p>
    <w:p>
      <w:pPr>
        <w:pStyle w:val="Heading2"/>
        <w:spacing w:after="150" w:before="300"/>
      </w:pPr>
      <w:r>
        <w:t xml:space="preserve">What would make it more appealing</w:t>
      </w:r>
    </w:p>
    <w:p>
      <w:pPr>
        <w:pStyle w:val="ListParagraph"/>
        <w:numPr>
          <w:ilvl w:val="0"/>
          <w:numId w:val="2"/>
        </w:numPr>
        <w:spacing w:after="90"/>
      </w:pPr>
      <w:r>
        <w:rPr>
          <w:color w:val="334155"/>
          <w:sz w:val="21"/>
          <w:szCs w:val="21"/>
        </w:rPr>
        <w:t xml:space="preserve">Build vendor discovery first — search/filter by category, skill, price band, rating — before anything else. Nothing else on this list matters if the marketplace can't be browsed.</w:t>
      </w:r>
    </w:p>
    <w:p>
      <w:pPr>
        <w:pStyle w:val="ListParagraph"/>
        <w:numPr>
          <w:ilvl w:val="0"/>
          <w:numId w:val="2"/>
        </w:numPr>
        <w:spacing w:after="90"/>
      </w:pPr>
      <w:r>
        <w:rPr>
          <w:color w:val="334155"/>
          <w:sz w:val="21"/>
          <w:szCs w:val="21"/>
        </w:rPr>
        <w:t xml:space="preserve">Add a public vendor profile (portfolio, rating, verification badge) and a logged-out, SEO-indexable postings page — the two changes most likely to bring inbound vendor supply without paid acquisition.</w:t>
      </w:r>
    </w:p>
    <w:p>
      <w:pPr>
        <w:pStyle w:val="ListParagraph"/>
        <w:numPr>
          <w:ilvl w:val="0"/>
          <w:numId w:val="2"/>
        </w:numPr>
        <w:spacing w:after="90"/>
      </w:pPr>
      <w:r>
        <w:rPr>
          <w:color w:val="334155"/>
          <w:sz w:val="21"/>
          <w:szCs w:val="21"/>
        </w:rPr>
        <w:t xml:space="preserve">Wire real payments (Stripe Connect or similar) before asking any real business to trust the platform with money — an internal ledger is fine for a design partner pilot, not for a launch.</w:t>
      </w:r>
    </w:p>
    <w:p>
      <w:pPr>
        <w:pStyle w:val="ListParagraph"/>
        <w:numPr>
          <w:ilvl w:val="0"/>
          <w:numId w:val="2"/>
        </w:numPr>
        <w:spacing w:after="90"/>
      </w:pPr>
      <w:r>
        <w:rPr>
          <w:color w:val="334155"/>
          <w:sz w:val="21"/>
          <w:szCs w:val="21"/>
        </w:rPr>
        <w:t xml:space="preserve">Add notifications (even just transactional email) — this is a cheap fix relative to how much it would improve responsiveness on both sides.</w:t>
      </w:r>
    </w:p>
    <w:p>
      <w:pPr>
        <w:pStyle w:val="ListParagraph"/>
        <w:numPr>
          <w:ilvl w:val="0"/>
          <w:numId w:val="2"/>
        </w:numPr>
        <w:spacing w:after="90"/>
      </w:pPr>
      <w:r>
        <w:rPr>
          <w:color w:val="334155"/>
          <w:sz w:val="21"/>
          <w:szCs w:val="21"/>
        </w:rPr>
        <w:t xml:space="preserve">Treat the compliance/MFA/RBAC depth as a selling point to mid-market and regulated clients (finance, healthcare, government-adjacent) who won't touch Upwork — that's a real underserved segment.</w:t>
      </w:r>
    </w:p>
    <w:p>
      <w:r>
        <w:br w:type="page"/>
      </w:r>
    </w:p>
    <w:p>
      <w:pPr>
        <w:pStyle w:val="Heading1"/>
        <w:spacing w:after="200" w:before="400"/>
      </w:pPr>
      <w:r>
        <w:t xml:space="preserve">3. Competitive Landscape — Where This Stands</w:t>
      </w:r>
    </w:p>
    <w:p>
      <w:pPr>
        <w:spacing w:after="160"/>
      </w:pPr>
      <w:r>
        <w:rPr>
          <w:color w:val="334155"/>
          <w:sz w:val="21"/>
          <w:szCs w:val="21"/>
        </w:rPr>
        <w:t xml:space="preserve">Neither product is solving a new problem — both markets are large, mature, and dominated by well-funded incumbents. That's not a reason not to launch; it's a reason to be precise about the wedge.</w:t>
      </w:r>
    </w:p>
    <w:p>
      <w:pPr>
        <w:pStyle w:val="Heading2"/>
        <w:spacing w:after="150" w:before="300"/>
      </w:pPr>
      <w:r>
        <w:t xml:space="preserve">Keel Deliver vs. project/portfolio management tools</w:t>
      </w:r>
    </w:p>
    <w:tbl>
      <w:tblPr>
        <w:tblW w:type="dxa" w:w="9020"/>
        <w:tblBorders>
          <w:top w:val="single" w:color="CBD5E1" w:sz="2"/>
          <w:left w:val="single" w:color="CBD5E1" w:sz="2"/>
          <w:bottom w:val="single" w:color="CBD5E1" w:sz="2"/>
          <w:right w:val="single" w:color="CBD5E1" w:sz="2"/>
          <w:insideH w:val="single" w:color="CBD5E1" w:sz="2"/>
          <w:insideV w:val="single" w:color="CBD5E1" w:sz="2"/>
        </w:tblBorders>
      </w:tblPr>
      <w:tblGrid>
        <w:gridCol w:w="1600"/>
        <w:gridCol w:w="2200"/>
        <w:gridCol w:w="2700"/>
        <w:gridCol w:w="2520"/>
      </w:tblGrid>
      <w:tr>
        <w:trPr>
          <w:tblHeader/>
        </w:trPr>
        <w:tc>
          <w:tcPr>
            <w:tcW w:type="dxa" w:w="1600"/>
            <w:shd w:fill="0F172A" w:val="clear"/>
            <w:tcMar>
              <w:top w:type="dxa" w:w="100"/>
              <w:left w:type="dxa" w:w="120"/>
              <w:bottom w:type="dxa" w:w="100"/>
              <w:right w:type="dxa" w:w="120"/>
            </w:tcMar>
          </w:tcPr>
          <w:p>
            <w:r>
              <w:rPr>
                <w:b/>
                <w:bCs/>
                <w:color w:val="FFFFFF"/>
                <w:sz w:val="19"/>
                <w:szCs w:val="19"/>
              </w:rPr>
              <w:t xml:space="preserve">Competitor</w:t>
            </w:r>
          </w:p>
        </w:tc>
        <w:tc>
          <w:tcPr>
            <w:tcW w:type="dxa" w:w="1600"/>
            <w:shd w:fill="0F172A" w:val="clear"/>
            <w:tcMar>
              <w:top w:type="dxa" w:w="100"/>
              <w:left w:type="dxa" w:w="120"/>
              <w:bottom w:type="dxa" w:w="100"/>
              <w:right w:type="dxa" w:w="120"/>
            </w:tcMar>
          </w:tcPr>
          <w:p>
            <w:r>
              <w:rPr>
                <w:b/>
                <w:bCs/>
                <w:color w:val="FFFFFF"/>
                <w:sz w:val="19"/>
                <w:szCs w:val="19"/>
              </w:rPr>
              <w:t xml:space="preserve">Pricing (2026)</w:t>
            </w:r>
          </w:p>
        </w:tc>
        <w:tc>
          <w:tcPr>
            <w:tcW w:type="dxa" w:w="1600"/>
            <w:shd w:fill="0F172A" w:val="clear"/>
            <w:tcMar>
              <w:top w:type="dxa" w:w="100"/>
              <w:left w:type="dxa" w:w="120"/>
              <w:bottom w:type="dxa" w:w="100"/>
              <w:right w:type="dxa" w:w="120"/>
            </w:tcMar>
          </w:tcPr>
          <w:p>
            <w:r>
              <w:rPr>
                <w:b/>
                <w:bCs/>
                <w:color w:val="FFFFFF"/>
                <w:sz w:val="19"/>
                <w:szCs w:val="19"/>
              </w:rPr>
              <w:t xml:space="preserve">Where they win</w:t>
            </w:r>
          </w:p>
        </w:tc>
        <w:tc>
          <w:tcPr>
            <w:tcW w:type="dxa" w:w="1600"/>
            <w:shd w:fill="0F172A" w:val="clear"/>
            <w:tcMar>
              <w:top w:type="dxa" w:w="100"/>
              <w:left w:type="dxa" w:w="120"/>
              <w:bottom w:type="dxa" w:w="100"/>
              <w:right w:type="dxa" w:w="120"/>
            </w:tcMar>
          </w:tcPr>
          <w:p>
            <w:r>
              <w:rPr>
                <w:b/>
                <w:bCs/>
                <w:color w:val="FFFFFF"/>
                <w:sz w:val="19"/>
                <w:szCs w:val="19"/>
              </w:rPr>
              <w:t xml:space="preserve">Where Keel Deliver can win</w:t>
            </w:r>
          </w:p>
        </w:tc>
      </w:tr>
      <w:tr>
        <w:tc>
          <w:tcPr>
            <w:tcW w:type="dxa" w:w="1600"/>
            <w:tcMar>
              <w:top w:type="dxa" w:w="100"/>
              <w:left w:type="dxa" w:w="120"/>
              <w:bottom w:type="dxa" w:w="100"/>
              <w:right w:type="dxa" w:w="120"/>
            </w:tcMar>
          </w:tcPr>
          <w:p>
            <w:r>
              <w:rPr>
                <w:b w:val="false"/>
                <w:bCs w:val="false"/>
                <w:color w:val="334155"/>
                <w:sz w:val="19"/>
                <w:szCs w:val="19"/>
              </w:rPr>
              <w:t xml:space="preserve">Jira</w:t>
            </w:r>
          </w:p>
        </w:tc>
        <w:tc>
          <w:tcPr>
            <w:tcW w:type="dxa" w:w="1600"/>
            <w:tcMar>
              <w:top w:type="dxa" w:w="100"/>
              <w:left w:type="dxa" w:w="120"/>
              <w:bottom w:type="dxa" w:w="100"/>
              <w:right w:type="dxa" w:w="120"/>
            </w:tcMar>
          </w:tcPr>
          <w:p>
            <w:r>
              <w:rPr>
                <w:b w:val="false"/>
                <w:bCs w:val="false"/>
                <w:color w:val="334155"/>
                <w:sz w:val="19"/>
                <w:szCs w:val="19"/>
              </w:rPr>
              <w:t xml:space="preserve">$7.91/user/mo (Standard)</w:t>
            </w:r>
          </w:p>
        </w:tc>
        <w:tc>
          <w:tcPr>
            <w:tcW w:type="dxa" w:w="1600"/>
            <w:tcMar>
              <w:top w:type="dxa" w:w="100"/>
              <w:left w:type="dxa" w:w="120"/>
              <w:bottom w:type="dxa" w:w="100"/>
              <w:right w:type="dxa" w:w="120"/>
            </w:tcMar>
          </w:tcPr>
          <w:p>
            <w:r>
              <w:rPr>
                <w:b w:val="false"/>
                <w:bCs w:val="false"/>
                <w:color w:val="334155"/>
                <w:sz w:val="19"/>
                <w:szCs w:val="19"/>
              </w:rPr>
              <w:t xml:space="preserve">Dev-team ubiquity, huge plugin ecosystem</w:t>
            </w:r>
          </w:p>
        </w:tc>
        <w:tc>
          <w:tcPr>
            <w:tcW w:type="dxa" w:w="1600"/>
            <w:tcMar>
              <w:top w:type="dxa" w:w="100"/>
              <w:left w:type="dxa" w:w="120"/>
              <w:bottom w:type="dxa" w:w="100"/>
              <w:right w:type="dxa" w:w="120"/>
            </w:tcMar>
          </w:tcPr>
          <w:p>
            <w:r>
              <w:rPr>
                <w:b w:val="false"/>
                <w:bCs w:val="false"/>
                <w:color w:val="334155"/>
                <w:sz w:val="19"/>
                <w:szCs w:val="19"/>
              </w:rPr>
              <w:t xml:space="preserve">No dev-only bias; built-in ideation gates + contracts</w:t>
            </w:r>
          </w:p>
        </w:tc>
      </w:tr>
      <w:tr>
        <w:tc>
          <w:tcPr>
            <w:tcW w:type="dxa" w:w="1600"/>
            <w:tcMar>
              <w:top w:type="dxa" w:w="100"/>
              <w:left w:type="dxa" w:w="120"/>
              <w:bottom w:type="dxa" w:w="100"/>
              <w:right w:type="dxa" w:w="120"/>
            </w:tcMar>
          </w:tcPr>
          <w:p>
            <w:r>
              <w:rPr>
                <w:b w:val="false"/>
                <w:bCs w:val="false"/>
                <w:color w:val="334155"/>
                <w:sz w:val="19"/>
                <w:szCs w:val="19"/>
              </w:rPr>
              <w:t xml:space="preserve">Monday.com</w:t>
            </w:r>
          </w:p>
        </w:tc>
        <w:tc>
          <w:tcPr>
            <w:tcW w:type="dxa" w:w="1600"/>
            <w:tcMar>
              <w:top w:type="dxa" w:w="100"/>
              <w:left w:type="dxa" w:w="120"/>
              <w:bottom w:type="dxa" w:w="100"/>
              <w:right w:type="dxa" w:w="120"/>
            </w:tcMar>
          </w:tcPr>
          <w:p>
            <w:r>
              <w:rPr>
                <w:b w:val="false"/>
                <w:bCs w:val="false"/>
                <w:color w:val="334155"/>
                <w:sz w:val="19"/>
                <w:szCs w:val="19"/>
              </w:rPr>
              <w:t xml:space="preserve">$9–$19/user/mo</w:t>
            </w:r>
          </w:p>
        </w:tc>
        <w:tc>
          <w:tcPr>
            <w:tcW w:type="dxa" w:w="1600"/>
            <w:tcMar>
              <w:top w:type="dxa" w:w="100"/>
              <w:left w:type="dxa" w:w="120"/>
              <w:bottom w:type="dxa" w:w="100"/>
              <w:right w:type="dxa" w:w="120"/>
            </w:tcMar>
          </w:tcPr>
          <w:p>
            <w:r>
              <w:rPr>
                <w:b w:val="false"/>
                <w:bCs w:val="false"/>
                <w:color w:val="334155"/>
                <w:sz w:val="19"/>
                <w:szCs w:val="19"/>
              </w:rPr>
              <w:t xml:space="preserve">Automation engine, visual polish</w:t>
            </w:r>
          </w:p>
        </w:tc>
        <w:tc>
          <w:tcPr>
            <w:tcW w:type="dxa" w:w="1600"/>
            <w:tcMar>
              <w:top w:type="dxa" w:w="100"/>
              <w:left w:type="dxa" w:w="120"/>
              <w:bottom w:type="dxa" w:w="100"/>
              <w:right w:type="dxa" w:w="120"/>
            </w:tcMar>
          </w:tcPr>
          <w:p>
            <w:r>
              <w:rPr>
                <w:b w:val="false"/>
                <w:bCs w:val="false"/>
                <w:color w:val="334155"/>
                <w:sz w:val="19"/>
                <w:szCs w:val="19"/>
              </w:rPr>
              <w:t xml:space="preserve">AI drafting depth; RFP/vendor workflow</w:t>
            </w:r>
          </w:p>
        </w:tc>
      </w:tr>
      <w:tr>
        <w:tc>
          <w:tcPr>
            <w:tcW w:type="dxa" w:w="1600"/>
            <w:tcMar>
              <w:top w:type="dxa" w:w="100"/>
              <w:left w:type="dxa" w:w="120"/>
              <w:bottom w:type="dxa" w:w="100"/>
              <w:right w:type="dxa" w:w="120"/>
            </w:tcMar>
          </w:tcPr>
          <w:p>
            <w:r>
              <w:rPr>
                <w:b w:val="false"/>
                <w:bCs w:val="false"/>
                <w:color w:val="334155"/>
                <w:sz w:val="19"/>
                <w:szCs w:val="19"/>
              </w:rPr>
              <w:t xml:space="preserve">Asana</w:t>
            </w:r>
          </w:p>
        </w:tc>
        <w:tc>
          <w:tcPr>
            <w:tcW w:type="dxa" w:w="1600"/>
            <w:tcMar>
              <w:top w:type="dxa" w:w="100"/>
              <w:left w:type="dxa" w:w="120"/>
              <w:bottom w:type="dxa" w:w="100"/>
              <w:right w:type="dxa" w:w="120"/>
            </w:tcMar>
          </w:tcPr>
          <w:p>
            <w:r>
              <w:rPr>
                <w:b w:val="false"/>
                <w:bCs w:val="false"/>
                <w:color w:val="334155"/>
                <w:sz w:val="19"/>
                <w:szCs w:val="19"/>
              </w:rPr>
              <w:t xml:space="preserve">$10.99–$24.99/user/mo</w:t>
            </w:r>
          </w:p>
        </w:tc>
        <w:tc>
          <w:tcPr>
            <w:tcW w:type="dxa" w:w="1600"/>
            <w:tcMar>
              <w:top w:type="dxa" w:w="100"/>
              <w:left w:type="dxa" w:w="120"/>
              <w:bottom w:type="dxa" w:w="100"/>
              <w:right w:type="dxa" w:w="120"/>
            </w:tcMar>
          </w:tcPr>
          <w:p>
            <w:r>
              <w:rPr>
                <w:b w:val="false"/>
                <w:bCs w:val="false"/>
                <w:color w:val="334155"/>
                <w:sz w:val="19"/>
                <w:szCs w:val="19"/>
              </w:rPr>
              <w:t xml:space="preserve">Collaboration/notifications, integrations</w:t>
            </w:r>
          </w:p>
        </w:tc>
        <w:tc>
          <w:tcPr>
            <w:tcW w:type="dxa" w:w="1600"/>
            <w:tcMar>
              <w:top w:type="dxa" w:w="100"/>
              <w:left w:type="dxa" w:w="120"/>
              <w:bottom w:type="dxa" w:w="100"/>
              <w:right w:type="dxa" w:w="120"/>
            </w:tcMar>
          </w:tcPr>
          <w:p>
            <w:r>
              <w:rPr>
                <w:b w:val="false"/>
                <w:bCs w:val="false"/>
                <w:color w:val="334155"/>
                <w:sz w:val="19"/>
                <w:szCs w:val="19"/>
              </w:rPr>
              <w:t xml:space="preserve">Cost/rate-card budgeting; SOW/deliverable docs</w:t>
            </w:r>
          </w:p>
        </w:tc>
      </w:tr>
      <w:tr>
        <w:tc>
          <w:tcPr>
            <w:tcW w:type="dxa" w:w="1600"/>
            <w:tcMar>
              <w:top w:type="dxa" w:w="100"/>
              <w:left w:type="dxa" w:w="120"/>
              <w:bottom w:type="dxa" w:w="100"/>
              <w:right w:type="dxa" w:w="120"/>
            </w:tcMar>
          </w:tcPr>
          <w:p>
            <w:r>
              <w:rPr>
                <w:b w:val="false"/>
                <w:bCs w:val="false"/>
                <w:color w:val="334155"/>
                <w:sz w:val="19"/>
                <w:szCs w:val="19"/>
              </w:rPr>
              <w:t xml:space="preserve">Smartsheet</w:t>
            </w:r>
          </w:p>
        </w:tc>
        <w:tc>
          <w:tcPr>
            <w:tcW w:type="dxa" w:w="1600"/>
            <w:tcMar>
              <w:top w:type="dxa" w:w="100"/>
              <w:left w:type="dxa" w:w="120"/>
              <w:bottom w:type="dxa" w:w="100"/>
              <w:right w:type="dxa" w:w="120"/>
            </w:tcMar>
          </w:tcPr>
          <w:p>
            <w:r>
              <w:rPr>
                <w:b w:val="false"/>
                <w:bCs w:val="false"/>
                <w:color w:val="334155"/>
                <w:sz w:val="19"/>
                <w:szCs w:val="19"/>
              </w:rPr>
              <w:t xml:space="preserve">$9–$19/user/mo (+ custom Enterprise)</w:t>
            </w:r>
          </w:p>
        </w:tc>
        <w:tc>
          <w:tcPr>
            <w:tcW w:type="dxa" w:w="1600"/>
            <w:tcMar>
              <w:top w:type="dxa" w:w="100"/>
              <w:left w:type="dxa" w:w="120"/>
              <w:bottom w:type="dxa" w:w="100"/>
              <w:right w:type="dxa" w:w="120"/>
            </w:tcMar>
          </w:tcPr>
          <w:p>
            <w:r>
              <w:rPr>
                <w:b w:val="false"/>
                <w:bCs w:val="false"/>
                <w:color w:val="334155"/>
                <w:sz w:val="19"/>
                <w:szCs w:val="19"/>
              </w:rPr>
              <w:t xml:space="preserve">Spreadsheet-native power users, PPM add-ons</w:t>
            </w:r>
          </w:p>
        </w:tc>
        <w:tc>
          <w:tcPr>
            <w:tcW w:type="dxa" w:w="1600"/>
            <w:tcMar>
              <w:top w:type="dxa" w:w="100"/>
              <w:left w:type="dxa" w:w="120"/>
              <w:bottom w:type="dxa" w:w="100"/>
              <w:right w:type="dxa" w:w="120"/>
            </w:tcMar>
          </w:tcPr>
          <w:p>
            <w:r>
              <w:rPr>
                <w:b w:val="false"/>
                <w:bCs w:val="false"/>
                <w:color w:val="334155"/>
                <w:sz w:val="19"/>
                <w:szCs w:val="19"/>
              </w:rPr>
              <w:t xml:space="preserve">Lower learning curve; opinionated SDLC/ideation flow</w:t>
            </w:r>
          </w:p>
        </w:tc>
      </w:tr>
    </w:tbl>
    <w:p>
      <w:pPr>
        <w:spacing w:after="120"/>
      </w:pPr>
    </w:p>
    <w:p>
      <w:pPr>
        <w:spacing w:after="160"/>
      </w:pPr>
      <w:r>
        <w:rPr>
          <w:color w:val="334155"/>
          <w:sz w:val="21"/>
          <w:szCs w:val="21"/>
        </w:rPr>
        <w:t xml:space="preserve">Positioning: Keel Deliver is not trying to out-Jira Jira. Its wedge is the front half of the lifecycle — ideation, feasibility, RFP/vendor selection, SOW/contract tracking, cost modeling — that generic task trackers don't touch at all. That's a real gap in the market: most PM tools assume the project already exists and is scoped; Keel Deliver assumes it doesn't yet.</w:t>
      </w:r>
    </w:p>
    <w:p>
      <w:pPr>
        <w:pStyle w:val="Heading2"/>
        <w:spacing w:after="150" w:before="300"/>
      </w:pPr>
      <w:r>
        <w:t xml:space="preserve">KeelConnect vs. B2B talent/outsourcing marketplaces</w:t>
      </w:r>
    </w:p>
    <w:tbl>
      <w:tblPr>
        <w:tblW w:type="dxa" w:w="9020"/>
        <w:tblBorders>
          <w:top w:val="single" w:color="CBD5E1" w:sz="2"/>
          <w:left w:val="single" w:color="CBD5E1" w:sz="2"/>
          <w:bottom w:val="single" w:color="CBD5E1" w:sz="2"/>
          <w:right w:val="single" w:color="CBD5E1" w:sz="2"/>
          <w:insideH w:val="single" w:color="CBD5E1" w:sz="2"/>
          <w:insideV w:val="single" w:color="CBD5E1" w:sz="2"/>
        </w:tblBorders>
      </w:tblPr>
      <w:tblGrid>
        <w:gridCol w:w="1400"/>
        <w:gridCol w:w="2600"/>
        <w:gridCol w:w="2700"/>
        <w:gridCol w:w="2320"/>
      </w:tblGrid>
      <w:tr>
        <w:trPr>
          <w:tblHeader/>
        </w:trPr>
        <w:tc>
          <w:tcPr>
            <w:tcW w:type="dxa" w:w="1400"/>
            <w:shd w:fill="0F172A" w:val="clear"/>
            <w:tcMar>
              <w:top w:type="dxa" w:w="100"/>
              <w:left w:type="dxa" w:w="120"/>
              <w:bottom w:type="dxa" w:w="100"/>
              <w:right w:type="dxa" w:w="120"/>
            </w:tcMar>
          </w:tcPr>
          <w:p>
            <w:r>
              <w:rPr>
                <w:b/>
                <w:bCs/>
                <w:color w:val="FFFFFF"/>
                <w:sz w:val="19"/>
                <w:szCs w:val="19"/>
              </w:rPr>
              <w:t xml:space="preserve">Competitor</w:t>
            </w:r>
          </w:p>
        </w:tc>
        <w:tc>
          <w:tcPr>
            <w:tcW w:type="dxa" w:w="1400"/>
            <w:shd w:fill="0F172A" w:val="clear"/>
            <w:tcMar>
              <w:top w:type="dxa" w:w="100"/>
              <w:left w:type="dxa" w:w="120"/>
              <w:bottom w:type="dxa" w:w="100"/>
              <w:right w:type="dxa" w:w="120"/>
            </w:tcMar>
          </w:tcPr>
          <w:p>
            <w:r>
              <w:rPr>
                <w:b/>
                <w:bCs/>
                <w:color w:val="FFFFFF"/>
                <w:sz w:val="19"/>
                <w:szCs w:val="19"/>
              </w:rPr>
              <w:t xml:space="preserve">Take-rate / fee model</w:t>
            </w:r>
          </w:p>
        </w:tc>
        <w:tc>
          <w:tcPr>
            <w:tcW w:type="dxa" w:w="1400"/>
            <w:shd w:fill="0F172A" w:val="clear"/>
            <w:tcMar>
              <w:top w:type="dxa" w:w="100"/>
              <w:left w:type="dxa" w:w="120"/>
              <w:bottom w:type="dxa" w:w="100"/>
              <w:right w:type="dxa" w:w="120"/>
            </w:tcMar>
          </w:tcPr>
          <w:p>
            <w:r>
              <w:rPr>
                <w:b/>
                <w:bCs/>
                <w:color w:val="FFFFFF"/>
                <w:sz w:val="19"/>
                <w:szCs w:val="19"/>
              </w:rPr>
              <w:t xml:space="preserve">Where they win</w:t>
            </w:r>
          </w:p>
        </w:tc>
        <w:tc>
          <w:tcPr>
            <w:tcW w:type="dxa" w:w="1400"/>
            <w:shd w:fill="0F172A" w:val="clear"/>
            <w:tcMar>
              <w:top w:type="dxa" w:w="100"/>
              <w:left w:type="dxa" w:w="120"/>
              <w:bottom w:type="dxa" w:w="100"/>
              <w:right w:type="dxa" w:w="120"/>
            </w:tcMar>
          </w:tcPr>
          <w:p>
            <w:r>
              <w:rPr>
                <w:b/>
                <w:bCs/>
                <w:color w:val="FFFFFF"/>
                <w:sz w:val="19"/>
                <w:szCs w:val="19"/>
              </w:rPr>
              <w:t xml:space="preserve">Where KeelConnect can win</w:t>
            </w:r>
          </w:p>
        </w:tc>
      </w:tr>
      <w:tr>
        <w:tc>
          <w:tcPr>
            <w:tcW w:type="dxa" w:w="1400"/>
            <w:tcMar>
              <w:top w:type="dxa" w:w="100"/>
              <w:left w:type="dxa" w:w="120"/>
              <w:bottom w:type="dxa" w:w="100"/>
              <w:right w:type="dxa" w:w="120"/>
            </w:tcMar>
          </w:tcPr>
          <w:p>
            <w:r>
              <w:rPr>
                <w:b w:val="false"/>
                <w:bCs w:val="false"/>
                <w:color w:val="334155"/>
                <w:sz w:val="19"/>
                <w:szCs w:val="19"/>
              </w:rPr>
              <w:t xml:space="preserve">Upwork</w:t>
            </w:r>
          </w:p>
        </w:tc>
        <w:tc>
          <w:tcPr>
            <w:tcW w:type="dxa" w:w="1400"/>
            <w:tcMar>
              <w:top w:type="dxa" w:w="100"/>
              <w:left w:type="dxa" w:w="120"/>
              <w:bottom w:type="dxa" w:w="100"/>
              <w:right w:type="dxa" w:w="120"/>
            </w:tcMar>
          </w:tcPr>
          <w:p>
            <w:r>
              <w:rPr>
                <w:b w:val="false"/>
                <w:bCs w:val="false"/>
                <w:color w:val="334155"/>
                <w:sz w:val="19"/>
                <w:szCs w:val="19"/>
              </w:rPr>
              <w:t xml:space="preserve">Client 20%→10%→5% sliding (freelancer-paid)</w:t>
            </w:r>
          </w:p>
        </w:tc>
        <w:tc>
          <w:tcPr>
            <w:tcW w:type="dxa" w:w="1400"/>
            <w:tcMar>
              <w:top w:type="dxa" w:w="100"/>
              <w:left w:type="dxa" w:w="120"/>
              <w:bottom w:type="dxa" w:w="100"/>
              <w:right w:type="dxa" w:w="120"/>
            </w:tcMar>
          </w:tcPr>
          <w:p>
            <w:r>
              <w:rPr>
                <w:b w:val="false"/>
                <w:bCs w:val="false"/>
                <w:color w:val="334155"/>
                <w:sz w:val="19"/>
                <w:szCs w:val="19"/>
              </w:rPr>
              <w:t xml:space="preserve">Massive liquidity, brand trust</w:t>
            </w:r>
          </w:p>
        </w:tc>
        <w:tc>
          <w:tcPr>
            <w:tcW w:type="dxa" w:w="1400"/>
            <w:tcMar>
              <w:top w:type="dxa" w:w="100"/>
              <w:left w:type="dxa" w:w="120"/>
              <w:bottom w:type="dxa" w:w="100"/>
              <w:right w:type="dxa" w:w="120"/>
            </w:tcMar>
          </w:tcPr>
          <w:p>
            <w:r>
              <w:rPr>
                <w:b w:val="false"/>
                <w:bCs w:val="false"/>
                <w:color w:val="334155"/>
                <w:sz w:val="19"/>
                <w:szCs w:val="19"/>
              </w:rPr>
              <w:t xml:space="preserve">No race-to-the-bottom bidding; vetted orgs not gig workers</w:t>
            </w:r>
          </w:p>
        </w:tc>
      </w:tr>
      <w:tr>
        <w:tc>
          <w:tcPr>
            <w:tcW w:type="dxa" w:w="1400"/>
            <w:tcMar>
              <w:top w:type="dxa" w:w="100"/>
              <w:left w:type="dxa" w:w="120"/>
              <w:bottom w:type="dxa" w:w="100"/>
              <w:right w:type="dxa" w:w="120"/>
            </w:tcMar>
          </w:tcPr>
          <w:p>
            <w:r>
              <w:rPr>
                <w:b w:val="false"/>
                <w:bCs w:val="false"/>
                <w:color w:val="334155"/>
                <w:sz w:val="19"/>
                <w:szCs w:val="19"/>
              </w:rPr>
              <w:t xml:space="preserve">Toptal</w:t>
            </w:r>
          </w:p>
        </w:tc>
        <w:tc>
          <w:tcPr>
            <w:tcW w:type="dxa" w:w="1400"/>
            <w:tcMar>
              <w:top w:type="dxa" w:w="100"/>
              <w:left w:type="dxa" w:w="120"/>
              <w:bottom w:type="dxa" w:w="100"/>
              <w:right w:type="dxa" w:w="120"/>
            </w:tcMar>
          </w:tcPr>
          <w:p>
            <w:r>
              <w:rPr>
                <w:b w:val="false"/>
                <w:bCs w:val="false"/>
                <w:color w:val="334155"/>
                <w:sz w:val="19"/>
                <w:szCs w:val="19"/>
              </w:rPr>
              <w:t xml:space="preserve">~30% opaque markup on billed rate</w:t>
            </w:r>
          </w:p>
        </w:tc>
        <w:tc>
          <w:tcPr>
            <w:tcW w:type="dxa" w:w="1400"/>
            <w:tcMar>
              <w:top w:type="dxa" w:w="100"/>
              <w:left w:type="dxa" w:w="120"/>
              <w:bottom w:type="dxa" w:w="100"/>
              <w:right w:type="dxa" w:w="120"/>
            </w:tcMar>
          </w:tcPr>
          <w:p>
            <w:r>
              <w:rPr>
                <w:b w:val="false"/>
                <w:bCs w:val="false"/>
                <w:color w:val="334155"/>
                <w:sz w:val="19"/>
                <w:szCs w:val="19"/>
              </w:rPr>
              <w:t xml:space="preserve">Elite vetting, white-glove match</w:t>
            </w:r>
          </w:p>
        </w:tc>
        <w:tc>
          <w:tcPr>
            <w:tcW w:type="dxa" w:w="1400"/>
            <w:tcMar>
              <w:top w:type="dxa" w:w="100"/>
              <w:left w:type="dxa" w:w="120"/>
              <w:bottom w:type="dxa" w:w="100"/>
              <w:right w:type="dxa" w:w="120"/>
            </w:tcMar>
          </w:tcPr>
          <w:p>
            <w:r>
              <w:rPr>
                <w:b w:val="false"/>
                <w:bCs w:val="false"/>
                <w:color w:val="334155"/>
                <w:sz w:val="19"/>
                <w:szCs w:val="19"/>
              </w:rPr>
              <w:t xml:space="preserve">Transparent org-to-org contracting; built-in agreements/milestones</w:t>
            </w:r>
          </w:p>
        </w:tc>
      </w:tr>
      <w:tr>
        <w:tc>
          <w:tcPr>
            <w:tcW w:type="dxa" w:w="1400"/>
            <w:tcMar>
              <w:top w:type="dxa" w:w="100"/>
              <w:left w:type="dxa" w:w="120"/>
              <w:bottom w:type="dxa" w:w="100"/>
              <w:right w:type="dxa" w:w="120"/>
            </w:tcMar>
          </w:tcPr>
          <w:p>
            <w:r>
              <w:rPr>
                <w:b w:val="false"/>
                <w:bCs w:val="false"/>
                <w:color w:val="334155"/>
                <w:sz w:val="19"/>
                <w:szCs w:val="19"/>
              </w:rPr>
              <w:t xml:space="preserve">Braintrust</w:t>
            </w:r>
          </w:p>
        </w:tc>
        <w:tc>
          <w:tcPr>
            <w:tcW w:type="dxa" w:w="1400"/>
            <w:tcMar>
              <w:top w:type="dxa" w:w="100"/>
              <w:left w:type="dxa" w:w="120"/>
              <w:bottom w:type="dxa" w:w="100"/>
              <w:right w:type="dxa" w:w="120"/>
            </w:tcMar>
          </w:tcPr>
          <w:p>
            <w:r>
              <w:rPr>
                <w:b w:val="false"/>
                <w:bCs w:val="false"/>
                <w:color w:val="334155"/>
                <w:sz w:val="19"/>
                <w:szCs w:val="19"/>
              </w:rPr>
              <w:t xml:space="preserve">0% talent-side / 15–25% client-side</w:t>
            </w:r>
          </w:p>
        </w:tc>
        <w:tc>
          <w:tcPr>
            <w:tcW w:type="dxa" w:w="1400"/>
            <w:tcMar>
              <w:top w:type="dxa" w:w="100"/>
              <w:left w:type="dxa" w:w="120"/>
              <w:bottom w:type="dxa" w:w="100"/>
              <w:right w:type="dxa" w:w="120"/>
            </w:tcMar>
          </w:tcPr>
          <w:p>
            <w:r>
              <w:rPr>
                <w:b w:val="false"/>
                <w:bCs w:val="false"/>
                <w:color w:val="334155"/>
                <w:sz w:val="19"/>
                <w:szCs w:val="19"/>
              </w:rPr>
              <w:t xml:space="preserve">Talent-friendly positioning, token model</w:t>
            </w:r>
          </w:p>
        </w:tc>
        <w:tc>
          <w:tcPr>
            <w:tcW w:type="dxa" w:w="1400"/>
            <w:tcMar>
              <w:top w:type="dxa" w:w="100"/>
              <w:left w:type="dxa" w:w="120"/>
              <w:bottom w:type="dxa" w:w="100"/>
              <w:right w:type="dxa" w:w="120"/>
            </w:tcMar>
          </w:tcPr>
          <w:p>
            <w:r>
              <w:rPr>
                <w:b w:val="false"/>
                <w:bCs w:val="false"/>
                <w:color w:val="334155"/>
                <w:sz w:val="19"/>
                <w:szCs w:val="19"/>
              </w:rPr>
              <w:t xml:space="preserve">Real compliance/KYB + MFA for regulated buyers</w:t>
            </w:r>
          </w:p>
        </w:tc>
      </w:tr>
      <w:tr>
        <w:tc>
          <w:tcPr>
            <w:tcW w:type="dxa" w:w="1400"/>
            <w:tcMar>
              <w:top w:type="dxa" w:w="100"/>
              <w:left w:type="dxa" w:w="120"/>
              <w:bottom w:type="dxa" w:w="100"/>
              <w:right w:type="dxa" w:w="120"/>
            </w:tcMar>
          </w:tcPr>
          <w:p>
            <w:r>
              <w:rPr>
                <w:b w:val="false"/>
                <w:bCs w:val="false"/>
                <w:color w:val="334155"/>
                <w:sz w:val="19"/>
                <w:szCs w:val="19"/>
              </w:rPr>
              <w:t xml:space="preserve">Deel</w:t>
            </w:r>
          </w:p>
        </w:tc>
        <w:tc>
          <w:tcPr>
            <w:tcW w:type="dxa" w:w="1400"/>
            <w:tcMar>
              <w:top w:type="dxa" w:w="100"/>
              <w:left w:type="dxa" w:w="120"/>
              <w:bottom w:type="dxa" w:w="100"/>
              <w:right w:type="dxa" w:w="120"/>
            </w:tcMar>
          </w:tcPr>
          <w:p>
            <w:r>
              <w:rPr>
                <w:b w:val="false"/>
                <w:bCs w:val="false"/>
                <w:color w:val="334155"/>
                <w:sz w:val="19"/>
                <w:szCs w:val="19"/>
              </w:rPr>
              <w:t xml:space="preserve">$49/contractor/mo (mgmt) or $599/employee/mo (EOR)</w:t>
            </w:r>
          </w:p>
        </w:tc>
        <w:tc>
          <w:tcPr>
            <w:tcW w:type="dxa" w:w="1400"/>
            <w:tcMar>
              <w:top w:type="dxa" w:w="100"/>
              <w:left w:type="dxa" w:w="120"/>
              <w:bottom w:type="dxa" w:w="100"/>
              <w:right w:type="dxa" w:w="120"/>
            </w:tcMar>
          </w:tcPr>
          <w:p>
            <w:r>
              <w:rPr>
                <w:b w:val="false"/>
                <w:bCs w:val="false"/>
                <w:color w:val="334155"/>
                <w:sz w:val="19"/>
                <w:szCs w:val="19"/>
              </w:rPr>
              <w:t xml:space="preserve">150+ country payroll/compliance/EOR</w:t>
            </w:r>
          </w:p>
        </w:tc>
        <w:tc>
          <w:tcPr>
            <w:tcW w:type="dxa" w:w="1400"/>
            <w:tcMar>
              <w:top w:type="dxa" w:w="100"/>
              <w:left w:type="dxa" w:w="120"/>
              <w:bottom w:type="dxa" w:w="100"/>
              <w:right w:type="dxa" w:w="120"/>
            </w:tcMar>
          </w:tcPr>
          <w:p>
            <w:r>
              <w:rPr>
                <w:b w:val="false"/>
                <w:bCs w:val="false"/>
                <w:color w:val="334155"/>
                <w:sz w:val="19"/>
                <w:szCs w:val="19"/>
              </w:rPr>
              <w:t xml:space="preserve">Project-based marketplace matching (Deel doesn't match talent)</w:t>
            </w:r>
          </w:p>
        </w:tc>
      </w:tr>
    </w:tbl>
    <w:p>
      <w:pPr>
        <w:spacing w:after="120"/>
      </w:pPr>
    </w:p>
    <w:p>
      <w:pPr>
        <w:spacing w:after="160"/>
      </w:pPr>
      <w:r>
        <w:rPr>
          <w:color w:val="334155"/>
          <w:sz w:val="21"/>
          <w:szCs w:val="21"/>
        </w:rPr>
        <w:t xml:space="preserve">Positioning: KeelConnect's real estate is the overlap Upwork/Toptal/Braintrust don't cover well — org-to-org (not gig-worker) outsourcing with real compliance/KYB and a Deliver-native bridge for buyers who are already running projects in Keel. That's a narrower but defensible niche than “general freelance marketplace.”</w:t>
      </w:r>
    </w:p>
    <w:p>
      <w:r>
        <w:br w:type="page"/>
      </w:r>
    </w:p>
    <w:p>
      <w:pPr>
        <w:pStyle w:val="Heading1"/>
        <w:spacing w:after="200" w:before="400"/>
      </w:pPr>
      <w:r>
        <w:t xml:space="preserve">4. Is This a Good Idea to Launch as a Product?</w:t>
      </w:r>
    </w:p>
    <w:p>
      <w:pPr>
        <w:pStyle w:val="Heading2"/>
        <w:spacing w:after="150" w:before="300"/>
      </w:pPr>
      <w:r>
        <w:t xml:space="preserve">Keel Deliver: yes, launchable now to a narrow segment</w:t>
      </w:r>
    </w:p>
    <w:p>
      <w:pPr>
        <w:spacing w:after="160"/>
      </w:pPr>
      <w:r>
        <w:rPr>
          <w:color w:val="334155"/>
          <w:sz w:val="21"/>
          <w:szCs w:val="21"/>
        </w:rPr>
        <w:t xml:space="preserve">Boutique consulting/delivery shops and internal PMOs running client-facing engagements are the right first buyer — they're the only segment for whom the ideation-gate + RFP + SOW + cost-modeling combination is a must-have rather than a nice-to-have. Fix the portfolio-query performance issue first (it will surface immediately in a sales demo with real data volume), and treat missing dependencies/Gantt/notifications as a fast-follow roadmap you're transparent about, not a launch blocker.</w:t>
      </w:r>
    </w:p>
    <w:p>
      <w:pPr>
        <w:pStyle w:val="Heading2"/>
        <w:spacing w:after="150" w:before="300"/>
      </w:pPr>
      <w:r>
        <w:t xml:space="preserve">KeelConnect: not yet — needs a closed-beta phase</w:t>
      </w:r>
    </w:p>
    <w:p>
      <w:pPr>
        <w:spacing w:after="160"/>
      </w:pPr>
      <w:r>
        <w:rPr>
          <w:color w:val="334155"/>
          <w:sz w:val="21"/>
          <w:szCs w:val="21"/>
        </w:rPr>
        <w:t xml:space="preserve">The transaction pipeline is real, but a marketplace's entire value is liquidity, and there's currently no way for either side to find the other, no real payment rail, and no notifications. Launching publicly today would mean asking real businesses to move real money through a system with no discovery and a manually-flipped payment ledger. The right sequence:</w:t>
      </w:r>
    </w:p>
    <w:p>
      <w:pPr>
        <w:pStyle w:val="ListParagraph"/>
        <w:numPr>
          <w:ilvl w:val="0"/>
          <w:numId w:val="2"/>
        </w:numPr>
        <w:spacing w:after="90"/>
      </w:pPr>
      <w:r>
        <w:rPr>
          <w:b/>
          <w:bCs/>
          <w:color w:val="0F172A"/>
          <w:sz w:val="21"/>
          <w:szCs w:val="21"/>
        </w:rPr>
        <w:t xml:space="preserve">Phase 1 — Concierge/design-partner (now): </w:t>
      </w:r>
      <w:r>
        <w:rPr>
          <w:color w:val="334155"/>
          <w:sz w:val="21"/>
          <w:szCs w:val="21"/>
        </w:rPr>
        <w:t xml:space="preserve">hand-match a small number of Client and Vendor orgs (including your own network) directly. Use this to validate the agreement/milestone/payment workflow with real engagements before investing in discovery infrastructure.</w:t>
      </w:r>
    </w:p>
    <w:p>
      <w:pPr>
        <w:pStyle w:val="ListParagraph"/>
        <w:numPr>
          <w:ilvl w:val="0"/>
          <w:numId w:val="2"/>
        </w:numPr>
        <w:spacing w:after="90"/>
      </w:pPr>
      <w:r>
        <w:rPr>
          <w:b/>
          <w:bCs/>
          <w:color w:val="0F172A"/>
          <w:sz w:val="21"/>
          <w:szCs w:val="21"/>
        </w:rPr>
        <w:t xml:space="preserve">Phase 2 — Private beta with real payments: </w:t>
      </w:r>
      <w:r>
        <w:rPr>
          <w:color w:val="334155"/>
          <w:sz w:val="21"/>
          <w:szCs w:val="21"/>
        </w:rPr>
        <w:t xml:space="preserve">wire Stripe Connect (or similar) and add basic notifications once a handful of concierge deals have closed cleanly.</w:t>
      </w:r>
    </w:p>
    <w:p>
      <w:pPr>
        <w:pStyle w:val="ListParagraph"/>
        <w:numPr>
          <w:ilvl w:val="0"/>
          <w:numId w:val="2"/>
        </w:numPr>
        <w:spacing w:after="90"/>
      </w:pPr>
      <w:r>
        <w:rPr>
          <w:b/>
          <w:bCs/>
          <w:color w:val="0F172A"/>
          <w:sz w:val="21"/>
          <w:szCs w:val="21"/>
        </w:rPr>
        <w:t xml:space="preserve">Phase 3 — Public marketplace: </w:t>
      </w:r>
      <w:r>
        <w:rPr>
          <w:color w:val="334155"/>
          <w:sz w:val="21"/>
          <w:szCs w:val="21"/>
        </w:rPr>
        <w:t xml:space="preserve">only after vendor discovery, public profiles, and a logged-out postings page exist — otherwise public launch just burns acquisition spend on a marketplace nobody can browse.</w:t>
      </w:r>
    </w:p>
    <w:p>
      <w:r>
        <w:br w:type="page"/>
      </w:r>
    </w:p>
    <w:p>
      <w:pPr>
        <w:pStyle w:val="Heading1"/>
        <w:spacing w:after="200" w:before="400"/>
      </w:pPr>
      <w:r>
        <w:t xml:space="preserve">5. Pricing Strategy — Separate, Not Combined</w:t>
      </w:r>
    </w:p>
    <w:p>
      <w:pPr>
        <w:spacing w:after="160"/>
      </w:pPr>
      <w:r>
        <w:rPr>
          <w:color w:val="334155"/>
          <w:sz w:val="21"/>
          <w:szCs w:val="21"/>
        </w:rPr>
        <w:t xml:space="preserve">Run two distinct pricing models. Deliver and KeelConnect have fundamentally different unit economics and buyer psychology — one is a tool you pay for whether or not you use it today (SaaS seat pricing), the other is a transaction you pay for only when it succeeds (marketplace take-rate). Bundling them into one price forces you to average two unrelated cost structures, which typically makes the bundle look expensive to whichever buyer only wants one half.</w:t>
      </w:r>
    </w:p>
    <w:p>
      <w:pPr>
        <w:pStyle w:val="Heading2"/>
        <w:spacing w:after="150" w:before="300"/>
      </w:pPr>
      <w:r>
        <w:t xml:space="preserve">Keel Deliver: per-seat SaaS</w:t>
      </w:r>
    </w:p>
    <w:tbl>
      <w:tblPr>
        <w:tblW w:type="dxa" w:w="9020"/>
        <w:tblBorders>
          <w:top w:val="single" w:color="CBD5E1" w:sz="2"/>
          <w:left w:val="single" w:color="CBD5E1" w:sz="2"/>
          <w:bottom w:val="single" w:color="CBD5E1" w:sz="2"/>
          <w:right w:val="single" w:color="CBD5E1" w:sz="2"/>
          <w:insideH w:val="single" w:color="CBD5E1" w:sz="2"/>
          <w:insideV w:val="single" w:color="CBD5E1" w:sz="2"/>
        </w:tblBorders>
      </w:tblPr>
      <w:tblGrid>
        <w:gridCol w:w="1400"/>
        <w:gridCol w:w="1500"/>
        <w:gridCol w:w="2900"/>
        <w:gridCol w:w="3220"/>
      </w:tblGrid>
      <w:tr>
        <w:trPr>
          <w:tblHeader/>
        </w:trPr>
        <w:tc>
          <w:tcPr>
            <w:tcW w:type="dxa" w:w="1400"/>
            <w:shd w:fill="0F172A" w:val="clear"/>
            <w:tcMar>
              <w:top w:type="dxa" w:w="100"/>
              <w:left w:type="dxa" w:w="120"/>
              <w:bottom w:type="dxa" w:w="100"/>
              <w:right w:type="dxa" w:w="120"/>
            </w:tcMar>
          </w:tcPr>
          <w:p>
            <w:r>
              <w:rPr>
                <w:b/>
                <w:bCs/>
                <w:color w:val="FFFFFF"/>
                <w:sz w:val="19"/>
                <w:szCs w:val="19"/>
              </w:rPr>
              <w:t xml:space="preserve">Tier</w:t>
            </w:r>
          </w:p>
        </w:tc>
        <w:tc>
          <w:tcPr>
            <w:tcW w:type="dxa" w:w="1400"/>
            <w:shd w:fill="0F172A" w:val="clear"/>
            <w:tcMar>
              <w:top w:type="dxa" w:w="100"/>
              <w:left w:type="dxa" w:w="120"/>
              <w:bottom w:type="dxa" w:w="100"/>
              <w:right w:type="dxa" w:w="120"/>
            </w:tcMar>
          </w:tcPr>
          <w:p>
            <w:r>
              <w:rPr>
                <w:b/>
                <w:bCs/>
                <w:color w:val="FFFFFF"/>
                <w:sz w:val="19"/>
                <w:szCs w:val="19"/>
              </w:rPr>
              <w:t xml:space="preserve">Price</w:t>
            </w:r>
          </w:p>
        </w:tc>
        <w:tc>
          <w:tcPr>
            <w:tcW w:type="dxa" w:w="1400"/>
            <w:shd w:fill="0F172A" w:val="clear"/>
            <w:tcMar>
              <w:top w:type="dxa" w:w="100"/>
              <w:left w:type="dxa" w:w="120"/>
              <w:bottom w:type="dxa" w:w="100"/>
              <w:right w:type="dxa" w:w="120"/>
            </w:tcMar>
          </w:tcPr>
          <w:p>
            <w:r>
              <w:rPr>
                <w:b/>
                <w:bCs/>
                <w:color w:val="FFFFFF"/>
                <w:sz w:val="19"/>
                <w:szCs w:val="19"/>
              </w:rPr>
              <w:t xml:space="preserve">Who it's for</w:t>
            </w:r>
          </w:p>
        </w:tc>
        <w:tc>
          <w:tcPr>
            <w:tcW w:type="dxa" w:w="1400"/>
            <w:shd w:fill="0F172A" w:val="clear"/>
            <w:tcMar>
              <w:top w:type="dxa" w:w="100"/>
              <w:left w:type="dxa" w:w="120"/>
              <w:bottom w:type="dxa" w:w="100"/>
              <w:right w:type="dxa" w:w="120"/>
            </w:tcMar>
          </w:tcPr>
          <w:p>
            <w:r>
              <w:rPr>
                <w:b/>
                <w:bCs/>
                <w:color w:val="FFFFFF"/>
                <w:sz w:val="19"/>
                <w:szCs w:val="19"/>
              </w:rPr>
              <w:t xml:space="preserve">What's included</w:t>
            </w:r>
          </w:p>
        </w:tc>
      </w:tr>
      <w:tr>
        <w:tc>
          <w:tcPr>
            <w:tcW w:type="dxa" w:w="1400"/>
            <w:tcMar>
              <w:top w:type="dxa" w:w="100"/>
              <w:left w:type="dxa" w:w="120"/>
              <w:bottom w:type="dxa" w:w="100"/>
              <w:right w:type="dxa" w:w="120"/>
            </w:tcMar>
          </w:tcPr>
          <w:p>
            <w:r>
              <w:rPr>
                <w:b w:val="false"/>
                <w:bCs w:val="false"/>
                <w:color w:val="334155"/>
                <w:sz w:val="19"/>
                <w:szCs w:val="19"/>
              </w:rPr>
              <w:t xml:space="preserve">Starter</w:t>
            </w:r>
          </w:p>
        </w:tc>
        <w:tc>
          <w:tcPr>
            <w:tcW w:type="dxa" w:w="1400"/>
            <w:tcMar>
              <w:top w:type="dxa" w:w="100"/>
              <w:left w:type="dxa" w:w="120"/>
              <w:bottom w:type="dxa" w:w="100"/>
              <w:right w:type="dxa" w:w="120"/>
            </w:tcMar>
          </w:tcPr>
          <w:p>
            <w:r>
              <w:rPr>
                <w:b w:val="false"/>
                <w:bCs w:val="false"/>
                <w:color w:val="334155"/>
                <w:sz w:val="19"/>
                <w:szCs w:val="19"/>
              </w:rPr>
              <w:t xml:space="preserve">$12/user/mo</w:t>
            </w:r>
          </w:p>
        </w:tc>
        <w:tc>
          <w:tcPr>
            <w:tcW w:type="dxa" w:w="1400"/>
            <w:tcMar>
              <w:top w:type="dxa" w:w="100"/>
              <w:left w:type="dxa" w:w="120"/>
              <w:bottom w:type="dxa" w:w="100"/>
              <w:right w:type="dxa" w:w="120"/>
            </w:tcMar>
          </w:tcPr>
          <w:p>
            <w:r>
              <w:rPr>
                <w:b w:val="false"/>
                <w:bCs w:val="false"/>
                <w:color w:val="334155"/>
                <w:sz w:val="19"/>
                <w:szCs w:val="19"/>
              </w:rPr>
              <w:t xml:space="preserve">Small teams, single project</w:t>
            </w:r>
          </w:p>
        </w:tc>
        <w:tc>
          <w:tcPr>
            <w:tcW w:type="dxa" w:w="1400"/>
            <w:tcMar>
              <w:top w:type="dxa" w:w="100"/>
              <w:left w:type="dxa" w:w="120"/>
              <w:bottom w:type="dxa" w:w="100"/>
              <w:right w:type="dxa" w:w="120"/>
            </w:tcMar>
          </w:tcPr>
          <w:p>
            <w:r>
              <w:rPr>
                <w:b w:val="false"/>
                <w:bCs w:val="false"/>
                <w:color w:val="334155"/>
                <w:sz w:val="19"/>
                <w:szCs w:val="19"/>
              </w:rPr>
              <w:t xml:space="preserve">Core tasks/sprints, 1 active project, basic reports</w:t>
            </w:r>
          </w:p>
        </w:tc>
      </w:tr>
      <w:tr>
        <w:tc>
          <w:tcPr>
            <w:tcW w:type="dxa" w:w="1400"/>
            <w:tcMar>
              <w:top w:type="dxa" w:w="100"/>
              <w:left w:type="dxa" w:w="120"/>
              <w:bottom w:type="dxa" w:w="100"/>
              <w:right w:type="dxa" w:w="120"/>
            </w:tcMar>
          </w:tcPr>
          <w:p>
            <w:r>
              <w:rPr>
                <w:b w:val="false"/>
                <w:bCs w:val="false"/>
                <w:color w:val="334155"/>
                <w:sz w:val="19"/>
                <w:szCs w:val="19"/>
              </w:rPr>
              <w:t xml:space="preserve">Team</w:t>
            </w:r>
          </w:p>
        </w:tc>
        <w:tc>
          <w:tcPr>
            <w:tcW w:type="dxa" w:w="1400"/>
            <w:tcMar>
              <w:top w:type="dxa" w:w="100"/>
              <w:left w:type="dxa" w:w="120"/>
              <w:bottom w:type="dxa" w:w="100"/>
              <w:right w:type="dxa" w:w="120"/>
            </w:tcMar>
          </w:tcPr>
          <w:p>
            <w:r>
              <w:rPr>
                <w:b w:val="false"/>
                <w:bCs w:val="false"/>
                <w:color w:val="334155"/>
                <w:sz w:val="19"/>
                <w:szCs w:val="19"/>
              </w:rPr>
              <w:t xml:space="preserve">$24/user/mo</w:t>
            </w:r>
          </w:p>
        </w:tc>
        <w:tc>
          <w:tcPr>
            <w:tcW w:type="dxa" w:w="1400"/>
            <w:tcMar>
              <w:top w:type="dxa" w:w="100"/>
              <w:left w:type="dxa" w:w="120"/>
              <w:bottom w:type="dxa" w:w="100"/>
              <w:right w:type="dxa" w:w="120"/>
            </w:tcMar>
          </w:tcPr>
          <w:p>
            <w:r>
              <w:rPr>
                <w:b w:val="false"/>
                <w:bCs w:val="false"/>
                <w:color w:val="334155"/>
                <w:sz w:val="19"/>
                <w:szCs w:val="19"/>
              </w:rPr>
              <w:t xml:space="preserve">Growing internal PMOs</w:t>
            </w:r>
          </w:p>
        </w:tc>
        <w:tc>
          <w:tcPr>
            <w:tcW w:type="dxa" w:w="1400"/>
            <w:tcMar>
              <w:top w:type="dxa" w:w="100"/>
              <w:left w:type="dxa" w:w="120"/>
              <w:bottom w:type="dxa" w:w="100"/>
              <w:right w:type="dxa" w:w="120"/>
            </w:tcMar>
          </w:tcPr>
          <w:p>
            <w:r>
              <w:rPr>
                <w:b w:val="false"/>
                <w:bCs w:val="false"/>
                <w:color w:val="334155"/>
                <w:sz w:val="19"/>
                <w:szCs w:val="19"/>
              </w:rPr>
              <w:t xml:space="preserve">Unlimited projects, ideation gates, AI drafting, PDF/PPTX exports</w:t>
            </w:r>
          </w:p>
        </w:tc>
      </w:tr>
      <w:tr>
        <w:tc>
          <w:tcPr>
            <w:tcW w:type="dxa" w:w="1400"/>
            <w:tcMar>
              <w:top w:type="dxa" w:w="100"/>
              <w:left w:type="dxa" w:w="120"/>
              <w:bottom w:type="dxa" w:w="100"/>
              <w:right w:type="dxa" w:w="120"/>
            </w:tcMar>
          </w:tcPr>
          <w:p>
            <w:r>
              <w:rPr>
                <w:b w:val="false"/>
                <w:bCs w:val="false"/>
                <w:color w:val="334155"/>
                <w:sz w:val="19"/>
                <w:szCs w:val="19"/>
              </w:rPr>
              <w:t xml:space="preserve">Business</w:t>
            </w:r>
          </w:p>
        </w:tc>
        <w:tc>
          <w:tcPr>
            <w:tcW w:type="dxa" w:w="1400"/>
            <w:tcMar>
              <w:top w:type="dxa" w:w="100"/>
              <w:left w:type="dxa" w:w="120"/>
              <w:bottom w:type="dxa" w:w="100"/>
              <w:right w:type="dxa" w:w="120"/>
            </w:tcMar>
          </w:tcPr>
          <w:p>
            <w:r>
              <w:rPr>
                <w:b w:val="false"/>
                <w:bCs w:val="false"/>
                <w:color w:val="334155"/>
                <w:sz w:val="19"/>
                <w:szCs w:val="19"/>
              </w:rPr>
              <w:t xml:space="preserve">$39/user/mo</w:t>
            </w:r>
          </w:p>
        </w:tc>
        <w:tc>
          <w:tcPr>
            <w:tcW w:type="dxa" w:w="1400"/>
            <w:tcMar>
              <w:top w:type="dxa" w:w="100"/>
              <w:left w:type="dxa" w:w="120"/>
              <w:bottom w:type="dxa" w:w="100"/>
              <w:right w:type="dxa" w:w="120"/>
            </w:tcMar>
          </w:tcPr>
          <w:p>
            <w:r>
              <w:rPr>
                <w:b w:val="false"/>
                <w:bCs w:val="false"/>
                <w:color w:val="334155"/>
                <w:sz w:val="19"/>
                <w:szCs w:val="19"/>
              </w:rPr>
              <w:t xml:space="preserve">Client-facing delivery shops</w:t>
            </w:r>
          </w:p>
        </w:tc>
        <w:tc>
          <w:tcPr>
            <w:tcW w:type="dxa" w:w="1400"/>
            <w:tcMar>
              <w:top w:type="dxa" w:w="100"/>
              <w:left w:type="dxa" w:w="120"/>
              <w:bottom w:type="dxa" w:w="100"/>
              <w:right w:type="dxa" w:w="120"/>
            </w:tcMar>
          </w:tcPr>
          <w:p>
            <w:r>
              <w:rPr>
                <w:b w:val="false"/>
                <w:bCs w:val="false"/>
                <w:color w:val="334155"/>
                <w:sz w:val="19"/>
                <w:szCs w:val="19"/>
              </w:rPr>
              <w:t xml:space="preserve">RFP/vendor evaluation, SOW/deliverable contracts, rate cards, audit log</w:t>
            </w:r>
          </w:p>
        </w:tc>
      </w:tr>
      <w:tr>
        <w:tc>
          <w:tcPr>
            <w:tcW w:type="dxa" w:w="1400"/>
            <w:tcMar>
              <w:top w:type="dxa" w:w="100"/>
              <w:left w:type="dxa" w:w="120"/>
              <w:bottom w:type="dxa" w:w="100"/>
              <w:right w:type="dxa" w:w="120"/>
            </w:tcMar>
          </w:tcPr>
          <w:p>
            <w:r>
              <w:rPr>
                <w:b w:val="false"/>
                <w:bCs w:val="false"/>
                <w:color w:val="334155"/>
                <w:sz w:val="19"/>
                <w:szCs w:val="19"/>
              </w:rPr>
              <w:t xml:space="preserve">Enterprise</w:t>
            </w:r>
          </w:p>
        </w:tc>
        <w:tc>
          <w:tcPr>
            <w:tcW w:type="dxa" w:w="1400"/>
            <w:tcMar>
              <w:top w:type="dxa" w:w="100"/>
              <w:left w:type="dxa" w:w="120"/>
              <w:bottom w:type="dxa" w:w="100"/>
              <w:right w:type="dxa" w:w="120"/>
            </w:tcMar>
          </w:tcPr>
          <w:p>
            <w:r>
              <w:rPr>
                <w:b w:val="false"/>
                <w:bCs w:val="false"/>
                <w:color w:val="334155"/>
                <w:sz w:val="19"/>
                <w:szCs w:val="19"/>
              </w:rPr>
              <w:t xml:space="preserve">Custom</w:t>
            </w:r>
          </w:p>
        </w:tc>
        <w:tc>
          <w:tcPr>
            <w:tcW w:type="dxa" w:w="1400"/>
            <w:tcMar>
              <w:top w:type="dxa" w:w="100"/>
              <w:left w:type="dxa" w:w="120"/>
              <w:bottom w:type="dxa" w:w="100"/>
              <w:right w:type="dxa" w:w="120"/>
            </w:tcMar>
          </w:tcPr>
          <w:p>
            <w:r>
              <w:rPr>
                <w:b w:val="false"/>
                <w:bCs w:val="false"/>
                <w:color w:val="334155"/>
                <w:sz w:val="19"/>
                <w:szCs w:val="19"/>
              </w:rPr>
              <w:t xml:space="preserve">Regulated / large portfolios</w:t>
            </w:r>
          </w:p>
        </w:tc>
        <w:tc>
          <w:tcPr>
            <w:tcW w:type="dxa" w:w="1400"/>
            <w:tcMar>
              <w:top w:type="dxa" w:w="100"/>
              <w:left w:type="dxa" w:w="120"/>
              <w:bottom w:type="dxa" w:w="100"/>
              <w:right w:type="dxa" w:w="120"/>
            </w:tcMar>
          </w:tcPr>
          <w:p>
            <w:r>
              <w:rPr>
                <w:b w:val="false"/>
                <w:bCs w:val="false"/>
                <w:color w:val="334155"/>
                <w:sz w:val="19"/>
                <w:szCs w:val="19"/>
              </w:rPr>
              <w:t xml:space="preserve">SSO, custom roles, dedicated support, volume discount</w:t>
            </w:r>
          </w:p>
        </w:tc>
      </w:tr>
    </w:tbl>
    <w:p>
      <w:pPr>
        <w:spacing w:after="120"/>
      </w:pPr>
    </w:p>
    <w:p>
      <w:pPr>
        <w:spacing w:after="160"/>
      </w:pPr>
      <w:r>
        <w:rPr>
          <w:color w:val="334155"/>
          <w:sz w:val="21"/>
          <w:szCs w:val="21"/>
        </w:rPr>
        <w:t xml:space="preserve">This sits deliberately between Jira/Monday's entry tier and Smartsheet/Asana's premium tiers — justified by the RFP/SOW/cost-modeling depth those tools don't have, but honest about not yet having their collaboration/automation maturity.</w:t>
      </w:r>
    </w:p>
    <w:p>
      <w:pPr>
        <w:pStyle w:val="Heading2"/>
        <w:spacing w:after="150" w:before="300"/>
      </w:pPr>
      <w:r>
        <w:t xml:space="preserve">KeelConnect: take-rate on completed engagements</w:t>
      </w:r>
    </w:p>
    <w:tbl>
      <w:tblPr>
        <w:tblW w:type="dxa" w:w="9020"/>
        <w:tblBorders>
          <w:top w:val="single" w:color="CBD5E1" w:sz="2"/>
          <w:left w:val="single" w:color="CBD5E1" w:sz="2"/>
          <w:bottom w:val="single" w:color="CBD5E1" w:sz="2"/>
          <w:right w:val="single" w:color="CBD5E1" w:sz="2"/>
          <w:insideH w:val="single" w:color="CBD5E1" w:sz="2"/>
          <w:insideV w:val="single" w:color="CBD5E1" w:sz="2"/>
        </w:tblBorders>
      </w:tblPr>
      <w:tblGrid>
        <w:gridCol w:w="2100"/>
        <w:gridCol w:w="2200"/>
        <w:gridCol w:w="4720"/>
      </w:tblGrid>
      <w:tr>
        <w:trPr>
          <w:tblHeader/>
        </w:trPr>
        <w:tc>
          <w:tcPr>
            <w:tcW w:type="dxa" w:w="2100"/>
            <w:shd w:fill="0F172A" w:val="clear"/>
            <w:tcMar>
              <w:top w:type="dxa" w:w="100"/>
              <w:left w:type="dxa" w:w="120"/>
              <w:bottom w:type="dxa" w:w="100"/>
              <w:right w:type="dxa" w:w="120"/>
            </w:tcMar>
          </w:tcPr>
          <w:p>
            <w:r>
              <w:rPr>
                <w:b/>
                <w:bCs/>
                <w:color w:val="FFFFFF"/>
                <w:sz w:val="19"/>
                <w:szCs w:val="19"/>
              </w:rPr>
              <w:t xml:space="preserve">Model element</w:t>
            </w:r>
          </w:p>
        </w:tc>
        <w:tc>
          <w:tcPr>
            <w:tcW w:type="dxa" w:w="2100"/>
            <w:shd w:fill="0F172A" w:val="clear"/>
            <w:tcMar>
              <w:top w:type="dxa" w:w="100"/>
              <w:left w:type="dxa" w:w="120"/>
              <w:bottom w:type="dxa" w:w="100"/>
              <w:right w:type="dxa" w:w="120"/>
            </w:tcMar>
          </w:tcPr>
          <w:p>
            <w:r>
              <w:rPr>
                <w:b/>
                <w:bCs/>
                <w:color w:val="FFFFFF"/>
                <w:sz w:val="19"/>
                <w:szCs w:val="19"/>
              </w:rPr>
              <w:t xml:space="preserve">Recommendation</w:t>
            </w:r>
          </w:p>
        </w:tc>
        <w:tc>
          <w:tcPr>
            <w:tcW w:type="dxa" w:w="2100"/>
            <w:shd w:fill="0F172A" w:val="clear"/>
            <w:tcMar>
              <w:top w:type="dxa" w:w="100"/>
              <w:left w:type="dxa" w:w="120"/>
              <w:bottom w:type="dxa" w:w="100"/>
              <w:right w:type="dxa" w:w="120"/>
            </w:tcMar>
          </w:tcPr>
          <w:p>
            <w:r>
              <w:rPr>
                <w:b/>
                <w:bCs/>
                <w:color w:val="FFFFFF"/>
                <w:sz w:val="19"/>
                <w:szCs w:val="19"/>
              </w:rPr>
              <w:t xml:space="preserve">Why</w:t>
            </w:r>
          </w:p>
        </w:tc>
      </w:tr>
      <w:tr>
        <w:tc>
          <w:tcPr>
            <w:tcW w:type="dxa" w:w="2100"/>
            <w:tcMar>
              <w:top w:type="dxa" w:w="100"/>
              <w:left w:type="dxa" w:w="120"/>
              <w:bottom w:type="dxa" w:w="100"/>
              <w:right w:type="dxa" w:w="120"/>
            </w:tcMar>
          </w:tcPr>
          <w:p>
            <w:r>
              <w:rPr>
                <w:b w:val="false"/>
                <w:bCs w:val="false"/>
                <w:color w:val="334155"/>
                <w:sz w:val="19"/>
                <w:szCs w:val="19"/>
              </w:rPr>
              <w:t xml:space="preserve">Client-side fee</w:t>
            </w:r>
          </w:p>
        </w:tc>
        <w:tc>
          <w:tcPr>
            <w:tcW w:type="dxa" w:w="2100"/>
            <w:tcMar>
              <w:top w:type="dxa" w:w="100"/>
              <w:left w:type="dxa" w:w="120"/>
              <w:bottom w:type="dxa" w:w="100"/>
              <w:right w:type="dxa" w:w="120"/>
            </w:tcMar>
          </w:tcPr>
          <w:p>
            <w:r>
              <w:rPr>
                <w:b w:val="false"/>
                <w:bCs w:val="false"/>
                <w:color w:val="334155"/>
                <w:sz w:val="19"/>
                <w:szCs w:val="19"/>
              </w:rPr>
              <w:t xml:space="preserve">8–12% of engagement value</w:t>
            </w:r>
          </w:p>
        </w:tc>
        <w:tc>
          <w:tcPr>
            <w:tcW w:type="dxa" w:w="2100"/>
            <w:tcMar>
              <w:top w:type="dxa" w:w="100"/>
              <w:left w:type="dxa" w:w="120"/>
              <w:bottom w:type="dxa" w:w="100"/>
              <w:right w:type="dxa" w:w="120"/>
            </w:tcMar>
          </w:tcPr>
          <w:p>
            <w:r>
              <w:rPr>
                <w:b w:val="false"/>
                <w:bCs w:val="false"/>
                <w:color w:val="334155"/>
                <w:sz w:val="19"/>
                <w:szCs w:val="19"/>
              </w:rPr>
              <w:t xml:space="preserve">Below Upwork's blended effective rate and Braintrust's client-side 15–25%, appropriate for a pre-liquidity marketplace still proving itself</w:t>
            </w:r>
          </w:p>
        </w:tc>
      </w:tr>
      <w:tr>
        <w:tc>
          <w:tcPr>
            <w:tcW w:type="dxa" w:w="2100"/>
            <w:tcMar>
              <w:top w:type="dxa" w:w="100"/>
              <w:left w:type="dxa" w:w="120"/>
              <w:bottom w:type="dxa" w:w="100"/>
              <w:right w:type="dxa" w:w="120"/>
            </w:tcMar>
          </w:tcPr>
          <w:p>
            <w:r>
              <w:rPr>
                <w:b w:val="false"/>
                <w:bCs w:val="false"/>
                <w:color w:val="334155"/>
                <w:sz w:val="19"/>
                <w:szCs w:val="19"/>
              </w:rPr>
              <w:t xml:space="preserve">Vendor-side fee</w:t>
            </w:r>
          </w:p>
        </w:tc>
        <w:tc>
          <w:tcPr>
            <w:tcW w:type="dxa" w:w="2100"/>
            <w:tcMar>
              <w:top w:type="dxa" w:w="100"/>
              <w:left w:type="dxa" w:w="120"/>
              <w:bottom w:type="dxa" w:w="100"/>
              <w:right w:type="dxa" w:w="120"/>
            </w:tcMar>
          </w:tcPr>
          <w:p>
            <w:r>
              <w:rPr>
                <w:b w:val="false"/>
                <w:bCs w:val="false"/>
                <w:color w:val="334155"/>
                <w:sz w:val="19"/>
                <w:szCs w:val="19"/>
              </w:rPr>
              <w:t xml:space="preserve">0%</w:t>
            </w:r>
          </w:p>
        </w:tc>
        <w:tc>
          <w:tcPr>
            <w:tcW w:type="dxa" w:w="2100"/>
            <w:tcMar>
              <w:top w:type="dxa" w:w="100"/>
              <w:left w:type="dxa" w:w="120"/>
              <w:bottom w:type="dxa" w:w="100"/>
              <w:right w:type="dxa" w:w="120"/>
            </w:tcMar>
          </w:tcPr>
          <w:p>
            <w:r>
              <w:rPr>
                <w:b w:val="false"/>
                <w:bCs w:val="false"/>
                <w:color w:val="334155"/>
                <w:sz w:val="19"/>
                <w:szCs w:val="19"/>
              </w:rPr>
              <w:t xml:space="preserve">Braintrust's playbook — vendor orgs are the scarce supply-side resource during bootstrap; charging them slows acquisition exactly when you need it most</w:t>
            </w:r>
          </w:p>
        </w:tc>
      </w:tr>
      <w:tr>
        <w:tc>
          <w:tcPr>
            <w:tcW w:type="dxa" w:w="2100"/>
            <w:tcMar>
              <w:top w:type="dxa" w:w="100"/>
              <w:left w:type="dxa" w:w="120"/>
              <w:bottom w:type="dxa" w:w="100"/>
              <w:right w:type="dxa" w:w="120"/>
            </w:tcMar>
          </w:tcPr>
          <w:p>
            <w:r>
              <w:rPr>
                <w:b w:val="false"/>
                <w:bCs w:val="false"/>
                <w:color w:val="334155"/>
                <w:sz w:val="19"/>
                <w:szCs w:val="19"/>
              </w:rPr>
              <w:t xml:space="preserve">Mediator-model premium</w:t>
            </w:r>
          </w:p>
        </w:tc>
        <w:tc>
          <w:tcPr>
            <w:tcW w:type="dxa" w:w="2100"/>
            <w:tcMar>
              <w:top w:type="dxa" w:w="100"/>
              <w:left w:type="dxa" w:w="120"/>
              <w:bottom w:type="dxa" w:w="100"/>
              <w:right w:type="dxa" w:w="120"/>
            </w:tcMar>
          </w:tcPr>
          <w:p>
            <w:r>
              <w:rPr>
                <w:b w:val="false"/>
                <w:bCs w:val="false"/>
                <w:color w:val="334155"/>
                <w:sz w:val="19"/>
                <w:szCs w:val="19"/>
              </w:rPr>
              <w:t xml:space="preserve">+2–3% on top of the base fee</w:t>
            </w:r>
          </w:p>
        </w:tc>
        <w:tc>
          <w:tcPr>
            <w:tcW w:type="dxa" w:w="2100"/>
            <w:tcMar>
              <w:top w:type="dxa" w:w="100"/>
              <w:left w:type="dxa" w:w="120"/>
              <w:bottom w:type="dxa" w:w="100"/>
              <w:right w:type="dxa" w:w="120"/>
            </w:tcMar>
          </w:tcPr>
          <w:p>
            <w:r>
              <w:rPr>
                <w:b w:val="false"/>
                <w:bCs w:val="false"/>
                <w:color w:val="334155"/>
                <w:sz w:val="19"/>
                <w:szCs w:val="19"/>
              </w:rPr>
              <w:t xml:space="preserve">Reflects Keel's added contractual/liability exposure when it's a contracting party on both sides</w:t>
            </w:r>
          </w:p>
        </w:tc>
      </w:tr>
      <w:tr>
        <w:tc>
          <w:tcPr>
            <w:tcW w:type="dxa" w:w="2100"/>
            <w:tcMar>
              <w:top w:type="dxa" w:w="100"/>
              <w:left w:type="dxa" w:w="120"/>
              <w:bottom w:type="dxa" w:w="100"/>
              <w:right w:type="dxa" w:w="120"/>
            </w:tcMar>
          </w:tcPr>
          <w:p>
            <w:r>
              <w:rPr>
                <w:b w:val="false"/>
                <w:bCs w:val="false"/>
                <w:color w:val="334155"/>
                <w:sz w:val="19"/>
                <w:szCs w:val="19"/>
              </w:rPr>
              <w:t xml:space="preserve">Subscription add-on (later)</w:t>
            </w:r>
          </w:p>
        </w:tc>
        <w:tc>
          <w:tcPr>
            <w:tcW w:type="dxa" w:w="2100"/>
            <w:tcMar>
              <w:top w:type="dxa" w:w="100"/>
              <w:left w:type="dxa" w:w="120"/>
              <w:bottom w:type="dxa" w:w="100"/>
              <w:right w:type="dxa" w:w="120"/>
            </w:tcMar>
          </w:tcPr>
          <w:p>
            <w:r>
              <w:rPr>
                <w:b w:val="false"/>
                <w:bCs w:val="false"/>
                <w:color w:val="334155"/>
                <w:sz w:val="19"/>
                <w:szCs w:val="19"/>
              </w:rPr>
              <w:t xml:space="preserve">Optional monthly fee for Client orgs wanting posting/analytics tools without transacting</w:t>
            </w:r>
          </w:p>
        </w:tc>
        <w:tc>
          <w:tcPr>
            <w:tcW w:type="dxa" w:w="2100"/>
            <w:tcMar>
              <w:top w:type="dxa" w:w="100"/>
              <w:left w:type="dxa" w:w="120"/>
              <w:bottom w:type="dxa" w:w="100"/>
              <w:right w:type="dxa" w:w="120"/>
            </w:tcMar>
          </w:tcPr>
          <w:p>
            <w:r>
              <w:rPr>
                <w:b w:val="false"/>
                <w:bCs w:val="false"/>
                <w:color w:val="334155"/>
                <w:sz w:val="19"/>
                <w:szCs w:val="19"/>
              </w:rPr>
              <w:t xml:space="preserve">Standard freemium-to-marketplace pattern once volume exists to support it</w:t>
            </w:r>
          </w:p>
        </w:tc>
      </w:tr>
    </w:tbl>
    <w:p>
      <w:pPr>
        <w:spacing w:after="120"/>
      </w:pPr>
    </w:p>
    <w:p>
      <w:pPr>
        <w:spacing w:after="160"/>
      </w:pPr>
      <w:r>
        <w:rPr>
          <w:color w:val="334155"/>
          <w:sz w:val="21"/>
          <w:szCs w:val="21"/>
        </w:rPr>
        <w:t xml:space="preserve">Do not charge a flat SaaS fee for KeelConnect access on top of the take-rate during the beta phases — it adds friction precisely while you're trying to prove liquidity, and none of the reference competitors do both simultaneously at launch.</w:t>
      </w:r>
    </w:p>
    <w:p>
      <w:r>
        <w:br w:type="page"/>
      </w:r>
    </w:p>
    <w:p>
      <w:pPr>
        <w:pStyle w:val="Heading1"/>
        <w:spacing w:after="200" w:before="400"/>
      </w:pPr>
      <w:r>
        <w:t xml:space="preserve">6. Connecting Keel Deliver and KeelConnect Internally</w:t>
      </w:r>
    </w:p>
    <w:p>
      <w:pPr>
        <w:spacing w:after="160"/>
      </w:pPr>
      <w:r>
        <w:rPr>
          <w:color w:val="334155"/>
          <w:sz w:val="21"/>
          <w:szCs w:val="21"/>
        </w:rPr>
        <w:t xml:space="preserve">The one-way bridge already built this session (a Deliver task tagged VENDOR can be posted as a KeelConnect project, with a link back to the source task) is the right foundation. The gap is that the connection dead-ends once a bid is awarded — nothing carries the engagement back into Deliver for execution tracking. Recommended next steps, roughly in build order:</w:t>
      </w:r>
    </w:p>
    <w:p>
      <w:pPr>
        <w:pStyle w:val="ListParagraph"/>
        <w:numPr>
          <w:ilvl w:val="0"/>
          <w:numId w:val="2"/>
        </w:numPr>
        <w:spacing w:after="90"/>
      </w:pPr>
      <w:r>
        <w:rPr>
          <w:b/>
          <w:bCs/>
          <w:color w:val="0F172A"/>
          <w:sz w:val="21"/>
          <w:szCs w:val="21"/>
        </w:rPr>
        <w:t xml:space="preserve">1. Auto-create a linked Deliver task/subproject on award. </w:t>
      </w:r>
      <w:r>
        <w:rPr>
          <w:color w:val="334155"/>
          <w:sz w:val="21"/>
          <w:szCs w:val="21"/>
        </w:rPr>
        <w:t xml:space="preserve">When a bridged KeelConnect project moves to AWARDED, offer to spin up (or auto-create) a tracking task back in the originating Deliver project, pre-filled with the agreed price/timeline, so the PM never has to re-enter what KeelConnect already knows.</w:t>
      </w:r>
    </w:p>
    <w:p>
      <w:pPr>
        <w:pStyle w:val="ListParagraph"/>
        <w:numPr>
          <w:ilvl w:val="0"/>
          <w:numId w:val="2"/>
        </w:numPr>
        <w:spacing w:after="90"/>
      </w:pPr>
      <w:r>
        <w:rPr>
          <w:b/>
          <w:bCs/>
          <w:color w:val="0F172A"/>
          <w:sz w:val="21"/>
          <w:szCs w:val="21"/>
        </w:rPr>
        <w:t xml:space="preserve">2. Mirror milestone status both ways. </w:t>
      </w:r>
      <w:r>
        <w:rPr>
          <w:color w:val="334155"/>
          <w:sz w:val="21"/>
          <w:szCs w:val="21"/>
        </w:rPr>
        <w:t xml:space="preserve">A KeelConnect milestone marked APPROVED/PAID should be able to flip the linked Deliver task's status, so a Deliver-side PM sees vendor progress without logging into KeelConnect.</w:t>
      </w:r>
    </w:p>
    <w:p>
      <w:pPr>
        <w:pStyle w:val="ListParagraph"/>
        <w:numPr>
          <w:ilvl w:val="0"/>
          <w:numId w:val="2"/>
        </w:numPr>
        <w:spacing w:after="90"/>
      </w:pPr>
      <w:r>
        <w:rPr>
          <w:b/>
          <w:bCs/>
          <w:color w:val="0F172A"/>
          <w:sz w:val="21"/>
          <w:szCs w:val="21"/>
        </w:rPr>
        <w:t xml:space="preserve">3. Let a Deliver risk or blocker raise a KeelConnect dispute directly, </w:t>
      </w:r>
      <w:r>
        <w:rPr>
          <w:color w:val="334155"/>
          <w:sz w:val="21"/>
          <w:szCs w:val="21"/>
        </w:rPr>
        <w:t xml:space="preserve">rather than requiring someone to re-describe the same problem in the other system.</w:t>
      </w:r>
    </w:p>
    <w:p>
      <w:pPr>
        <w:pStyle w:val="ListParagraph"/>
        <w:numPr>
          <w:ilvl w:val="0"/>
          <w:numId w:val="2"/>
        </w:numPr>
        <w:spacing w:after="90"/>
      </w:pPr>
      <w:r>
        <w:rPr>
          <w:b/>
          <w:bCs/>
          <w:color w:val="0F172A"/>
          <w:sz w:val="21"/>
          <w:szCs w:val="21"/>
        </w:rPr>
        <w:t xml:space="preserve">4. Surface KeelConnect spend inside Deliver's cost/rate-card model, </w:t>
      </w:r>
      <w:r>
        <w:rPr>
          <w:color w:val="334155"/>
          <w:sz w:val="21"/>
          <w:szCs w:val="21"/>
        </w:rPr>
        <w:t xml:space="preserve">so a project's “actuals” in Deliver include what was actually paid out through KeelConnect, not just internally logged time/cost items.</w:t>
      </w:r>
    </w:p>
    <w:p>
      <w:pPr>
        <w:spacing w:after="160"/>
      </w:pPr>
      <w:r>
        <w:rPr>
          <w:color w:val="334155"/>
          <w:sz w:val="21"/>
          <w:szCs w:val="21"/>
        </w:rPr>
        <w:t xml:space="preserve">What not to do: don't merge the two role/access systems or the two data models. They're deliberately separate (Deliver's per-project roles vs. KeelConnect's per-org roles) because the trust boundary is different — an external Vendor org should never inherit visibility into internal Deliver data just because a bridge exists. Keep the connection as explicit links and mirrored status fields, not shared tables.</w:t>
      </w:r>
    </w:p>
    <w:p>
      <w:r>
        <w:br w:type="page"/>
      </w:r>
    </w:p>
    <w:p>
      <w:pPr>
        <w:pStyle w:val="Heading1"/>
        <w:spacing w:after="200" w:before="400"/>
      </w:pPr>
      <w:r>
        <w:t xml:space="preserve">7. Surfacing eworkconnections.org Talent on a Resource Request</w:t>
      </w:r>
    </w:p>
    <w:p>
      <w:pPr>
        <w:spacing w:after="160"/>
      </w:pPr>
      <w:r>
        <w:rPr>
          <w:color w:val="334155"/>
          <w:sz w:val="21"/>
          <w:szCs w:val="21"/>
        </w:rPr>
        <w:t xml:space="preserve">eworkconnections.org (“eWorkConnection — Career Studio”) turns out not to be an unrelated third party — it's a sibling product on the same root domain as this app's own deployment (keel.eworkconnections.org), built on the same technical lineage (Next.js/Vercel, with Supabase, Stripe, and Anthropic underneath). It already has exactly the ingredient KeelConnect is missing: a real candidate pool, with a “Talent Hire” recruiter workspace for candidate search, and a consent model (“recruiter visibility” is opt-in, off by default) that already handles the privacy question this integration would otherwise raise from scratch.</w:t>
      </w:r>
    </w:p>
    <w:tbl>
      <w:tblPr>
        <w:tblW w:type="pct" w:w="100%"/>
        <w:tblBorders>
          <w:top w:val="single" w:color="4F46E5" w:sz="4"/>
          <w:left w:val="single" w:color="4F46E5" w:sz="4"/>
          <w:bottom w:val="single" w:color="4F46E5" w:sz="4"/>
          <w:right w:val="single" w:color="4F46E5" w:sz="4"/>
          <w:insideH w:val="none" w:color="FFFFFF" w:sz="0"/>
          <w:insideV w:val="none" w:color="FFFFFF" w:sz="0"/>
        </w:tblBorders>
      </w:tblPr>
      <w:tblGrid>
        <w:gridCol w:w="100"/>
      </w:tblGrid>
      <w:tr>
        <w:tc>
          <w:tcPr>
            <w:shd w:fill="F1F5F9" w:val="clear"/>
            <w:tcMar>
              <w:top w:type="dxa" w:w="160"/>
              <w:left w:type="dxa" w:w="200"/>
              <w:bottom w:type="dxa" w:w="160"/>
              <w:right w:type="dxa" w:w="200"/>
            </w:tcMar>
          </w:tcPr>
          <w:p>
            <w:pPr>
              <w:spacing w:after="80"/>
            </w:pPr>
            <w:r>
              <w:rPr>
                <w:b/>
                <w:bCs/>
                <w:color w:val="0F172A"/>
                <w:sz w:val="21"/>
                <w:szCs w:val="21"/>
              </w:rPr>
              <w:t xml:space="preserve">Bottom line</w:t>
            </w:r>
          </w:p>
          <w:p>
            <w:pPr>
              <w:spacing w:after="60"/>
            </w:pPr>
            <w:r>
              <w:rPr>
                <w:color w:val="334155"/>
                <w:sz w:val="20"/>
                <w:szCs w:val="20"/>
              </w:rPr>
              <w:t xml:space="preserve">Yes, this is feasible — and it's the highest-leverage fix available for KeelConnect's #1 problem (no vendor discovery / liquidity). Being under common ownership makes the data-sharing conversation an internal product decision, not a partnership negotiation.</w:t>
            </w:r>
          </w:p>
        </w:tc>
      </w:tr>
    </w:tbl>
    <w:p>
      <w:pPr>
        <w:spacing w:after="120"/>
      </w:pPr>
    </w:p>
    <w:p>
      <w:pPr>
        <w:pStyle w:val="Heading2"/>
        <w:spacing w:after="150" w:before="300"/>
      </w:pPr>
      <w:r>
        <w:t xml:space="preserve">The shape of the integration</w:t>
      </w:r>
    </w:p>
    <w:p>
      <w:pPr>
        <w:spacing w:after="160"/>
      </w:pPr>
      <w:r>
        <w:rPr>
          <w:color w:val="334155"/>
          <w:sz w:val="21"/>
          <w:szCs w:val="21"/>
        </w:rPr>
        <w:t xml:space="preserve">KeelConnect's marketplace requires bids to come from a Vendor organization, not an individual — so an eWorkConnection candidate (an individual job seeker) can't bid directly. The bridge has to convert “matching person” into “invited vendor,” not pretend a person is already an org. Three phases, increasing in engineering cost and decreasing in manual effort:</w:t>
      </w:r>
    </w:p>
    <w:p>
      <w:pPr>
        <w:pStyle w:val="ListParagraph"/>
        <w:numPr>
          <w:ilvl w:val="0"/>
          <w:numId w:val="2"/>
        </w:numPr>
        <w:spacing w:after="90"/>
      </w:pPr>
      <w:r>
        <w:rPr>
          <w:b/>
          <w:bCs/>
          <w:color w:val="0F172A"/>
          <w:sz w:val="21"/>
          <w:szCs w:val="21"/>
        </w:rPr>
        <w:t xml:space="preserve">Phase 1 — Concierge sourcing (buildable this week, zero engineering): </w:t>
      </w:r>
      <w:r>
        <w:rPr>
          <w:color w:val="334155"/>
          <w:sz w:val="21"/>
          <w:szCs w:val="21"/>
        </w:rPr>
        <w:t xml:space="preserve">when a Client posts a Resource Request, someone on the Keel team searches eWorkConnection's existing recruiter/Talent Hire candidate search using the request's skills/duration, and personally invites matching, consenting candidates to register a solo Vendor org on KeelConnect and respond. This validates demand before any integration code is written.</w:t>
      </w:r>
    </w:p>
    <w:p>
      <w:pPr>
        <w:pStyle w:val="ListParagraph"/>
        <w:numPr>
          <w:ilvl w:val="0"/>
          <w:numId w:val="2"/>
        </w:numPr>
        <w:spacing w:after="90"/>
      </w:pPr>
      <w:r>
        <w:rPr>
          <w:b/>
          <w:bCs/>
          <w:color w:val="0F172A"/>
          <w:sz w:val="21"/>
          <w:szCs w:val="21"/>
        </w:rPr>
        <w:t xml:space="preserve">Phase 2 — “Suggested candidates” panel (a scoped internal API): </w:t>
      </w:r>
      <w:r>
        <w:rPr>
          <w:color w:val="334155"/>
          <w:sz w:val="21"/>
          <w:szCs w:val="21"/>
        </w:rPr>
        <w:t xml:space="preserve">eWorkConnection exposes a narrow, consent-respecting internal endpoint (e.g. search by skill keywords + location, returning only job seekers who've opted into recruiter visibility). KeelConnect calls it when a Resource Request is created and shows a “Suggested talent from eWorkConnection” panel next to the request, with a one-click “invite to bid” action that creates the solo Vendor org registration on the candidate's behalf (pending their acceptance).</w:t>
      </w:r>
    </w:p>
    <w:p>
      <w:pPr>
        <w:pStyle w:val="ListParagraph"/>
        <w:numPr>
          <w:ilvl w:val="0"/>
          <w:numId w:val="2"/>
        </w:numPr>
        <w:spacing w:after="90"/>
      </w:pPr>
      <w:r>
        <w:rPr>
          <w:b/>
          <w:bCs/>
          <w:color w:val="0F172A"/>
          <w:sz w:val="21"/>
          <w:szCs w:val="21"/>
        </w:rPr>
        <w:t xml:space="preserve">Phase 3 — Native cross-app identity: </w:t>
      </w:r>
      <w:r>
        <w:rPr>
          <w:color w:val="334155"/>
          <w:sz w:val="21"/>
          <w:szCs w:val="21"/>
        </w:rPr>
        <w:t xml:space="preserve">a person with an eWorkConnection profile can convert it into a KeelConnect Vendor profile in one step (shared résumé/skills/verification data instead of re-entering it), and a Vendor org can pull team members directly from eWorkConnection's talent pool when staffing an awarded engagement.</w:t>
      </w:r>
    </w:p>
    <w:p>
      <w:pPr>
        <w:pStyle w:val="Heading2"/>
        <w:spacing w:after="150" w:before="300"/>
      </w:pPr>
      <w:r>
        <w:t xml:space="preserve">What has to be true first</w:t>
      </w:r>
    </w:p>
    <w:p>
      <w:pPr>
        <w:pStyle w:val="ListParagraph"/>
        <w:numPr>
          <w:ilvl w:val="0"/>
          <w:numId w:val="2"/>
        </w:numPr>
        <w:spacing w:after="90"/>
      </w:pPr>
      <w:r>
        <w:rPr>
          <w:color w:val="334155"/>
          <w:sz w:val="21"/>
          <w:szCs w:val="21"/>
        </w:rPr>
        <w:t xml:space="preserve">The candidate must have explicitly opted into recruiter visibility on eWorkConnection — this integration should never bypass that consent flag, since it's the only thing standing between this and a privacy problem.</w:t>
      </w:r>
    </w:p>
    <w:p>
      <w:pPr>
        <w:pStyle w:val="ListParagraph"/>
        <w:numPr>
          <w:ilvl w:val="0"/>
          <w:numId w:val="2"/>
        </w:numPr>
        <w:spacing w:after="90"/>
      </w:pPr>
      <w:r>
        <w:rPr>
          <w:color w:val="334155"/>
          <w:sz w:val="21"/>
          <w:szCs w:val="21"/>
        </w:rPr>
        <w:t xml:space="preserve">An individual becoming a KeelConnect “Vendor org” needs a lightweight, honest UI treatment (a solo Vendor org with one member), not a fiction that a person is a company.</w:t>
      </w:r>
    </w:p>
    <w:p>
      <w:pPr>
        <w:pStyle w:val="ListParagraph"/>
        <w:numPr>
          <w:ilvl w:val="0"/>
          <w:numId w:val="2"/>
        </w:numPr>
        <w:spacing w:after="90"/>
      </w:pPr>
      <w:r>
        <w:rPr>
          <w:color w:val="334155"/>
          <w:sz w:val="21"/>
          <w:szCs w:val="21"/>
        </w:rPr>
        <w:t xml:space="preserve">Decide, deliberately, whether eWorkConnection candidates bid as independent contractors (Marketplace model) or are treated as Keel-sourced staffing (Mediator model, with Keel itself contracting the individual and re-billing the Client) — this is a legal/compliance decision as much as a product one, and should be made before Phase 2, not discovered after.</w:t>
      </w:r>
    </w:p>
    <w:p>
      <w:r>
        <w:br w:type="page"/>
      </w:r>
    </w:p>
    <w:p>
      <w:pPr>
        <w:pStyle w:val="Heading1"/>
        <w:spacing w:after="200" w:before="400"/>
      </w:pPr>
      <w:r>
        <w:t xml:space="preserve">8. Prioritized Next Steps</w:t>
      </w:r>
    </w:p>
    <w:p>
      <w:pPr>
        <w:pStyle w:val="Heading2"/>
        <w:spacing w:after="150" w:before="300"/>
      </w:pPr>
      <w:r>
        <w:t xml:space="preserve">Immediate (this month)</w:t>
      </w:r>
    </w:p>
    <w:p>
      <w:pPr>
        <w:pStyle w:val="ListParagraph"/>
        <w:numPr>
          <w:ilvl w:val="0"/>
          <w:numId w:val="2"/>
        </w:numPr>
        <w:spacing w:after="90"/>
      </w:pPr>
      <w:r>
        <w:rPr>
          <w:color w:val="334155"/>
          <w:sz w:val="21"/>
          <w:szCs w:val="21"/>
        </w:rPr>
        <w:t xml:space="preserve">Fix the portfolio dashboard's all-rows-in-JS query pattern before any sales demo with realistic data volume.</w:t>
      </w:r>
    </w:p>
    <w:p>
      <w:pPr>
        <w:pStyle w:val="ListParagraph"/>
        <w:numPr>
          <w:ilvl w:val="0"/>
          <w:numId w:val="2"/>
        </w:numPr>
        <w:spacing w:after="90"/>
      </w:pPr>
      <w:r>
        <w:rPr>
          <w:color w:val="334155"/>
          <w:sz w:val="21"/>
          <w:szCs w:val="21"/>
        </w:rPr>
        <w:t xml:space="preserve">Start Phase 1 eWorkConnection concierge sourcing on the next Resource Request posted — no code required, and it produces real signal fast.</w:t>
      </w:r>
    </w:p>
    <w:p>
      <w:pPr>
        <w:pStyle w:val="ListParagraph"/>
        <w:numPr>
          <w:ilvl w:val="0"/>
          <w:numId w:val="2"/>
        </w:numPr>
        <w:spacing w:after="90"/>
      </w:pPr>
      <w:r>
        <w:rPr>
          <w:color w:val="334155"/>
          <w:sz w:val="21"/>
          <w:szCs w:val="21"/>
        </w:rPr>
        <w:t xml:space="preserve">Decide the Marketplace-vs-Mediator legal treatment for eWorkConnection-sourced individuals before Phase 2 gets built.</w:t>
      </w:r>
    </w:p>
    <w:p>
      <w:pPr>
        <w:pStyle w:val="Heading2"/>
        <w:spacing w:after="150" w:before="300"/>
      </w:pPr>
      <w:r>
        <w:t xml:space="preserve">Next (this quarter)</w:t>
      </w:r>
    </w:p>
    <w:p>
      <w:pPr>
        <w:pStyle w:val="ListParagraph"/>
        <w:numPr>
          <w:ilvl w:val="0"/>
          <w:numId w:val="2"/>
        </w:numPr>
        <w:spacing w:after="90"/>
      </w:pPr>
      <w:r>
        <w:rPr>
          <w:color w:val="334155"/>
          <w:sz w:val="21"/>
          <w:szCs w:val="21"/>
        </w:rPr>
        <w:t xml:space="preserve">Deliver: task dependencies + a basic Gantt view; comments + @mentions + notifications.</w:t>
      </w:r>
    </w:p>
    <w:p>
      <w:pPr>
        <w:pStyle w:val="ListParagraph"/>
        <w:numPr>
          <w:ilvl w:val="0"/>
          <w:numId w:val="2"/>
        </w:numPr>
        <w:spacing w:after="90"/>
      </w:pPr>
      <w:r>
        <w:rPr>
          <w:color w:val="334155"/>
          <w:sz w:val="21"/>
          <w:szCs w:val="21"/>
        </w:rPr>
        <w:t xml:space="preserve">KeelConnect: vendor discovery/search, public vendor profile, logged-out postings page.</w:t>
      </w:r>
    </w:p>
    <w:p>
      <w:pPr>
        <w:pStyle w:val="ListParagraph"/>
        <w:numPr>
          <w:ilvl w:val="0"/>
          <w:numId w:val="2"/>
        </w:numPr>
        <w:spacing w:after="90"/>
      </w:pPr>
      <w:r>
        <w:rPr>
          <w:color w:val="334155"/>
          <w:sz w:val="21"/>
          <w:szCs w:val="21"/>
        </w:rPr>
        <w:t xml:space="preserve">KeelConnect: wire a real payment rail (Stripe Connect or equivalent) before any non-concierge external Client is asked to fund a milestone.</w:t>
      </w:r>
    </w:p>
    <w:p>
      <w:pPr>
        <w:pStyle w:val="Heading2"/>
        <w:spacing w:after="150" w:before="300"/>
      </w:pPr>
      <w:r>
        <w:t xml:space="preserve">Later</w:t>
      </w:r>
    </w:p>
    <w:p>
      <w:pPr>
        <w:pStyle w:val="ListParagraph"/>
        <w:numPr>
          <w:ilvl w:val="0"/>
          <w:numId w:val="2"/>
        </w:numPr>
        <w:spacing w:after="90"/>
      </w:pPr>
      <w:r>
        <w:rPr>
          <w:color w:val="334155"/>
          <w:sz w:val="21"/>
          <w:szCs w:val="21"/>
        </w:rPr>
        <w:t xml:space="preserve">Deliver: automation rules engine, Slack/calendar integration, project templates.</w:t>
      </w:r>
    </w:p>
    <w:p>
      <w:pPr>
        <w:pStyle w:val="ListParagraph"/>
        <w:numPr>
          <w:ilvl w:val="0"/>
          <w:numId w:val="2"/>
        </w:numPr>
        <w:spacing w:after="90"/>
      </w:pPr>
      <w:r>
        <w:rPr>
          <w:color w:val="334155"/>
          <w:sz w:val="21"/>
          <w:szCs w:val="21"/>
        </w:rPr>
        <w:t xml:space="preserve">KeelConnect: Phase 2/3 eWorkConnection talent integration; Client/Platform analytics dashboards.</w:t>
      </w:r>
    </w:p>
    <w:p>
      <w:pPr>
        <w:pStyle w:val="ListParagraph"/>
        <w:numPr>
          <w:ilvl w:val="0"/>
          <w:numId w:val="2"/>
        </w:numPr>
        <w:spacing w:after="90"/>
      </w:pPr>
      <w:r>
        <w:rPr>
          <w:color w:val="334155"/>
          <w:sz w:val="21"/>
          <w:szCs w:val="21"/>
        </w:rPr>
        <w:t xml:space="preserve">Cross-product: two-way Deliver↔KeelConnect milestone/status mirroring.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F46E5" w:sz="6" w:space="4"/>
      </w:pBdr>
      <w:spacing w:after="200" w:before="360"/>
    </w:pPr>
    <w:rPr>
      <w:rFonts w:ascii="Calibri" w:cs="Calibri" w:eastAsia="Calibri" w:hAnsi="Calibri"/>
      <w:b/>
      <w:bCs/>
      <w:color w:val="0F172A"/>
      <w:sz w:val="32"/>
      <w:szCs w:val="32"/>
    </w:rPr>
  </w:style>
  <w:style w:type="paragraph" w:styleId="Heading2">
    <w:name w:val="Heading 2"/>
    <w:basedOn w:val="Normal"/>
    <w:next w:val="Normal"/>
    <w:qFormat/>
    <w:pPr>
      <w:spacing w:after="140" w:before="280"/>
    </w:pPr>
    <w:rPr>
      <w:rFonts w:ascii="Calibri" w:cs="Calibri" w:eastAsia="Calibri" w:hAnsi="Calibri"/>
      <w:b/>
      <w:bCs/>
      <w:color w:val="0F172A"/>
      <w:sz w:val="25"/>
      <w:szCs w:val="25"/>
    </w:rPr>
  </w:style>
  <w:style w:type="paragraph" w:styleId="Heading3">
    <w:name w:val="Heading 3"/>
    <w:basedOn w:val="Normal"/>
    <w:next w:val="Normal"/>
    <w:qFormat/>
    <w:pPr>
      <w:spacing w:after="100" w:before="220"/>
    </w:pPr>
    <w:rPr>
      <w:rFonts w:ascii="Calibri" w:cs="Calibri" w:eastAsia="Calibri" w:hAnsi="Calibri"/>
      <w:b/>
      <w:bCs/>
      <w:color w:val="4F46E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2026-07-22T14:11:16.623Z</dcterms:created>
  <dcterms:modified xsi:type="dcterms:W3CDTF">2026-07-22T14:11:16.630Z</dcterms:modified>
</cp:coreProperties>
</file>

<file path=docProps/custom.xml><?xml version="1.0" encoding="utf-8"?>
<Properties xmlns="http://schemas.openxmlformats.org/officeDocument/2006/custom-properties" xmlns:vt="http://schemas.openxmlformats.org/officeDocument/2006/docPropsVTypes"/>
</file>