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Georgia" w:hAnsi="Georgia" w:eastAsia="Georgia" w:ascii="Georgia"/>
          <w:b w:val="1"/>
          <w:color w:val="ff0000"/>
          <w:sz w:val="24"/>
          <w:rtl w:val="0"/>
        </w:rPr>
        <w:t xml:space="preserve">Employee`s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всех существующих сотрудников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сотрудников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сотрудника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сотрудника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сотрудника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сотрудника из системы.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сотрудника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редактировать данные существующего сотрудника.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сведений о зарплатах сотрудников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общую сумму для выплаты всем сотрудникам предприятия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среднюю зарплату сотрудника по предприятию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максимальную и минимальную зарплату сотрудника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Поиск 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вводит фамилию , система возвращает список сотрудников с данной фамилией.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уровню зарплаты: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уровню зарплаты (ASC)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дате рождения: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дате рождения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имени и фамилии: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имени и фамилии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Создание департамента: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новый департамент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департамента: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отредактировать название существующего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департамента: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департамент из системы.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сотрудников в департамент: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добавлять сотрудников в конкретный департамент.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сотрудников из департамента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удалять сотрудников из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количеству сотрудников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количеству сотрудников в данном департаменте(ASC)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затратам на зарплату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сумме выплат на зарплату всем сотрудникам данного департамента 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сотрудников конкретного департамента и их количества: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выбирает название департамента. Система возвращает пользователю список сотрудников данного департамента и их количество.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всех существующих департаментов: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в системе департаментов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Перевод сотрудника из одного департамента - в другой: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перевести сотрудника из одного департамента в другой.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департаментов, в которых числится сотрудник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может посмотреть список всех департаментов закрепленных за сотрудником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use cases.docx</dc:title>
</cp:coreProperties>
</file>