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3CB4C377" w14:textId="5FC68465"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22D4FB2E" w14:textId="09E96DD5" w:rsidR="109E7504" w:rsidRDefault="0A8A2E98" w:rsidP="78773EE0">
      <w:pPr>
        <w:spacing w:after="0"/>
        <w:jc w:val="both"/>
        <w:rPr>
          <w:rFonts w:ascii="Times New Roman" w:eastAsia="Times New Roman" w:hAnsi="Times New Roman" w:cs="Times New Roman"/>
          <w:color w:val="000000" w:themeColor="text1"/>
        </w:rPr>
      </w:pPr>
      <w:r>
        <w:rPr>
          <w:rFonts w:ascii="Times New Roman" w:hAnsi="Times New Roman"/>
          <w:b/>
        </w:rPr>
        <w:t xml:space="preserve">Team members: </w:t>
      </w:r>
      <w:r>
        <w:rPr>
          <w:rFonts w:ascii="Times New Roman" w:hAnsi="Times New Roman"/>
        </w:rPr>
        <w:t>Ibrahim Melhem</w:t>
      </w:r>
      <w:r>
        <w:br/>
      </w:r>
      <w:r>
        <w:rPr>
          <w:rFonts w:ascii="Times New Roman" w:hAnsi="Times New Roman"/>
          <w:b/>
        </w:rPr>
        <w:t xml:space="preserve">Contact details: </w:t>
      </w:r>
      <w:r>
        <w:rPr>
          <w:rFonts w:ascii="Times New Roman" w:hAnsi="Times New Roman"/>
        </w:rPr>
        <w:t>ibrahimmelhem2005@gmail.com</w:t>
      </w:r>
    </w:p>
    <w:p w14:paraId="2CEE87C7" w14:textId="456B525D"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670EBFDA" w14:textId="1ACCF6D8"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pPr>
        <w:spacing w:after="60" w:before="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the loaded clause set: reviewed clauses quoted verbatim from UAE (in English translation), international and foreign documents, and two illustrative scenario rules. It is decision support, not legal interpretation: every diagnosed failure is a candidate gap for expert review, not a confirmed legal or standards gap. The scenario is hypothetical and all data is synthetic.</w:t>
      </w:r>
    </w:p>
    <w:p w14:paraId="5C97044B" w14:textId="651C385A"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pPr>
        <w:spacing w:after="60" w:before="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pPr>
        <w:spacing w:after="60" w:before="0"/>
      </w:pPr>
      <w:r>
        <w:rPr>
          <w:rFonts w:ascii="Times New Roman" w:hAnsi="Times New Roman"/>
          <w:b/>
          <w:sz w:val="21"/>
        </w:rPr>
        <w:t>Gaps in existing approaches.</w:t>
      </w:r>
      <w:r>
        <w:rPr>
          <w:rFonts w:ascii="Times New Roman" w:hAnsi="Times New Roman"/>
          <w:sz w:val="21"/>
        </w:rPr>
        <w:t xml:space="preserve"> The incident crosses two AI systems in two sectors, so a review of either organisation alone sees only half of it. In this hypothetical scenario the health operator needs the network status, but the scenario places it outside the operator's information boundary; no clause in the loaded clause set authorises that share, assigns an owner for reversing the automated lockouts, or triggers a review of the automated lockouts (which may stem from another organisation's AI error). Each is a candidate gap for expert review, not a confirmed legal or standards gap.</w:t>
      </w:r>
    </w:p>
    <w:p>
      <w:pPr>
        <w:spacing w:after="60" w:before="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15342D17" w14:textId="3BD60088"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pPr>
        <w:spacing w:after="60" w:before="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names its holder and each inject its recipients; synthetic data only.</w:t>
      </w:r>
    </w:p>
    <w:p>
      <w:pPr>
        <w:spacing w:after="60" w:before="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(scenario data), at the inject that releases them.</w:t>
      </w:r>
    </w:p>
    <w:p>
      <w:pPr>
        <w:spacing w:after="60" w:before="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pPr>
        <w:spacing w:after="60" w:before="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pPr>
        <w:spacing w:after="60" w:before="0"/>
        <w:ind w:left="283" w:hanging="170"/>
      </w:pPr>
      <w:r>
        <w:rPr>
          <w:rFonts w:ascii="Times New Roman" w:hAnsi="Times New Roman"/>
          <w:sz w:val="21"/>
        </w:rPr>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(loaded clause IDs only: reviewed or illustrative, never draft) and the clauses' authority, prohibitions and safeguards. A suspected legal gap counts only as a cited, qualified claim.</w:t>
      </w:r>
    </w:p>
    <w:p>
      <w:pPr>
        <w:spacing w:after="60" w:before="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pPr>
        <w:spacing w:after="60" w:before="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pPr>
        <w:spacing w:after="60" w:before="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7C572FF3" w14:textId="10C293CF"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pPr>
        <w:spacing w:after="60" w:before="0"/>
      </w:pPr>
      <w:r>
        <w:rPr>
          <w:rFonts w:ascii="Times New Roman" w:hAnsi="Times New Roman"/>
          <w:sz w:val="21"/>
        </w:rPr>
        <w:t>Y.3172 is used as an architecture pattern for an institutional decision pipeline; CascadeGuard does not deploy ML models into a network. Four of the five Readiness 2.0 dimensions the submission audit supports are claimed (AI for Inclusion, partial, is not).</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Node</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CascadeGuard element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Readiness 2.0 dimension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Policy documents / clause IDs</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SRC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Scenario injects and facts, T+00 to T+75 (synthetic)</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(synthetic scenario)</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(information boundaries are scenario data)</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Boundary filtering and role-scoped clause retrieval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w:t>
            </w:r>
            <w:r>
              <w:rPr>
                <w:rFonts w:ascii="Consolas" w:hAnsi="Consolas"/>
                <w:sz w:val="15"/>
              </w:rPr>
              <w:t>dha.pp11.applicability</w:t>
            </w:r>
            <w:r>
              <w:rPr>
                <w:rFonts w:ascii="Times New Roman" w:hAnsi="Times New Roman"/>
                <w:sz w:val="17"/>
              </w:rPr>
              <w:t xml:space="preserve"> (binding unknown): working reading of the applicable regime, not a legal conclusion</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(not binding; context for suspending the traffic model)</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(prohibitions as interpreted, art16 conditional; binding, English translation); </w:t>
            </w:r>
            <w:r>
              <w:rPr>
                <w:rFonts w:ascii="Consolas" w:hAnsi="Consolas"/>
                <w:sz w:val="15"/>
              </w:rPr>
              <w:t>uae.fl2-2019.art6</w:t>
            </w:r>
            <w:r>
              <w:rPr>
                <w:rFonts w:ascii="Times New Roman" w:hAnsi="Times New Roman"/>
                <w:sz w:val="17"/>
              </w:rPr>
              <w:t xml:space="preserve">; </w:t>
            </w: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(binding unknown); </w:t>
            </w:r>
            <w:r>
              <w:rPr>
                <w:rFonts w:ascii="Consolas" w:hAnsi="Consolas"/>
                <w:sz w:val="15"/>
              </w:rPr>
              <w:t>uae.ai-charter.human-oversight</w:t>
            </w:r>
            <w:r>
              <w:rPr>
                <w:rFonts w:ascii="Times New Roman" w:hAnsi="Times New Roman"/>
                <w:sz w:val="17"/>
              </w:rPr>
              <w:t xml:space="preserve"> (not binding);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r>
              <w:rPr>
                <w:rFonts w:ascii="Times New Roman" w:hAnsi="Times New Roman"/>
                <w:sz w:val="17"/>
              </w:rPr>
              <w:t xml:space="preserve"> (illustrative, synthetic)</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D</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(illustrative, synthetic); </w:t>
            </w:r>
            <w:r>
              <w:rPr>
                <w:rFonts w:ascii="Consolas" w:hAnsi="Consolas"/>
                <w:sz w:val="15"/>
              </w:rPr>
              <w:t>dha.pp11.4-18-4</w:t>
            </w:r>
            <w:r>
              <w:rPr>
                <w:rFonts w:ascii="Times New Roman" w:hAnsi="Times New Roman"/>
                <w:sz w:val="17"/>
              </w:rPr>
              <w:t xml:space="preserve"> (binding unknown)</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SINK</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xml:space="preserve">Reviewed example mapping (not binding): </w:t>
            </w:r>
            <w:r>
              <w:rPr>
                <w:rFonts w:ascii="Consolas" w:hAnsi="Consolas"/>
                <w:sz w:val="15"/>
              </w:rPr>
              <w:t>oecd.ai-principles.accountability-cooperation</w:t>
            </w:r>
            <w:r>
              <w:rPr>
                <w:rFonts w:ascii="Times New Roman" w:hAnsi="Times New Roman"/>
                <w:sz w:val="17"/>
              </w:rPr>
              <w:t xml:space="preserve">, </w:t>
            </w:r>
            <w:r>
              <w:rPr>
                <w:rFonts w:ascii="Consolas" w:hAnsi="Consolas"/>
                <w:sz w:val="15"/>
              </w:rPr>
              <w:t>oecd.ai-principles.robustness-override</w:t>
            </w:r>
            <w:r>
              <w:rPr>
                <w:rFonts w:ascii="Times New Roman" w:hAnsi="Times New Roman"/>
                <w:sz w:val="17"/>
              </w:rPr>
              <w:t xml:space="preserve">, </w:t>
            </w:r>
            <w:r>
              <w:rPr>
                <w:rFonts w:ascii="Consolas" w:hAnsi="Consolas"/>
                <w:sz w:val="15"/>
              </w:rPr>
              <w:t>unesco.ai-ethics.review-and-correct</w:t>
            </w:r>
            <w:r>
              <w:rPr>
                <w:rFonts w:ascii="Times New Roman" w:hAnsi="Times New Roman"/>
                <w:sz w:val="17"/>
              </w:rPr>
              <w:t xml:space="preserve">, </w:t>
            </w:r>
            <w:r>
              <w:rPr>
                <w:rFonts w:ascii="Consolas" w:hAnsi="Consolas"/>
                <w:sz w:val="15"/>
              </w:rPr>
              <w:t>unesco.ai-ethics.human-oversight</w:t>
            </w:r>
            <w:r>
              <w:rPr>
                <w:rFonts w:ascii="Times New Roman" w:hAnsi="Times New Roman"/>
                <w:sz w:val="17"/>
              </w:rPr>
              <w:t xml:space="preserve">, </w:t>
            </w:r>
            <w:r>
              <w:rPr>
                <w:rFonts w:ascii="Consolas" w:hAnsi="Consolas"/>
                <w:sz w:val="15"/>
              </w:rPr>
              <w:t>uae.ai-charter.human-oversight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MLFO</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Orchestrator and repair search over the closed grammar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Sandbox</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Replay of the identical incident with a candidate repair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(repair edits are hypothetical rules, not source clauses)</w:t>
            </w:r>
          </w:p>
        </w:tc>
      </w:tr>
    </w:tbl>
    <w:p>
      <w:pPr>
        <w:spacing w:after="60" w:before="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75A0750C" w14:textId="02951926"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pPr>
        <w:spacing w:after="60" w:before="0"/>
      </w:pPr>
      <w:r>
        <w:rPr>
          <w:rFonts w:ascii="Times New Roman" w:hAnsi="Times New Roman"/>
          <w:b/>
          <w:sz w:val="21"/>
        </w:rPr>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type="auto" w:w="0"/>
        <w:tblLook w:firstColumn="1" w:firstRow="1" w:lastColumn="0" w:lastRow="0" w:noHBand="0" w:noVBand="1" w:val="04A0"/>
      </w:tblPr>
      <w:tblGrid>
        <w:gridCol w:w="2340"/>
        <w:gridCol w:w="2340"/>
        <w:gridCol w:w="2340"/>
        <w:gridCol w:w="2340"/>
      </w:tblGrid>
      <w:tr>
        <w:tc>
          <w:tcPr>
            <w:tcW w:type="dxa" w:w="2340"/>
          </w:tcPr>
          <w:p>
            <w:pPr>
              <w:spacing w:after="0"/>
            </w:pPr>
            <w:r>
              <w:rPr>
                <w:rFonts w:ascii="Times New Roman" w:hAnsi="Times New Roman"/>
                <w:sz w:val="17"/>
              </w:rPr>
              <w:t>Run (scripted agents)</w:t>
            </w:r>
          </w:p>
        </w:tc>
        <w:tc>
          <w:tcPr>
            <w:tcW w:type="dxa" w:w="2340"/>
          </w:tcPr>
          <w:p>
            <w:pPr>
              <w:spacing w:after="0"/>
            </w:pPr>
            <w:r>
              <w:rPr>
                <w:rFonts w:ascii="Consolas" w:hAnsi="Consolas"/>
                <w:sz w:val="15"/>
              </w:rPr>
              <w:t>patient_access_restored</w:t>
            </w:r>
          </w:p>
        </w:tc>
        <w:tc>
          <w:tcPr>
            <w:tcW w:type="dxa" w:w="2340"/>
          </w:tcPr>
          <w:p>
            <w:pPr>
              <w:spacing w:after="0"/>
            </w:pPr>
            <w:r>
              <w:rPr>
                <w:rFonts w:ascii="Consolas" w:hAnsi="Consolas"/>
                <w:sz w:val="15"/>
              </w:rPr>
              <w:t>alert_cause_known_to_health</w:t>
            </w:r>
          </w:p>
        </w:tc>
        <w:tc>
          <w:tcPr>
            <w:tcW w:type="dxa" w:w="2340"/>
          </w:tcPr>
          <w:p>
            <w:pPr>
              <w:spacing w:after="0"/>
            </w:pPr>
            <w:r>
              <w:rPr>
                <w:rFonts w:ascii="Times New Roman" w:hAnsi="Times New Roman"/>
                <w:sz w:val="17"/>
              </w:rPr>
              <w:t>Failures</w:t>
            </w:r>
          </w:p>
        </w:tc>
      </w:tr>
      <w:tr>
        <w:tc>
          <w:tcPr>
            <w:tcW w:type="dxa" w:w="2340"/>
          </w:tcPr>
          <w:p>
            <w:pPr>
              <w:spacing w:after="0"/>
            </w:pPr>
            <w:r>
              <w:rPr>
                <w:rFonts w:ascii="Times New Roman" w:hAnsi="Times New Roman"/>
                <w:sz w:val="17"/>
              </w:rPr>
              <w:t>Governed</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4</w:t>
            </w:r>
          </w:p>
        </w:tc>
      </w:tr>
      <w:tr>
        <w:tc>
          <w:tcPr>
            <w:tcW w:type="dxa" w:w="2340"/>
          </w:tcPr>
          <w:p>
            <w:pPr>
              <w:spacing w:after="0"/>
            </w:pPr>
            <w:r>
              <w:rPr>
                <w:rFonts w:ascii="Times New Roman" w:hAnsi="Times New Roman"/>
                <w:sz w:val="17"/>
              </w:rPr>
              <w:t>Ungoverned (comparison mode, never the result)</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1; 3 masked, cause still present</w:t>
            </w:r>
          </w:p>
        </w:tc>
      </w:tr>
      <w:tr>
        <w:tc>
          <w:tcPr>
            <w:tcW w:type="dxa" w:w="2340"/>
          </w:tcPr>
          <w:p>
            <w:pPr>
              <w:spacing w:after="0"/>
            </w:pPr>
            <w:r>
              <w:rPr>
                <w:rFonts w:ascii="Times New Roman" w:hAnsi="Times New Roman"/>
                <w:sz w:val="17"/>
              </w:rPr>
              <w:t>Governed + rank-1 repair</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met at T+30</w:t>
            </w:r>
          </w:p>
        </w:tc>
        <w:tc>
          <w:tcPr>
            <w:tcW w:type="dxa" w:w="2340"/>
          </w:tcPr>
          <w:p>
            <w:pPr>
              <w:spacing w:after="0"/>
            </w:pPr>
            <w:r>
              <w:rPr>
                <w:rFonts w:ascii="Times New Roman" w:hAnsi="Times New Roman"/>
                <w:sz w:val="17"/>
              </w:rPr>
              <w:t>2 removed; 2 masked, cause still present</w:t>
            </w:r>
          </w:p>
        </w:tc>
      </w:tr>
    </w:tbl>
    <w:p>
      <w:pPr>
        <w:spacing w:after="60" w:before="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(missing_information, no_authority), </w:t>
      </w:r>
      <w:r>
        <w:rPr>
          <w:rFonts w:ascii="Consolas" w:hAnsi="Consolas"/>
          <w:sz w:val="19"/>
        </w:rPr>
        <w:t>activate_fallback_channel</w:t>
      </w:r>
      <w:r>
        <w:rPr>
          <w:rFonts w:ascii="Times New Roman" w:hAnsi="Times New Roman"/>
          <w:sz w:val="21"/>
        </w:rPr>
        <w:t xml:space="preserve"> (authority_uncertain) and </w:t>
      </w:r>
      <w:r>
        <w:rPr>
          <w:rFonts w:ascii="Consolas" w:hAnsi="Consolas"/>
          <w:sz w:val="19"/>
        </w:rPr>
        <w:t>issue_determination</w:t>
      </w:r>
      <w:r>
        <w:rPr>
          <w:rFonts w:ascii="Times New Roman" w:hAnsi="Times New Roman"/>
          <w:sz w:val="21"/>
        </w:rPr>
        <w:t xml:space="preserve"> (authority_uncertain).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pPr>
        <w:spacing w:after="60" w:before="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pPr>
        <w:spacing w:after="60" w:before="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and </w:t>
      </w:r>
      <w:r>
        <w:rPr>
          <w:rFonts w:ascii="Consolas" w:hAnsi="Consolas"/>
          <w:sz w:val="19"/>
        </w:rPr>
        <w:t>patient_access_restored</w:t>
      </w:r>
      <w:r>
        <w:rPr>
          <w:rFonts w:ascii="Times New Roman" w:hAnsi="Times New Roman"/>
          <w:sz w:val="21"/>
        </w:rPr>
        <w:t xml:space="preserve"> stays unmet. In the ungoverned live run it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(authority_uncertain: </w:t>
      </w:r>
      <w:r>
        <w:rPr>
          <w:rFonts w:ascii="Consolas" w:hAnsi="Consolas"/>
          <w:sz w:val="19"/>
        </w:rPr>
        <w:t>dha.pp11.4-18-1</w:t>
      </w:r>
      <w:r>
        <w:rPr>
          <w:rFonts w:ascii="Times New Roman" w:hAnsi="Times New Roman"/>
          <w:sz w:val="21"/>
        </w:rPr>
        <w:t>, binding unknown; at T+15, T+60 and T+75). No live repair was run.</w:t>
      </w:r>
    </w:p>
    <w:p>
      <w:pPr>
        <w:spacing w:after="60" w:before="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with the same scripted decisions: here governance with the repair costs no time, and only the repair run also meets </w:t>
      </w:r>
      <w:r>
        <w:rPr>
          <w:rFonts w:ascii="Consolas" w:hAnsi="Consolas"/>
          <w:sz w:val="19"/>
        </w:rPr>
        <w:t>alert_cause_known_to_health</w:t>
      </w:r>
      <w:r>
        <w:rPr>
          <w:rFonts w:ascii="Times New Roman" w:hAnsi="Times New Roman"/>
          <w:sz w:val="21"/>
        </w:rPr>
        <w:t xml:space="preserve">. With live agents, </w:t>
      </w:r>
      <w:r>
        <w:rPr>
          <w:rFonts w:ascii="Consolas" w:hAnsi="Consolas"/>
          <w:sz w:val="19"/>
        </w:rPr>
        <w:t>patient_access_restored</w:t>
      </w:r>
      <w:r>
        <w:rPr>
          <w:rFonts w:ascii="Times New Roman" w:hAnsi="Times New Roman"/>
          <w:sz w:val="21"/>
        </w:rPr>
        <w:t xml:space="preserve"> is met at T+15 in the ungoverned run and unmet in the governed run; no live repair was run, so there is no live repair result to set against T+15, and scripted and live numbers are not compared. CascadeGuard's answer: the live speed came from </w:t>
      </w:r>
      <w:r>
        <w:rPr>
          <w:rFonts w:ascii="Consolas" w:hAnsi="Consolas"/>
          <w:sz w:val="19"/>
        </w:rPr>
        <w:t>activate_fallback_channel</w:t>
      </w:r>
      <w:r>
        <w:rPr>
          <w:rFonts w:ascii="Times New Roman" w:hAnsi="Times New Roman"/>
          <w:sz w:val="21"/>
        </w:rPr>
        <w:t xml:space="preserve"> applied without the authority the governed engine requires. The engine makes that visible as a diagnosed orphan duty (</w:t>
      </w:r>
      <w:r>
        <w:rPr>
          <w:rFonts w:ascii="Consolas" w:hAnsi="Consolas"/>
          <w:sz w:val="19"/>
        </w:rPr>
        <w:t>orphan_duty:activate_fallback_channel</w:t>
      </w:r>
      <w:r>
        <w:rPr>
          <w:rFonts w:ascii="Times New Roman" w:hAnsi="Times New Roman"/>
          <w:sz w:val="21"/>
        </w:rPr>
        <w:t>) and, with scripted agents (not tested with live agents), proposes a repair that restores access with the checks in force; that repair needs human and institutional approval, and two of its blockers remain masked, cause still present.</w:t>
      </w:r>
    </w:p>
    <w:p w14:paraId="0E1E4AA8" w14:textId="0E0EF499"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pPr>
        <w:spacing w:after="60" w:before="0"/>
      </w:pPr>
      <w:r>
        <w:rPr>
          <w:rFonts w:ascii="Times New Roman" w:hAnsi="Times New Roman"/>
          <w:sz w:val="21"/>
        </w:rPr>
        <w:t>Each item is a candidate gap for expert review, not a confirmed legal or standards gap. Examples are from the reviewed mapping (gate 7, 2026-10-31); international and foreign texts are not binding. Repairs are hypothetical rules, not source clauses, tested with scripted agents; each needs human and institutional approval.</w:t>
      </w:r>
    </w:p>
    <w:p>
      <w:pPr>
        <w:spacing w:after="60" w:before="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 to determine.</w:t>
      </w:r>
    </w:p>
    <w:p>
      <w:pPr>
        <w:spacing w:after="60" w:before="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the authorities to determine.</w:t>
      </w:r>
    </w:p>
    <w:p>
      <w:pPr>
        <w:spacing w:after="60" w:before="0"/>
      </w:pPr>
      <w:r>
        <w:rPr>
          <w:rFonts w:ascii="Times New Roman" w:hAnsi="Times New Roman"/>
          <w:sz w:val="21"/>
        </w:rPr>
        <w:t>The two masked items are the candidate gaps the rank-1 repair leaves open: in the scripted replay the incident resolves without settling who may activate a fallback channel or what triggers a review of an automated lockout. Both need expert review.</w:t>
      </w:r>
    </w:p>
    <w:p>
      <w:pPr>
        <w:spacing w:after="60" w:before="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GM of AI</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