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3CB4C377" w14:textId="5FC68465"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22D4FB2E" w14:textId="09E96DD5" w:rsidR="109E7504" w:rsidRDefault="0A8A2E98" w:rsidP="78773EE0">
      <w:pPr>
        <w:spacing w:after="0"/>
        <w:jc w:val="both"/>
        <w:rPr>
          <w:rFonts w:ascii="Times New Roman" w:eastAsia="Times New Roman" w:hAnsi="Times New Roman" w:cs="Times New Roman"/>
          <w:color w:val="000000" w:themeColor="text1"/>
        </w:rPr>
      </w:pPr>
      <w:r>
        <w:rPr>
          <w:rFonts w:ascii="Times New Roman" w:hAnsi="Times New Roman"/>
          <w:b/>
        </w:rPr>
        <w:t xml:space="preserve">Team members: </w:t>
      </w:r>
      <w:r>
        <w:rPr>
          <w:rFonts w:ascii="Times New Roman" w:hAnsi="Times New Roman"/>
        </w:rPr>
        <w:t>Ibrahim Melhem</w:t>
      </w:r>
      <w:r>
        <w:br/>
      </w:r>
      <w:r>
        <w:rPr>
          <w:rFonts w:ascii="Times New Roman" w:hAnsi="Times New Roman"/>
          <w:b/>
        </w:rPr>
        <w:t xml:space="preserve">Contact details: </w:t>
      </w:r>
      <w:r>
        <w:rPr>
          <w:rFonts w:ascii="Times New Roman" w:hAnsi="Times New Roman"/>
        </w:rPr>
        <w:t>ibrahimmelhem2005@gmail.com</w:t>
      </w:r>
    </w:p>
    <w:p w14:paraId="2CEE87C7" w14:textId="456B525D"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670EBFDA" w14:textId="1ACCF6D8"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pPr>
        <w:spacing w:after="60" w:before="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reviewed clauses quoted verbatim from UAE and international documents. It is decision support, not legal interpretation: every diagnosed failure is a candidate gap for expert review, not a confirmed legal or standards gap. The scenario is hypothetical and all data is synthetic.</w:t>
      </w:r>
    </w:p>
    <w:p w14:paraId="5C97044B" w14:textId="651C385A"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pPr>
        <w:spacing w:after="60" w:before="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pPr>
        <w:spacing w:after="60" w:before="0"/>
      </w:pPr>
      <w:r>
        <w:rPr>
          <w:rFonts w:ascii="Times New Roman" w:hAnsi="Times New Roman"/>
          <w:b/>
          <w:sz w:val="21"/>
        </w:rPr>
        <w:t>Gaps in existing approaches.</w:t>
      </w:r>
      <w:r>
        <w:rPr>
          <w:rFonts w:ascii="Times New Roman" w:hAnsi="Times New Roman"/>
          <w:sz w:val="21"/>
        </w:rPr>
        <w:t xml:space="preserve"> Reviewing one organisation or one AI system at a time cannot explain this incident: the harm comes from two AI systems in two sectors, and from rules that do not connect them: the health operator needs the network status but it lies outside its information boundary; no role is found responsible for reversing the automated lockouts; nothing triggers a review of an AI alert that may be another organisation's AI error.</w:t>
      </w:r>
    </w:p>
    <w:p>
      <w:pPr>
        <w:spacing w:after="60" w:before="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15342D17" w14:textId="3BD60088"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pPr>
        <w:spacing w:after="60" w:before="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naming its holder and recipients; synthetic data only.</w:t>
      </w:r>
    </w:p>
    <w:p>
      <w:pPr>
        <w:spacing w:after="60" w:before="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at the inject that releases them.</w:t>
      </w:r>
    </w:p>
    <w:p>
      <w:pPr>
        <w:spacing w:after="60" w:before="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pPr>
        <w:spacing w:after="60" w:before="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pPr>
        <w:spacing w:after="60" w:before="0"/>
        <w:ind w:left="283" w:hanging="170"/>
      </w:pPr>
      <w:r>
        <w:rPr>
          <w:rFonts w:ascii="Times New Roman" w:hAnsi="Times New Roman"/>
          <w:sz w:val="21"/>
        </w:rPr>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(reviewed clause IDs only) and the clauses' authority, prohibitions and safeguards. A suspected legal gap counts only as a cited, qualified claim.</w:t>
      </w:r>
    </w:p>
    <w:p>
      <w:pPr>
        <w:spacing w:after="60" w:before="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pPr>
        <w:spacing w:after="60" w:before="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pPr>
        <w:spacing w:after="60" w:before="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7C572FF3" w14:textId="10C293CF"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pPr>
        <w:spacing w:after="60" w:before="0"/>
      </w:pPr>
      <w:r>
        <w:rPr>
          <w:rFonts w:ascii="Times New Roman" w:hAnsi="Times New Roman"/>
          <w:sz w:val="21"/>
        </w:rPr>
        <w:t>Y.3172 is used as an architecture pattern for an institutional decision pipeline; CascadeGuard does not deploy ML models into a network. Only the four Readiness 2.0 dimensions the submission audit supports are claimed.</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Node</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CascadeGuard element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Readiness 2.0 dimension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Policy documents / clause IDs</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SRC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Scenario injects and facts, T+00 to T+75 (synthetic)</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(synthetic scenario)</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(restrictions on sharing health data)</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Boundary filtering and role-scoped clause retrieval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w:t>
            </w:r>
            <w:r>
              <w:rPr>
                <w:rFonts w:ascii="Consolas" w:hAnsi="Consolas"/>
                <w:sz w:val="15"/>
              </w:rPr>
              <w:t>dha.pp11.applicability</w:t>
            </w:r>
            <w:r>
              <w:rPr>
                <w:rFonts w:ascii="Times New Roman" w:hAnsi="Times New Roman"/>
                <w:sz w:val="17"/>
              </w:rPr>
              <w:t xml:space="preserve"> (which regime applies)</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(context for suspending the traffic model; not binding)</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w:t>
            </w:r>
            <w:r>
              <w:rPr>
                <w:rFonts w:ascii="Consolas" w:hAnsi="Consolas"/>
                <w:sz w:val="15"/>
              </w:rPr>
              <w:t>uae.fl2-2019.art6</w:t>
            </w:r>
            <w:r>
              <w:rPr>
                <w:rFonts w:ascii="Times New Roman" w:hAnsi="Times New Roman"/>
                <w:sz w:val="17"/>
              </w:rPr>
              <w:t xml:space="preserve">, </w:t>
            </w:r>
            <w:r>
              <w:rPr>
                <w:rFonts w:ascii="Consolas" w:hAnsi="Consolas"/>
                <w:sz w:val="15"/>
              </w:rPr>
              <w:t>uae.ai-charter.human-oversight</w:t>
            </w:r>
            <w:r>
              <w:rPr>
                <w:rFonts w:ascii="Times New Roman" w:hAnsi="Times New Roman"/>
                <w:sz w:val="17"/>
              </w:rPr>
              <w:t xml:space="preserve">,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D</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(reporting duties)</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SINK</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xml:space="preserve">Reviewed example mapping: </w:t>
            </w:r>
            <w:r>
              <w:rPr>
                <w:rFonts w:ascii="Consolas" w:hAnsi="Consolas"/>
                <w:sz w:val="15"/>
              </w:rPr>
              <w:t>oecd.ai-principles.*</w:t>
            </w:r>
            <w:r>
              <w:rPr>
                <w:rFonts w:ascii="Times New Roman" w:hAnsi="Times New Roman"/>
                <w:sz w:val="17"/>
              </w:rPr>
              <w:t xml:space="preserve">, </w:t>
            </w:r>
            <w:r>
              <w:rPr>
                <w:rFonts w:ascii="Consolas" w:hAnsi="Consolas"/>
                <w:sz w:val="15"/>
              </w:rPr>
              <w:t>unesco.ai-ethics.*</w:t>
            </w:r>
            <w:r>
              <w:rPr>
                <w:rFonts w:ascii="Times New Roman" w:hAnsi="Times New Roman"/>
                <w:sz w:val="17"/>
              </w:rPr>
              <w:t xml:space="preserve">, </w:t>
            </w:r>
            <w:r>
              <w:rPr>
                <w:rFonts w:ascii="Consolas" w:hAnsi="Consolas"/>
                <w:sz w:val="15"/>
              </w:rPr>
              <w:t>uae.ai-charter.human-oversight</w:t>
            </w:r>
            <w:r>
              <w:rPr>
                <w:rFonts w:ascii="Times New Roman" w:hAnsi="Times New Roman"/>
                <w:sz w:val="17"/>
              </w:rPr>
              <w:t xml:space="preserve"> (not binding)</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MLFO</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Orchestrator and repair search over the closed grammar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Sandbox</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Replay of the identical incident with a candidate repair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(repair edits are hypothetical rules, not source clauses)</w:t>
            </w:r>
          </w:p>
        </w:tc>
      </w:tr>
    </w:tbl>
    <w:p>
      <w:pPr>
        <w:spacing w:after="60" w:before="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75A0750C" w14:textId="02951926"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pPr>
        <w:spacing w:after="60" w:before="0"/>
      </w:pPr>
      <w:r>
        <w:rPr>
          <w:rFonts w:ascii="Times New Roman" w:hAnsi="Times New Roman"/>
          <w:b/>
          <w:sz w:val="21"/>
        </w:rPr>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type="auto" w:w="0"/>
        <w:tblLook w:firstColumn="1" w:firstRow="1" w:lastColumn="0" w:lastRow="0" w:noHBand="0" w:noVBand="1" w:val="04A0"/>
      </w:tblPr>
      <w:tblGrid>
        <w:gridCol w:w="2340"/>
        <w:gridCol w:w="2340"/>
        <w:gridCol w:w="2340"/>
        <w:gridCol w:w="2340"/>
      </w:tblGrid>
      <w:tr>
        <w:tc>
          <w:tcPr>
            <w:tcW w:type="dxa" w:w="2340"/>
          </w:tcPr>
          <w:p>
            <w:pPr>
              <w:spacing w:after="0"/>
            </w:pPr>
            <w:r>
              <w:rPr>
                <w:rFonts w:ascii="Times New Roman" w:hAnsi="Times New Roman"/>
                <w:sz w:val="17"/>
              </w:rPr>
              <w:t>Run (scripted agents)</w:t>
            </w:r>
          </w:p>
        </w:tc>
        <w:tc>
          <w:tcPr>
            <w:tcW w:type="dxa" w:w="2340"/>
          </w:tcPr>
          <w:p>
            <w:pPr>
              <w:spacing w:after="0"/>
            </w:pPr>
            <w:r>
              <w:rPr>
                <w:rFonts w:ascii="Consolas" w:hAnsi="Consolas"/>
                <w:sz w:val="15"/>
              </w:rPr>
              <w:t>patient_access_restored</w:t>
            </w:r>
          </w:p>
        </w:tc>
        <w:tc>
          <w:tcPr>
            <w:tcW w:type="dxa" w:w="2340"/>
          </w:tcPr>
          <w:p>
            <w:pPr>
              <w:spacing w:after="0"/>
            </w:pPr>
            <w:r>
              <w:rPr>
                <w:rFonts w:ascii="Consolas" w:hAnsi="Consolas"/>
                <w:sz w:val="15"/>
              </w:rPr>
              <w:t>alert_cause_known_to_health</w:t>
            </w:r>
          </w:p>
        </w:tc>
        <w:tc>
          <w:tcPr>
            <w:tcW w:type="dxa" w:w="2340"/>
          </w:tcPr>
          <w:p>
            <w:pPr>
              <w:spacing w:after="0"/>
            </w:pPr>
            <w:r>
              <w:rPr>
                <w:rFonts w:ascii="Times New Roman" w:hAnsi="Times New Roman"/>
                <w:sz w:val="17"/>
              </w:rPr>
              <w:t>Failures</w:t>
            </w:r>
          </w:p>
        </w:tc>
      </w:tr>
      <w:tr>
        <w:tc>
          <w:tcPr>
            <w:tcW w:type="dxa" w:w="2340"/>
          </w:tcPr>
          <w:p>
            <w:pPr>
              <w:spacing w:after="0"/>
            </w:pPr>
            <w:r>
              <w:rPr>
                <w:rFonts w:ascii="Times New Roman" w:hAnsi="Times New Roman"/>
                <w:sz w:val="17"/>
              </w:rPr>
              <w:t>Governed</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4</w:t>
            </w:r>
          </w:p>
        </w:tc>
      </w:tr>
      <w:tr>
        <w:tc>
          <w:tcPr>
            <w:tcW w:type="dxa" w:w="2340"/>
          </w:tcPr>
          <w:p>
            <w:pPr>
              <w:spacing w:after="0"/>
            </w:pPr>
            <w:r>
              <w:rPr>
                <w:rFonts w:ascii="Times New Roman" w:hAnsi="Times New Roman"/>
                <w:sz w:val="17"/>
              </w:rPr>
              <w:t>Ungoverned (comparison mode, never the result)</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1; 3 masked, cause still present</w:t>
            </w:r>
          </w:p>
        </w:tc>
      </w:tr>
      <w:tr>
        <w:tc>
          <w:tcPr>
            <w:tcW w:type="dxa" w:w="2340"/>
          </w:tcPr>
          <w:p>
            <w:pPr>
              <w:spacing w:after="0"/>
            </w:pPr>
            <w:r>
              <w:rPr>
                <w:rFonts w:ascii="Times New Roman" w:hAnsi="Times New Roman"/>
                <w:sz w:val="17"/>
              </w:rPr>
              <w:t>Governed + rank-1 repair</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met at T+30</w:t>
            </w:r>
          </w:p>
        </w:tc>
        <w:tc>
          <w:tcPr>
            <w:tcW w:type="dxa" w:w="2340"/>
          </w:tcPr>
          <w:p>
            <w:pPr>
              <w:spacing w:after="0"/>
            </w:pPr>
            <w:r>
              <w:rPr>
                <w:rFonts w:ascii="Times New Roman" w:hAnsi="Times New Roman"/>
                <w:sz w:val="17"/>
              </w:rPr>
              <w:t>2 removed; 2 masked, cause still present</w:t>
            </w:r>
          </w:p>
        </w:tc>
      </w:tr>
    </w:tbl>
    <w:p>
      <w:pPr>
        <w:spacing w:after="60" w:before="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w:t>
      </w:r>
      <w:r>
        <w:rPr>
          <w:rFonts w:ascii="Consolas" w:hAnsi="Consolas"/>
          <w:sz w:val="19"/>
        </w:rPr>
        <w:t>activate_fallback_channel</w:t>
      </w:r>
      <w:r>
        <w:rPr>
          <w:rFonts w:ascii="Times New Roman" w:hAnsi="Times New Roman"/>
          <w:sz w:val="21"/>
        </w:rPr>
        <w:t xml:space="preserve"> and </w:t>
      </w:r>
      <w:r>
        <w:rPr>
          <w:rFonts w:ascii="Consolas" w:hAnsi="Consolas"/>
          <w:sz w:val="19"/>
        </w:rPr>
        <w:t>issue_determination</w:t>
      </w:r>
      <w:r>
        <w:rPr>
          <w:rFonts w:ascii="Times New Roman" w:hAnsi="Times New Roman"/>
          <w:sz w:val="21"/>
        </w:rPr>
        <w:t xml:space="preserve">.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pPr>
        <w:spacing w:after="60" w:before="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pPr>
        <w:spacing w:after="60" w:before="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In the ungoverned live run, </w:t>
      </w:r>
      <w:r>
        <w:rPr>
          <w:rFonts w:ascii="Consolas" w:hAnsi="Consolas"/>
          <w:sz w:val="19"/>
        </w:rPr>
        <w:t>patient_access_restored</w:t>
      </w:r>
      <w:r>
        <w:rPr>
          <w:rFonts w:ascii="Times New Roman" w:hAnsi="Times New Roman"/>
          <w:sz w:val="21"/>
        </w:rPr>
        <w:t xml:space="preserve">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(at T+15, T+60 and T+75). No live repair was run.</w:t>
      </w:r>
    </w:p>
    <w:p>
      <w:pPr>
        <w:spacing w:after="60" w:before="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here governance with the repair costs no time, and only the repair meets every critical goal. With live agents, the ungoverned run is faster (T+15), and no live repair exists to compare it with; the two sets of agents are not compared as if they were the same. CascadeGuard's answer: the speed came from an action without settled authority. The engine makes that visible as a diagnosed orphan duty (</w:t>
      </w:r>
      <w:r>
        <w:rPr>
          <w:rFonts w:ascii="Consolas" w:hAnsi="Consolas"/>
          <w:sz w:val="19"/>
        </w:rPr>
        <w:t>orphan_duty:activate_fallback_channel</w:t>
      </w:r>
      <w:r>
        <w:rPr>
          <w:rFonts w:ascii="Times New Roman" w:hAnsi="Times New Roman"/>
          <w:sz w:val="21"/>
        </w:rPr>
        <w:t>) and proposes a repair that restores access with the checks in force; that repair needs human and institutional approval, and two of its blockers remain masked.</w:t>
      </w:r>
    </w:p>
    <w:p w14:paraId="0E1E4AA8" w14:textId="0E0EF499"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pPr>
        <w:spacing w:after="60" w:before="0"/>
      </w:pPr>
      <w:r>
        <w:rPr>
          <w:rFonts w:ascii="Times New Roman" w:hAnsi="Times New Roman"/>
          <w:sz w:val="21"/>
        </w:rPr>
        <w:t>Each item is a candidate gap for expert review, not a confirmed legal or standards gap. Examples are from the reviewed mapping (gate 7, 2026-10-31); international and foreign texts are not binding.</w:t>
      </w:r>
    </w:p>
    <w:p>
      <w:pPr>
        <w:spacing w:after="60" w:before="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w:t>
      </w:r>
    </w:p>
    <w:p>
      <w:pPr>
        <w:spacing w:after="60" w:before="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the authorities.</w:t>
      </w:r>
    </w:p>
    <w:p>
      <w:pPr>
        <w:spacing w:after="60" w:before="0"/>
      </w:pPr>
      <w:r>
        <w:rPr>
          <w:rFonts w:ascii="Times New Roman" w:hAnsi="Times New Roman"/>
          <w:sz w:val="21"/>
        </w:rPr>
        <w:t>The two masked items are the strongest gaps in this report: the incident can be resolved in replay without settling who may activate a fallback channel or what triggers a review of an automated lockout.</w:t>
      </w:r>
    </w:p>
    <w:p>
      <w:pPr>
        <w:spacing w:after="60" w:before="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GM of AI</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