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3CE76" w14:textId="5E6BE052" w:rsidR="109E7504" w:rsidRDefault="0A8A2E98" w:rsidP="78773EE0">
      <w:pPr>
        <w:jc w:val="center"/>
      </w:pPr>
      <w:r w:rsidRPr="78773EE0">
        <w:rPr>
          <w:rFonts w:ascii="Times New Roman" w:eastAsia="Times New Roman" w:hAnsi="Times New Roman" w:cs="Times New Roman"/>
          <w:b/>
          <w:bCs/>
          <w:color w:val="000000" w:themeColor="text1"/>
          <w:sz w:val="28"/>
          <w:szCs w:val="28"/>
        </w:rPr>
        <w:t>AI for Good Sandbox Hackathon – GM of AI – CascadeGuard</w:t>
      </w:r>
    </w:p>
    <w:p w14:paraId="3CB4C377" w14:textId="5FC68465" w:rsidR="109E7504" w:rsidRDefault="109E7504" w:rsidP="3B355EBA">
      <w:pPr>
        <w:spacing w:after="0"/>
        <w:jc w:val="both"/>
        <w:rPr>
          <w:rFonts w:ascii="Times New Roman" w:eastAsia="Times New Roman" w:hAnsi="Times New Roman" w:cs="Times New Roman"/>
          <w:color w:val="000000" w:themeColor="text1"/>
        </w:rPr>
      </w:pPr>
      <w:r>
        <w:rPr>
          <w:rFonts w:ascii="Times New Roman" w:hAnsi="Times New Roman"/>
          <w:b/>
        </w:rPr>
        <w:t xml:space="preserve">Team leader: </w:t>
      </w:r>
      <w:r>
        <w:rPr>
          <w:rFonts w:ascii="Times New Roman" w:hAnsi="Times New Roman"/>
        </w:rPr>
        <w:t>Ibrahim Melhem (Al Balqa Applied University; mentor: Dr. Wafaa Almaaitah)</w:t>
      </w:r>
    </w:p>
    <w:p w14:paraId="22D4FB2E" w14:textId="09E96DD5" w:rsidR="109E7504" w:rsidRDefault="0A8A2E98" w:rsidP="78773EE0">
      <w:pPr>
        <w:spacing w:after="0"/>
        <w:rPr>
          <w:rFonts w:ascii="Times New Roman" w:eastAsia="Times New Roman" w:hAnsi="Times New Roman" w:cs="Times New Roman"/>
          <w:color w:val="000000" w:themeColor="text1"/>
        </w:rPr>
      </w:pPr>
      <w:r>
        <w:rPr>
          <w:rFonts w:ascii="Times New Roman" w:hAnsi="Times New Roman"/>
          <w:b/>
        </w:rPr>
        <w:t xml:space="preserve">Team members: </w:t>
      </w:r>
      <w:r>
        <w:rPr>
          <w:rFonts w:ascii="Times New Roman" w:hAnsi="Times New Roman"/>
        </w:rPr>
        <w:t>Ibrahim Melhem</w:t>
      </w:r>
      <w:r>
        <w:br/>
      </w:r>
      <w:r>
        <w:rPr>
          <w:rFonts w:ascii="Times New Roman" w:hAnsi="Times New Roman"/>
          <w:b/>
        </w:rPr>
        <w:t xml:space="preserve">Contact details: </w:t>
      </w:r>
      <w:r>
        <w:rPr>
          <w:rFonts w:ascii="Times New Roman" w:hAnsi="Times New Roman"/>
        </w:rPr>
        <w:t>ibrahimmelhem2005@gmail.com</w:t>
      </w:r>
    </w:p>
    <w:p w14:paraId="2CEE87C7" w14:textId="456B525D" w:rsidR="109E7504" w:rsidRDefault="0A8A2E98" w:rsidP="3B355EBA">
      <w:pPr>
        <w:spacing w:after="0"/>
        <w:jc w:val="both"/>
        <w:rPr>
          <w:rFonts w:ascii="Times New Roman" w:eastAsia="Times New Roman" w:hAnsi="Times New Roman" w:cs="Times New Roman"/>
          <w:color w:val="000000" w:themeColor="text1"/>
        </w:rPr>
      </w:pPr>
      <w:r>
        <w:rPr>
          <w:rFonts w:ascii="Times New Roman" w:hAnsi="Times New Roman"/>
          <w:b/>
        </w:rPr>
        <w:t xml:space="preserve">Github link: </w:t>
      </w:r>
      <w:r>
        <w:rPr>
          <w:rFonts w:ascii="Times New Roman" w:hAnsi="Times New Roman"/>
        </w:rPr>
        <w:t>https://github.com/hemobemoo/CascadeGuard</w:t>
      </w:r>
    </w:p>
    <w:p w14:paraId="670EBFDA" w14:textId="1ACCF6D8" w:rsidR="109E7504" w:rsidRDefault="109E7504" w:rsidP="3B355EBA">
      <w:pPr>
        <w:pStyle w:val="ListParagraph"/>
        <w:numPr>
          <w:ilvl w:val="0"/>
          <w:numId w:val="4"/>
        </w:numPr>
        <w:spacing w:before="120" w:after="40"/>
        <w:jc w:val="both"/>
        <w:rPr>
          <w:rFonts w:ascii="Times New Roman" w:eastAsia="Times New Roman" w:hAnsi="Times New Roman" w:cs="Times New Roman"/>
          <w:color w:val="000000" w:themeColor="text1"/>
        </w:rPr>
      </w:pPr>
      <w:r w:rsidRPr="3B355EBA">
        <w:rPr>
          <w:rFonts w:ascii="Times New Roman" w:eastAsia="Times New Roman" w:hAnsi="Times New Roman" w:cs="Times New Roman"/>
          <w:color w:val="000000" w:themeColor="text1"/>
        </w:rPr>
        <w:t>Introduction</w:t>
      </w:r>
    </w:p>
    <w:p>
      <w:pPr>
        <w:spacing w:after="60" w:before="0"/>
      </w:pPr>
      <w:r>
        <w:rPr>
          <w:rFonts w:ascii="Times New Roman" w:hAnsi="Times New Roman"/>
          <w:sz w:val="21"/>
        </w:rPr>
        <w:t>CascadeGuard finds where AI decisions and institutional rules collide, identifies the smallest safe repair, and replays the same incident to test whether the repair works. Six institutional roles are played by agents (scripted, or a live LLM); a deterministic engine, never an agent, accepts or rejects every proposed action against the loaded clause set: reviewed clauses quoted verbatim from UAE (in English translation), international and foreign documents, and two illustrative scenario rules. It is decision support, not legal interpretation: every diagnosed failure is a candidate gap for expert review, not a confirmed legal or standards gap. The scenario is hypothetical and all data is synthetic.</w:t>
      </w:r>
    </w:p>
    <w:p w14:paraId="5C97044B" w14:textId="651C385A" w:rsidR="109E7504" w:rsidRDefault="0A8A2E98" w:rsidP="78773EE0">
      <w:pPr>
        <w:pStyle w:val="ListParagraph"/>
        <w:numPr>
          <w:ilvl w:val="0"/>
          <w:numId w:val="4"/>
        </w:numPr>
        <w:spacing w:before="120" w:after="40"/>
        <w:jc w:val="both"/>
        <w:rPr>
          <w:rFonts w:ascii="Times New Roman" w:eastAsia="Times New Roman" w:hAnsi="Times New Roman" w:cs="Times New Roman"/>
          <w:color w:val="000000" w:themeColor="text1"/>
        </w:rPr>
      </w:pPr>
      <w:r w:rsidRPr="78773EE0">
        <w:rPr>
          <w:rFonts w:ascii="Times New Roman" w:eastAsia="Times New Roman" w:hAnsi="Times New Roman" w:cs="Times New Roman"/>
          <w:color w:val="000000" w:themeColor="text1"/>
        </w:rPr>
        <w:t>Description of the use case</w:t>
      </w:r>
    </w:p>
    <w:p>
      <w:pPr>
        <w:spacing w:after="60" w:before="0"/>
      </w:pPr>
      <w:r>
        <w:rPr>
          <w:rFonts w:ascii="Times New Roman" w:hAnsi="Times New Roman"/>
          <w:sz w:val="21"/>
        </w:rPr>
        <w:t>A telecom AI traffic-management model, newly updated, deprioritises authentication SMS (T+00). Patients retry their one-time passwords; the health portal's AI fraud-risk model reads the retries as credential stuffing and locks 4,812 accounts (T+15). Each operator sees only its own side (T+30); six roles must decide what to report, share and authorise (T+45); 3,950 patients are still locked out, the share highest among SMS-only users and users over 65 (T+60); the window closes at T+75.</w:t>
      </w:r>
    </w:p>
    <w:p>
      <w:pPr>
        <w:spacing w:after="60" w:before="0"/>
      </w:pPr>
      <w:r>
        <w:rPr>
          <w:rFonts w:ascii="Times New Roman" w:hAnsi="Times New Roman"/>
          <w:b/>
          <w:sz w:val="21"/>
        </w:rPr>
        <w:t>Gaps in existing approaches.</w:t>
      </w:r>
      <w:r>
        <w:rPr>
          <w:rFonts w:ascii="Times New Roman" w:hAnsi="Times New Roman"/>
          <w:sz w:val="21"/>
        </w:rPr>
        <w:t xml:space="preserve"> The incident crosses two AI systems in two sectors, so a review of either organisation alone sees only half of it. In this hypothetical scenario the health operator needs the network status, but the scenario places it outside the operator's information boundary; no clause in the loaded clause set authorises that share, assigns an owner for reversing the automated lockouts, or triggers a review of the automated lockouts (which may stem from another organisation's AI error). Each is a candidate gap for expert review, not a confirmed legal or standards gap.</w:t>
      </w:r>
    </w:p>
    <w:p>
      <w:pPr>
        <w:spacing w:after="60" w:before="0"/>
      </w:pPr>
      <w:r>
        <w:rPr>
          <w:rFonts w:ascii="Times New Roman" w:hAnsi="Times New Roman"/>
          <w:b/>
          <w:sz w:val="21"/>
        </w:rPr>
        <w:t>How CascadeGuard addresses them.</w:t>
      </w:r>
      <w:r>
        <w:rPr>
          <w:rFonts w:ascii="Times New Roman" w:hAnsi="Times New Roman"/>
          <w:sz w:val="21"/>
        </w:rPr>
        <w:t xml:space="preserve"> Facts are released to each role only within its boundary, at the time it would learn them. The engine checks every action against the loaded clauses, then diagnoses the coordination failures that block recovery goals (information deadlock, orphan duty, undefined trigger). It proposes repairs from a closed grammar of five edit types (assign owner, add escalation trigger, define minimum data-share, add fallback-channel rule, designate decision-requester), discards any that would lift a prohibition or safeguard, and ranks the rest by replaying the identical incident. Repair edits are hypothetical rules, not source clauses.</w:t>
      </w:r>
    </w:p>
    <w:p w14:paraId="15342D17" w14:textId="3BD60088" w:rsidR="64A7F3EB" w:rsidRDefault="64A7F3EB" w:rsidP="78773EE0">
      <w:pPr>
        <w:pStyle w:val="ListParagraph"/>
        <w:numPr>
          <w:ilvl w:val="0"/>
          <w:numId w:val="4"/>
        </w:numPr>
        <w:spacing w:before="120" w:after="40"/>
        <w:jc w:val="both"/>
        <w:rPr>
          <w:rFonts w:ascii="Times New Roman" w:eastAsia="Times New Roman" w:hAnsi="Times New Roman" w:cs="Times New Roman"/>
          <w:color w:val="000000" w:themeColor="text1"/>
        </w:rPr>
      </w:pPr>
      <w:r w:rsidRPr="78773EE0">
        <w:rPr>
          <w:rFonts w:ascii="Times New Roman" w:eastAsia="Times New Roman" w:hAnsi="Times New Roman" w:cs="Times New Roman"/>
          <w:color w:val="000000" w:themeColor="text1"/>
        </w:rPr>
        <w:t>Use case requirements</w:t>
      </w:r>
    </w:p>
    <w:p>
      <w:pPr>
        <w:spacing w:after="60" w:before="0"/>
        <w:ind w:left="283" w:hanging="170"/>
      </w:pPr>
      <w:r>
        <w:rPr>
          <w:rFonts w:ascii="Times New Roman" w:hAnsi="Times New Roman"/>
          <w:sz w:val="21"/>
        </w:rPr>
        <w:t xml:space="preserve">• </w:t>
      </w:r>
      <w:r>
        <w:rPr>
          <w:rFonts w:ascii="Times New Roman" w:hAnsi="Times New Roman"/>
          <w:b/>
          <w:sz w:val="21"/>
        </w:rPr>
        <w:t>SRC:</w:t>
      </w:r>
      <w:r>
        <w:rPr>
          <w:rFonts w:ascii="Times New Roman" w:hAnsi="Times New Roman"/>
          <w:sz w:val="21"/>
        </w:rPr>
        <w:t xml:space="preserve"> timed injects with facts; each fact names its holder and each inject its recipients; synthetic data only.</w:t>
      </w:r>
    </w:p>
    <w:p>
      <w:pPr>
        <w:spacing w:after="60" w:before="0"/>
        <w:ind w:left="283" w:hanging="170"/>
      </w:pPr>
      <w:r>
        <w:rPr>
          <w:rFonts w:ascii="Times New Roman" w:hAnsi="Times New Roman"/>
          <w:sz w:val="21"/>
        </w:rPr>
        <w:t xml:space="preserve">• </w:t>
      </w:r>
      <w:r>
        <w:rPr>
          <w:rFonts w:ascii="Times New Roman" w:hAnsi="Times New Roman"/>
          <w:b/>
          <w:sz w:val="21"/>
        </w:rPr>
        <w:t>C:</w:t>
      </w:r>
      <w:r>
        <w:rPr>
          <w:rFonts w:ascii="Times New Roman" w:hAnsi="Times New Roman"/>
          <w:sz w:val="21"/>
        </w:rPr>
        <w:t xml:space="preserve"> each role receives only the facts inside its information boundary (scenario data), at the inject that releases them.</w:t>
      </w:r>
    </w:p>
    <w:p>
      <w:pPr>
        <w:spacing w:after="60" w:before="0"/>
        <w:ind w:left="283" w:hanging="170"/>
      </w:pPr>
      <w:r>
        <w:rPr>
          <w:rFonts w:ascii="Times New Roman" w:hAnsi="Times New Roman"/>
          <w:sz w:val="21"/>
        </w:rPr>
        <w:t xml:space="preserve">• </w:t>
      </w:r>
      <w:r>
        <w:rPr>
          <w:rFonts w:ascii="Times New Roman" w:hAnsi="Times New Roman"/>
          <w:b/>
          <w:sz w:val="21"/>
        </w:rPr>
        <w:t>PP:</w:t>
      </w:r>
      <w:r>
        <w:rPr>
          <w:rFonts w:ascii="Times New Roman" w:hAnsi="Times New Roman"/>
          <w:sz w:val="21"/>
        </w:rPr>
        <w:t xml:space="preserve"> each view is read-only and boundary-filtered; each role sees only the clauses it may cite, every clause with its status label.</w:t>
      </w:r>
    </w:p>
    <w:p>
      <w:pPr>
        <w:spacing w:after="60" w:before="0"/>
        <w:ind w:left="283" w:hanging="170"/>
      </w:pPr>
      <w:r>
        <w:rPr>
          <w:rFonts w:ascii="Times New Roman" w:hAnsi="Times New Roman"/>
          <w:sz w:val="21"/>
        </w:rPr>
        <w:t xml:space="preserve">• </w:t>
      </w:r>
      <w:r>
        <w:rPr>
          <w:rFonts w:ascii="Times New Roman" w:hAnsi="Times New Roman"/>
          <w:b/>
          <w:sz w:val="21"/>
        </w:rPr>
        <w:t>M:</w:t>
      </w:r>
      <w:r>
        <w:rPr>
          <w:rFonts w:ascii="Times New Roman" w:hAnsi="Times New Roman"/>
          <w:sz w:val="21"/>
        </w:rPr>
        <w:t xml:space="preserve"> an agent returns only a proposal (actions, rationale, citations, uncertainty); it never changes state. A live LLM runs at temperature 0 through a decision cache, so a replay reuses every unchanged step.</w:t>
      </w:r>
    </w:p>
    <w:p>
      <w:pPr>
        <w:spacing w:after="60" w:before="0"/>
        <w:ind w:left="283" w:hanging="170"/>
      </w:pPr>
      <w:r>
        <w:rPr>
          <w:rFonts w:ascii="Times New Roman" w:hAnsi="Times New Roman"/>
          <w:sz w:val="21"/>
        </w:rPr>
        <w:t xml:space="preserve">• </w:t>
      </w:r>
      <w:r>
        <w:rPr>
          <w:rFonts w:ascii="Times New Roman" w:hAnsi="Times New Roman"/>
          <w:b/>
          <w:sz w:val="21"/>
        </w:rPr>
        <w:t>P:</w:t>
      </w:r>
      <w:r>
        <w:rPr>
          <w:rFonts w:ascii="Times New Roman" w:hAnsi="Times New Roman"/>
          <w:sz w:val="21"/>
        </w:rPr>
        <w:t xml:space="preserve"> an action is applied only if it passes the role's permissions, the information boundaries, cited evidence (loaded clause IDs only: reviewed or illustrative, never draft) and the clauses' authority, prohibitions and safeguards. A suspected legal gap counts only as a cited, qualified claim.</w:t>
      </w:r>
    </w:p>
    <w:p>
      <w:pPr>
        <w:spacing w:after="60" w:before="0"/>
        <w:ind w:left="283" w:hanging="170"/>
      </w:pPr>
      <w:r>
        <w:rPr>
          <w:rFonts w:ascii="Times New Roman" w:hAnsi="Times New Roman"/>
          <w:sz w:val="21"/>
        </w:rPr>
        <w:t xml:space="preserve">• </w:t>
      </w:r>
      <w:r>
        <w:rPr>
          <w:rFonts w:ascii="Times New Roman" w:hAnsi="Times New Roman"/>
          <w:b/>
          <w:sz w:val="21"/>
        </w:rPr>
        <w:t>D:</w:t>
      </w:r>
      <w:r>
        <w:rPr>
          <w:rFonts w:ascii="Times New Roman" w:hAnsi="Times New Roman"/>
          <w:sz w:val="21"/>
        </w:rPr>
        <w:t xml:space="preserve"> accepted actions are applied and their facts released; obligations open, are fulfilled or missed.</w:t>
      </w:r>
    </w:p>
    <w:p>
      <w:pPr>
        <w:spacing w:after="60" w:before="0"/>
        <w:ind w:left="283" w:hanging="170"/>
      </w:pPr>
      <w:r>
        <w:rPr>
          <w:rFonts w:ascii="Times New Roman" w:hAnsi="Times New Roman"/>
          <w:sz w:val="21"/>
        </w:rPr>
        <w:t xml:space="preserve">• </w:t>
      </w:r>
      <w:r>
        <w:rPr>
          <w:rFonts w:ascii="Times New Roman" w:hAnsi="Times New Roman"/>
          <w:b/>
          <w:sz w:val="21"/>
        </w:rPr>
        <w:t>SINK:</w:t>
      </w:r>
      <w:r>
        <w:rPr>
          <w:rFonts w:ascii="Times New Roman" w:hAnsi="Times New Roman"/>
          <w:sz w:val="21"/>
        </w:rPr>
        <w:t xml:space="preserve"> recovery goals, obligations and diagnosed failures, each failure with its qualification, in the CLI, UI, JSON/Markdown exports and an audit file.</w:t>
      </w:r>
    </w:p>
    <w:p>
      <w:pPr>
        <w:spacing w:after="60" w:before="0"/>
        <w:ind w:left="283" w:hanging="170"/>
      </w:pPr>
      <w:r>
        <w:rPr>
          <w:rFonts w:ascii="Times New Roman" w:hAnsi="Times New Roman"/>
          <w:sz w:val="21"/>
        </w:rPr>
        <w:t xml:space="preserve">• </w:t>
      </w:r>
      <w:r>
        <w:rPr>
          <w:rFonts w:ascii="Times New Roman" w:hAnsi="Times New Roman"/>
          <w:b/>
          <w:sz w:val="21"/>
        </w:rPr>
        <w:t>MLFO and sandbox:</w:t>
      </w:r>
      <w:r>
        <w:rPr>
          <w:rFonts w:ascii="Times New Roman" w:hAnsi="Times New Roman"/>
          <w:sz w:val="21"/>
        </w:rPr>
        <w:t xml:space="preserve"> a deterministic orchestrator (not an agent) runs the timeline; repairs are tested only in replay, never applied to the baseline.</w:t>
      </w:r>
    </w:p>
    <w:p w14:paraId="7C572FF3" w14:textId="10C293CF" w:rsidR="109E7504" w:rsidRDefault="0A8A2E98" w:rsidP="78773EE0">
      <w:pPr>
        <w:pStyle w:val="ListParagraph"/>
        <w:numPr>
          <w:ilvl w:val="0"/>
          <w:numId w:val="4"/>
        </w:numPr>
        <w:spacing w:before="120" w:after="40"/>
        <w:jc w:val="both"/>
        <w:rPr>
          <w:rFonts w:ascii="Times New Roman" w:eastAsia="Times New Roman" w:hAnsi="Times New Roman" w:cs="Times New Roman"/>
          <w:color w:val="000000" w:themeColor="text1"/>
        </w:rPr>
      </w:pPr>
      <w:r w:rsidRPr="78773EE0">
        <w:rPr>
          <w:rFonts w:ascii="Times New Roman" w:eastAsia="Times New Roman" w:hAnsi="Times New Roman" w:cs="Times New Roman"/>
          <w:color w:val="000000" w:themeColor="text1"/>
        </w:rPr>
        <w:t>Mapping with ITU-T Y.3172, the AI Readiness 2.0 Report, and domain-specific policies</w:t>
      </w:r>
    </w:p>
    <w:p>
      <w:pPr>
        <w:spacing w:after="60" w:before="0"/>
      </w:pPr>
      <w:r>
        <w:rPr>
          <w:rFonts w:ascii="Times New Roman" w:hAnsi="Times New Roman"/>
          <w:sz w:val="21"/>
        </w:rPr>
        <w:t>Y.3172 is used as an architecture pattern for an institutional decision pipeline; CascadeGuard does not deploy ML models into a network. Four of the five Readiness 2.0 dimensions the submission audit supports are claimed (AI for Inclusion, partial, is not).</w:t>
      </w:r>
    </w:p>
    <w:tbl>
      <w:tblPr>
        <w:tblStyle w:val="TableGridLight"/>
        <w:tblW w:w="9359" w:type="dxa"/>
        <w:tblBorders>
          <w:top w:val="single" w:sz="6" w:space="0" w:color="auto"/>
          <w:left w:val="single" w:sz="6" w:space="0" w:color="auto"/>
          <w:bottom w:val="single" w:sz="6" w:space="0" w:color="auto"/>
          <w:right w:val="single" w:sz="6" w:space="0" w:color="auto"/>
        </w:tblBorders>
        <w:tblLook w:val="0420" w:firstRow="1" w:lastRow="0" w:firstColumn="0" w:lastColumn="0" w:noHBand="0" w:noVBand="1"/>
      </w:tblPr>
      <w:tblGrid>
        <w:gridCol w:w="1541"/>
        <w:gridCol w:w="2300"/>
        <w:gridCol w:w="2300"/>
        <w:gridCol w:w="3218"/>
      </w:tblGrid>
      <w:tr w:rsidR="3B355EBA" w14:paraId="6E70CE7A" w14:textId="77777777" w:rsidTr="78773EE0">
        <w:trPr>
          <w:trHeight w:val="360"/>
        </w:trPr>
        <w:tc>
          <w:tcPr>
            <w:tcW w:w="1541" w:type="dxa"/>
            <w:tcMar>
              <w:left w:w="105" w:type="dxa"/>
              <w:right w:w="105" w:type="dxa"/>
            </w:tcMar>
          </w:tcPr>
          <w:p w14:paraId="4718062F" w14:textId="36A9FD3F" w:rsidR="3B355EBA" w:rsidRDefault="3B355EBA" w:rsidP="3B355EBA">
            <w:pPr>
              <w:spacing w:after="0"/>
              <w:rPr>
                <w:rFonts w:ascii="Times New Roman" w:eastAsia="Times New Roman" w:hAnsi="Times New Roman" w:cs="Times New Roman"/>
              </w:rPr>
            </w:pPr>
            <w:r>
              <w:rPr>
                <w:rFonts w:ascii="Times New Roman" w:hAnsi="Times New Roman"/>
                <w:sz w:val="17"/>
              </w:rPr>
              <w:t>Node</w:t>
            </w:r>
          </w:p>
        </w:tc>
        <w:tc>
          <w:tcPr>
            <w:tcW w:w="2300" w:type="dxa"/>
            <w:tcMar>
              <w:left w:w="105" w:type="dxa"/>
              <w:right w:w="105" w:type="dxa"/>
            </w:tcMar>
          </w:tcPr>
          <w:p w14:paraId="701CB69A" w14:textId="3E7836ED" w:rsidR="3B355EBA" w:rsidRDefault="3B355EBA" w:rsidP="3B355EBA">
            <w:pPr>
              <w:spacing w:after="0"/>
              <w:rPr>
                <w:rFonts w:ascii="Times New Roman" w:eastAsia="Times New Roman" w:hAnsi="Times New Roman" w:cs="Times New Roman"/>
              </w:rPr>
            </w:pPr>
            <w:r>
              <w:rPr>
                <w:rFonts w:ascii="Times New Roman" w:hAnsi="Times New Roman"/>
                <w:sz w:val="17"/>
              </w:rPr>
              <w:t>CascadeGuard element</w:t>
            </w:r>
          </w:p>
        </w:tc>
        <w:tc>
          <w:tcPr>
            <w:tcW w:w="2300" w:type="dxa"/>
            <w:tcMar>
              <w:left w:w="105" w:type="dxa"/>
              <w:right w:w="105" w:type="dxa"/>
            </w:tcMar>
          </w:tcPr>
          <w:p w14:paraId="771B921A" w14:textId="7EC14DE2" w:rsidR="347E3610" w:rsidRDefault="347E3610" w:rsidP="78773EE0">
            <w:pPr>
              <w:spacing w:after="0"/>
            </w:pPr>
            <w:r>
              <w:rPr>
                <w:rFonts w:ascii="Times New Roman" w:hAnsi="Times New Roman"/>
                <w:sz w:val="17"/>
              </w:rPr>
              <w:t>Readiness 2.0 dimension</w:t>
            </w:r>
          </w:p>
        </w:tc>
        <w:tc>
          <w:tcPr>
            <w:tcW w:w="3218" w:type="dxa"/>
            <w:tcMar>
              <w:left w:w="105" w:type="dxa"/>
              <w:right w:w="105" w:type="dxa"/>
            </w:tcMar>
          </w:tcPr>
          <w:p w14:paraId="6BB9BD28" w14:textId="6953EB5E" w:rsidR="3B355EBA" w:rsidRDefault="3B355EBA" w:rsidP="3B355EBA">
            <w:pPr>
              <w:spacing w:after="0"/>
              <w:rPr>
                <w:rFonts w:ascii="Times New Roman" w:eastAsia="Times New Roman" w:hAnsi="Times New Roman" w:cs="Times New Roman"/>
              </w:rPr>
            </w:pPr>
            <w:r>
              <w:rPr>
                <w:rFonts w:ascii="Times New Roman" w:hAnsi="Times New Roman"/>
                <w:sz w:val="17"/>
              </w:rPr>
              <w:t>Policy documents / clause IDs</w:t>
            </w:r>
          </w:p>
        </w:tc>
      </w:tr>
      <w:tr w:rsidR="3B355EBA" w14:paraId="6E70CE7A" w14:textId="77777777" w:rsidTr="78773EE0">
        <w:trPr>
          <w:trHeight w:val="360"/>
        </w:trPr>
        <w:tc>
          <w:tcPr>
            <w:tcW w:w="1541" w:type="dxa"/>
            <w:tcMar>
              <w:left w:w="105" w:type="dxa"/>
              <w:right w:w="105" w:type="dxa"/>
            </w:tcMar>
          </w:tcPr>
          <w:p w14:paraId="4718062F" w14:textId="36A9FD3F" w:rsidR="3B355EBA" w:rsidRDefault="3B355EBA" w:rsidP="3B355EBA">
            <w:pPr>
              <w:spacing w:after="0"/>
              <w:rPr>
                <w:rFonts w:ascii="Times New Roman" w:eastAsia="Times New Roman" w:hAnsi="Times New Roman" w:cs="Times New Roman"/>
              </w:rPr>
            </w:pPr>
            <w:r>
              <w:rPr>
                <w:rFonts w:ascii="Times New Roman" w:hAnsi="Times New Roman"/>
                <w:sz w:val="17"/>
              </w:rPr>
              <w:t>SRC</w:t>
            </w:r>
          </w:p>
        </w:tc>
        <w:tc>
          <w:tcPr>
            <w:tcW w:w="2300" w:type="dxa"/>
            <w:tcMar>
              <w:left w:w="105" w:type="dxa"/>
              <w:right w:w="105" w:type="dxa"/>
            </w:tcMar>
          </w:tcPr>
          <w:p w14:paraId="701CB69A" w14:textId="3E7836ED" w:rsidR="3B355EBA" w:rsidRDefault="3B355EBA" w:rsidP="3B355EBA">
            <w:pPr>
              <w:spacing w:after="0"/>
              <w:rPr>
                <w:rFonts w:ascii="Times New Roman" w:eastAsia="Times New Roman" w:hAnsi="Times New Roman" w:cs="Times New Roman"/>
              </w:rPr>
            </w:pPr>
            <w:r>
              <w:rPr>
                <w:rFonts w:ascii="Times New Roman" w:hAnsi="Times New Roman"/>
                <w:sz w:val="17"/>
              </w:rPr>
              <w:t>Scenario injects and facts, T+00 to T+75 (synthetic)</w:t>
            </w:r>
          </w:p>
        </w:tc>
        <w:tc>
          <w:tcPr>
            <w:tcW w:w="2300" w:type="dxa"/>
            <w:tcMar>
              <w:left w:w="105" w:type="dxa"/>
              <w:right w:w="105" w:type="dxa"/>
            </w:tcMar>
          </w:tcPr>
          <w:p w14:paraId="771B921A" w14:textId="7EC14DE2" w:rsidR="347E3610" w:rsidRDefault="347E3610" w:rsidP="78773EE0">
            <w:pPr>
              <w:spacing w:after="0"/>
            </w:pPr>
            <w:r>
              <w:rPr>
                <w:rFonts w:ascii="Times New Roman" w:hAnsi="Times New Roman"/>
                <w:sz w:val="17"/>
              </w:rPr>
              <w:t>Cross-domain correlation analysis</w:t>
            </w:r>
          </w:p>
        </w:tc>
        <w:tc>
          <w:tcPr>
            <w:tcW w:w="3218" w:type="dxa"/>
            <w:tcMar>
              <w:left w:w="105" w:type="dxa"/>
              <w:right w:w="105" w:type="dxa"/>
            </w:tcMar>
          </w:tcPr>
          <w:p w14:paraId="6BB9BD28" w14:textId="6953EB5E" w:rsidR="3B355EBA" w:rsidRDefault="3B355EBA" w:rsidP="3B355EBA">
            <w:pPr>
              <w:spacing w:after="0"/>
              <w:rPr>
                <w:rFonts w:ascii="Times New Roman" w:eastAsia="Times New Roman" w:hAnsi="Times New Roman" w:cs="Times New Roman"/>
              </w:rPr>
            </w:pPr>
            <w:r>
              <w:rPr>
                <w:rFonts w:ascii="Times New Roman" w:hAnsi="Times New Roman"/>
                <w:sz w:val="17"/>
              </w:rPr>
              <w:t>— (synthetic scenario)</w:t>
            </w:r>
          </w:p>
        </w:tc>
      </w:tr>
      <w:tr w:rsidR="3B355EBA" w14:paraId="6E70CE7A" w14:textId="77777777" w:rsidTr="78773EE0">
        <w:trPr>
          <w:trHeight w:val="360"/>
        </w:trPr>
        <w:tc>
          <w:tcPr>
            <w:tcW w:w="1541" w:type="dxa"/>
            <w:tcMar>
              <w:left w:w="105" w:type="dxa"/>
              <w:right w:w="105" w:type="dxa"/>
            </w:tcMar>
          </w:tcPr>
          <w:p w14:paraId="4718062F" w14:textId="36A9FD3F" w:rsidR="3B355EBA" w:rsidRDefault="3B355EBA" w:rsidP="3B355EBA">
            <w:pPr>
              <w:spacing w:after="0"/>
              <w:rPr>
                <w:rFonts w:ascii="Times New Roman" w:eastAsia="Times New Roman" w:hAnsi="Times New Roman" w:cs="Times New Roman"/>
              </w:rPr>
            </w:pPr>
            <w:r>
              <w:rPr>
                <w:rFonts w:ascii="Times New Roman" w:hAnsi="Times New Roman"/>
                <w:sz w:val="17"/>
              </w:rPr>
              <w:t>C</w:t>
            </w:r>
          </w:p>
        </w:tc>
        <w:tc>
          <w:tcPr>
            <w:tcW w:w="2300" w:type="dxa"/>
            <w:tcMar>
              <w:left w:w="105" w:type="dxa"/>
              <w:right w:w="105" w:type="dxa"/>
            </w:tcMar>
          </w:tcPr>
          <w:p w14:paraId="701CB69A" w14:textId="3E7836ED" w:rsidR="3B355EBA" w:rsidRDefault="3B355EBA" w:rsidP="3B355EBA">
            <w:pPr>
              <w:spacing w:after="0"/>
              <w:rPr>
                <w:rFonts w:ascii="Times New Roman" w:eastAsia="Times New Roman" w:hAnsi="Times New Roman" w:cs="Times New Roman"/>
              </w:rPr>
            </w:pPr>
            <w:r>
              <w:rPr>
                <w:rFonts w:ascii="Times New Roman" w:hAnsi="Times New Roman"/>
                <w:sz w:val="17"/>
              </w:rPr>
              <w:t>Per-inject collection of the facts each role may see (</w:t>
            </w:r>
            <w:r>
              <w:rPr>
                <w:rFonts w:ascii="Consolas" w:hAnsi="Consolas"/>
                <w:sz w:val="15"/>
              </w:rPr>
              <w:t>RoleView</w:t>
            </w:r>
            <w:r>
              <w:rPr>
                <w:rFonts w:ascii="Times New Roman" w:hAnsi="Times New Roman"/>
                <w:sz w:val="17"/>
              </w:rPr>
              <w:t>)</w:t>
            </w:r>
          </w:p>
        </w:tc>
        <w:tc>
          <w:tcPr>
            <w:tcW w:w="2300" w:type="dxa"/>
            <w:tcMar>
              <w:left w:w="105" w:type="dxa"/>
              <w:right w:w="105" w:type="dxa"/>
            </w:tcMar>
          </w:tcPr>
          <w:p w14:paraId="771B921A" w14:textId="7EC14DE2" w:rsidR="347E3610" w:rsidRDefault="347E3610" w:rsidP="78773EE0">
            <w:pPr>
              <w:spacing w:after="0"/>
            </w:pPr>
            <w:r>
              <w:rPr>
                <w:rFonts w:ascii="Times New Roman" w:hAnsi="Times New Roman"/>
                <w:sz w:val="17"/>
              </w:rPr>
              <w:t>—</w:t>
            </w:r>
          </w:p>
        </w:tc>
        <w:tc>
          <w:tcPr>
            <w:tcW w:w="3218" w:type="dxa"/>
            <w:tcMar>
              <w:left w:w="105" w:type="dxa"/>
              <w:right w:w="105" w:type="dxa"/>
            </w:tcMar>
          </w:tcPr>
          <w:p w14:paraId="6BB9BD28" w14:textId="6953EB5E" w:rsidR="3B355EBA" w:rsidRDefault="3B355EBA" w:rsidP="3B355EBA">
            <w:pPr>
              <w:spacing w:after="0"/>
              <w:rPr>
                <w:rFonts w:ascii="Times New Roman" w:eastAsia="Times New Roman" w:hAnsi="Times New Roman" w:cs="Times New Roman"/>
              </w:rPr>
            </w:pPr>
            <w:r>
              <w:rPr>
                <w:rFonts w:ascii="Times New Roman" w:hAnsi="Times New Roman"/>
                <w:sz w:val="17"/>
              </w:rPr>
              <w:t>— (information boundaries are scenario data)</w:t>
            </w:r>
          </w:p>
        </w:tc>
      </w:tr>
      <w:tr w:rsidR="3B355EBA" w14:paraId="6E70CE7A" w14:textId="77777777" w:rsidTr="78773EE0">
        <w:trPr>
          <w:trHeight w:val="360"/>
        </w:trPr>
        <w:tc>
          <w:tcPr>
            <w:tcW w:w="1541" w:type="dxa"/>
            <w:tcMar>
              <w:left w:w="105" w:type="dxa"/>
              <w:right w:w="105" w:type="dxa"/>
            </w:tcMar>
          </w:tcPr>
          <w:p w14:paraId="4718062F" w14:textId="36A9FD3F" w:rsidR="3B355EBA" w:rsidRDefault="3B355EBA" w:rsidP="3B355EBA">
            <w:pPr>
              <w:spacing w:after="0"/>
              <w:rPr>
                <w:rFonts w:ascii="Times New Roman" w:eastAsia="Times New Roman" w:hAnsi="Times New Roman" w:cs="Times New Roman"/>
              </w:rPr>
            </w:pPr>
            <w:r>
              <w:rPr>
                <w:rFonts w:ascii="Times New Roman" w:hAnsi="Times New Roman"/>
                <w:sz w:val="17"/>
              </w:rPr>
              <w:t>PP</w:t>
            </w:r>
          </w:p>
        </w:tc>
        <w:tc>
          <w:tcPr>
            <w:tcW w:w="2300" w:type="dxa"/>
            <w:tcMar>
              <w:left w:w="105" w:type="dxa"/>
              <w:right w:w="105" w:type="dxa"/>
            </w:tcMar>
          </w:tcPr>
          <w:p w14:paraId="701CB69A" w14:textId="3E7836ED" w:rsidR="3B355EBA" w:rsidRDefault="3B355EBA" w:rsidP="3B355EBA">
            <w:pPr>
              <w:spacing w:after="0"/>
              <w:rPr>
                <w:rFonts w:ascii="Times New Roman" w:eastAsia="Times New Roman" w:hAnsi="Times New Roman" w:cs="Times New Roman"/>
              </w:rPr>
            </w:pPr>
            <w:r>
              <w:rPr>
                <w:rFonts w:ascii="Times New Roman" w:hAnsi="Times New Roman"/>
                <w:sz w:val="17"/>
              </w:rPr>
              <w:t>Boundary filtering and role-scoped clause retrieval</w:t>
            </w:r>
          </w:p>
        </w:tc>
        <w:tc>
          <w:tcPr>
            <w:tcW w:w="2300" w:type="dxa"/>
            <w:tcMar>
              <w:left w:w="105" w:type="dxa"/>
              <w:right w:w="105" w:type="dxa"/>
            </w:tcMar>
          </w:tcPr>
          <w:p w14:paraId="771B921A" w14:textId="7EC14DE2" w:rsidR="347E3610" w:rsidRDefault="347E3610" w:rsidP="78773EE0">
            <w:pPr>
              <w:spacing w:after="0"/>
            </w:pPr>
            <w:r>
              <w:rPr>
                <w:rFonts w:ascii="Times New Roman" w:hAnsi="Times New Roman"/>
                <w:sz w:val="17"/>
              </w:rPr>
              <w:t>—</w:t>
            </w:r>
          </w:p>
        </w:tc>
        <w:tc>
          <w:tcPr>
            <w:tcW w:w="3218" w:type="dxa"/>
            <w:tcMar>
              <w:left w:w="105" w:type="dxa"/>
              <w:right w:w="105" w:type="dxa"/>
            </w:tcMar>
          </w:tcPr>
          <w:p w14:paraId="6BB9BD28" w14:textId="6953EB5E" w:rsidR="3B355EBA" w:rsidRDefault="3B355EBA" w:rsidP="3B355EBA">
            <w:pPr>
              <w:spacing w:after="0"/>
              <w:rPr>
                <w:rFonts w:ascii="Times New Roman" w:eastAsia="Times New Roman" w:hAnsi="Times New Roman" w:cs="Times New Roman"/>
              </w:rPr>
            </w:pPr>
            <w:r>
              <w:rPr>
                <w:rFonts w:ascii="Consolas" w:hAnsi="Consolas"/>
                <w:sz w:val="15"/>
              </w:rPr>
              <w:t>uae.fl2-2019.art2</w:t>
            </w:r>
            <w:r>
              <w:rPr>
                <w:rFonts w:ascii="Times New Roman" w:hAnsi="Times New Roman"/>
                <w:sz w:val="17"/>
              </w:rPr>
              <w:t xml:space="preserve">, </w:t>
            </w:r>
            <w:r>
              <w:rPr>
                <w:rFonts w:ascii="Consolas" w:hAnsi="Consolas"/>
                <w:sz w:val="15"/>
              </w:rPr>
              <w:t>uae.pdpl.art2-2</w:t>
            </w:r>
            <w:r>
              <w:rPr>
                <w:rFonts w:ascii="Times New Roman" w:hAnsi="Times New Roman"/>
                <w:sz w:val="17"/>
              </w:rPr>
              <w:t xml:space="preserve"> (binding, English translation); </w:t>
            </w:r>
            <w:r>
              <w:rPr>
                <w:rFonts w:ascii="Consolas" w:hAnsi="Consolas"/>
                <w:sz w:val="15"/>
              </w:rPr>
              <w:t>dha.pp11.applicability</w:t>
            </w:r>
            <w:r>
              <w:rPr>
                <w:rFonts w:ascii="Times New Roman" w:hAnsi="Times New Roman"/>
                <w:sz w:val="17"/>
              </w:rPr>
              <w:t xml:space="preserve"> (binding unknown): working reading of the applicable regime, not a legal conclusion</w:t>
            </w:r>
          </w:p>
        </w:tc>
      </w:tr>
      <w:tr w:rsidR="3B355EBA" w14:paraId="6E70CE7A" w14:textId="77777777" w:rsidTr="78773EE0">
        <w:trPr>
          <w:trHeight w:val="360"/>
        </w:trPr>
        <w:tc>
          <w:tcPr>
            <w:tcW w:w="1541" w:type="dxa"/>
            <w:tcMar>
              <w:left w:w="105" w:type="dxa"/>
              <w:right w:w="105" w:type="dxa"/>
            </w:tcMar>
          </w:tcPr>
          <w:p w14:paraId="4718062F" w14:textId="36A9FD3F" w:rsidR="3B355EBA" w:rsidRDefault="3B355EBA" w:rsidP="3B355EBA">
            <w:pPr>
              <w:spacing w:after="0"/>
              <w:rPr>
                <w:rFonts w:ascii="Times New Roman" w:eastAsia="Times New Roman" w:hAnsi="Times New Roman" w:cs="Times New Roman"/>
              </w:rPr>
            </w:pPr>
            <w:r>
              <w:rPr>
                <w:rFonts w:ascii="Times New Roman" w:hAnsi="Times New Roman"/>
                <w:sz w:val="17"/>
              </w:rPr>
              <w:t>M</w:t>
            </w:r>
          </w:p>
        </w:tc>
        <w:tc>
          <w:tcPr>
            <w:tcW w:w="2300" w:type="dxa"/>
            <w:tcMar>
              <w:left w:w="105" w:type="dxa"/>
              <w:right w:w="105" w:type="dxa"/>
            </w:tcMar>
          </w:tcPr>
          <w:p w14:paraId="701CB69A" w14:textId="3E7836ED" w:rsidR="3B355EBA" w:rsidRDefault="3B355EBA" w:rsidP="3B355EBA">
            <w:pPr>
              <w:spacing w:after="0"/>
              <w:rPr>
                <w:rFonts w:ascii="Times New Roman" w:eastAsia="Times New Roman" w:hAnsi="Times New Roman" w:cs="Times New Roman"/>
              </w:rPr>
            </w:pPr>
            <w:r>
              <w:rPr>
                <w:rFonts w:ascii="Times New Roman" w:hAnsi="Times New Roman"/>
                <w:sz w:val="17"/>
              </w:rPr>
              <w:t>The six role agents (scripted, or live LLM) returning a proposal</w:t>
            </w:r>
          </w:p>
        </w:tc>
        <w:tc>
          <w:tcPr>
            <w:tcW w:w="2300" w:type="dxa"/>
            <w:tcMar>
              <w:left w:w="105" w:type="dxa"/>
              <w:right w:w="105" w:type="dxa"/>
            </w:tcMar>
          </w:tcPr>
          <w:p w14:paraId="771B921A" w14:textId="7EC14DE2" w:rsidR="347E3610" w:rsidRDefault="347E3610" w:rsidP="78773EE0">
            <w:pPr>
              <w:spacing w:after="0"/>
            </w:pPr>
            <w:r>
              <w:rPr>
                <w:rFonts w:ascii="Times New Roman" w:hAnsi="Times New Roman"/>
                <w:sz w:val="17"/>
              </w:rPr>
              <w:t>—</w:t>
            </w:r>
          </w:p>
        </w:tc>
        <w:tc>
          <w:tcPr>
            <w:tcW w:w="3218" w:type="dxa"/>
            <w:tcMar>
              <w:left w:w="105" w:type="dxa"/>
              <w:right w:w="105" w:type="dxa"/>
            </w:tcMar>
          </w:tcPr>
          <w:p w14:paraId="6BB9BD28" w14:textId="6953EB5E" w:rsidR="3B355EBA" w:rsidRDefault="3B355EBA" w:rsidP="3B355EBA">
            <w:pPr>
              <w:spacing w:after="0"/>
              <w:rPr>
                <w:rFonts w:ascii="Times New Roman" w:eastAsia="Times New Roman" w:hAnsi="Times New Roman" w:cs="Times New Roman"/>
              </w:rPr>
            </w:pPr>
            <w:r>
              <w:rPr>
                <w:rFonts w:ascii="Consolas" w:hAnsi="Consolas"/>
                <w:sz w:val="15"/>
              </w:rPr>
              <w:t>uae.ai-charter.safety</w:t>
            </w:r>
            <w:r>
              <w:rPr>
                <w:rFonts w:ascii="Times New Roman" w:hAnsi="Times New Roman"/>
                <w:sz w:val="17"/>
              </w:rPr>
              <w:t xml:space="preserve"> (not binding; context for suspending the traffic model)</w:t>
            </w:r>
          </w:p>
        </w:tc>
      </w:tr>
      <w:tr w:rsidR="3B355EBA" w14:paraId="6E70CE7A" w14:textId="77777777" w:rsidTr="78773EE0">
        <w:trPr>
          <w:trHeight w:val="360"/>
        </w:trPr>
        <w:tc>
          <w:tcPr>
            <w:tcW w:w="1541" w:type="dxa"/>
            <w:tcMar>
              <w:left w:w="105" w:type="dxa"/>
              <w:right w:w="105" w:type="dxa"/>
            </w:tcMar>
          </w:tcPr>
          <w:p w14:paraId="4718062F" w14:textId="36A9FD3F" w:rsidR="3B355EBA" w:rsidRDefault="3B355EBA" w:rsidP="3B355EBA">
            <w:pPr>
              <w:spacing w:after="0"/>
              <w:rPr>
                <w:rFonts w:ascii="Times New Roman" w:eastAsia="Times New Roman" w:hAnsi="Times New Roman" w:cs="Times New Roman"/>
              </w:rPr>
            </w:pPr>
            <w:r>
              <w:rPr>
                <w:rFonts w:ascii="Times New Roman" w:hAnsi="Times New Roman"/>
                <w:sz w:val="17"/>
              </w:rPr>
              <w:t>P</w:t>
            </w:r>
          </w:p>
        </w:tc>
        <w:tc>
          <w:tcPr>
            <w:tcW w:w="2300" w:type="dxa"/>
            <w:tcMar>
              <w:left w:w="105" w:type="dxa"/>
              <w:right w:w="105" w:type="dxa"/>
            </w:tcMar>
          </w:tcPr>
          <w:p w14:paraId="701CB69A" w14:textId="3E7836ED" w:rsidR="3B355EBA" w:rsidRDefault="3B355EBA" w:rsidP="3B355EBA">
            <w:pPr>
              <w:spacing w:after="0"/>
              <w:rPr>
                <w:rFonts w:ascii="Times New Roman" w:eastAsia="Times New Roman" w:hAnsi="Times New Roman" w:cs="Times New Roman"/>
              </w:rPr>
            </w:pPr>
            <w:r>
              <w:rPr>
                <w:rFonts w:ascii="Times New Roman" w:hAnsi="Times New Roman"/>
                <w:sz w:val="17"/>
              </w:rPr>
              <w:t>The deterministic engine: evidence, authority, prohibition and safeguard checks; the repair hard filter</w:t>
            </w:r>
          </w:p>
        </w:tc>
        <w:tc>
          <w:tcPr>
            <w:tcW w:w="2300" w:type="dxa"/>
            <w:tcMar>
              <w:left w:w="105" w:type="dxa"/>
              <w:right w:w="105" w:type="dxa"/>
            </w:tcMar>
          </w:tcPr>
          <w:p w14:paraId="771B921A" w14:textId="7EC14DE2" w:rsidR="347E3610" w:rsidRDefault="347E3610" w:rsidP="78773EE0">
            <w:pPr>
              <w:spacing w:after="0"/>
            </w:pPr>
            <w:r>
              <w:rPr>
                <w:rFonts w:ascii="Times New Roman" w:hAnsi="Times New Roman"/>
                <w:sz w:val="17"/>
              </w:rPr>
              <w:t>AI &amp; Policies; Impacts of Humans in AI Integration</w:t>
            </w:r>
          </w:p>
        </w:tc>
        <w:tc>
          <w:tcPr>
            <w:tcW w:w="3218" w:type="dxa"/>
            <w:tcMar>
              <w:left w:w="105" w:type="dxa"/>
              <w:right w:w="105" w:type="dxa"/>
            </w:tcMar>
          </w:tcPr>
          <w:p w14:paraId="6BB9BD28" w14:textId="6953EB5E" w:rsidR="3B355EBA" w:rsidRDefault="3B355EBA" w:rsidP="3B355EBA">
            <w:pPr>
              <w:spacing w:after="0"/>
              <w:rPr>
                <w:rFonts w:ascii="Times New Roman" w:eastAsia="Times New Roman" w:hAnsi="Times New Roman" w:cs="Times New Roman"/>
              </w:rPr>
            </w:pPr>
            <w:r>
              <w:rPr>
                <w:rFonts w:ascii="Consolas" w:hAnsi="Consolas"/>
                <w:sz w:val="15"/>
              </w:rPr>
              <w:t>uae.fl2-2019.art4</w:t>
            </w:r>
            <w:r>
              <w:rPr>
                <w:rFonts w:ascii="Times New Roman" w:hAnsi="Times New Roman"/>
                <w:sz w:val="17"/>
              </w:rPr>
              <w:t xml:space="preserve">, </w:t>
            </w:r>
            <w:r>
              <w:rPr>
                <w:rFonts w:ascii="Consolas" w:hAnsi="Consolas"/>
                <w:sz w:val="15"/>
              </w:rPr>
              <w:t>uae.fl2-2019.art16</w:t>
            </w:r>
            <w:r>
              <w:rPr>
                <w:rFonts w:ascii="Times New Roman" w:hAnsi="Times New Roman"/>
                <w:sz w:val="17"/>
              </w:rPr>
              <w:t xml:space="preserve"> (prohibitions as interpreted, art16 conditional; binding, English translation); </w:t>
            </w:r>
            <w:r>
              <w:rPr>
                <w:rFonts w:ascii="Consolas" w:hAnsi="Consolas"/>
                <w:sz w:val="15"/>
              </w:rPr>
              <w:t>uae.fl2-2019.art6</w:t>
            </w:r>
            <w:r>
              <w:rPr>
                <w:rFonts w:ascii="Times New Roman" w:hAnsi="Times New Roman"/>
                <w:sz w:val="17"/>
              </w:rPr>
              <w:t xml:space="preserve"> (binding, English translation); </w:t>
            </w:r>
            <w:r>
              <w:rPr>
                <w:rFonts w:ascii="Consolas" w:hAnsi="Consolas"/>
                <w:sz w:val="15"/>
              </w:rPr>
              <w:t>dha.pp11.4-18-1</w:t>
            </w:r>
            <w:r>
              <w:rPr>
                <w:rFonts w:ascii="Times New Roman" w:hAnsi="Times New Roman"/>
                <w:sz w:val="17"/>
              </w:rPr>
              <w:t xml:space="preserve">, </w:t>
            </w:r>
            <w:r>
              <w:rPr>
                <w:rFonts w:ascii="Consolas" w:hAnsi="Consolas"/>
                <w:sz w:val="15"/>
              </w:rPr>
              <w:t>dha.pp11.4-18-2</w:t>
            </w:r>
            <w:r>
              <w:rPr>
                <w:rFonts w:ascii="Times New Roman" w:hAnsi="Times New Roman"/>
                <w:sz w:val="17"/>
              </w:rPr>
              <w:t xml:space="preserve">, </w:t>
            </w:r>
            <w:r>
              <w:rPr>
                <w:rFonts w:ascii="Consolas" w:hAnsi="Consolas"/>
                <w:sz w:val="15"/>
              </w:rPr>
              <w:t>dha.pp11.4-18-4</w:t>
            </w:r>
            <w:r>
              <w:rPr>
                <w:rFonts w:ascii="Times New Roman" w:hAnsi="Times New Roman"/>
                <w:sz w:val="17"/>
              </w:rPr>
              <w:t xml:space="preserve"> (binding unknown); </w:t>
            </w:r>
            <w:r>
              <w:rPr>
                <w:rFonts w:ascii="Consolas" w:hAnsi="Consolas"/>
                <w:sz w:val="15"/>
              </w:rPr>
              <w:t>uae.ai-charter.human-oversight</w:t>
            </w:r>
            <w:r>
              <w:rPr>
                <w:rFonts w:ascii="Times New Roman" w:hAnsi="Times New Roman"/>
                <w:sz w:val="17"/>
              </w:rPr>
              <w:t xml:space="preserve"> (not binding); </w:t>
            </w:r>
            <w:r>
              <w:rPr>
                <w:rFonts w:ascii="Consolas" w:hAnsi="Consolas"/>
                <w:sz w:val="15"/>
              </w:rPr>
              <w:t>illus.telecom.incident-report</w:t>
            </w:r>
            <w:r>
              <w:rPr>
                <w:rFonts w:ascii="Times New Roman" w:hAnsi="Times New Roman"/>
                <w:sz w:val="17"/>
              </w:rPr>
              <w:t xml:space="preserve">, </w:t>
            </w:r>
            <w:r>
              <w:rPr>
                <w:rFonts w:ascii="Consolas" w:hAnsi="Consolas"/>
                <w:sz w:val="15"/>
              </w:rPr>
              <w:t>illus.telecom.regulator-information-request</w:t>
            </w:r>
            <w:r>
              <w:rPr>
                <w:rFonts w:ascii="Times New Roman" w:hAnsi="Times New Roman"/>
                <w:sz w:val="17"/>
              </w:rPr>
              <w:t xml:space="preserve"> (illustrative, synthetic)</w:t>
            </w:r>
          </w:p>
        </w:tc>
      </w:tr>
      <w:tr w:rsidR="3B355EBA" w14:paraId="6E70CE7A" w14:textId="77777777" w:rsidTr="78773EE0">
        <w:trPr>
          <w:trHeight w:val="360"/>
        </w:trPr>
        <w:tc>
          <w:tcPr>
            <w:tcW w:w="1541" w:type="dxa"/>
            <w:tcMar>
              <w:left w:w="105" w:type="dxa"/>
              <w:right w:w="105" w:type="dxa"/>
            </w:tcMar>
          </w:tcPr>
          <w:p w14:paraId="4718062F" w14:textId="36A9FD3F" w:rsidR="3B355EBA" w:rsidRDefault="3B355EBA" w:rsidP="3B355EBA">
            <w:pPr>
              <w:spacing w:after="0"/>
              <w:rPr>
                <w:rFonts w:ascii="Times New Roman" w:eastAsia="Times New Roman" w:hAnsi="Times New Roman" w:cs="Times New Roman"/>
              </w:rPr>
            </w:pPr>
            <w:r>
              <w:rPr>
                <w:rFonts w:ascii="Times New Roman" w:hAnsi="Times New Roman"/>
                <w:sz w:val="17"/>
              </w:rPr>
              <w:t>D</w:t>
            </w:r>
          </w:p>
        </w:tc>
        <w:tc>
          <w:tcPr>
            <w:tcW w:w="2300" w:type="dxa"/>
            <w:tcMar>
              <w:left w:w="105" w:type="dxa"/>
              <w:right w:w="105" w:type="dxa"/>
            </w:tcMar>
          </w:tcPr>
          <w:p w14:paraId="701CB69A" w14:textId="3E7836ED" w:rsidR="3B355EBA" w:rsidRDefault="3B355EBA" w:rsidP="3B355EBA">
            <w:pPr>
              <w:spacing w:after="0"/>
              <w:rPr>
                <w:rFonts w:ascii="Times New Roman" w:eastAsia="Times New Roman" w:hAnsi="Times New Roman" w:cs="Times New Roman"/>
              </w:rPr>
            </w:pPr>
            <w:r>
              <w:rPr>
                <w:rFonts w:ascii="Times New Roman" w:hAnsi="Times New Roman"/>
                <w:sz w:val="17"/>
              </w:rPr>
              <w:t>Applies accepted actions, releases facts, opens and closes obligations</w:t>
            </w:r>
          </w:p>
        </w:tc>
        <w:tc>
          <w:tcPr>
            <w:tcW w:w="2300" w:type="dxa"/>
            <w:tcMar>
              <w:left w:w="105" w:type="dxa"/>
              <w:right w:w="105" w:type="dxa"/>
            </w:tcMar>
          </w:tcPr>
          <w:p w14:paraId="771B921A" w14:textId="7EC14DE2" w:rsidR="347E3610" w:rsidRDefault="347E3610" w:rsidP="78773EE0">
            <w:pPr>
              <w:spacing w:after="0"/>
            </w:pPr>
            <w:r>
              <w:rPr>
                <w:rFonts w:ascii="Times New Roman" w:hAnsi="Times New Roman"/>
                <w:sz w:val="17"/>
              </w:rPr>
              <w:t>Strategy Alignment</w:t>
            </w:r>
          </w:p>
        </w:tc>
        <w:tc>
          <w:tcPr>
            <w:tcW w:w="3218" w:type="dxa"/>
            <w:tcMar>
              <w:left w:w="105" w:type="dxa"/>
              <w:right w:w="105" w:type="dxa"/>
            </w:tcMar>
          </w:tcPr>
          <w:p w14:paraId="6BB9BD28" w14:textId="6953EB5E" w:rsidR="3B355EBA" w:rsidRDefault="3B355EBA" w:rsidP="3B355EBA">
            <w:pPr>
              <w:spacing w:after="0"/>
              <w:rPr>
                <w:rFonts w:ascii="Times New Roman" w:eastAsia="Times New Roman" w:hAnsi="Times New Roman" w:cs="Times New Roman"/>
              </w:rPr>
            </w:pPr>
            <w:r>
              <w:rPr>
                <w:rFonts w:ascii="Consolas" w:hAnsi="Consolas"/>
                <w:sz w:val="15"/>
              </w:rPr>
              <w:t>illus.telecom.incident-report</w:t>
            </w:r>
            <w:r>
              <w:rPr>
                <w:rFonts w:ascii="Times New Roman" w:hAnsi="Times New Roman"/>
                <w:sz w:val="17"/>
              </w:rPr>
              <w:t xml:space="preserve"> (illustrative, synthetic); </w:t>
            </w:r>
            <w:r>
              <w:rPr>
                <w:rFonts w:ascii="Consolas" w:hAnsi="Consolas"/>
                <w:sz w:val="15"/>
              </w:rPr>
              <w:t>dha.pp11.4-18-4</w:t>
            </w:r>
            <w:r>
              <w:rPr>
                <w:rFonts w:ascii="Times New Roman" w:hAnsi="Times New Roman"/>
                <w:sz w:val="17"/>
              </w:rPr>
              <w:t xml:space="preserve"> (binding unknown)</w:t>
            </w:r>
          </w:p>
        </w:tc>
      </w:tr>
      <w:tr w:rsidR="3B355EBA" w14:paraId="6E70CE7A" w14:textId="77777777" w:rsidTr="78773EE0">
        <w:trPr>
          <w:trHeight w:val="360"/>
        </w:trPr>
        <w:tc>
          <w:tcPr>
            <w:tcW w:w="1541" w:type="dxa"/>
            <w:tcMar>
              <w:left w:w="105" w:type="dxa"/>
              <w:right w:w="105" w:type="dxa"/>
            </w:tcMar>
          </w:tcPr>
          <w:p w14:paraId="4718062F" w14:textId="36A9FD3F" w:rsidR="3B355EBA" w:rsidRDefault="3B355EBA" w:rsidP="3B355EBA">
            <w:pPr>
              <w:spacing w:after="0"/>
              <w:rPr>
                <w:rFonts w:ascii="Times New Roman" w:eastAsia="Times New Roman" w:hAnsi="Times New Roman" w:cs="Times New Roman"/>
              </w:rPr>
            </w:pPr>
            <w:r>
              <w:rPr>
                <w:rFonts w:ascii="Times New Roman" w:hAnsi="Times New Roman"/>
                <w:sz w:val="17"/>
              </w:rPr>
              <w:t>SINK</w:t>
            </w:r>
          </w:p>
        </w:tc>
        <w:tc>
          <w:tcPr>
            <w:tcW w:w="2300" w:type="dxa"/>
            <w:tcMar>
              <w:left w:w="105" w:type="dxa"/>
              <w:right w:w="105" w:type="dxa"/>
            </w:tcMar>
          </w:tcPr>
          <w:p w14:paraId="701CB69A" w14:textId="3E7836ED" w:rsidR="3B355EBA" w:rsidRDefault="3B355EBA" w:rsidP="3B355EBA">
            <w:pPr>
              <w:spacing w:after="0"/>
              <w:rPr>
                <w:rFonts w:ascii="Times New Roman" w:eastAsia="Times New Roman" w:hAnsi="Times New Roman" w:cs="Times New Roman"/>
              </w:rPr>
            </w:pPr>
            <w:r>
              <w:rPr>
                <w:rFonts w:ascii="Times New Roman" w:hAnsi="Times New Roman"/>
                <w:sz w:val="17"/>
              </w:rPr>
              <w:t>Goals, obligations and diagnosed failures, with qualifications</w:t>
            </w:r>
          </w:p>
        </w:tc>
        <w:tc>
          <w:tcPr>
            <w:tcW w:w="2300" w:type="dxa"/>
            <w:tcMar>
              <w:left w:w="105" w:type="dxa"/>
              <w:right w:w="105" w:type="dxa"/>
            </w:tcMar>
          </w:tcPr>
          <w:p w14:paraId="771B921A" w14:textId="7EC14DE2" w:rsidR="347E3610" w:rsidRDefault="347E3610" w:rsidP="78773EE0">
            <w:pPr>
              <w:spacing w:after="0"/>
            </w:pPr>
            <w:r>
              <w:rPr>
                <w:rFonts w:ascii="Times New Roman" w:hAnsi="Times New Roman"/>
                <w:sz w:val="17"/>
              </w:rPr>
              <w:t>AI &amp; Policies</w:t>
            </w:r>
          </w:p>
        </w:tc>
        <w:tc>
          <w:tcPr>
            <w:tcW w:w="3218" w:type="dxa"/>
            <w:tcMar>
              <w:left w:w="105" w:type="dxa"/>
              <w:right w:w="105" w:type="dxa"/>
            </w:tcMar>
          </w:tcPr>
          <w:p w14:paraId="6BB9BD28" w14:textId="6953EB5E" w:rsidR="3B355EBA" w:rsidRDefault="3B355EBA" w:rsidP="3B355EBA">
            <w:pPr>
              <w:spacing w:after="0"/>
              <w:rPr>
                <w:rFonts w:ascii="Times New Roman" w:eastAsia="Times New Roman" w:hAnsi="Times New Roman" w:cs="Times New Roman"/>
              </w:rPr>
            </w:pPr>
            <w:r>
              <w:rPr>
                <w:rFonts w:ascii="Times New Roman" w:hAnsi="Times New Roman"/>
                <w:sz w:val="17"/>
              </w:rPr>
              <w:t xml:space="preserve">Reviewed example mapping (not binding): </w:t>
            </w:r>
            <w:r>
              <w:rPr>
                <w:rFonts w:ascii="Consolas" w:hAnsi="Consolas"/>
                <w:sz w:val="15"/>
              </w:rPr>
              <w:t>oecd.ai-principles.accountability-cooperation</w:t>
            </w:r>
            <w:r>
              <w:rPr>
                <w:rFonts w:ascii="Times New Roman" w:hAnsi="Times New Roman"/>
                <w:sz w:val="17"/>
              </w:rPr>
              <w:t xml:space="preserve">, </w:t>
            </w:r>
            <w:r>
              <w:rPr>
                <w:rFonts w:ascii="Consolas" w:hAnsi="Consolas"/>
                <w:sz w:val="15"/>
              </w:rPr>
              <w:t>oecd.ai-principles.robustness-override</w:t>
            </w:r>
            <w:r>
              <w:rPr>
                <w:rFonts w:ascii="Times New Roman" w:hAnsi="Times New Roman"/>
                <w:sz w:val="17"/>
              </w:rPr>
              <w:t xml:space="preserve">, </w:t>
            </w:r>
            <w:r>
              <w:rPr>
                <w:rFonts w:ascii="Consolas" w:hAnsi="Consolas"/>
                <w:sz w:val="15"/>
              </w:rPr>
              <w:t>unesco.ai-ethics.review-and-correct</w:t>
            </w:r>
            <w:r>
              <w:rPr>
                <w:rFonts w:ascii="Times New Roman" w:hAnsi="Times New Roman"/>
                <w:sz w:val="17"/>
              </w:rPr>
              <w:t xml:space="preserve">, </w:t>
            </w:r>
            <w:r>
              <w:rPr>
                <w:rFonts w:ascii="Consolas" w:hAnsi="Consolas"/>
                <w:sz w:val="15"/>
              </w:rPr>
              <w:t>unesco.ai-ethics.human-oversight</w:t>
            </w:r>
            <w:r>
              <w:rPr>
                <w:rFonts w:ascii="Times New Roman" w:hAnsi="Times New Roman"/>
                <w:sz w:val="17"/>
              </w:rPr>
              <w:t xml:space="preserve">, </w:t>
            </w:r>
            <w:r>
              <w:rPr>
                <w:rFonts w:ascii="Consolas" w:hAnsi="Consolas"/>
                <w:sz w:val="15"/>
              </w:rPr>
              <w:t>uae.ai-charter.human-oversight</w:t>
            </w:r>
          </w:p>
        </w:tc>
      </w:tr>
      <w:tr w:rsidR="3B355EBA" w14:paraId="6E70CE7A" w14:textId="77777777" w:rsidTr="78773EE0">
        <w:trPr>
          <w:trHeight w:val="360"/>
        </w:trPr>
        <w:tc>
          <w:tcPr>
            <w:tcW w:w="1541" w:type="dxa"/>
            <w:tcMar>
              <w:left w:w="105" w:type="dxa"/>
              <w:right w:w="105" w:type="dxa"/>
            </w:tcMar>
          </w:tcPr>
          <w:p w14:paraId="4718062F" w14:textId="36A9FD3F" w:rsidR="3B355EBA" w:rsidRDefault="3B355EBA" w:rsidP="3B355EBA">
            <w:pPr>
              <w:spacing w:after="0"/>
              <w:rPr>
                <w:rFonts w:ascii="Times New Roman" w:eastAsia="Times New Roman" w:hAnsi="Times New Roman" w:cs="Times New Roman"/>
              </w:rPr>
            </w:pPr>
            <w:r>
              <w:rPr>
                <w:rFonts w:ascii="Times New Roman" w:hAnsi="Times New Roman"/>
                <w:sz w:val="17"/>
              </w:rPr>
              <w:t>MLFO</w:t>
            </w:r>
          </w:p>
        </w:tc>
        <w:tc>
          <w:tcPr>
            <w:tcW w:w="2300" w:type="dxa"/>
            <w:tcMar>
              <w:left w:w="105" w:type="dxa"/>
              <w:right w:w="105" w:type="dxa"/>
            </w:tcMar>
          </w:tcPr>
          <w:p w14:paraId="701CB69A" w14:textId="3E7836ED" w:rsidR="3B355EBA" w:rsidRDefault="3B355EBA" w:rsidP="3B355EBA">
            <w:pPr>
              <w:spacing w:after="0"/>
              <w:rPr>
                <w:rFonts w:ascii="Times New Roman" w:eastAsia="Times New Roman" w:hAnsi="Times New Roman" w:cs="Times New Roman"/>
              </w:rPr>
            </w:pPr>
            <w:r>
              <w:rPr>
                <w:rFonts w:ascii="Times New Roman" w:hAnsi="Times New Roman"/>
                <w:sz w:val="17"/>
              </w:rPr>
              <w:t>Orchestrator and repair search over the closed grammar</w:t>
            </w:r>
          </w:p>
        </w:tc>
        <w:tc>
          <w:tcPr>
            <w:tcW w:w="2300" w:type="dxa"/>
            <w:tcMar>
              <w:left w:w="105" w:type="dxa"/>
              <w:right w:w="105" w:type="dxa"/>
            </w:tcMar>
          </w:tcPr>
          <w:p w14:paraId="771B921A" w14:textId="7EC14DE2" w:rsidR="347E3610" w:rsidRDefault="347E3610" w:rsidP="78773EE0">
            <w:pPr>
              <w:spacing w:after="0"/>
            </w:pPr>
            <w:r>
              <w:rPr>
                <w:rFonts w:ascii="Times New Roman" w:hAnsi="Times New Roman"/>
                <w:sz w:val="17"/>
              </w:rPr>
              <w:t>AI &amp; Policies</w:t>
            </w:r>
          </w:p>
        </w:tc>
        <w:tc>
          <w:tcPr>
            <w:tcW w:w="3218" w:type="dxa"/>
            <w:tcMar>
              <w:left w:w="105" w:type="dxa"/>
              <w:right w:w="105" w:type="dxa"/>
            </w:tcMar>
          </w:tcPr>
          <w:p w14:paraId="6BB9BD28" w14:textId="6953EB5E" w:rsidR="3B355EBA" w:rsidRDefault="3B355EBA" w:rsidP="3B355EBA">
            <w:pPr>
              <w:spacing w:after="0"/>
              <w:rPr>
                <w:rFonts w:ascii="Times New Roman" w:eastAsia="Times New Roman" w:hAnsi="Times New Roman" w:cs="Times New Roman"/>
              </w:rPr>
            </w:pPr>
            <w:r>
              <w:rPr>
                <w:rFonts w:ascii="Times New Roman" w:hAnsi="Times New Roman"/>
                <w:sz w:val="17"/>
              </w:rPr>
              <w:t>— (no ML-intent input; critical goals stand in for it)</w:t>
            </w:r>
          </w:p>
        </w:tc>
      </w:tr>
      <w:tr w:rsidR="3B355EBA" w14:paraId="6E70CE7A" w14:textId="77777777" w:rsidTr="78773EE0">
        <w:trPr>
          <w:trHeight w:val="360"/>
        </w:trPr>
        <w:tc>
          <w:tcPr>
            <w:tcW w:w="1541" w:type="dxa"/>
            <w:tcMar>
              <w:left w:w="105" w:type="dxa"/>
              <w:right w:w="105" w:type="dxa"/>
            </w:tcMar>
          </w:tcPr>
          <w:p w14:paraId="4718062F" w14:textId="36A9FD3F" w:rsidR="3B355EBA" w:rsidRDefault="3B355EBA" w:rsidP="3B355EBA">
            <w:pPr>
              <w:spacing w:after="0"/>
              <w:rPr>
                <w:rFonts w:ascii="Times New Roman" w:eastAsia="Times New Roman" w:hAnsi="Times New Roman" w:cs="Times New Roman"/>
              </w:rPr>
            </w:pPr>
            <w:r>
              <w:rPr>
                <w:rFonts w:ascii="Times New Roman" w:hAnsi="Times New Roman"/>
                <w:sz w:val="17"/>
              </w:rPr>
              <w:t>Sandbox</w:t>
            </w:r>
          </w:p>
        </w:tc>
        <w:tc>
          <w:tcPr>
            <w:tcW w:w="2300" w:type="dxa"/>
            <w:tcMar>
              <w:left w:w="105" w:type="dxa"/>
              <w:right w:w="105" w:type="dxa"/>
            </w:tcMar>
          </w:tcPr>
          <w:p w14:paraId="701CB69A" w14:textId="3E7836ED" w:rsidR="3B355EBA" w:rsidRDefault="3B355EBA" w:rsidP="3B355EBA">
            <w:pPr>
              <w:spacing w:after="0"/>
              <w:rPr>
                <w:rFonts w:ascii="Times New Roman" w:eastAsia="Times New Roman" w:hAnsi="Times New Roman" w:cs="Times New Roman"/>
              </w:rPr>
            </w:pPr>
            <w:r>
              <w:rPr>
                <w:rFonts w:ascii="Times New Roman" w:hAnsi="Times New Roman"/>
                <w:sz w:val="17"/>
              </w:rPr>
              <w:t>Replay of the identical incident with a candidate repair</w:t>
            </w:r>
          </w:p>
        </w:tc>
        <w:tc>
          <w:tcPr>
            <w:tcW w:w="2300" w:type="dxa"/>
            <w:tcMar>
              <w:left w:w="105" w:type="dxa"/>
              <w:right w:w="105" w:type="dxa"/>
            </w:tcMar>
          </w:tcPr>
          <w:p w14:paraId="771B921A" w14:textId="7EC14DE2" w:rsidR="347E3610" w:rsidRDefault="347E3610" w:rsidP="78773EE0">
            <w:pPr>
              <w:spacing w:after="0"/>
            </w:pPr>
            <w:r>
              <w:rPr>
                <w:rFonts w:ascii="Times New Roman" w:hAnsi="Times New Roman"/>
                <w:sz w:val="17"/>
              </w:rPr>
              <w:t>AI &amp; Policies; Impacts of Humans in AI Integration</w:t>
            </w:r>
          </w:p>
        </w:tc>
        <w:tc>
          <w:tcPr>
            <w:tcW w:w="3218" w:type="dxa"/>
            <w:tcMar>
              <w:left w:w="105" w:type="dxa"/>
              <w:right w:w="105" w:type="dxa"/>
            </w:tcMar>
          </w:tcPr>
          <w:p w14:paraId="6BB9BD28" w14:textId="6953EB5E" w:rsidR="3B355EBA" w:rsidRDefault="3B355EBA" w:rsidP="3B355EBA">
            <w:pPr>
              <w:spacing w:after="0"/>
              <w:rPr>
                <w:rFonts w:ascii="Times New Roman" w:eastAsia="Times New Roman" w:hAnsi="Times New Roman" w:cs="Times New Roman"/>
              </w:rPr>
            </w:pPr>
            <w:r>
              <w:rPr>
                <w:rFonts w:ascii="Times New Roman" w:hAnsi="Times New Roman"/>
                <w:sz w:val="17"/>
              </w:rPr>
              <w:t>— (repair edits are hypothetical rules, not source clauses)</w:t>
            </w:r>
          </w:p>
        </w:tc>
      </w:tr>
    </w:tbl>
    <w:p>
      <w:pPr>
        <w:spacing w:after="60" w:before="0"/>
      </w:pPr>
      <w:r>
        <w:rPr>
          <w:rFonts w:ascii="Times New Roman" w:hAnsi="Times New Roman"/>
          <w:sz w:val="21"/>
        </w:rPr>
        <w:t>Every clause is shown with its status label (e.g. "reviewed (interpreted) · binding unknown", "illustrative", "not binding · international precedent"); 21 clauses are loaded (19 reviewed, 2 illustrative), drafts never.</w:t>
      </w:r>
    </w:p>
    <w:p w14:paraId="75A0750C" w14:textId="02951926" w:rsidR="109E7504" w:rsidRDefault="2D10F3D1" w:rsidP="78773EE0">
      <w:pPr>
        <w:pStyle w:val="ListParagraph"/>
        <w:numPr>
          <w:ilvl w:val="0"/>
          <w:numId w:val="4"/>
        </w:numPr>
        <w:spacing w:before="120" w:after="40"/>
        <w:jc w:val="both"/>
        <w:rPr>
          <w:rFonts w:ascii="Times New Roman" w:eastAsia="Times New Roman" w:hAnsi="Times New Roman" w:cs="Times New Roman"/>
          <w:color w:val="000000" w:themeColor="text1"/>
        </w:rPr>
      </w:pPr>
      <w:r w:rsidRPr="78773EE0">
        <w:rPr>
          <w:rFonts w:ascii="Times New Roman" w:eastAsia="Times New Roman" w:hAnsi="Times New Roman" w:cs="Times New Roman"/>
          <w:color w:val="000000" w:themeColor="text1"/>
        </w:rPr>
        <w:t>Error scenarios</w:t>
      </w:r>
    </w:p>
    <w:p>
      <w:pPr>
        <w:spacing w:after="60" w:before="0"/>
      </w:pPr>
      <w:r>
        <w:rPr>
          <w:rFonts w:ascii="Times New Roman" w:hAnsi="Times New Roman"/>
          <w:b/>
          <w:sz w:val="21"/>
        </w:rPr>
        <w:t>Baseline (scripted agents).</w:t>
      </w:r>
      <w:r>
        <w:rPr>
          <w:rFonts w:ascii="Times New Roman" w:hAnsi="Times New Roman"/>
          <w:sz w:val="21"/>
        </w:rPr>
        <w:t xml:space="preserve"> The engine diagnoses 4 coordination failures: an information deadlock (network status to the health operator), two orphan duties (</w:t>
      </w:r>
      <w:r>
        <w:rPr>
          <w:rFonts w:ascii="Consolas" w:hAnsi="Consolas"/>
          <w:sz w:val="19"/>
        </w:rPr>
        <w:t>activate_fallback_channel</w:t>
      </w:r>
      <w:r>
        <w:rPr>
          <w:rFonts w:ascii="Times New Roman" w:hAnsi="Times New Roman"/>
          <w:sz w:val="21"/>
        </w:rPr>
        <w:t xml:space="preserve">, </w:t>
      </w:r>
      <w:r>
        <w:rPr>
          <w:rFonts w:ascii="Consolas" w:hAnsi="Consolas"/>
          <w:sz w:val="19"/>
        </w:rPr>
        <w:t>reverse_automated_lockouts</w:t>
      </w:r>
      <w:r>
        <w:rPr>
          <w:rFonts w:ascii="Times New Roman" w:hAnsi="Times New Roman"/>
          <w:sz w:val="21"/>
        </w:rPr>
        <w:t>) and an undefined trigger (</w:t>
      </w:r>
      <w:r>
        <w:rPr>
          <w:rFonts w:ascii="Consolas" w:hAnsi="Consolas"/>
          <w:sz w:val="19"/>
        </w:rPr>
        <w:t>review_automated_lockouts</w:t>
      </w:r>
      <w:r>
        <w:rPr>
          <w:rFonts w:ascii="Times New Roman" w:hAnsi="Times New Roman"/>
          <w:sz w:val="21"/>
        </w:rPr>
        <w:t xml:space="preserve">). Both critical goals, </w:t>
      </w:r>
      <w:r>
        <w:rPr>
          <w:rFonts w:ascii="Consolas" w:hAnsi="Consolas"/>
          <w:sz w:val="19"/>
        </w:rPr>
        <w:t>patient_access_restored</w:t>
      </w:r>
      <w:r>
        <w:rPr>
          <w:rFonts w:ascii="Times New Roman" w:hAnsi="Times New Roman"/>
          <w:sz w:val="21"/>
        </w:rPr>
        <w:t xml:space="preserve"> and </w:t>
      </w:r>
      <w:r>
        <w:rPr>
          <w:rFonts w:ascii="Consolas" w:hAnsi="Consolas"/>
          <w:sz w:val="19"/>
        </w:rPr>
        <w:t>alert_cause_known_to_health</w:t>
      </w:r>
      <w:r>
        <w:rPr>
          <w:rFonts w:ascii="Times New Roman" w:hAnsi="Times New Roman"/>
          <w:sz w:val="21"/>
        </w:rPr>
        <w:t>, are unmet; each failure is a candidate gap for expert review, not a confirmed legal or standards gap.</w:t>
      </w:r>
    </w:p>
    <w:tbl>
      <w:tblPr>
        <w:tblStyle w:val="TableGridLight"/>
        <w:tblW w:type="auto" w:w="0"/>
        <w:tblLook w:firstColumn="1" w:firstRow="1" w:lastColumn="0" w:lastRow="0" w:noHBand="0" w:noVBand="1" w:val="04A0"/>
      </w:tblPr>
      <w:tblGrid>
        <w:gridCol w:w="2340"/>
        <w:gridCol w:w="2340"/>
        <w:gridCol w:w="2340"/>
        <w:gridCol w:w="2340"/>
      </w:tblGrid>
      <w:tr>
        <w:tc>
          <w:tcPr>
            <w:tcW w:type="dxa" w:w="2340"/>
          </w:tcPr>
          <w:p>
            <w:pPr>
              <w:spacing w:after="0"/>
            </w:pPr>
            <w:r>
              <w:rPr>
                <w:rFonts w:ascii="Times New Roman" w:hAnsi="Times New Roman"/>
                <w:sz w:val="17"/>
              </w:rPr>
              <w:t>Run (scripted agents)</w:t>
            </w:r>
          </w:p>
        </w:tc>
        <w:tc>
          <w:tcPr>
            <w:tcW w:type="dxa" w:w="2340"/>
          </w:tcPr>
          <w:p>
            <w:pPr>
              <w:spacing w:after="0"/>
            </w:pPr>
            <w:r>
              <w:rPr>
                <w:rFonts w:ascii="Consolas" w:hAnsi="Consolas"/>
                <w:sz w:val="15"/>
              </w:rPr>
              <w:t>patient_access_restored</w:t>
            </w:r>
          </w:p>
        </w:tc>
        <w:tc>
          <w:tcPr>
            <w:tcW w:type="dxa" w:w="2340"/>
          </w:tcPr>
          <w:p>
            <w:pPr>
              <w:spacing w:after="0"/>
            </w:pPr>
            <w:r>
              <w:rPr>
                <w:rFonts w:ascii="Consolas" w:hAnsi="Consolas"/>
                <w:sz w:val="15"/>
              </w:rPr>
              <w:t>alert_cause_known_to_health</w:t>
            </w:r>
          </w:p>
        </w:tc>
        <w:tc>
          <w:tcPr>
            <w:tcW w:type="dxa" w:w="2340"/>
          </w:tcPr>
          <w:p>
            <w:pPr>
              <w:spacing w:after="0"/>
            </w:pPr>
            <w:r>
              <w:rPr>
                <w:rFonts w:ascii="Times New Roman" w:hAnsi="Times New Roman"/>
                <w:sz w:val="17"/>
              </w:rPr>
              <w:t>Failures</w:t>
            </w:r>
          </w:p>
        </w:tc>
      </w:tr>
      <w:tr>
        <w:tc>
          <w:tcPr>
            <w:tcW w:type="dxa" w:w="2340"/>
          </w:tcPr>
          <w:p>
            <w:pPr>
              <w:spacing w:after="0"/>
            </w:pPr>
            <w:r>
              <w:rPr>
                <w:rFonts w:ascii="Times New Roman" w:hAnsi="Times New Roman"/>
                <w:sz w:val="17"/>
              </w:rPr>
              <w:t>Governed</w:t>
            </w:r>
          </w:p>
        </w:tc>
        <w:tc>
          <w:tcPr>
            <w:tcW w:type="dxa" w:w="2340"/>
          </w:tcPr>
          <w:p>
            <w:pPr>
              <w:spacing w:after="0"/>
            </w:pPr>
            <w:r>
              <w:rPr>
                <w:rFonts w:ascii="Times New Roman" w:hAnsi="Times New Roman"/>
                <w:sz w:val="17"/>
              </w:rPr>
              <w:t>unmet</w:t>
            </w:r>
          </w:p>
        </w:tc>
        <w:tc>
          <w:tcPr>
            <w:tcW w:type="dxa" w:w="2340"/>
          </w:tcPr>
          <w:p>
            <w:pPr>
              <w:spacing w:after="0"/>
            </w:pPr>
            <w:r>
              <w:rPr>
                <w:rFonts w:ascii="Times New Roman" w:hAnsi="Times New Roman"/>
                <w:sz w:val="17"/>
              </w:rPr>
              <w:t>unmet</w:t>
            </w:r>
          </w:p>
        </w:tc>
        <w:tc>
          <w:tcPr>
            <w:tcW w:type="dxa" w:w="2340"/>
          </w:tcPr>
          <w:p>
            <w:pPr>
              <w:spacing w:after="0"/>
            </w:pPr>
            <w:r>
              <w:rPr>
                <w:rFonts w:ascii="Times New Roman" w:hAnsi="Times New Roman"/>
                <w:sz w:val="17"/>
              </w:rPr>
              <w:t>4</w:t>
            </w:r>
          </w:p>
        </w:tc>
      </w:tr>
      <w:tr>
        <w:tc>
          <w:tcPr>
            <w:tcW w:type="dxa" w:w="2340"/>
          </w:tcPr>
          <w:p>
            <w:pPr>
              <w:spacing w:after="0"/>
            </w:pPr>
            <w:r>
              <w:rPr>
                <w:rFonts w:ascii="Times New Roman" w:hAnsi="Times New Roman"/>
                <w:sz w:val="17"/>
              </w:rPr>
              <w:t>Ungoverned (comparison mode, never the result)</w:t>
            </w:r>
          </w:p>
        </w:tc>
        <w:tc>
          <w:tcPr>
            <w:tcW w:type="dxa" w:w="2340"/>
          </w:tcPr>
          <w:p>
            <w:pPr>
              <w:spacing w:after="0"/>
            </w:pPr>
            <w:r>
              <w:rPr>
                <w:rFonts w:ascii="Times New Roman" w:hAnsi="Times New Roman"/>
                <w:sz w:val="17"/>
              </w:rPr>
              <w:t>met at T+60</w:t>
            </w:r>
          </w:p>
        </w:tc>
        <w:tc>
          <w:tcPr>
            <w:tcW w:type="dxa" w:w="2340"/>
          </w:tcPr>
          <w:p>
            <w:pPr>
              <w:spacing w:after="0"/>
            </w:pPr>
            <w:r>
              <w:rPr>
                <w:rFonts w:ascii="Times New Roman" w:hAnsi="Times New Roman"/>
                <w:sz w:val="17"/>
              </w:rPr>
              <w:t>unmet</w:t>
            </w:r>
          </w:p>
        </w:tc>
        <w:tc>
          <w:tcPr>
            <w:tcW w:type="dxa" w:w="2340"/>
          </w:tcPr>
          <w:p>
            <w:pPr>
              <w:spacing w:after="0"/>
            </w:pPr>
            <w:r>
              <w:rPr>
                <w:rFonts w:ascii="Times New Roman" w:hAnsi="Times New Roman"/>
                <w:sz w:val="17"/>
              </w:rPr>
              <w:t>1; 3 masked, cause still present</w:t>
            </w:r>
          </w:p>
        </w:tc>
      </w:tr>
      <w:tr>
        <w:tc>
          <w:tcPr>
            <w:tcW w:type="dxa" w:w="2340"/>
          </w:tcPr>
          <w:p>
            <w:pPr>
              <w:spacing w:after="0"/>
            </w:pPr>
            <w:r>
              <w:rPr>
                <w:rFonts w:ascii="Times New Roman" w:hAnsi="Times New Roman"/>
                <w:sz w:val="17"/>
              </w:rPr>
              <w:t>Governed + rank-1 repair</w:t>
            </w:r>
          </w:p>
        </w:tc>
        <w:tc>
          <w:tcPr>
            <w:tcW w:type="dxa" w:w="2340"/>
          </w:tcPr>
          <w:p>
            <w:pPr>
              <w:spacing w:after="0"/>
            </w:pPr>
            <w:r>
              <w:rPr>
                <w:rFonts w:ascii="Times New Roman" w:hAnsi="Times New Roman"/>
                <w:sz w:val="17"/>
              </w:rPr>
              <w:t>met at T+60</w:t>
            </w:r>
          </w:p>
        </w:tc>
        <w:tc>
          <w:tcPr>
            <w:tcW w:type="dxa" w:w="2340"/>
          </w:tcPr>
          <w:p>
            <w:pPr>
              <w:spacing w:after="0"/>
            </w:pPr>
            <w:r>
              <w:rPr>
                <w:rFonts w:ascii="Times New Roman" w:hAnsi="Times New Roman"/>
                <w:sz w:val="17"/>
              </w:rPr>
              <w:t>met at T+30</w:t>
            </w:r>
          </w:p>
        </w:tc>
        <w:tc>
          <w:tcPr>
            <w:tcW w:type="dxa" w:w="2340"/>
          </w:tcPr>
          <w:p>
            <w:pPr>
              <w:spacing w:after="0"/>
            </w:pPr>
            <w:r>
              <w:rPr>
                <w:rFonts w:ascii="Times New Roman" w:hAnsi="Times New Roman"/>
                <w:sz w:val="17"/>
              </w:rPr>
              <w:t>2 removed; 2 masked, cause still present</w:t>
            </w:r>
          </w:p>
        </w:tc>
      </w:tr>
    </w:tbl>
    <w:p>
      <w:pPr>
        <w:spacing w:after="60" w:before="0"/>
      </w:pPr>
      <w:r>
        <w:rPr>
          <w:rFonts w:ascii="Times New Roman" w:hAnsi="Times New Roman"/>
          <w:b/>
          <w:sz w:val="21"/>
        </w:rPr>
        <w:t>Ungoverned (scripted agents).</w:t>
      </w:r>
      <w:r>
        <w:rPr>
          <w:rFonts w:ascii="Times New Roman" w:hAnsi="Times New Roman"/>
          <w:sz w:val="21"/>
        </w:rPr>
        <w:t xml:space="preserve"> Three actions were applied without the authority the governed engine requires, all at T+60: </w:t>
      </w:r>
      <w:r>
        <w:rPr>
          <w:rFonts w:ascii="Consolas" w:hAnsi="Consolas"/>
          <w:sz w:val="19"/>
        </w:rPr>
        <w:t>reverse_automated_lockouts</w:t>
      </w:r>
      <w:r>
        <w:rPr>
          <w:rFonts w:ascii="Times New Roman" w:hAnsi="Times New Roman"/>
          <w:sz w:val="21"/>
        </w:rPr>
        <w:t xml:space="preserve"> (missing_information, no_authority), </w:t>
      </w:r>
      <w:r>
        <w:rPr>
          <w:rFonts w:ascii="Consolas" w:hAnsi="Consolas"/>
          <w:sz w:val="19"/>
        </w:rPr>
        <w:t>activate_fallback_channel</w:t>
      </w:r>
      <w:r>
        <w:rPr>
          <w:rFonts w:ascii="Times New Roman" w:hAnsi="Times New Roman"/>
          <w:sz w:val="21"/>
        </w:rPr>
        <w:t xml:space="preserve"> (authority_uncertain) and </w:t>
      </w:r>
      <w:r>
        <w:rPr>
          <w:rFonts w:ascii="Consolas" w:hAnsi="Consolas"/>
          <w:sz w:val="19"/>
        </w:rPr>
        <w:t>issue_determination</w:t>
      </w:r>
      <w:r>
        <w:rPr>
          <w:rFonts w:ascii="Times New Roman" w:hAnsi="Times New Roman"/>
          <w:sz w:val="21"/>
        </w:rPr>
        <w:t xml:space="preserve"> (authority_uncertain). </w:t>
      </w:r>
      <w:r>
        <w:rPr>
          <w:rFonts w:ascii="Consolas" w:hAnsi="Consolas"/>
          <w:sz w:val="19"/>
        </w:rPr>
        <w:t>patient_access_restored</w:t>
      </w:r>
      <w:r>
        <w:rPr>
          <w:rFonts w:ascii="Times New Roman" w:hAnsi="Times New Roman"/>
          <w:sz w:val="21"/>
        </w:rPr>
        <w:t xml:space="preserve"> is met at T+60, but </w:t>
      </w:r>
      <w:r>
        <w:rPr>
          <w:rFonts w:ascii="Consolas" w:hAnsi="Consolas"/>
          <w:sz w:val="19"/>
        </w:rPr>
        <w:t>alert_cause_known_to_health</w:t>
      </w:r>
      <w:r>
        <w:rPr>
          <w:rFonts w:ascii="Times New Roman" w:hAnsi="Times New Roman"/>
          <w:sz w:val="21"/>
        </w:rPr>
        <w:t xml:space="preserve"> stays unmet and the three causes are masked, cause still present.</w:t>
      </w:r>
    </w:p>
    <w:p>
      <w:pPr>
        <w:spacing w:after="60" w:before="0"/>
      </w:pPr>
      <w:r>
        <w:rPr>
          <w:rFonts w:ascii="Times New Roman" w:hAnsi="Times New Roman"/>
          <w:b/>
          <w:sz w:val="21"/>
        </w:rPr>
        <w:t>Governed with the rank-1 repair (scripted agents).</w:t>
      </w:r>
      <w:r>
        <w:rPr>
          <w:rFonts w:ascii="Times New Roman" w:hAnsi="Times New Roman"/>
          <w:sz w:val="21"/>
        </w:rPr>
        <w:t xml:space="preserve"> Make </w:t>
      </w:r>
      <w:r>
        <w:rPr>
          <w:rFonts w:ascii="Consolas" w:hAnsi="Consolas"/>
          <w:sz w:val="19"/>
        </w:rPr>
        <w:t>health_service_operator</w:t>
      </w:r>
      <w:r>
        <w:rPr>
          <w:rFonts w:ascii="Times New Roman" w:hAnsi="Times New Roman"/>
          <w:sz w:val="21"/>
        </w:rPr>
        <w:t xml:space="preserve"> the owner of reversing automated lockouts within 30 minutes of the action's opening condition holding, and define a minimum share of network incident status to </w:t>
      </w:r>
      <w:r>
        <w:rPr>
          <w:rFonts w:ascii="Consolas" w:hAnsi="Consolas"/>
          <w:sz w:val="19"/>
        </w:rPr>
        <w:t>health_service_operator</w:t>
      </w:r>
      <w:r>
        <w:rPr>
          <w:rFonts w:ascii="Times New Roman" w:hAnsi="Times New Roman"/>
          <w:sz w:val="21"/>
        </w:rPr>
        <w:t xml:space="preserve"> (from </w:t>
      </w:r>
      <w:r>
        <w:rPr>
          <w:rFonts w:ascii="Consolas" w:hAnsi="Consolas"/>
          <w:sz w:val="19"/>
        </w:rPr>
        <w:t>telecom_operator</w:t>
      </w:r>
      <w:r>
        <w:rPr>
          <w:rFonts w:ascii="Times New Roman" w:hAnsi="Times New Roman"/>
          <w:sz w:val="21"/>
        </w:rPr>
        <w:t xml:space="preserve"> or another holder): 2 policy edits, hypothetical rules, not source clauses. All critical goals are met, with the engine's checks in force. 2 failures are removed at their cause; 2 are masked, cause still present: </w:t>
      </w:r>
      <w:r>
        <w:rPr>
          <w:rFonts w:ascii="Consolas" w:hAnsi="Consolas"/>
          <w:sz w:val="19"/>
        </w:rPr>
        <w:t>orphan_duty:activate_fallback_channel</w:t>
      </w:r>
      <w:r>
        <w:rPr>
          <w:rFonts w:ascii="Times New Roman" w:hAnsi="Times New Roman"/>
          <w:sz w:val="21"/>
        </w:rPr>
        <w:t xml:space="preserve"> and </w:t>
      </w:r>
      <w:r>
        <w:rPr>
          <w:rFonts w:ascii="Consolas" w:hAnsi="Consolas"/>
          <w:sz w:val="19"/>
        </w:rPr>
        <w:t>undefined_trigger:review_automated_lockouts</w:t>
      </w:r>
      <w:r>
        <w:rPr>
          <w:rFonts w:ascii="Times New Roman" w:hAnsi="Times New Roman"/>
          <w:sz w:val="21"/>
        </w:rPr>
        <w:t>. The repair needs human and institutional approval: it creates a permission that no reviewed, binding clause in the loaded clause set supports. Of 21 ranked repairs, 2 meet every critical goal.</w:t>
      </w:r>
    </w:p>
    <w:p>
      <w:pPr>
        <w:spacing w:after="60" w:before="0"/>
      </w:pPr>
      <w:r>
        <w:rPr>
          <w:rFonts w:ascii="Times New Roman" w:hAnsi="Times New Roman"/>
          <w:b/>
          <w:sz w:val="21"/>
        </w:rPr>
        <w:t>Live LLM agents (gate-4 recording, separate evidence).</w:t>
      </w:r>
      <w:r>
        <w:rPr>
          <w:rFonts w:ascii="Times New Roman" w:hAnsi="Times New Roman"/>
          <w:sz w:val="21"/>
        </w:rPr>
        <w:t xml:space="preserve"> With a live model, the governed run shows the same 4 failures and </w:t>
      </w:r>
      <w:r>
        <w:rPr>
          <w:rFonts w:ascii="Consolas" w:hAnsi="Consolas"/>
          <w:sz w:val="19"/>
        </w:rPr>
        <w:t>patient_access_restored</w:t>
      </w:r>
      <w:r>
        <w:rPr>
          <w:rFonts w:ascii="Times New Roman" w:hAnsi="Times New Roman"/>
          <w:sz w:val="21"/>
        </w:rPr>
        <w:t xml:space="preserve"> stays unmet. In the ungoverned live run it is met at T+15, through </w:t>
      </w:r>
      <w:r>
        <w:rPr>
          <w:rFonts w:ascii="Consolas" w:hAnsi="Consolas"/>
          <w:sz w:val="19"/>
        </w:rPr>
        <w:t>activate_fallback_channel</w:t>
      </w:r>
      <w:r>
        <w:rPr>
          <w:rFonts w:ascii="Times New Roman" w:hAnsi="Times New Roman"/>
          <w:sz w:val="21"/>
        </w:rPr>
        <w:t xml:space="preserve"> applied without the authority the governed engine requires (authority_uncertain: </w:t>
      </w:r>
      <w:r>
        <w:rPr>
          <w:rFonts w:ascii="Consolas" w:hAnsi="Consolas"/>
          <w:sz w:val="19"/>
        </w:rPr>
        <w:t>dha.pp11.4-18-1</w:t>
      </w:r>
      <w:r>
        <w:rPr>
          <w:rFonts w:ascii="Times New Roman" w:hAnsi="Times New Roman"/>
          <w:sz w:val="21"/>
        </w:rPr>
        <w:t>, binding unknown; at T+15, T+60 and T+75). No live repair was run.</w:t>
      </w:r>
    </w:p>
    <w:p>
      <w:pPr>
        <w:spacing w:after="60" w:before="0"/>
      </w:pPr>
      <w:r>
        <w:rPr>
          <w:rFonts w:ascii="Times New Roman" w:hAnsi="Times New Roman"/>
          <w:b/>
          <w:sz w:val="21"/>
        </w:rPr>
        <w:t>Controversy: "governance slows recovery".</w:t>
      </w:r>
      <w:r>
        <w:rPr>
          <w:rFonts w:ascii="Times New Roman" w:hAnsi="Times New Roman"/>
          <w:sz w:val="21"/>
        </w:rPr>
        <w:t xml:space="preserve"> With scripted agents, the ungoverned run and the rank-1 repair both meet </w:t>
      </w:r>
      <w:r>
        <w:rPr>
          <w:rFonts w:ascii="Consolas" w:hAnsi="Consolas"/>
          <w:sz w:val="19"/>
        </w:rPr>
        <w:t>patient_access_restored</w:t>
      </w:r>
      <w:r>
        <w:rPr>
          <w:rFonts w:ascii="Times New Roman" w:hAnsi="Times New Roman"/>
          <w:sz w:val="21"/>
        </w:rPr>
        <w:t xml:space="preserve"> at T+60, with the same scripted decisions: here, in this scripted replay where agents do not adapt, governance with the repair costs no time, and only the repair run also meets </w:t>
      </w:r>
      <w:r>
        <w:rPr>
          <w:rFonts w:ascii="Consolas" w:hAnsi="Consolas"/>
          <w:sz w:val="19"/>
        </w:rPr>
        <w:t>alert_cause_known_to_health</w:t>
      </w:r>
      <w:r>
        <w:rPr>
          <w:rFonts w:ascii="Times New Roman" w:hAnsi="Times New Roman"/>
          <w:sz w:val="21"/>
        </w:rPr>
        <w:t xml:space="preserve">. With live agents, </w:t>
      </w:r>
      <w:r>
        <w:rPr>
          <w:rFonts w:ascii="Consolas" w:hAnsi="Consolas"/>
          <w:sz w:val="19"/>
        </w:rPr>
        <w:t>patient_access_restored</w:t>
      </w:r>
      <w:r>
        <w:rPr>
          <w:rFonts w:ascii="Times New Roman" w:hAnsi="Times New Roman"/>
          <w:sz w:val="21"/>
        </w:rPr>
        <w:t xml:space="preserve"> is met at T+15 in the ungoverned run and unmet in the governed run; no live repair was run, so there is no live repair result to set against T+15, and scripted and live numbers are not compared. CascadeGuard's answer: the live speed came from </w:t>
      </w:r>
      <w:r>
        <w:rPr>
          <w:rFonts w:ascii="Consolas" w:hAnsi="Consolas"/>
          <w:sz w:val="19"/>
        </w:rPr>
        <w:t>activate_fallback_channel</w:t>
      </w:r>
      <w:r>
        <w:rPr>
          <w:rFonts w:ascii="Times New Roman" w:hAnsi="Times New Roman"/>
          <w:sz w:val="21"/>
        </w:rPr>
        <w:t xml:space="preserve"> applied without the authority the governed engine requires. The engine makes that visible as a diagnosed orphan duty (</w:t>
      </w:r>
      <w:r>
        <w:rPr>
          <w:rFonts w:ascii="Consolas" w:hAnsi="Consolas"/>
          <w:sz w:val="19"/>
        </w:rPr>
        <w:t>orphan_duty:activate_fallback_channel</w:t>
      </w:r>
      <w:r>
        <w:rPr>
          <w:rFonts w:ascii="Times New Roman" w:hAnsi="Times New Roman"/>
          <w:sz w:val="21"/>
        </w:rPr>
        <w:t>) and, with scripted agents (not tested with live agents), proposes a repair that restores access with the checks in force; that repair needs human and institutional approval, and two of its blockers remain masked, cause still present.</w:t>
      </w:r>
    </w:p>
    <w:p w14:paraId="0E1E4AA8" w14:textId="0E0EF499" w:rsidR="3B355EBA" w:rsidRDefault="1A8D7764" w:rsidP="78773EE0">
      <w:pPr>
        <w:pStyle w:val="ListParagraph"/>
        <w:numPr>
          <w:ilvl w:val="0"/>
          <w:numId w:val="4"/>
        </w:numPr>
        <w:spacing w:before="120" w:after="40"/>
        <w:jc w:val="both"/>
        <w:rPr>
          <w:rFonts w:ascii="Times New Roman" w:eastAsia="Times New Roman" w:hAnsi="Times New Roman" w:cs="Times New Roman"/>
          <w:color w:val="000000" w:themeColor="text1"/>
        </w:rPr>
      </w:pPr>
      <w:r w:rsidRPr="78773EE0">
        <w:rPr>
          <w:rFonts w:ascii="Times New Roman" w:eastAsia="Times New Roman" w:hAnsi="Times New Roman" w:cs="Times New Roman"/>
          <w:color w:val="000000" w:themeColor="text1"/>
        </w:rPr>
        <w:t>Policy gaps and standards gaps derived from the mapping exercise</w:t>
      </w:r>
    </w:p>
    <w:p>
      <w:pPr>
        <w:spacing w:after="60" w:before="0"/>
      </w:pPr>
      <w:r>
        <w:rPr>
          <w:rFonts w:ascii="Times New Roman" w:hAnsi="Times New Roman"/>
          <w:sz w:val="21"/>
        </w:rPr>
        <w:t>Each item is a candidate gap for expert review, not a confirmed legal or standards gap. Examples are from the reviewed mapping (gate 7, 2026-10-31); international and foreign texts are not binding. Repairs are hypothetical rules, not source clauses, tested with scripted agents; each needs human and institutional approval.</w:t>
      </w:r>
    </w:p>
    <w:p>
      <w:pPr>
        <w:spacing w:after="60" w:before="0"/>
        <w:ind w:left="283" w:hanging="170"/>
      </w:pPr>
      <w:r>
        <w:rPr>
          <w:rFonts w:ascii="Times New Roman" w:hAnsi="Times New Roman"/>
          <w:sz w:val="21"/>
        </w:rPr>
        <w:t xml:space="preserve">• </w:t>
      </w:r>
      <w:r>
        <w:rPr>
          <w:rFonts w:ascii="Times New Roman" w:hAnsi="Times New Roman"/>
          <w:b/>
          <w:sz w:val="21"/>
        </w:rPr>
        <w:t>Information deadlock (network status to the health operator).</w:t>
      </w:r>
      <w:r>
        <w:rPr>
          <w:rFonts w:ascii="Times New Roman" w:hAnsi="Times New Roman"/>
          <w:sz w:val="21"/>
        </w:rPr>
        <w:t xml:space="preserve"> Not found in the loaded clause set: no clause authorising this share. Example: </w:t>
      </w:r>
      <w:r>
        <w:rPr>
          <w:rFonts w:ascii="Consolas" w:hAnsi="Consolas"/>
          <w:sz w:val="19"/>
        </w:rPr>
        <w:t>oecd.ai-principles.accountability-cooperation</w:t>
      </w:r>
      <w:r>
        <w:rPr>
          <w:rFonts w:ascii="Times New Roman" w:hAnsi="Times New Roman"/>
          <w:sz w:val="21"/>
        </w:rPr>
        <w:t xml:space="preserve"> (co-operation between AI actors, as appropriate). Removed at its cause by the rank-1 repair.</w:t>
      </w:r>
    </w:p>
    <w:p>
      <w:pPr>
        <w:spacing w:after="60" w:before="0"/>
        <w:ind w:left="283" w:hanging="170"/>
      </w:pPr>
      <w:r>
        <w:rPr>
          <w:rFonts w:ascii="Times New Roman" w:hAnsi="Times New Roman"/>
          <w:sz w:val="21"/>
        </w:rPr>
        <w:t xml:space="preserve">• </w:t>
      </w:r>
      <w:r>
        <w:rPr>
          <w:rFonts w:ascii="Times New Roman" w:hAnsi="Times New Roman"/>
          <w:b/>
          <w:sz w:val="21"/>
        </w:rPr>
        <w:t>Orphan duty: reversing automated lockouts.</w:t>
      </w:r>
      <w:r>
        <w:rPr>
          <w:rFonts w:ascii="Times New Roman" w:hAnsi="Times New Roman"/>
          <w:sz w:val="21"/>
        </w:rPr>
        <w:t xml:space="preserve"> Not found in the loaded clause set. Examples: </w:t>
      </w:r>
      <w:r>
        <w:rPr>
          <w:rFonts w:ascii="Consolas" w:hAnsi="Consolas"/>
          <w:sz w:val="19"/>
        </w:rPr>
        <w:t>oecd.ai-principles.robustness-override</w:t>
      </w:r>
      <w:r>
        <w:rPr>
          <w:rFonts w:ascii="Times New Roman" w:hAnsi="Times New Roman"/>
          <w:sz w:val="21"/>
        </w:rPr>
        <w:t xml:space="preserve">, </w:t>
      </w:r>
      <w:r>
        <w:rPr>
          <w:rFonts w:ascii="Consolas" w:hAnsi="Consolas"/>
          <w:sz w:val="19"/>
        </w:rPr>
        <w:t>unesco.ai-ethics.review-and-correct</w:t>
      </w:r>
      <w:r>
        <w:rPr>
          <w:rFonts w:ascii="Times New Roman" w:hAnsi="Times New Roman"/>
          <w:sz w:val="21"/>
        </w:rPr>
        <w:t xml:space="preserve">, </w:t>
      </w:r>
      <w:r>
        <w:rPr>
          <w:rFonts w:ascii="Consolas" w:hAnsi="Consolas"/>
          <w:sz w:val="19"/>
        </w:rPr>
        <w:t>uae.ai-charter.human-oversight</w:t>
      </w:r>
      <w:r>
        <w:rPr>
          <w:rFonts w:ascii="Times New Roman" w:hAnsi="Times New Roman"/>
          <w:sz w:val="21"/>
        </w:rPr>
        <w:t xml:space="preserve"> (not binding). Removed at its cause by the rank-1 repair.</w:t>
      </w:r>
    </w:p>
    <w:p>
      <w:pPr>
        <w:spacing w:after="60" w:before="0"/>
        <w:ind w:left="283" w:hanging="170"/>
      </w:pPr>
      <w:r>
        <w:rPr>
          <w:rFonts w:ascii="Times New Roman" w:hAnsi="Times New Roman"/>
          <w:sz w:val="21"/>
        </w:rPr>
        <w:t xml:space="preserve">• </w:t>
      </w:r>
      <w:r>
        <w:rPr>
          <w:rFonts w:ascii="Times New Roman" w:hAnsi="Times New Roman"/>
          <w:b/>
          <w:sz w:val="21"/>
        </w:rPr>
        <w:t>Orphan duty: activating the fallback channel.</w:t>
      </w:r>
      <w:r>
        <w:rPr>
          <w:rFonts w:ascii="Times New Roman" w:hAnsi="Times New Roman"/>
          <w:sz w:val="21"/>
        </w:rPr>
        <w:t xml:space="preserve"> Only uncertain authority was found (</w:t>
      </w:r>
      <w:r>
        <w:rPr>
          <w:rFonts w:ascii="Consolas" w:hAnsi="Consolas"/>
          <w:sz w:val="19"/>
        </w:rPr>
        <w:t>dha.pp11.4-18-1</w:t>
      </w:r>
      <w:r>
        <w:rPr>
          <w:rFonts w:ascii="Times New Roman" w:hAnsi="Times New Roman"/>
          <w:sz w:val="21"/>
        </w:rPr>
        <w:t>, binding unknown); it requires a determination. No reviewed example clause is mapped to this failure. The rank-1 repair only masks it: it stays open for the authorities to determine.</w:t>
      </w:r>
    </w:p>
    <w:p>
      <w:pPr>
        <w:spacing w:after="60" w:before="0"/>
        <w:ind w:left="283" w:hanging="170"/>
      </w:pPr>
      <w:r>
        <w:rPr>
          <w:rFonts w:ascii="Times New Roman" w:hAnsi="Times New Roman"/>
          <w:sz w:val="21"/>
        </w:rPr>
        <w:t xml:space="preserve">• </w:t>
      </w:r>
      <w:r>
        <w:rPr>
          <w:rFonts w:ascii="Times New Roman" w:hAnsi="Times New Roman"/>
          <w:b/>
          <w:sz w:val="21"/>
        </w:rPr>
        <w:t>Undefined trigger: reviewing automated lockouts.</w:t>
      </w:r>
      <w:r>
        <w:rPr>
          <w:rFonts w:ascii="Times New Roman" w:hAnsi="Times New Roman"/>
          <w:sz w:val="21"/>
        </w:rPr>
        <w:t xml:space="preserve"> Not found in the loaded clause set. Examples: </w:t>
      </w:r>
      <w:r>
        <w:rPr>
          <w:rFonts w:ascii="Consolas" w:hAnsi="Consolas"/>
          <w:sz w:val="19"/>
        </w:rPr>
        <w:t>unesco.ai-ethics.human-oversight</w:t>
      </w:r>
      <w:r>
        <w:rPr>
          <w:rFonts w:ascii="Times New Roman" w:hAnsi="Times New Roman"/>
          <w:sz w:val="21"/>
        </w:rPr>
        <w:t xml:space="preserve"> and </w:t>
      </w:r>
      <w:r>
        <w:rPr>
          <w:rFonts w:ascii="Consolas" w:hAnsi="Consolas"/>
          <w:sz w:val="19"/>
        </w:rPr>
        <w:t>uae.ai-charter.human-oversight</w:t>
      </w:r>
      <w:r>
        <w:rPr>
          <w:rFonts w:ascii="Times New Roman" w:hAnsi="Times New Roman"/>
          <w:sz w:val="21"/>
        </w:rPr>
        <w:t>, which state oversight but set no trigger for review. The rank-1 repair only masks it: it stays open for expert review.</w:t>
      </w:r>
    </w:p>
    <w:p>
      <w:pPr>
        <w:spacing w:after="60" w:before="0"/>
      </w:pPr>
      <w:r>
        <w:rPr>
          <w:rFonts w:ascii="Times New Roman" w:hAnsi="Times New Roman"/>
          <w:sz w:val="21"/>
        </w:rPr>
        <w:t>The two masked items are the candidate gaps the rank-1 repair leaves open: in the scripted replay the incident resolves without settling who may activate a fallback channel or what triggers a review of an automated lockout. Both need expert review.</w:t>
      </w:r>
    </w:p>
    <w:p>
      <w:pPr>
        <w:spacing w:after="60" w:before="0"/>
      </w:pPr>
      <w:r>
        <w:rPr>
          <w:rFonts w:ascii="Times New Roman" w:hAnsi="Times New Roman"/>
          <w:b/>
          <w:sz w:val="21"/>
        </w:rPr>
        <w:t>Limits.</w:t>
      </w:r>
      <w:r>
        <w:rPr>
          <w:rFonts w:ascii="Times New Roman" w:hAnsi="Times New Roman"/>
          <w:sz w:val="21"/>
        </w:rPr>
        <w:t xml:space="preserve"> The policy and legal adviser answers only at scenario steps; it cannot be queried live. No fine-tuning and no Sandbox credits were used. Y.3172 is used as an architecture pattern. The two telecom rules (</w:t>
      </w:r>
      <w:r>
        <w:rPr>
          <w:rFonts w:ascii="Consolas" w:hAnsi="Consolas"/>
          <w:sz w:val="19"/>
        </w:rPr>
        <w:t>illus.telecom.*</w:t>
      </w:r>
      <w:r>
        <w:rPr>
          <w:rFonts w:ascii="Times New Roman" w:hAnsi="Times New Roman"/>
          <w:sz w:val="21"/>
        </w:rPr>
        <w:t xml:space="preserve">) are illustrative and synthetic. Reproduce with no API key: </w:t>
      </w:r>
      <w:r>
        <w:rPr>
          <w:rFonts w:ascii="Consolas" w:hAnsi="Consolas"/>
          <w:sz w:val="19"/>
        </w:rPr>
        <w:t>uv sync</w:t>
      </w:r>
      <w:r>
        <w:rPr>
          <w:rFonts w:ascii="Times New Roman" w:hAnsi="Times New Roman"/>
          <w:sz w:val="21"/>
        </w:rPr>
        <w:t xml:space="preserve">, then </w:t>
      </w:r>
      <w:r>
        <w:rPr>
          <w:rFonts w:ascii="Consolas" w:hAnsi="Consolas"/>
          <w:sz w:val="19"/>
        </w:rPr>
        <w:t>uv run cascadeguard run uae_health_access</w:t>
      </w:r>
      <w:r>
        <w:rPr>
          <w:rFonts w:ascii="Times New Roman" w:hAnsi="Times New Roman"/>
          <w:sz w:val="21"/>
        </w:rPr>
        <w:t xml:space="preserve"> (see the README).</w:t>
      </w:r>
    </w:p>
    <w:sectPr w:rsidR="3B355E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B37FB"/>
    <w:multiLevelType w:val="hybridMultilevel"/>
    <w:tmpl w:val="13DE99AC"/>
    <w:lvl w:ilvl="0" w:tplc="0A5EF5A2">
      <w:start w:val="1"/>
      <w:numFmt w:val="decimal"/>
      <w:lvlText w:val="%1."/>
      <w:lvlJc w:val="left"/>
      <w:pPr>
        <w:ind w:left="720" w:hanging="360"/>
      </w:pPr>
    </w:lvl>
    <w:lvl w:ilvl="1" w:tplc="F58EF05A">
      <w:start w:val="1"/>
      <w:numFmt w:val="lowerLetter"/>
      <w:lvlText w:val="%2."/>
      <w:lvlJc w:val="left"/>
      <w:pPr>
        <w:ind w:left="1440" w:hanging="360"/>
      </w:pPr>
    </w:lvl>
    <w:lvl w:ilvl="2" w:tplc="593CBE0E">
      <w:start w:val="1"/>
      <w:numFmt w:val="lowerRoman"/>
      <w:lvlText w:val="%3."/>
      <w:lvlJc w:val="right"/>
      <w:pPr>
        <w:ind w:left="2160" w:hanging="180"/>
      </w:pPr>
    </w:lvl>
    <w:lvl w:ilvl="3" w:tplc="A7E80B68">
      <w:start w:val="1"/>
      <w:numFmt w:val="decimal"/>
      <w:lvlText w:val="%4."/>
      <w:lvlJc w:val="left"/>
      <w:pPr>
        <w:ind w:left="2880" w:hanging="360"/>
      </w:pPr>
    </w:lvl>
    <w:lvl w:ilvl="4" w:tplc="E6108828">
      <w:start w:val="1"/>
      <w:numFmt w:val="lowerLetter"/>
      <w:lvlText w:val="%5."/>
      <w:lvlJc w:val="left"/>
      <w:pPr>
        <w:ind w:left="3600" w:hanging="360"/>
      </w:pPr>
    </w:lvl>
    <w:lvl w:ilvl="5" w:tplc="0682F654">
      <w:start w:val="1"/>
      <w:numFmt w:val="lowerRoman"/>
      <w:lvlText w:val="%6."/>
      <w:lvlJc w:val="right"/>
      <w:pPr>
        <w:ind w:left="4320" w:hanging="180"/>
      </w:pPr>
    </w:lvl>
    <w:lvl w:ilvl="6" w:tplc="A9B8918C">
      <w:start w:val="1"/>
      <w:numFmt w:val="decimal"/>
      <w:lvlText w:val="%7."/>
      <w:lvlJc w:val="left"/>
      <w:pPr>
        <w:ind w:left="5040" w:hanging="360"/>
      </w:pPr>
    </w:lvl>
    <w:lvl w:ilvl="7" w:tplc="3D6A8E6A">
      <w:start w:val="1"/>
      <w:numFmt w:val="lowerLetter"/>
      <w:lvlText w:val="%8."/>
      <w:lvlJc w:val="left"/>
      <w:pPr>
        <w:ind w:left="5760" w:hanging="360"/>
      </w:pPr>
    </w:lvl>
    <w:lvl w:ilvl="8" w:tplc="25768A12">
      <w:start w:val="1"/>
      <w:numFmt w:val="lowerRoman"/>
      <w:lvlText w:val="%9."/>
      <w:lvlJc w:val="right"/>
      <w:pPr>
        <w:ind w:left="6480" w:hanging="180"/>
      </w:pPr>
    </w:lvl>
  </w:abstractNum>
  <w:abstractNum w:abstractNumId="1" w15:restartNumberingAfterBreak="0">
    <w:nsid w:val="10E59C79"/>
    <w:multiLevelType w:val="hybridMultilevel"/>
    <w:tmpl w:val="55783A1A"/>
    <w:lvl w:ilvl="0" w:tplc="7C8ECFE2">
      <w:start w:val="1"/>
      <w:numFmt w:val="decimal"/>
      <w:lvlText w:val="%1."/>
      <w:lvlJc w:val="left"/>
      <w:pPr>
        <w:ind w:left="720" w:hanging="360"/>
      </w:pPr>
      <w:rPr>
        <w:rFonts w:ascii="Times New Roman" w:hAnsi="Times New Roman" w:hint="default"/>
      </w:rPr>
    </w:lvl>
    <w:lvl w:ilvl="1" w:tplc="C72A3904">
      <w:start w:val="1"/>
      <w:numFmt w:val="lowerLetter"/>
      <w:lvlText w:val="%2."/>
      <w:lvlJc w:val="left"/>
      <w:pPr>
        <w:ind w:left="1440" w:hanging="360"/>
      </w:pPr>
    </w:lvl>
    <w:lvl w:ilvl="2" w:tplc="A852E14A">
      <w:start w:val="1"/>
      <w:numFmt w:val="lowerRoman"/>
      <w:lvlText w:val="%3."/>
      <w:lvlJc w:val="right"/>
      <w:pPr>
        <w:ind w:left="2160" w:hanging="180"/>
      </w:pPr>
    </w:lvl>
    <w:lvl w:ilvl="3" w:tplc="5FEA32DA">
      <w:start w:val="1"/>
      <w:numFmt w:val="decimal"/>
      <w:lvlText w:val="%4."/>
      <w:lvlJc w:val="left"/>
      <w:pPr>
        <w:ind w:left="2880" w:hanging="360"/>
      </w:pPr>
    </w:lvl>
    <w:lvl w:ilvl="4" w:tplc="510A52A8">
      <w:start w:val="1"/>
      <w:numFmt w:val="lowerLetter"/>
      <w:lvlText w:val="%5."/>
      <w:lvlJc w:val="left"/>
      <w:pPr>
        <w:ind w:left="3600" w:hanging="360"/>
      </w:pPr>
    </w:lvl>
    <w:lvl w:ilvl="5" w:tplc="89284938">
      <w:start w:val="1"/>
      <w:numFmt w:val="lowerRoman"/>
      <w:lvlText w:val="%6."/>
      <w:lvlJc w:val="right"/>
      <w:pPr>
        <w:ind w:left="4320" w:hanging="180"/>
      </w:pPr>
    </w:lvl>
    <w:lvl w:ilvl="6" w:tplc="550AF23E">
      <w:start w:val="1"/>
      <w:numFmt w:val="decimal"/>
      <w:lvlText w:val="%7."/>
      <w:lvlJc w:val="left"/>
      <w:pPr>
        <w:ind w:left="5040" w:hanging="360"/>
      </w:pPr>
    </w:lvl>
    <w:lvl w:ilvl="7" w:tplc="D24C2C66">
      <w:start w:val="1"/>
      <w:numFmt w:val="lowerLetter"/>
      <w:lvlText w:val="%8."/>
      <w:lvlJc w:val="left"/>
      <w:pPr>
        <w:ind w:left="5760" w:hanging="360"/>
      </w:pPr>
    </w:lvl>
    <w:lvl w:ilvl="8" w:tplc="BFCC973E">
      <w:start w:val="1"/>
      <w:numFmt w:val="lowerRoman"/>
      <w:lvlText w:val="%9."/>
      <w:lvlJc w:val="right"/>
      <w:pPr>
        <w:ind w:left="6480" w:hanging="180"/>
      </w:pPr>
    </w:lvl>
  </w:abstractNum>
  <w:abstractNum w:abstractNumId="2" w15:restartNumberingAfterBreak="0">
    <w:nsid w:val="2EA30953"/>
    <w:multiLevelType w:val="hybridMultilevel"/>
    <w:tmpl w:val="90FC84A0"/>
    <w:lvl w:ilvl="0" w:tplc="8FC28104">
      <w:start w:val="1"/>
      <w:numFmt w:val="bullet"/>
      <w:lvlText w:val="-"/>
      <w:lvlJc w:val="left"/>
      <w:pPr>
        <w:ind w:left="1080" w:hanging="360"/>
      </w:pPr>
      <w:rPr>
        <w:rFonts w:ascii="Aptos" w:hAnsi="Aptos" w:hint="default"/>
      </w:rPr>
    </w:lvl>
    <w:lvl w:ilvl="1" w:tplc="124C57B4">
      <w:start w:val="1"/>
      <w:numFmt w:val="bullet"/>
      <w:lvlText w:val="o"/>
      <w:lvlJc w:val="left"/>
      <w:pPr>
        <w:ind w:left="1440" w:hanging="360"/>
      </w:pPr>
      <w:rPr>
        <w:rFonts w:ascii="Courier New" w:hAnsi="Courier New" w:hint="default"/>
      </w:rPr>
    </w:lvl>
    <w:lvl w:ilvl="2" w:tplc="EB92CC0C">
      <w:start w:val="1"/>
      <w:numFmt w:val="bullet"/>
      <w:lvlText w:val=""/>
      <w:lvlJc w:val="left"/>
      <w:pPr>
        <w:ind w:left="2160" w:hanging="360"/>
      </w:pPr>
      <w:rPr>
        <w:rFonts w:ascii="Wingdings" w:hAnsi="Wingdings" w:hint="default"/>
      </w:rPr>
    </w:lvl>
    <w:lvl w:ilvl="3" w:tplc="79D68A90">
      <w:start w:val="1"/>
      <w:numFmt w:val="bullet"/>
      <w:lvlText w:val=""/>
      <w:lvlJc w:val="left"/>
      <w:pPr>
        <w:ind w:left="2880" w:hanging="360"/>
      </w:pPr>
      <w:rPr>
        <w:rFonts w:ascii="Symbol" w:hAnsi="Symbol" w:hint="default"/>
      </w:rPr>
    </w:lvl>
    <w:lvl w:ilvl="4" w:tplc="1C3A5CE2">
      <w:start w:val="1"/>
      <w:numFmt w:val="bullet"/>
      <w:lvlText w:val="o"/>
      <w:lvlJc w:val="left"/>
      <w:pPr>
        <w:ind w:left="3600" w:hanging="360"/>
      </w:pPr>
      <w:rPr>
        <w:rFonts w:ascii="Courier New" w:hAnsi="Courier New" w:hint="default"/>
      </w:rPr>
    </w:lvl>
    <w:lvl w:ilvl="5" w:tplc="AF40B99E">
      <w:start w:val="1"/>
      <w:numFmt w:val="bullet"/>
      <w:lvlText w:val=""/>
      <w:lvlJc w:val="left"/>
      <w:pPr>
        <w:ind w:left="4320" w:hanging="360"/>
      </w:pPr>
      <w:rPr>
        <w:rFonts w:ascii="Wingdings" w:hAnsi="Wingdings" w:hint="default"/>
      </w:rPr>
    </w:lvl>
    <w:lvl w:ilvl="6" w:tplc="7190FEAC">
      <w:start w:val="1"/>
      <w:numFmt w:val="bullet"/>
      <w:lvlText w:val=""/>
      <w:lvlJc w:val="left"/>
      <w:pPr>
        <w:ind w:left="5040" w:hanging="360"/>
      </w:pPr>
      <w:rPr>
        <w:rFonts w:ascii="Symbol" w:hAnsi="Symbol" w:hint="default"/>
      </w:rPr>
    </w:lvl>
    <w:lvl w:ilvl="7" w:tplc="BFDC076A">
      <w:start w:val="1"/>
      <w:numFmt w:val="bullet"/>
      <w:lvlText w:val="o"/>
      <w:lvlJc w:val="left"/>
      <w:pPr>
        <w:ind w:left="5760" w:hanging="360"/>
      </w:pPr>
      <w:rPr>
        <w:rFonts w:ascii="Courier New" w:hAnsi="Courier New" w:hint="default"/>
      </w:rPr>
    </w:lvl>
    <w:lvl w:ilvl="8" w:tplc="D2C8DDEA">
      <w:start w:val="1"/>
      <w:numFmt w:val="bullet"/>
      <w:lvlText w:val=""/>
      <w:lvlJc w:val="left"/>
      <w:pPr>
        <w:ind w:left="6480" w:hanging="360"/>
      </w:pPr>
      <w:rPr>
        <w:rFonts w:ascii="Wingdings" w:hAnsi="Wingdings" w:hint="default"/>
      </w:rPr>
    </w:lvl>
  </w:abstractNum>
  <w:abstractNum w:abstractNumId="3" w15:restartNumberingAfterBreak="0">
    <w:nsid w:val="3376BD69"/>
    <w:multiLevelType w:val="hybridMultilevel"/>
    <w:tmpl w:val="6B3090DE"/>
    <w:lvl w:ilvl="0" w:tplc="FEBAC140">
      <w:start w:val="1"/>
      <w:numFmt w:val="decimal"/>
      <w:lvlText w:val="%1."/>
      <w:lvlJc w:val="left"/>
      <w:pPr>
        <w:ind w:left="720" w:hanging="360"/>
      </w:pPr>
    </w:lvl>
    <w:lvl w:ilvl="1" w:tplc="2FDA13A4">
      <w:start w:val="1"/>
      <w:numFmt w:val="lowerLetter"/>
      <w:lvlText w:val="%2."/>
      <w:lvlJc w:val="left"/>
      <w:pPr>
        <w:ind w:left="1440" w:hanging="360"/>
      </w:pPr>
      <w:rPr>
        <w:rFonts w:ascii="Aptos" w:hAnsi="Aptos" w:hint="default"/>
      </w:rPr>
    </w:lvl>
    <w:lvl w:ilvl="2" w:tplc="E6A2843A">
      <w:start w:val="1"/>
      <w:numFmt w:val="lowerRoman"/>
      <w:lvlText w:val="%3."/>
      <w:lvlJc w:val="right"/>
      <w:pPr>
        <w:ind w:left="2160" w:hanging="180"/>
      </w:pPr>
    </w:lvl>
    <w:lvl w:ilvl="3" w:tplc="343E9360">
      <w:start w:val="1"/>
      <w:numFmt w:val="decimal"/>
      <w:lvlText w:val="%4."/>
      <w:lvlJc w:val="left"/>
      <w:pPr>
        <w:ind w:left="2880" w:hanging="360"/>
      </w:pPr>
    </w:lvl>
    <w:lvl w:ilvl="4" w:tplc="4BD0D482">
      <w:start w:val="1"/>
      <w:numFmt w:val="lowerLetter"/>
      <w:lvlText w:val="%5."/>
      <w:lvlJc w:val="left"/>
      <w:pPr>
        <w:ind w:left="3600" w:hanging="360"/>
      </w:pPr>
    </w:lvl>
    <w:lvl w:ilvl="5" w:tplc="25569E88">
      <w:start w:val="1"/>
      <w:numFmt w:val="lowerRoman"/>
      <w:lvlText w:val="%6."/>
      <w:lvlJc w:val="right"/>
      <w:pPr>
        <w:ind w:left="4320" w:hanging="180"/>
      </w:pPr>
    </w:lvl>
    <w:lvl w:ilvl="6" w:tplc="757A2AEE">
      <w:start w:val="1"/>
      <w:numFmt w:val="decimal"/>
      <w:lvlText w:val="%7."/>
      <w:lvlJc w:val="left"/>
      <w:pPr>
        <w:ind w:left="5040" w:hanging="360"/>
      </w:pPr>
    </w:lvl>
    <w:lvl w:ilvl="7" w:tplc="6F466226">
      <w:start w:val="1"/>
      <w:numFmt w:val="lowerLetter"/>
      <w:lvlText w:val="%8."/>
      <w:lvlJc w:val="left"/>
      <w:pPr>
        <w:ind w:left="5760" w:hanging="360"/>
      </w:pPr>
    </w:lvl>
    <w:lvl w:ilvl="8" w:tplc="A88EDBB4">
      <w:start w:val="1"/>
      <w:numFmt w:val="lowerRoman"/>
      <w:lvlText w:val="%9."/>
      <w:lvlJc w:val="right"/>
      <w:pPr>
        <w:ind w:left="6480" w:hanging="180"/>
      </w:pPr>
    </w:lvl>
  </w:abstractNum>
  <w:abstractNum w:abstractNumId="4" w15:restartNumberingAfterBreak="0">
    <w:nsid w:val="4555E858"/>
    <w:multiLevelType w:val="hybridMultilevel"/>
    <w:tmpl w:val="B04A9EE8"/>
    <w:lvl w:ilvl="0" w:tplc="ADCE3A56">
      <w:start w:val="1"/>
      <w:numFmt w:val="decimal"/>
      <w:lvlText w:val="%1."/>
      <w:lvlJc w:val="left"/>
      <w:pPr>
        <w:ind w:left="720" w:hanging="360"/>
      </w:pPr>
    </w:lvl>
    <w:lvl w:ilvl="1" w:tplc="5DA4B6FA">
      <w:start w:val="1"/>
      <w:numFmt w:val="lowerLetter"/>
      <w:lvlText w:val="%2."/>
      <w:lvlJc w:val="left"/>
      <w:pPr>
        <w:ind w:left="1440" w:hanging="360"/>
      </w:pPr>
    </w:lvl>
    <w:lvl w:ilvl="2" w:tplc="14D69D2A">
      <w:start w:val="1"/>
      <w:numFmt w:val="lowerRoman"/>
      <w:lvlText w:val="%3."/>
      <w:lvlJc w:val="right"/>
      <w:pPr>
        <w:ind w:left="2160" w:hanging="180"/>
      </w:pPr>
    </w:lvl>
    <w:lvl w:ilvl="3" w:tplc="FA16CC5E">
      <w:start w:val="1"/>
      <w:numFmt w:val="decimal"/>
      <w:lvlText w:val="%4."/>
      <w:lvlJc w:val="left"/>
      <w:pPr>
        <w:ind w:left="2880" w:hanging="360"/>
      </w:pPr>
    </w:lvl>
    <w:lvl w:ilvl="4" w:tplc="BA943440">
      <w:start w:val="1"/>
      <w:numFmt w:val="lowerLetter"/>
      <w:lvlText w:val="%5."/>
      <w:lvlJc w:val="left"/>
      <w:pPr>
        <w:ind w:left="3600" w:hanging="360"/>
      </w:pPr>
    </w:lvl>
    <w:lvl w:ilvl="5" w:tplc="F7FC40C0">
      <w:start w:val="1"/>
      <w:numFmt w:val="lowerRoman"/>
      <w:lvlText w:val="%6."/>
      <w:lvlJc w:val="right"/>
      <w:pPr>
        <w:ind w:left="4320" w:hanging="180"/>
      </w:pPr>
    </w:lvl>
    <w:lvl w:ilvl="6" w:tplc="746E0B20">
      <w:start w:val="1"/>
      <w:numFmt w:val="decimal"/>
      <w:lvlText w:val="%7."/>
      <w:lvlJc w:val="left"/>
      <w:pPr>
        <w:ind w:left="5040" w:hanging="360"/>
      </w:pPr>
    </w:lvl>
    <w:lvl w:ilvl="7" w:tplc="14C2A5AA">
      <w:start w:val="1"/>
      <w:numFmt w:val="lowerLetter"/>
      <w:lvlText w:val="%8."/>
      <w:lvlJc w:val="left"/>
      <w:pPr>
        <w:ind w:left="5760" w:hanging="360"/>
      </w:pPr>
    </w:lvl>
    <w:lvl w:ilvl="8" w:tplc="E1CAC6E0">
      <w:start w:val="1"/>
      <w:numFmt w:val="lowerRoman"/>
      <w:lvlText w:val="%9."/>
      <w:lvlJc w:val="right"/>
      <w:pPr>
        <w:ind w:left="6480" w:hanging="180"/>
      </w:pPr>
    </w:lvl>
  </w:abstractNum>
  <w:num w:numId="1" w16cid:durableId="1018198115">
    <w:abstractNumId w:val="3"/>
  </w:num>
  <w:num w:numId="2" w16cid:durableId="1743942476">
    <w:abstractNumId w:val="1"/>
  </w:num>
  <w:num w:numId="3" w16cid:durableId="2016758833">
    <w:abstractNumId w:val="2"/>
  </w:num>
  <w:num w:numId="4" w16cid:durableId="1574730531">
    <w:abstractNumId w:val="4"/>
  </w:num>
  <w:num w:numId="5" w16cid:durableId="1787576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12A3B51"/>
    <w:rsid w:val="00207A65"/>
    <w:rsid w:val="004D6986"/>
    <w:rsid w:val="00CA0BAE"/>
    <w:rsid w:val="00E8537E"/>
    <w:rsid w:val="01EEAFD9"/>
    <w:rsid w:val="028C1093"/>
    <w:rsid w:val="02DA963F"/>
    <w:rsid w:val="0326D80D"/>
    <w:rsid w:val="0431FC92"/>
    <w:rsid w:val="04526567"/>
    <w:rsid w:val="05274986"/>
    <w:rsid w:val="05959996"/>
    <w:rsid w:val="05FA0975"/>
    <w:rsid w:val="068A1106"/>
    <w:rsid w:val="08581F5A"/>
    <w:rsid w:val="088A4360"/>
    <w:rsid w:val="0A8A2E98"/>
    <w:rsid w:val="0B9CCB47"/>
    <w:rsid w:val="0BEE24AC"/>
    <w:rsid w:val="0D8356D6"/>
    <w:rsid w:val="0DE2D318"/>
    <w:rsid w:val="0DE44D28"/>
    <w:rsid w:val="0E7F6E33"/>
    <w:rsid w:val="103EDAEA"/>
    <w:rsid w:val="109E7504"/>
    <w:rsid w:val="117979B0"/>
    <w:rsid w:val="11890610"/>
    <w:rsid w:val="11908731"/>
    <w:rsid w:val="1233E5F0"/>
    <w:rsid w:val="130C2C28"/>
    <w:rsid w:val="14D8F09A"/>
    <w:rsid w:val="15E8CE35"/>
    <w:rsid w:val="16908327"/>
    <w:rsid w:val="16F46B57"/>
    <w:rsid w:val="173A0E4C"/>
    <w:rsid w:val="18C7DACA"/>
    <w:rsid w:val="1A444F45"/>
    <w:rsid w:val="1A8D7764"/>
    <w:rsid w:val="1B64DFAD"/>
    <w:rsid w:val="1B7882F5"/>
    <w:rsid w:val="1E2CB21F"/>
    <w:rsid w:val="1E899034"/>
    <w:rsid w:val="1EE45A0B"/>
    <w:rsid w:val="1F373516"/>
    <w:rsid w:val="1FF07255"/>
    <w:rsid w:val="20D7DD69"/>
    <w:rsid w:val="20F132FC"/>
    <w:rsid w:val="21540100"/>
    <w:rsid w:val="21C42C6F"/>
    <w:rsid w:val="225CAB8E"/>
    <w:rsid w:val="22CF1E4A"/>
    <w:rsid w:val="24466EA0"/>
    <w:rsid w:val="245BE5E5"/>
    <w:rsid w:val="24A8D5AD"/>
    <w:rsid w:val="2638269D"/>
    <w:rsid w:val="26E39FA4"/>
    <w:rsid w:val="26EF8F2C"/>
    <w:rsid w:val="27A1BF21"/>
    <w:rsid w:val="2A8E7E41"/>
    <w:rsid w:val="2BF165EC"/>
    <w:rsid w:val="2CB41D91"/>
    <w:rsid w:val="2D10F3D1"/>
    <w:rsid w:val="2D8AD4DD"/>
    <w:rsid w:val="2F00DE3F"/>
    <w:rsid w:val="322D10E3"/>
    <w:rsid w:val="322F617C"/>
    <w:rsid w:val="342F1B48"/>
    <w:rsid w:val="347E3610"/>
    <w:rsid w:val="34C015E5"/>
    <w:rsid w:val="353E5E2B"/>
    <w:rsid w:val="35560ED5"/>
    <w:rsid w:val="35BABA1C"/>
    <w:rsid w:val="364FD4B9"/>
    <w:rsid w:val="36B56B16"/>
    <w:rsid w:val="370F9567"/>
    <w:rsid w:val="3742164D"/>
    <w:rsid w:val="38083E89"/>
    <w:rsid w:val="38DF0D16"/>
    <w:rsid w:val="3979776B"/>
    <w:rsid w:val="39E2A914"/>
    <w:rsid w:val="3A725551"/>
    <w:rsid w:val="3B355EBA"/>
    <w:rsid w:val="3BC106BF"/>
    <w:rsid w:val="3C8EB989"/>
    <w:rsid w:val="3D212DD9"/>
    <w:rsid w:val="3D7377EF"/>
    <w:rsid w:val="3FEDEFD6"/>
    <w:rsid w:val="40874784"/>
    <w:rsid w:val="409F7FCC"/>
    <w:rsid w:val="4109EFB1"/>
    <w:rsid w:val="444782B0"/>
    <w:rsid w:val="447B5082"/>
    <w:rsid w:val="47B985C8"/>
    <w:rsid w:val="483F2CAB"/>
    <w:rsid w:val="48F31DC8"/>
    <w:rsid w:val="494197CE"/>
    <w:rsid w:val="4B7BD22E"/>
    <w:rsid w:val="4C90DADE"/>
    <w:rsid w:val="4D13EA85"/>
    <w:rsid w:val="4DCB4622"/>
    <w:rsid w:val="4E65445E"/>
    <w:rsid w:val="50777A38"/>
    <w:rsid w:val="509DDA66"/>
    <w:rsid w:val="50CBCB44"/>
    <w:rsid w:val="50D9AE22"/>
    <w:rsid w:val="512A3B51"/>
    <w:rsid w:val="51314A56"/>
    <w:rsid w:val="51964F36"/>
    <w:rsid w:val="522EC6E8"/>
    <w:rsid w:val="528E59B7"/>
    <w:rsid w:val="53B18BE7"/>
    <w:rsid w:val="544602F0"/>
    <w:rsid w:val="545B4612"/>
    <w:rsid w:val="54D23825"/>
    <w:rsid w:val="5532744F"/>
    <w:rsid w:val="579FBC91"/>
    <w:rsid w:val="57A47703"/>
    <w:rsid w:val="57EE2374"/>
    <w:rsid w:val="5810B521"/>
    <w:rsid w:val="59EE9FBC"/>
    <w:rsid w:val="5A087601"/>
    <w:rsid w:val="5B634ADD"/>
    <w:rsid w:val="5BE520A0"/>
    <w:rsid w:val="5BFD9554"/>
    <w:rsid w:val="5FE4DADF"/>
    <w:rsid w:val="60385E66"/>
    <w:rsid w:val="6059F0C4"/>
    <w:rsid w:val="610772E5"/>
    <w:rsid w:val="6204C741"/>
    <w:rsid w:val="6219016E"/>
    <w:rsid w:val="62244C9E"/>
    <w:rsid w:val="63245E9A"/>
    <w:rsid w:val="63907582"/>
    <w:rsid w:val="640C6E6E"/>
    <w:rsid w:val="64A7F3EB"/>
    <w:rsid w:val="6528D678"/>
    <w:rsid w:val="678A12CE"/>
    <w:rsid w:val="67D3CFE9"/>
    <w:rsid w:val="689A63F4"/>
    <w:rsid w:val="689C2BCA"/>
    <w:rsid w:val="69288766"/>
    <w:rsid w:val="696F8E14"/>
    <w:rsid w:val="6A479021"/>
    <w:rsid w:val="6A8D1672"/>
    <w:rsid w:val="6A8FC2E2"/>
    <w:rsid w:val="6AC9179D"/>
    <w:rsid w:val="6B4701E1"/>
    <w:rsid w:val="6CD236B7"/>
    <w:rsid w:val="6EF52E9A"/>
    <w:rsid w:val="6FE8AC81"/>
    <w:rsid w:val="7046D157"/>
    <w:rsid w:val="741D12AE"/>
    <w:rsid w:val="78773EE0"/>
    <w:rsid w:val="7B820F16"/>
    <w:rsid w:val="7BE838EE"/>
    <w:rsid w:val="7DC98014"/>
    <w:rsid w:val="7E0FCE1D"/>
    <w:rsid w:val="7E217038"/>
    <w:rsid w:val="7E351526"/>
    <w:rsid w:val="7E365822"/>
    <w:rsid w:val="7E56589B"/>
    <w:rsid w:val="7FB5D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5B0F6"/>
  <w15:chartTrackingRefBased/>
  <w15:docId w15:val="{67C234E6-1583-4D8D-B3D4-A9ED15153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B355EBA"/>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928</Words>
  <Characters>5296</Characters>
  <Application>Microsoft Office Word</Application>
  <DocSecurity>0</DocSecurity>
  <Lines>44</Lines>
  <Paragraphs>12</Paragraphs>
  <ScaleCrop>false</ScaleCrop>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Good Sandbox Hackathon – GM of AI – CascadeGuard</dc:title>
  <dc:subject/>
  <dc:creator>GM of AI</dc:creator>
  <cp:keywords/>
  <dc:description/>
  <cp:lastModifiedBy>GM of AI</cp:lastModifiedBy>
  <cp:revision>1</cp:revision>
  <dcterms:created xsi:type="dcterms:W3CDTF">2026-10-31T00:00:00Z</dcterms:created>
  <dcterms:modified xsi:type="dcterms:W3CDTF">2026-10-31T00:00:00Z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0a5bf6e0-61e5-49ab-9662-9785c43064d7</vt:lpwstr>
  </property>
</Properties>
</file>