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2F26D" w14:textId="25B79FBD" w:rsidR="001B4483" w:rsidRDefault="005A3700">
      <w:r>
        <w:t>Comparing metagenomic</w:t>
      </w:r>
      <w:r w:rsidR="00C07C77">
        <w:t>s</w:t>
      </w:r>
      <w:r>
        <w:t xml:space="preserve"> and total RNA-Seq for freshwater microbiome assessments</w:t>
      </w:r>
    </w:p>
    <w:p w14:paraId="0E20B2E9" w14:textId="177C596E" w:rsidR="005A3700" w:rsidRDefault="005A3700"/>
    <w:p w14:paraId="187FA110" w14:textId="66550263" w:rsidR="005A3700" w:rsidRDefault="005A3700">
      <w:r>
        <w:t>Intro</w:t>
      </w:r>
    </w:p>
    <w:p w14:paraId="66497A96" w14:textId="2BF0B88A" w:rsidR="005A3700" w:rsidRDefault="005A3700"/>
    <w:p w14:paraId="4CE45D20" w14:textId="10EAF66F" w:rsidR="005A3700" w:rsidRDefault="005A3700" w:rsidP="005A3700">
      <w:pPr>
        <w:pStyle w:val="ListParagraph"/>
        <w:numPr>
          <w:ilvl w:val="0"/>
          <w:numId w:val="1"/>
        </w:numPr>
      </w:pPr>
      <w:r>
        <w:t xml:space="preserve">Freshwater biomonitoring </w:t>
      </w:r>
      <w:r w:rsidR="00EE3DBD">
        <w:t>why</w:t>
      </w:r>
    </w:p>
    <w:p w14:paraId="5AC8F785" w14:textId="287ABEAA" w:rsidR="005A3700" w:rsidRDefault="005A3700" w:rsidP="005A3700">
      <w:pPr>
        <w:pStyle w:val="ListParagraph"/>
        <w:numPr>
          <w:ilvl w:val="0"/>
          <w:numId w:val="1"/>
        </w:numPr>
      </w:pPr>
      <w:r>
        <w:t>Entire community inclusion advocated</w:t>
      </w:r>
    </w:p>
    <w:p w14:paraId="07F13D34" w14:textId="2C575BD6" w:rsidR="00222941" w:rsidRDefault="00222941" w:rsidP="005A3700">
      <w:pPr>
        <w:pStyle w:val="ListParagraph"/>
        <w:numPr>
          <w:ilvl w:val="0"/>
          <w:numId w:val="1"/>
        </w:numPr>
      </w:pPr>
      <w:r>
        <w:t>Not possible with traditional methods, but DNA based</w:t>
      </w:r>
    </w:p>
    <w:p w14:paraId="60AC8F92" w14:textId="7D04071A" w:rsidR="005A3700" w:rsidRDefault="005A3700" w:rsidP="005A3700">
      <w:pPr>
        <w:pStyle w:val="ListParagraph"/>
        <w:numPr>
          <w:ilvl w:val="0"/>
          <w:numId w:val="1"/>
        </w:numPr>
      </w:pPr>
      <w:r>
        <w:t xml:space="preserve">Shotgun </w:t>
      </w:r>
      <w:proofErr w:type="spellStart"/>
      <w:r>
        <w:t>seqiencog</w:t>
      </w:r>
      <w:proofErr w:type="spellEnd"/>
      <w:r>
        <w:t xml:space="preserve"> based approaches, such as </w:t>
      </w:r>
      <w:proofErr w:type="spellStart"/>
      <w:r>
        <w:t>metagenomcis</w:t>
      </w:r>
      <w:proofErr w:type="spellEnd"/>
      <w:r>
        <w:t xml:space="preserve"> and metatranscriptomics, present such an option while avoiding primer bias common in </w:t>
      </w:r>
      <w:proofErr w:type="spellStart"/>
      <w:r>
        <w:t>metabracodng</w:t>
      </w:r>
      <w:proofErr w:type="spellEnd"/>
    </w:p>
    <w:p w14:paraId="1E916EDA" w14:textId="77F27574" w:rsidR="005A3700" w:rsidRDefault="005A3700" w:rsidP="005A3700">
      <w:pPr>
        <w:pStyle w:val="ListParagraph"/>
        <w:numPr>
          <w:ilvl w:val="0"/>
          <w:numId w:val="1"/>
        </w:numPr>
      </w:pPr>
      <w:r>
        <w:t xml:space="preserve">metagenomics just small percentage of </w:t>
      </w:r>
      <w:r w:rsidR="00EE3DBD">
        <w:t xml:space="preserve">most common microbial barcodes </w:t>
      </w:r>
      <w:proofErr w:type="spellStart"/>
      <w:r w:rsidR="00EE3DBD">
        <w:t>ssu</w:t>
      </w:r>
      <w:proofErr w:type="spellEnd"/>
      <w:r w:rsidR="00EE3DBD">
        <w:t xml:space="preserve"> and </w:t>
      </w:r>
      <w:proofErr w:type="spellStart"/>
      <w:r w:rsidR="00EE3DBD">
        <w:t>lsu</w:t>
      </w:r>
      <w:proofErr w:type="spellEnd"/>
    </w:p>
    <w:p w14:paraId="7DA48AEA" w14:textId="7DD61C39" w:rsidR="005A3700" w:rsidRDefault="005A3700" w:rsidP="005A3700">
      <w:pPr>
        <w:pStyle w:val="ListParagraph"/>
        <w:numPr>
          <w:ilvl w:val="0"/>
          <w:numId w:val="1"/>
        </w:numPr>
      </w:pPr>
      <w:r>
        <w:t xml:space="preserve">In comparison, total RNA-Seq natural enrichment for </w:t>
      </w:r>
      <w:proofErr w:type="spellStart"/>
      <w:r>
        <w:t>ssu</w:t>
      </w:r>
      <w:proofErr w:type="spellEnd"/>
      <w:r>
        <w:t xml:space="preserve"> and </w:t>
      </w:r>
      <w:proofErr w:type="spellStart"/>
      <w:r>
        <w:t>lsu</w:t>
      </w:r>
      <w:proofErr w:type="spellEnd"/>
      <w:r>
        <w:t>, and can be even further used for mRNA analysis</w:t>
      </w:r>
      <w:r w:rsidR="00EE3DBD">
        <w:t xml:space="preserve"> (used in soil and cow gut studies)</w:t>
      </w:r>
    </w:p>
    <w:p w14:paraId="5792FC33" w14:textId="7CA94528" w:rsidR="005A3700" w:rsidRDefault="005A3700" w:rsidP="005A3700">
      <w:pPr>
        <w:pStyle w:val="ListParagraph"/>
        <w:numPr>
          <w:ilvl w:val="0"/>
          <w:numId w:val="1"/>
        </w:numPr>
      </w:pPr>
      <w:proofErr w:type="spellStart"/>
      <w:r>
        <w:t>Comparsion</w:t>
      </w:r>
      <w:proofErr w:type="spellEnd"/>
      <w:r>
        <w:t xml:space="preserve"> of both </w:t>
      </w:r>
      <w:r w:rsidR="00EE3DBD">
        <w:t>methods needed</w:t>
      </w:r>
    </w:p>
    <w:p w14:paraId="2875C4D6" w14:textId="628D9820" w:rsidR="00EE3DBD" w:rsidRDefault="00EE3DBD" w:rsidP="00EE3DBD">
      <w:r>
        <w:t xml:space="preserve">(extraction of </w:t>
      </w:r>
      <w:proofErr w:type="spellStart"/>
      <w:r>
        <w:t>ssu</w:t>
      </w:r>
      <w:proofErr w:type="spellEnd"/>
      <w:r>
        <w:t xml:space="preserve"> reads from data, </w:t>
      </w:r>
      <w:proofErr w:type="spellStart"/>
      <w:r>
        <w:t>metaxa</w:t>
      </w:r>
      <w:proofErr w:type="spellEnd"/>
      <w:r>
        <w:t xml:space="preserve">, but assembly preferred, quince 2017 and </w:t>
      </w:r>
      <w:proofErr w:type="spellStart"/>
      <w:r>
        <w:t>anders</w:t>
      </w:r>
      <w:proofErr w:type="spellEnd"/>
      <w:r>
        <w:t xml:space="preserve"> paper)</w:t>
      </w:r>
    </w:p>
    <w:p w14:paraId="6D11F4FD" w14:textId="77777777" w:rsidR="00EE3DBD" w:rsidRDefault="00EE3DBD">
      <w:r>
        <w:br w:type="page"/>
      </w:r>
    </w:p>
    <w:p w14:paraId="72C74ACD" w14:textId="52AE4C23" w:rsidR="00EE3DBD" w:rsidRDefault="00EE3DBD" w:rsidP="00EE3DBD">
      <w:commentRangeStart w:id="0"/>
      <w:commentRangeStart w:id="1"/>
      <w:r>
        <w:lastRenderedPageBreak/>
        <w:t>Introduction</w:t>
      </w:r>
      <w:commentRangeEnd w:id="0"/>
      <w:r w:rsidR="00C07C77">
        <w:rPr>
          <w:rStyle w:val="CommentReference"/>
        </w:rPr>
        <w:commentReference w:id="0"/>
      </w:r>
      <w:commentRangeEnd w:id="1"/>
      <w:r w:rsidR="009E28E9">
        <w:rPr>
          <w:rStyle w:val="CommentReference"/>
        </w:rPr>
        <w:commentReference w:id="1"/>
      </w:r>
    </w:p>
    <w:p w14:paraId="03ABC4F8" w14:textId="77777777" w:rsidR="00EE3DBD" w:rsidRDefault="00EE3DBD" w:rsidP="00EE3DBD"/>
    <w:p w14:paraId="2291B550" w14:textId="67E6CD0F" w:rsidR="002D1DC2" w:rsidRDefault="002D1DC2" w:rsidP="00EE3DBD">
      <w:pPr>
        <w:spacing w:line="360" w:lineRule="auto"/>
        <w:ind w:firstLine="576"/>
        <w:jc w:val="both"/>
        <w:rPr>
          <w:rFonts w:ascii="Calibri" w:hAnsi="Calibri" w:cs="Calibri"/>
        </w:rPr>
      </w:pPr>
      <w:r>
        <w:rPr>
          <w:rFonts w:ascii="Calibri" w:hAnsi="Calibri" w:cs="Calibri"/>
        </w:rPr>
        <w:t>PART 1 FRESHWATER ASSESSMENT AND BIOMONITORING, CAN POTENTIALLY BE MUCH SHORTENED</w:t>
      </w:r>
    </w:p>
    <w:p w14:paraId="7F4EE7A8" w14:textId="353A8F21" w:rsidR="00EE3DBD" w:rsidRDefault="00EE3DBD" w:rsidP="00EE3DBD">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is</w:t>
      </w:r>
      <w:r w:rsidRPr="00B94B64">
        <w:rPr>
          <w:rFonts w:ascii="Calibri" w:hAnsi="Calibri" w:cs="Calibri"/>
        </w:rPr>
        <w:t xml:space="preserve"> </w:t>
      </w:r>
      <w:r>
        <w:rPr>
          <w:rFonts w:ascii="Calibri" w:hAnsi="Calibri" w:cs="Calibri"/>
        </w:rPr>
        <w:t>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 </w:t>
      </w:r>
      <w:r>
        <w:rPr>
          <w:rStyle w:val="FootnoteReference"/>
          <w:rFonts w:ascii="Calibri" w:hAnsi="Calibri" w:cs="Calibri"/>
        </w:rPr>
        <w:fldChar w:fldCharType="begin" w:fldLock="1"/>
      </w:r>
      <w:r w:rsidR="002C57A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2006)","manualFormatting":"(reviewed in Dudgeon et al. 2006)","plainTextFormattedCitation":"(Dudgeon et al., 2006)","previouslyFormattedCitation":"(Dudgeon et al., 2006)"},"properties":{"noteIndex":0},"schema":"https://github.com/citation-style-language/schema/raw/master/csl-citation.json"}</w:instrText>
      </w:r>
      <w:r>
        <w:rPr>
          <w:rStyle w:val="FootnoteReference"/>
          <w:rFonts w:ascii="Calibri" w:hAnsi="Calibri" w:cs="Calibri"/>
        </w:rPr>
        <w:fldChar w:fldCharType="separate"/>
      </w:r>
      <w:r>
        <w:rPr>
          <w:rFonts w:ascii="Calibri" w:hAnsi="Calibri" w:cs="Calibri"/>
          <w:noProof/>
        </w:rPr>
        <w:t>(reviewed in Dudgeon et al. 2006)</w:t>
      </w:r>
      <w:r>
        <w:rPr>
          <w:rStyle w:val="FootnoteReference"/>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However, freshwater</w:t>
      </w:r>
      <w:r w:rsidR="004D5825">
        <w:rPr>
          <w:rFonts w:ascii="Calibri" w:hAnsi="Calibri" w:cs="Calibri"/>
        </w:rPr>
        <w:t xml:space="preserve"> systems</w:t>
      </w:r>
      <w:r w:rsidRPr="00B94B64">
        <w:rPr>
          <w:rFonts w:ascii="Calibri" w:hAnsi="Calibri" w:cs="Calibri"/>
        </w:rPr>
        <w:t xml:space="preserve"> are heavily impacted by agricultural and industrial pollution</w:t>
      </w:r>
      <w:r>
        <w:rPr>
          <w:rFonts w:ascii="Calibri" w:hAnsi="Calibri" w:cs="Calibri"/>
        </w:rPr>
        <w:t xml:space="preserve">, </w:t>
      </w:r>
      <w:r w:rsidRPr="00B94B64">
        <w:rPr>
          <w:rFonts w:ascii="Calibri" w:hAnsi="Calibri" w:cs="Calibri"/>
        </w:rPr>
        <w:t xml:space="preserve">habitat fragmentation </w:t>
      </w:r>
      <w:r>
        <w:rPr>
          <w:rFonts w:ascii="Calibri" w:hAnsi="Calibri" w:cs="Calibri"/>
        </w:rPr>
        <w:t>(</w:t>
      </w:r>
      <w:r w:rsidRPr="00B94B64">
        <w:rPr>
          <w:rFonts w:ascii="Calibri" w:hAnsi="Calibri" w:cs="Calibri"/>
        </w:rPr>
        <w:t>wetland drainage, river straightening, and dam building</w:t>
      </w:r>
      <w:r>
        <w:rPr>
          <w:rFonts w:ascii="Calibri" w:hAnsi="Calibri" w:cs="Calibri"/>
        </w:rPr>
        <w:t xml:space="preserve">), and the introduction of invasive species </w:t>
      </w:r>
      <w:r>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Pr>
          <w:rFonts w:ascii="Calibri" w:hAnsi="Calibri" w:cs="Calibri"/>
        </w:rPr>
        <w:fldChar w:fldCharType="separate"/>
      </w:r>
      <w:r w:rsidR="00222941" w:rsidRPr="00222941">
        <w:rPr>
          <w:rFonts w:ascii="Calibri" w:hAnsi="Calibri" w:cs="Calibri"/>
          <w:noProof/>
        </w:rPr>
        <w:t>(Dextrase and Mandrak, 2006; Jensen et al., 2006)</w:t>
      </w:r>
      <w:r>
        <w:rPr>
          <w:rFonts w:ascii="Calibri" w:hAnsi="Calibri" w:cs="Calibri"/>
        </w:rPr>
        <w:fldChar w:fldCharType="end"/>
      </w:r>
      <w:r w:rsidRPr="00B94B64">
        <w:rPr>
          <w:rFonts w:ascii="Calibri" w:hAnsi="Calibri" w:cs="Calibri"/>
        </w:rPr>
        <w:t>. Consequently, freshwater</w:t>
      </w:r>
      <w:r w:rsidR="004D5825">
        <w:rPr>
          <w:rFonts w:ascii="Calibri" w:hAnsi="Calibri" w:cs="Calibri"/>
        </w:rPr>
        <w:t xml:space="preserve"> systems</w:t>
      </w:r>
      <w:r w:rsidRPr="00B94B64">
        <w:rPr>
          <w:rFonts w:ascii="Calibri" w:hAnsi="Calibri" w:cs="Calibri"/>
        </w:rPr>
        <w:t xml:space="preserve"> </w:t>
      </w:r>
      <w:r>
        <w:rPr>
          <w:rFonts w:ascii="Calibri" w:hAnsi="Calibri" w:cs="Calibri"/>
        </w:rPr>
        <w:t>belong to</w:t>
      </w:r>
      <w:r w:rsidRPr="00B94B64">
        <w:rPr>
          <w:rFonts w:ascii="Calibri" w:hAnsi="Calibri" w:cs="Calibri"/>
        </w:rPr>
        <w:t xml:space="preserve"> the most threatened ecosystems with some of the highest rates of species loss </w:t>
      </w:r>
      <w:r>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Pr>
          <w:rStyle w:val="FootnoteReference"/>
          <w:rFonts w:ascii="Calibri" w:hAnsi="Calibri" w:cs="Calibri"/>
        </w:rPr>
        <w:fldChar w:fldCharType="end"/>
      </w:r>
      <w:r w:rsidRPr="00B94B64">
        <w:rPr>
          <w:rFonts w:ascii="Calibri" w:hAnsi="Calibri" w:cs="Calibri"/>
        </w:rPr>
        <w:t>.</w:t>
      </w:r>
    </w:p>
    <w:p w14:paraId="627BD567" w14:textId="3DBB7928" w:rsidR="00EE3DBD" w:rsidRDefault="00EE3DBD" w:rsidP="00222941">
      <w:pPr>
        <w:spacing w:line="360" w:lineRule="auto"/>
        <w:ind w:firstLine="576"/>
        <w:jc w:val="both"/>
        <w:rPr>
          <w:rFonts w:ascii="Calibri" w:hAnsi="Calibri" w:cs="Calibri"/>
        </w:rPr>
      </w:pPr>
      <w:r w:rsidRPr="00B94B64">
        <w:rPr>
          <w:rFonts w:ascii="Calibri" w:hAnsi="Calibri" w:cs="Calibri"/>
        </w:rPr>
        <w:t xml:space="preserve"> </w:t>
      </w:r>
      <w:r>
        <w:rPr>
          <w:rFonts w:ascii="Calibri" w:hAnsi="Calibri" w:cs="Calibri"/>
        </w:rPr>
        <w:t xml:space="preserve">To prevent this species loss, the natural status of freshwater </w:t>
      </w:r>
      <w:r w:rsidR="004D5825">
        <w:rPr>
          <w:rFonts w:ascii="Calibri" w:hAnsi="Calibri" w:cs="Calibri"/>
        </w:rPr>
        <w:t xml:space="preserve">bodies </w:t>
      </w:r>
      <w:r>
        <w:rPr>
          <w:rFonts w:ascii="Calibri" w:hAnsi="Calibri" w:cs="Calibri"/>
        </w:rPr>
        <w:t xml:space="preserve">needs to be protected, preserved, and restored. </w:t>
      </w:r>
      <w:r w:rsidR="004D5825">
        <w:rPr>
          <w:rFonts w:ascii="Calibri" w:hAnsi="Calibri" w:cs="Calibri"/>
        </w:rPr>
        <w:t>Therefore, the ecological status of individual freshwater bodies must be identified. This</w:t>
      </w:r>
      <w:r w:rsidR="00222941">
        <w:rPr>
          <w:rFonts w:ascii="Calibri" w:hAnsi="Calibri" w:cs="Calibri"/>
        </w:rPr>
        <w:t xml:space="preserve"> knowledge help</w:t>
      </w:r>
      <w:r w:rsidR="004D5825">
        <w:rPr>
          <w:rFonts w:ascii="Calibri" w:hAnsi="Calibri" w:cs="Calibri"/>
        </w:rPr>
        <w:t xml:space="preserve"> to determine if </w:t>
      </w:r>
      <w:r w:rsidR="00222941">
        <w:rPr>
          <w:rFonts w:ascii="Calibri" w:hAnsi="Calibri" w:cs="Calibri"/>
        </w:rPr>
        <w:t>a freshwater body’s</w:t>
      </w:r>
      <w:r w:rsidR="004D5825">
        <w:rPr>
          <w:rFonts w:ascii="Calibri" w:hAnsi="Calibri" w:cs="Calibri"/>
        </w:rPr>
        <w:t xml:space="preserve"> natural status is threatened and if restoration </w:t>
      </w:r>
      <w:r w:rsidR="004D5825" w:rsidRPr="004D5825">
        <w:rPr>
          <w:rFonts w:ascii="Calibri" w:hAnsi="Calibri" w:cs="Calibri"/>
        </w:rPr>
        <w:t xml:space="preserve">strategies </w:t>
      </w:r>
      <w:r w:rsidR="004D5825">
        <w:rPr>
          <w:rFonts w:ascii="Calibri" w:hAnsi="Calibri" w:cs="Calibri"/>
        </w:rPr>
        <w:t>need to be applied.</w:t>
      </w:r>
      <w:r w:rsidR="00222941">
        <w:rPr>
          <w:rFonts w:ascii="Calibri" w:hAnsi="Calibri" w:cs="Calibri"/>
        </w:rPr>
        <w:t xml:space="preserve"> </w:t>
      </w:r>
      <w:r>
        <w:rPr>
          <w:rFonts w:ascii="Calibri" w:hAnsi="Calibri" w:cs="Calibri"/>
        </w:rPr>
        <w:t>Th</w:t>
      </w:r>
      <w:r w:rsidR="00222941">
        <w:rPr>
          <w:rFonts w:ascii="Calibri" w:hAnsi="Calibri" w:cs="Calibri"/>
        </w:rPr>
        <w:t>e</w:t>
      </w:r>
      <w:r>
        <w:rPr>
          <w:rFonts w:ascii="Calibri" w:hAnsi="Calibri" w:cs="Calibri"/>
        </w:rPr>
        <w:t xml:space="preserve"> determination </w:t>
      </w:r>
      <w:r w:rsidR="00222941">
        <w:rPr>
          <w:rFonts w:ascii="Calibri" w:hAnsi="Calibri" w:cs="Calibri"/>
        </w:rPr>
        <w:t xml:space="preserve">of an ecological status </w:t>
      </w:r>
      <w:r>
        <w:rPr>
          <w:rFonts w:ascii="Calibri" w:hAnsi="Calibri" w:cs="Calibri"/>
        </w:rPr>
        <w:t>is accomplished by freshwater biomonitoring</w:t>
      </w:r>
      <w:r w:rsidR="004D5825">
        <w:rPr>
          <w:rFonts w:ascii="Calibri" w:hAnsi="Calibri" w:cs="Calibri"/>
        </w:rPr>
        <w:t>.</w:t>
      </w:r>
    </w:p>
    <w:p w14:paraId="6D6FBCDC" w14:textId="5C23C44D" w:rsidR="004D5825" w:rsidRDefault="004D5825" w:rsidP="004D5825">
      <w:pPr>
        <w:spacing w:line="360" w:lineRule="auto"/>
        <w:jc w:val="both"/>
        <w:rPr>
          <w:rFonts w:ascii="Calibri" w:hAnsi="Calibri" w:cs="Calibri"/>
        </w:rPr>
      </w:pPr>
    </w:p>
    <w:p w14:paraId="34F516E2" w14:textId="1E64495C" w:rsidR="002C57A6" w:rsidRDefault="00222941" w:rsidP="002C57A6">
      <w:pPr>
        <w:spacing w:line="360" w:lineRule="auto"/>
        <w:ind w:firstLine="576"/>
        <w:jc w:val="both"/>
        <w:rPr>
          <w:rFonts w:ascii="Calibri" w:hAnsi="Calibri" w:cs="Calibri"/>
        </w:rPr>
      </w:pPr>
      <w:r>
        <w:rPr>
          <w:rFonts w:ascii="Calibri" w:hAnsi="Calibri" w:cs="Calibri"/>
        </w:rPr>
        <w:t xml:space="preserve">Traditionally, </w:t>
      </w:r>
      <w:r>
        <w:t>freshwater biomonitoring</w:t>
      </w:r>
      <w:r w:rsidRPr="00B94B64">
        <w:t xml:space="preserve"> is </w:t>
      </w:r>
      <w:r>
        <w:t>assessed with</w:t>
      </w:r>
      <w:r w:rsidRPr="00B94B64">
        <w:t xml:space="preserve"> </w:t>
      </w:r>
      <w:r>
        <w:t xml:space="preserve">bioindicators, </w:t>
      </w:r>
      <w:r>
        <w:rPr>
          <w:rFonts w:ascii="Calibri" w:hAnsi="Calibri" w:cs="Calibri"/>
        </w:rPr>
        <w:t xml:space="preserve">most commonly </w:t>
      </w:r>
      <w:r w:rsidRPr="00B94B64">
        <w:t>benthic macroinvertebrates</w:t>
      </w:r>
      <w:r>
        <w:t xml:space="preserve">, but also </w:t>
      </w:r>
      <w:r w:rsidRPr="00B94B64">
        <w:t>diatoms, macrophytes,</w:t>
      </w:r>
      <w:r>
        <w:t xml:space="preserve"> zooplankton, and</w:t>
      </w:r>
      <w:r w:rsidRPr="00B94B64">
        <w:t xml:space="preserve"> fish</w:t>
      </w:r>
      <w:r>
        <w:t xml:space="preserve"> </w:t>
      </w:r>
      <w:r>
        <w:rPr>
          <w:rStyle w:val="FootnoteReference"/>
        </w:rPr>
        <w:fldChar w:fldCharType="begin" w:fldLock="1"/>
      </w:r>
      <w:r w:rsidR="002C57A6">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Identification","type":"article-journal","volume":"47"},"uris":["http://www.mendeley.com/documents/?uuid=67aba1bd-c48e-40af-9bd8-bc649b462c20"]},{"id":"ITEM-5","itemData":{"DOI":"10.1007/s10750-011-0831-0","ISSN":"00188158","abstract":"With the implementation of the EU Water Framework Directive (WFD), the member states have to classify the ecological status of surface waters following standardised procedures. It was a matter of some surprise to lake ecologists that zooplankton were not included as a biological quality element (BQE) despite their being considered to be an important and integrated component of the pelagic food web. To the best of our knowledge, the decision of omitting zooplankton is not wise, and it has resulted in the withdrawal of zooplankton from many so-far-solid monitoring programmes. Using examples from particularly Danish, Estonian, and the UK lakes, we show that zooplankton (sampled from the water and the sediment) have a strong indicator value, which cannot be covered by sampling fish and phytoplankton without a very comprehensive and costly effort. When selecting the right metrics, zooplankton are cost-efficient indicators of the trophic state and ecological quality of lakes. Moreover, they are important indicators of the success/failure of measures taken to bring the lakes to at least good ecological status. Therefore, we strongly recommend the EU to include zooplankton as a central BQE in the WFD assessments, and undertake similar regional calibration exercises to obtain relevant and robust metrics also for zooplankton as is being done at present in the cases of fish, phytoplankton, macrophytes and benthic invertebrates. © 2011 Springer Science+Business Media B.V.","author":[{"dropping-particle":"","family":"Jeppesen","given":"Erik","non-dropping-particle":"","parse-names":false,"suffix":""},{"dropping-particle":"","family":"Nõges","given":"Peeter","non-dropping-particle":"","parse-names":false,"suffix":""},{"dropping-particle":"","family":"Davidson","given":"Thomas A.","non-dropping-particle":"","parse-names":false,"suffix":""},{"dropping-particle":"","family":"Haberman","given":"Juta","non-dropping-particle":"","parse-names":false,"suffix":""},{"dropping-particle":"","family":"Nõges","given":"Tiina","non-dropping-particle":"","parse-names":false,"suffix":""},{"dropping-particle":"","family":"Blank","given":"Kätlin","non-dropping-particle":"","parse-names":false,"suffix":""},{"dropping-particle":"","family":"Lauridsen","given":"Torben L.","non-dropping-particle":"","parse-names":false,"suffix":""},{"dropping-particle":"","family":"Søndergaard","given":"Martin","non-dropping-particle":"","parse-names":false,"suffix":""},{"dropping-particle":"","family":"Sayer","given":"Carl","non-dropping-particle":"","parse-names":false,"suffix":""},{"dropping-particle":"","family":"Laugaste","given":"Reet","non-dropping-particle":"","parse-names":false,"suffix":""},{"dropping-particle":"","family":"Johansson","given":"Liselotte S.","non-dropping-particle":"","parse-names":false,"suffix":""},{"dropping-particle":"","family":"Bjerring","given":"Rikke","non-dropping-particle":"","parse-names":false,"suffix":""},{"dropping-particle":"","family":"Amsinck","given":"Susanne L.","non-dropping-particle":"","parse-names":false,"suffix":""}],"container-title":"Hydrobiologia","id":"ITEM-5","issue":"1","issued":{"date-parts":[["2011"]]},"page":"279-297","title":"Zooplankton as indicators in lakes: A scientific-based plea for including zooplankton in the ecological quality assessment of lakes according to the European Water Framework Directive (WFD)","type":"article-journal","volume":"676"},"uris":["http://www.mendeley.com/documents/?uuid=943df83a-f226-4577-b856-c0fcef56ef5f"]}],"mendeley":{"formattedCitation":"(Bellinger and Sigee, 2015; Haury et al., 2006; Jeppesen et al., 2011; Karr, 1981; Resh and Unzicker, 1975)","plainTextFormattedCitation":"(Bellinger and Sigee, 2015; Haury et al., 2006; Jeppesen et al., 2011; Karr, 1981; Resh and Unzicker, 1975)","previouslyFormattedCitation":"(Bellinger and Sigee, 2015; Haury et al., 2006; Jeppesen et al., 2011; Karr, 1981; Resh and Unzicker, 1975)"},"properties":{"noteIndex":0},"schema":"https://github.com/citation-style-language/schema/raw/master/csl-citation.json"}</w:instrText>
      </w:r>
      <w:r>
        <w:rPr>
          <w:rStyle w:val="FootnoteReference"/>
        </w:rPr>
        <w:fldChar w:fldCharType="separate"/>
      </w:r>
      <w:r w:rsidRPr="00222941">
        <w:rPr>
          <w:bCs/>
          <w:noProof/>
          <w:lang w:val="en-US"/>
        </w:rPr>
        <w:t>(Bellinger and Sigee, 2015; Haury et al., 2006; Jeppesen et al., 2011; Karr, 1981; Resh and Unzicker, 1975)</w:t>
      </w:r>
      <w:r>
        <w:rPr>
          <w:rStyle w:val="FootnoteReference"/>
        </w:rPr>
        <w:fldChar w:fldCharType="end"/>
      </w:r>
      <w:r>
        <w:t xml:space="preserve">. </w:t>
      </w:r>
      <w:r>
        <w:rPr>
          <w:color w:val="000000" w:themeColor="text1"/>
        </w:rPr>
        <w:t>However, single-cellular eukaryotes (hereafter referred to as protists)  and prokaryotes were</w:t>
      </w:r>
      <w:r w:rsidRPr="008B0117">
        <w:rPr>
          <w:color w:val="000000" w:themeColor="text1"/>
        </w:rPr>
        <w:t xml:space="preserve"> proposed as </w:t>
      </w:r>
      <w:r>
        <w:rPr>
          <w:color w:val="000000" w:themeColor="text1"/>
        </w:rPr>
        <w:t xml:space="preserve">nearly equally good if not better </w:t>
      </w:r>
      <w:r w:rsidRPr="008B0117">
        <w:rPr>
          <w:color w:val="000000" w:themeColor="text1"/>
        </w:rPr>
        <w:t xml:space="preserve">bioindicators, </w:t>
      </w:r>
      <w:r>
        <w:rPr>
          <w:color w:val="000000" w:themeColor="text1"/>
        </w:rPr>
        <w:t xml:space="preserve">because they respond faster to environmental changes </w:t>
      </w:r>
      <w:r>
        <w:rPr>
          <w:rStyle w:val="FootnoteReference"/>
          <w:color w:val="000000" w:themeColor="text1"/>
        </w:rPr>
        <w:fldChar w:fldCharType="begin" w:fldLock="1"/>
      </w:r>
      <w:r w:rsidR="002C57A6">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Ciliates","type":"article-journal","volume":"35"},"uris":["http://www.mendeley.com/documents/?uuid=52582d5a-9ce8-43f2-95f0-757a77523992"]},{"id":"ITEM-2","itemData":{"DOI":"10.3844/ajassp.2009.1815.1819","ISBN":"1546-9239","ISSN":"15469239","abstract":"Problem statement: This review tended to summarize some recent research on zooplankton as bioindicator in India and some other countries of the world. Approach: These researches were mainly on fresh water bodies. Results: Qualitative as well as quantitative analysis were done by Shannon diversity index (H'), Evenness index (J), Species Richness index (S) and Saprobic index. In most of the cases zooplankton population size was correlated with biotic and abiotic parameters (pH, alkalinity, temperature, dissolve oxygen, transparency, phosphate, chlorine). Species of Rotifers, Cladocerans, Copepods and Ostracods were found in all cases. Species variation of these order deceased in polluted water. Some species were not found in some highly polluted area though these species have high tolerance level. Conclusion/Recommendations: All the results of the studies indicated that potentiality of zooplankton as bioindicator is very high. Other countries can develop these concepts to monitor water quality","author":[{"dropping-particle":"","family":"Ferdous","given":"Zannatul","non-dropping-particle":"","parse-names":false,"suffix":""}],"container-title":"American Journal of Applied Sciences","id":"ITEM-2","issue":"10","issued":{"date-parts":[["2009"]]},"page":"1815-1819","title":"A Review : Potentiality of Zooplankton as Bioindicator","type":"article-journal","volume":"6"},"uris":["http://www.mendeley.com/documents/?uuid=987d24b9-a8e0-4b10-b54a-31a24e3ba9f5"]},{"id":"ITEM-3","itemData":{"DOI":"10.4467/16890027AP.13.0011.1108","ISSN":"00651583","abstract":"To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Protozoologica","id":"ITEM-3","issue":"3","issued":{"date-parts":[["2013"]]},"page":"105-113","title":"Seven reasons why protists make useful bioindicators","type":"article-journal","volume":"52"},"uris":["http://www.mendeley.com/documents/?uuid=315cd321-5282-4450-862c-6be15d063346"]},{"id":"ITEM-4","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A.","non-dropping-particle":"","parse-names":false,"suffix":""}],"id":"ITEM-4","issued":{"date-parts":[["2001"]]},"page":"249-261","publisher":"John Wiley &amp; Sons","publisher-place":"Chichester, West Sussex","title":"Bacteria as Biomonitors","type":"chapter"},"uris":["http://www.mendeley.com/documents/?uuid=67edf6e3-90cc-4be3-a000-b9fd0320002b"]},{"id":"ITEM-5","itemData":{"DOI":"10.1128/mBio.00326-15","abstract":"ABSTRACT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C","non-dropping-particle":"","parse-names":false,"suffix":""}],"container-title":"mBio","id":"ITEM-5","issue":"3","issued":{"date-parts":[["2015"]]},"page":"e00326-15","title":"Natural Bacterial Communities Serve as Quantitative Geochemical Biosensors","type":"article-journal","volume":"6"},"uris":["http://www.mendeley.com/documents/?uuid=b1097c15-9488-4546-ba39-d4f7e3bcd44f"]},{"id":"ITEM-6","itemData":{"DOI":"10.1016/j.ecolind.2017.10.041","ISSN":"1470160X","abstract":"The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Indicators","id":"ITEM-6","issued":{"date-parts":[["2018"]]},"page":"153-164","publisher":"Elsevier","title":"Metabarcoding of benthic ciliate communities shows high potential for environmental monitoring in salmon aquaculture","type":"article-journal","volume":"85"},"uris":["http://www.mendeley.com/documents/?uuid=c347e569-339a-4a28-a17e-2110e58f97e6"]}],"mendeley":{"formattedCitation":"(Ferdous, 2009; Foissner and Berger, 1996; McArthur, 2001; Payne, 2013; Smith et al., 2015; Stoeck et al., 2018)","plainTextFormattedCitation":"(Ferdous, 2009; Foissner and Berger, 1996; McArthur, 2001; Payne, 2013; Smith et al., 2015; Stoeck et al., 2018)","previouslyFormattedCitation":"(Ferdous 2009; Foissner and Berger 1996; McArthur 2001; Payne 2013; Smith et al. 2015; Stoeck et al. 2018)"},"properties":{"noteIndex":0},"schema":"https://github.com/citation-style-language/schema/raw/master/csl-citation.json"}</w:instrText>
      </w:r>
      <w:r>
        <w:rPr>
          <w:rStyle w:val="FootnoteReference"/>
          <w:color w:val="000000" w:themeColor="text1"/>
        </w:rPr>
        <w:fldChar w:fldCharType="separate"/>
      </w:r>
      <w:r w:rsidR="002C57A6" w:rsidRPr="002C57A6">
        <w:rPr>
          <w:bCs/>
          <w:noProof/>
          <w:color w:val="000000" w:themeColor="text1"/>
          <w:lang w:val="en-US"/>
        </w:rPr>
        <w:t>(Ferdous, 2009; Foissner and Berger, 1996; McArthur, 2001; Payne, 2013; Smith et al., 2015; Stoeck et al., 2018)</w:t>
      </w:r>
      <w:r>
        <w:rPr>
          <w:rStyle w:val="FootnoteReference"/>
          <w:color w:val="000000" w:themeColor="text1"/>
        </w:rPr>
        <w:fldChar w:fldCharType="end"/>
      </w:r>
      <w:r>
        <w:rPr>
          <w:color w:val="000000" w:themeColor="text1"/>
        </w:rPr>
        <w:t>.</w:t>
      </w:r>
      <w:r w:rsidR="002C57A6">
        <w:rPr>
          <w:color w:val="000000" w:themeColor="text1"/>
        </w:rPr>
        <w:t xml:space="preserve"> Consequently, recent studies advocate for the inclusion of more comprehensive communities</w:t>
      </w:r>
      <w:r w:rsidR="00FC4770">
        <w:rPr>
          <w:color w:val="000000" w:themeColor="text1"/>
        </w:rPr>
        <w:t xml:space="preserve">, </w:t>
      </w:r>
      <w:r w:rsidR="00FC4770" w:rsidRPr="00FC4770">
        <w:rPr>
          <w:color w:val="000000" w:themeColor="text1"/>
          <w:highlight w:val="yellow"/>
        </w:rPr>
        <w:t>i.e. entire microbiomes</w:t>
      </w:r>
      <w:r w:rsidR="00FC4770">
        <w:rPr>
          <w:color w:val="000000" w:themeColor="text1"/>
        </w:rPr>
        <w:t>,</w:t>
      </w:r>
      <w:r w:rsidR="002C57A6">
        <w:rPr>
          <w:color w:val="000000" w:themeColor="text1"/>
        </w:rPr>
        <w:t xml:space="preserve"> into ecological assessments and biodiversity studies in general </w:t>
      </w:r>
      <w:r w:rsidR="002C57A6">
        <w:rPr>
          <w:rStyle w:val="FootnoteReference"/>
          <w:color w:val="000000" w:themeColor="text1"/>
        </w:rPr>
        <w:fldChar w:fldCharType="begin" w:fldLock="1"/>
      </w:r>
      <w:r w:rsidR="002C57A6">
        <w:rPr>
          <w:color w:val="000000" w:themeColor="text1"/>
        </w:rPr>
        <w:instrText>ADDIN CSL_CITATION {"citationItems":[{"id":"ITEM-1","itemData":{"DOI":"10.1016/j.ejop.2016.02.003","ISSN":"16180429","abstract":"High-throughput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Protistology","id":"ITEM-1","issued":{"date-parts":[["2016"]]},"page":"12-25","publisher":"Elsevier GmbH","title":"Protist metabarcoding and environmental biomonitoring: Time for change","type":"article-journal","volume":"55"},"uris":["http://www.mendeley.com/documents/?uuid=6ede3179-0475-4e4c-9090-a44377ea9e39"]},{"id":"ITEM-2","itemData":{"DOI":"10.1139/gen-2018-0096","ISSN":"0831-2796","abstract":"© 2019 Published by NRC Research Press. The rapid loss of biodiversity, coupled with difficulties in species identification, call for innovative approaches to assess biodiversity. Insects make up a substantial proportion of extant diversity and play fundamental roles in any given ecosystem. To complement morphological species identification, new techniques such as metabarcoding make it possible to quantify insect diversity and insect-ecosystem interactions through DNA sequencing. Here we examine the potential of bulk insect samples (i.e., containing many non-sorted specimens) to assess prokaryote and eukaryote biodiversity and to complement the taxonomic coverage of soil samples. We sampled 25 sites on three continents and in various ecosystems, collecting insects with SLAM traps (Brazil) and Malaise traps (South Africa and Sweden). We then compared our diversity estimates with the results obtained with biodiversity data from soil samples from the same localities. We found a largely different taxonomic composition between the soil and insect samples, testifying to the potential of bulk insect samples to complement soil samples. Finally, we found that non-destructive DNA extraction protocols, which preserve insect specimens for morphological studies, constitute a promising choice for cost-effective biodiversity assessments. We propose that the sampling and sequencing of insect samples should become a standard complement for biodiversity studies based on environmental DNA.","author":[{"dropping-particle":"","family":"Ritter","given":"Camila D.","non-dropping-particle":"","parse-names":false,"suffix":""},{"dropping-particle":"","family":"Häggqvist","given":"Sibylle","non-dropping-particle":"","parse-names":false,"suffix":""},{"dropping-particle":"","family":"Karlsson","given":"Dave","non-dropping-particle":"","parse-names":false,"suffix":""},{"dropping-particle":"","family":"Sääksjärvi","given":"Ilari E.","non-dropping-particle":"","parse-names":false,"suffix":""},{"dropping-particle":"","family":"Muasya","given":"A. Muthama","non-dropping-particle":"","parse-names":false,"suffix":""},{"dropping-particle":"","family":"Nilsson","given":"R. Henrik","non-dropping-particle":"","parse-names":false,"suffix":""},{"dropping-particle":"","family":"Antonelli","given":"Alexandre","non-dropping-particle":"","parse-names":false,"suffix":""}],"container-title":"Genome","id":"ITEM-2","issue":"3","issued":{"date-parts":[["2019"]]},"page":"147-159","title":"Biodiversity assessments in the 21st century: the potential of insect traps to complement environmental samples for estimating eukaryotic and prokaryotic diversity using high-throughput DNA metabarcoding","type":"article-journal","volume":"62"},"uris":["http://www.mendeley.com/documents/?uuid=f0daaab2-0100-4cdb-a196-52b88616a26a"]}],"mendeley":{"formattedCitation":"(Pawlowski et al., 2016; Ritter et al., 2019)","plainTextFormattedCitation":"(Pawlowski et al., 2016; Ritter et al., 2019)","previouslyFormattedCitation":"(Pawlowski et al., 2016; Ritter et al., 2019)"},"properties":{"noteIndex":0},"schema":"https://github.com/citation-style-language/schema/raw/master/csl-citation.json"}</w:instrText>
      </w:r>
      <w:r w:rsidR="002C57A6">
        <w:rPr>
          <w:rStyle w:val="FootnoteReference"/>
          <w:color w:val="000000" w:themeColor="text1"/>
        </w:rPr>
        <w:fldChar w:fldCharType="separate"/>
      </w:r>
      <w:r w:rsidR="002C57A6" w:rsidRPr="00222941">
        <w:rPr>
          <w:bCs/>
          <w:noProof/>
          <w:color w:val="000000" w:themeColor="text1"/>
          <w:lang w:val="en-US"/>
        </w:rPr>
        <w:t>(Pawlowski et al., 2016; Ritter et al., 2019)</w:t>
      </w:r>
      <w:r w:rsidR="002C57A6">
        <w:rPr>
          <w:rStyle w:val="FootnoteReference"/>
          <w:color w:val="000000" w:themeColor="text1"/>
        </w:rPr>
        <w:fldChar w:fldCharType="end"/>
      </w:r>
      <w:r w:rsidR="002C57A6">
        <w:rPr>
          <w:color w:val="000000" w:themeColor="text1"/>
        </w:rPr>
        <w:t>.</w:t>
      </w:r>
    </w:p>
    <w:p w14:paraId="5FD6AC39" w14:textId="1C55943D" w:rsidR="002C57A6" w:rsidRDefault="002C57A6" w:rsidP="004D5825">
      <w:pPr>
        <w:spacing w:line="360" w:lineRule="auto"/>
        <w:jc w:val="both"/>
        <w:rPr>
          <w:color w:val="000000" w:themeColor="text1"/>
        </w:rPr>
      </w:pPr>
    </w:p>
    <w:p w14:paraId="1A24AF32" w14:textId="77249F82" w:rsidR="002D1DC2" w:rsidRDefault="002D1DC2" w:rsidP="004D5825">
      <w:pPr>
        <w:spacing w:line="360" w:lineRule="auto"/>
        <w:jc w:val="both"/>
        <w:rPr>
          <w:color w:val="000000" w:themeColor="text1"/>
        </w:rPr>
      </w:pPr>
      <w:r>
        <w:rPr>
          <w:color w:val="000000" w:themeColor="text1"/>
        </w:rPr>
        <w:t>PART 2: DNA-BASED APPROACH</w:t>
      </w:r>
    </w:p>
    <w:p w14:paraId="5308453F" w14:textId="0439BACF" w:rsidR="002D1DC2" w:rsidRDefault="002D1DC2" w:rsidP="004D5825">
      <w:pPr>
        <w:spacing w:line="360" w:lineRule="auto"/>
        <w:jc w:val="both"/>
        <w:rPr>
          <w:color w:val="000000" w:themeColor="text1"/>
        </w:rPr>
      </w:pPr>
      <w:r>
        <w:rPr>
          <w:color w:val="000000" w:themeColor="text1"/>
        </w:rPr>
        <w:t>PART 2.1: METABARCODING</w:t>
      </w:r>
    </w:p>
    <w:p w14:paraId="632EB6D5" w14:textId="3A0B357F" w:rsidR="00222941" w:rsidRDefault="00222941" w:rsidP="002C57A6">
      <w:pPr>
        <w:spacing w:line="360" w:lineRule="auto"/>
        <w:ind w:firstLine="720"/>
        <w:jc w:val="both"/>
        <w:rPr>
          <w:rFonts w:ascii="Calibri" w:hAnsi="Calibri" w:cs="Calibri"/>
          <w:color w:val="FF0000"/>
        </w:rPr>
      </w:pPr>
      <w:r>
        <w:rPr>
          <w:color w:val="000000" w:themeColor="text1"/>
        </w:rPr>
        <w:lastRenderedPageBreak/>
        <w:t xml:space="preserve">However, </w:t>
      </w:r>
      <w:r w:rsidR="002C57A6">
        <w:rPr>
          <w:color w:val="000000" w:themeColor="text1"/>
        </w:rPr>
        <w:t>morphologic</w:t>
      </w:r>
      <w:r>
        <w:rPr>
          <w:color w:val="000000" w:themeColor="text1"/>
        </w:rPr>
        <w:t xml:space="preserve"> identification of </w:t>
      </w:r>
      <w:r w:rsidR="00FC4770" w:rsidRPr="00FC4770">
        <w:rPr>
          <w:color w:val="000000" w:themeColor="text1"/>
          <w:highlight w:val="yellow"/>
        </w:rPr>
        <w:t>the microbiome</w:t>
      </w:r>
      <w:r w:rsidR="00FC4770">
        <w:rPr>
          <w:color w:val="000000" w:themeColor="text1"/>
        </w:rPr>
        <w:t xml:space="preserve"> </w:t>
      </w:r>
      <w:r>
        <w:rPr>
          <w:color w:val="000000" w:themeColor="text1"/>
        </w:rPr>
        <w:t xml:space="preserve">most protist groups and prokaryotes is not practicable because of the lack of diagnostical traits, and DNA-based methods can sometimes be the only option to distinguish organisms </w:t>
      </w:r>
      <w:r>
        <w:rPr>
          <w:rStyle w:val="FootnoteReference"/>
          <w:color w:val="000000" w:themeColor="text1"/>
        </w:rPr>
        <w:fldChar w:fldCharType="begin" w:fldLock="1"/>
      </w:r>
      <w:r w:rsidR="002C57A6">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Pr>
          <w:rStyle w:val="FootnoteReference"/>
          <w:color w:val="000000" w:themeColor="text1"/>
        </w:rPr>
        <w:fldChar w:fldCharType="separate"/>
      </w:r>
      <w:r w:rsidR="002C57A6" w:rsidRPr="002C57A6">
        <w:rPr>
          <w:bCs/>
          <w:noProof/>
          <w:color w:val="000000" w:themeColor="text1"/>
          <w:lang w:val="en-US"/>
        </w:rPr>
        <w:t>(Pawlowski et al., 2012; Will and Rubinoff, 2004)</w:t>
      </w:r>
      <w:r>
        <w:rPr>
          <w:rStyle w:val="FootnoteReference"/>
          <w:color w:val="000000" w:themeColor="text1"/>
        </w:rPr>
        <w:fldChar w:fldCharType="end"/>
      </w:r>
      <w:r w:rsidR="002C57A6">
        <w:rPr>
          <w:color w:val="000000" w:themeColor="text1"/>
        </w:rPr>
        <w:t xml:space="preserve">. DNA-based biomonitoring methods have been proposed as a GOOD ADDITION to morphologic identification. While DNA Metabarcoding </w:t>
      </w:r>
      <w:r w:rsidR="002C57A6">
        <w:rPr>
          <w:color w:val="000000" w:themeColor="text1"/>
        </w:rPr>
        <w:fldChar w:fldCharType="begin" w:fldLock="1"/>
      </w:r>
      <w:r w:rsidR="002C57A6">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2012)"},"properties":{"noteIndex":0},"schema":"https://github.com/citation-style-language/schema/raw/master/csl-citation.json"}</w:instrText>
      </w:r>
      <w:r w:rsidR="002C57A6">
        <w:rPr>
          <w:color w:val="000000" w:themeColor="text1"/>
        </w:rPr>
        <w:fldChar w:fldCharType="separate"/>
      </w:r>
      <w:r w:rsidR="002C57A6" w:rsidRPr="002C57A6">
        <w:rPr>
          <w:noProof/>
          <w:color w:val="000000" w:themeColor="text1"/>
        </w:rPr>
        <w:t>(Taberlet et al., 2012)</w:t>
      </w:r>
      <w:r w:rsidR="002C57A6">
        <w:rPr>
          <w:color w:val="000000" w:themeColor="text1"/>
        </w:rPr>
        <w:fldChar w:fldCharType="end"/>
      </w:r>
      <w:r w:rsidR="002C57A6">
        <w:rPr>
          <w:color w:val="000000" w:themeColor="text1"/>
        </w:rPr>
        <w:t xml:space="preserve"> has established as an effective, DNA-based biomonitoring METHOD, </w:t>
      </w:r>
      <w:r w:rsidR="002C57A6">
        <w:rPr>
          <w:rFonts w:ascii="Calibri" w:hAnsi="Calibri" w:cs="Calibri"/>
          <w:color w:val="000000" w:themeColor="text1"/>
        </w:rPr>
        <w:t>the method is also known to BRING ERRORS. The main issue of DNA Metabarcoding is primer bias introduced during DNA amplification, due to</w:t>
      </w:r>
      <w:r w:rsidR="002C57A6" w:rsidRPr="004D1350">
        <w:rPr>
          <w:rFonts w:ascii="Calibri" w:hAnsi="Calibri" w:cs="Calibri"/>
          <w:color w:val="000000" w:themeColor="text1"/>
        </w:rPr>
        <w:t xml:space="preserve"> varying </w:t>
      </w:r>
      <w:r w:rsidR="002C57A6">
        <w:rPr>
          <w:rFonts w:ascii="Calibri" w:hAnsi="Calibri" w:cs="Calibri"/>
          <w:color w:val="000000" w:themeColor="text1"/>
        </w:rPr>
        <w:t xml:space="preserve">primer </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5eba48e7-b437-474e-82a5-7daebe40964b"]},{"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324684">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2C57A6" w:rsidRPr="004D1350">
        <w:rPr>
          <w:rFonts w:ascii="Calibri" w:hAnsi="Calibri" w:cs="Calibri"/>
          <w:color w:val="000000" w:themeColor="text1"/>
        </w:rPr>
        <w:t>.</w:t>
      </w:r>
      <w:r w:rsidR="002C57A6">
        <w:rPr>
          <w:rFonts w:ascii="Calibri" w:hAnsi="Calibri" w:cs="Calibri"/>
          <w:color w:val="000000" w:themeColor="text1"/>
        </w:rPr>
        <w:t xml:space="preserve"> Additionally, PCR bias is introduced during the PCR process by GC preference of the polymerase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Data","type":"article-journal","volume":"4"},"uris":["http://www.mendeley.com/documents/?uuid=c2678d95-e7ca-4ca7-9407-4863719cc5ed"]}],"mendeley":{"formattedCitation":"(Nichols et al. 2018; Sze and Schloss 2019)","plainTextFormattedCitation":"(Nichols et al. 2018; Sze and Schloss 2019)","previouslyFormattedCitation":"(Nichols et al. 2018;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762679">
        <w:rPr>
          <w:rFonts w:ascii="Calibri" w:hAnsi="Calibri" w:cs="Calibri"/>
          <w:bCs/>
          <w:noProof/>
          <w:color w:val="000000" w:themeColor="text1"/>
          <w:lang w:val="en-US"/>
        </w:rPr>
        <w:t>(Nichols et al. 2018;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PCR inhibition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author":[{"dropping-particle":"","family":"Taberlet","given":"Pierre","non-dropping-particle":"","parse-names":false,"suffix":""},{"dropping-particle":"","family":"Griffin","given":"Sally","non-dropping-particle":"","parse-names":false,"suffix":""},{"dropping-particle":"","family":"Goossens","given":"Benoî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 Research","id":"ITEM-1","issue":"16","issued":{"date-parts":[["1996"]]},"page":"3189-3194","title":"Reliable genotyping of samll samples with very low DNA quantities using PCR","type":"article-journal","volume":"24"},"uris":["http://www.mendeley.com/documents/?uuid=72318c9a-5a4a-4d18-a466-da4f4f7617ac"]},{"id":"ITEM-2","itemData":{"DOI":"10.1111/1755-0998.12285","ISBN":"1755-0998","ISSN":"17550998","PMID":"24890199","abstract":"Environmental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Resources","id":"ITEM-2","issue":"1","issued":{"date-parts":[["2015"]]},"page":"216-227","title":"Distance, flow and PCR inhibition: EDNA dynamics in two headwater streams","type":"article-journal","volume":"15"},"uris":["http://www.mendeley.com/documents/?uuid=bdcd3b61-f1c5-4cc6-b336-6184379c0248"]}],"mendeley":{"formattedCitation":"(Jane et al. 2015; Taberlet et al. 1996)","plainTextFormattedCitation":"(Jane et al. 2015; Taberlet et al. 1996)","previouslyFormattedCitation":"(Jane et al. 2015;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324684">
        <w:rPr>
          <w:rFonts w:ascii="Calibri" w:hAnsi="Calibri" w:cs="Calibri"/>
          <w:bCs/>
          <w:noProof/>
          <w:color w:val="000000" w:themeColor="text1"/>
          <w:lang w:val="en-US"/>
        </w:rPr>
        <w:t>(Jane et al. 2015;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and chimera formation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D.","non-dropping-particle":"","parse-names":false,"suffix":""}],"container-title":"mSphere","id":"ITEM-1","issue":"3","issued":{"date-parts":[["2019"]]},"page":"e00163-19","title":"The Impact of DNA Polymerase and Number of Rounds of Amplification in PCR on 16S rRNA Gene Sequence Data","type":"article-journal","volume":"4"},"uris":["http://www.mendeley.com/documents/?uuid=c2678d95-e7ca-4ca7-9407-4863719cc5ed"]},{"id":"ITEM-2","itemData":{"DOI":"10.1093/gigascience/giz092","ISSN":"2047-217X","abstract":"&lt;p&gt;Trap-based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J","non-dropping-particle":"","parse-names":false,"suffix":""}],"container-title":"GigaScience","id":"ITEM-2","issue":"8","issued":{"date-parts":[["2019"]]},"page":"1-22","publisher":"Oxford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surveillance","type":"article-journal","volume":"8"},"uris":["http://www.mendeley.com/documents/?uuid=882e99ad-6151-4097-851d-f3746fb79f88"]}],"mendeley":{"formattedCitation":"(Piper et al. 2019; Sze and Schloss 2019)","plainTextFormattedCitation":"(Piper et al. 2019; Sze and Schloss 2019)","previouslyFormattedCitation":"(Piper et al. 2019;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762679">
        <w:rPr>
          <w:rFonts w:ascii="Calibri" w:hAnsi="Calibri" w:cs="Calibri"/>
          <w:noProof/>
          <w:color w:val="000000" w:themeColor="text1"/>
        </w:rPr>
        <w:t>(Piper et al. 2019;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w:t>
      </w:r>
      <w:r w:rsidR="002C57A6" w:rsidRPr="002C57A6">
        <w:rPr>
          <w:rFonts w:ascii="Calibri" w:hAnsi="Calibri" w:cs="Calibri"/>
          <w:color w:val="FF0000"/>
        </w:rPr>
        <w:t>Consequently, DNA metabarcoding is unsuitable for biodiversity surveys</w:t>
      </w:r>
      <w:r w:rsidR="00FC4770">
        <w:rPr>
          <w:rFonts w:ascii="Calibri" w:hAnsi="Calibri" w:cs="Calibri"/>
          <w:color w:val="FF0000"/>
        </w:rPr>
        <w:t xml:space="preserve"> assessing entire communities, such as </w:t>
      </w:r>
      <w:r w:rsidR="00FC4770" w:rsidRPr="00FC4770">
        <w:rPr>
          <w:rFonts w:ascii="Calibri" w:hAnsi="Calibri" w:cs="Calibri"/>
          <w:color w:val="FF0000"/>
          <w:highlight w:val="yellow"/>
        </w:rPr>
        <w:t>microbiomes</w:t>
      </w:r>
      <w:r w:rsidR="00FC4770">
        <w:rPr>
          <w:rFonts w:ascii="Calibri" w:hAnsi="Calibri" w:cs="Calibri"/>
          <w:color w:val="FF0000"/>
        </w:rPr>
        <w:t>.</w:t>
      </w:r>
      <w:r w:rsidR="00C07C77">
        <w:rPr>
          <w:rFonts w:ascii="Calibri" w:hAnsi="Calibri" w:cs="Calibri"/>
          <w:color w:val="FF0000"/>
        </w:rPr>
        <w:t xml:space="preserve"> </w:t>
      </w:r>
      <w:r w:rsidR="00745C9E">
        <w:rPr>
          <w:rFonts w:ascii="Calibri" w:hAnsi="Calibri" w:cs="Calibri"/>
          <w:color w:val="FF0000"/>
        </w:rPr>
        <w:t xml:space="preserve">However, they give good taxonomic </w:t>
      </w:r>
      <w:proofErr w:type="spellStart"/>
      <w:r w:rsidR="00745C9E">
        <w:rPr>
          <w:rFonts w:ascii="Calibri" w:hAnsi="Calibri" w:cs="Calibri"/>
          <w:color w:val="FF0000"/>
        </w:rPr>
        <w:t>resoltuon</w:t>
      </w:r>
      <w:proofErr w:type="spellEnd"/>
      <w:r w:rsidR="00745C9E">
        <w:rPr>
          <w:rFonts w:ascii="Calibri" w:hAnsi="Calibri" w:cs="Calibri"/>
          <w:color w:val="FF0000"/>
        </w:rPr>
        <w:t xml:space="preserve"> and are less </w:t>
      </w:r>
      <w:proofErr w:type="spellStart"/>
      <w:r w:rsidR="00745C9E">
        <w:rPr>
          <w:rFonts w:ascii="Calibri" w:hAnsi="Calibri" w:cs="Calibri"/>
          <w:color w:val="FF0000"/>
        </w:rPr>
        <w:t>dependant</w:t>
      </w:r>
      <w:proofErr w:type="spellEnd"/>
      <w:r w:rsidR="00745C9E">
        <w:rPr>
          <w:rFonts w:ascii="Calibri" w:hAnsi="Calibri" w:cs="Calibri"/>
          <w:color w:val="FF0000"/>
        </w:rPr>
        <w:t xml:space="preserve"> on </w:t>
      </w:r>
      <w:proofErr w:type="spellStart"/>
      <w:r w:rsidR="00745C9E">
        <w:rPr>
          <w:rFonts w:ascii="Calibri" w:hAnsi="Calibri" w:cs="Calibri"/>
          <w:color w:val="FF0000"/>
        </w:rPr>
        <w:t>sequenivng</w:t>
      </w:r>
      <w:proofErr w:type="spellEnd"/>
      <w:r w:rsidR="00745C9E">
        <w:rPr>
          <w:rFonts w:ascii="Calibri" w:hAnsi="Calibri" w:cs="Calibri"/>
          <w:color w:val="FF0000"/>
        </w:rPr>
        <w:t xml:space="preserve"> depth REF</w:t>
      </w:r>
      <w:r w:rsidR="002D1DC2">
        <w:rPr>
          <w:rFonts w:ascii="Calibri" w:hAnsi="Calibri" w:cs="Calibri"/>
          <w:color w:val="FF0000"/>
        </w:rPr>
        <w:t>, so still valuable</w:t>
      </w:r>
    </w:p>
    <w:p w14:paraId="6CFEBE2D" w14:textId="0BA6FA6A" w:rsidR="002C57A6" w:rsidRDefault="002C57A6" w:rsidP="002C57A6">
      <w:pPr>
        <w:spacing w:line="360" w:lineRule="auto"/>
        <w:ind w:firstLine="720"/>
        <w:jc w:val="both"/>
        <w:rPr>
          <w:rFonts w:ascii="Calibri" w:hAnsi="Calibri" w:cs="Calibri"/>
          <w:bCs/>
          <w:noProof/>
          <w:color w:val="000000" w:themeColor="text1"/>
          <w:lang w:val="en-US"/>
        </w:rPr>
      </w:pPr>
    </w:p>
    <w:p w14:paraId="1FE160CB" w14:textId="0BFB8D87" w:rsidR="002D1DC2" w:rsidRPr="002C57A6" w:rsidRDefault="002D1DC2" w:rsidP="002D1DC2">
      <w:pPr>
        <w:spacing w:line="360" w:lineRule="auto"/>
        <w:jc w:val="both"/>
        <w:rPr>
          <w:rFonts w:ascii="Calibri" w:hAnsi="Calibri" w:cs="Calibri"/>
          <w:bCs/>
          <w:noProof/>
          <w:color w:val="000000" w:themeColor="text1"/>
          <w:lang w:val="en-US"/>
        </w:rPr>
      </w:pPr>
      <w:r>
        <w:rPr>
          <w:rFonts w:ascii="Calibri" w:hAnsi="Calibri" w:cs="Calibri"/>
          <w:bCs/>
          <w:noProof/>
          <w:color w:val="000000" w:themeColor="text1"/>
          <w:lang w:val="en-US"/>
        </w:rPr>
        <w:t>PART 2.2: SHOTGUN SEQ</w:t>
      </w:r>
    </w:p>
    <w:p w14:paraId="61B83A3E" w14:textId="491C61FB" w:rsidR="002C57A6" w:rsidRDefault="002C57A6" w:rsidP="00FC4770">
      <w:pPr>
        <w:spacing w:line="360" w:lineRule="auto"/>
        <w:ind w:firstLine="720"/>
        <w:jc w:val="both"/>
        <w:rPr>
          <w:rFonts w:ascii="Calibri" w:hAnsi="Calibri" w:cs="Calibri"/>
          <w:bCs/>
          <w:noProof/>
          <w:color w:val="000000" w:themeColor="text1"/>
          <w:lang w:val="en-US"/>
        </w:rPr>
      </w:pPr>
      <w:commentRangeStart w:id="2"/>
      <w:r>
        <w:rPr>
          <w:rFonts w:ascii="Calibri" w:hAnsi="Calibri" w:cs="Calibri"/>
          <w:bCs/>
          <w:noProof/>
          <w:color w:val="000000" w:themeColor="text1"/>
          <w:lang w:val="en-US"/>
        </w:rPr>
        <w:t>S</w:t>
      </w:r>
      <w:r w:rsidRPr="002C57A6">
        <w:rPr>
          <w:rFonts w:ascii="Calibri" w:hAnsi="Calibri" w:cs="Calibri"/>
          <w:bCs/>
          <w:noProof/>
          <w:color w:val="000000" w:themeColor="text1"/>
          <w:lang w:val="en-US"/>
        </w:rPr>
        <w:t>hotgun seq</w:t>
      </w:r>
      <w:r>
        <w:rPr>
          <w:rFonts w:ascii="Calibri" w:hAnsi="Calibri" w:cs="Calibri"/>
          <w:bCs/>
          <w:noProof/>
          <w:color w:val="000000" w:themeColor="text1"/>
          <w:lang w:val="en-US"/>
        </w:rPr>
        <w:t>u</w:t>
      </w:r>
      <w:r w:rsidRPr="002C57A6">
        <w:rPr>
          <w:rFonts w:ascii="Calibri" w:hAnsi="Calibri" w:cs="Calibri"/>
          <w:bCs/>
          <w:noProof/>
          <w:color w:val="000000" w:themeColor="text1"/>
          <w:lang w:val="en-US"/>
        </w:rPr>
        <w:t>enc</w:t>
      </w:r>
      <w:r>
        <w:rPr>
          <w:rFonts w:ascii="Calibri" w:hAnsi="Calibri" w:cs="Calibri"/>
          <w:bCs/>
          <w:noProof/>
          <w:color w:val="000000" w:themeColor="text1"/>
          <w:lang w:val="en-US"/>
        </w:rPr>
        <w:t>in</w:t>
      </w:r>
      <w:r w:rsidRPr="002C57A6">
        <w:rPr>
          <w:rFonts w:ascii="Calibri" w:hAnsi="Calibri" w:cs="Calibri"/>
          <w:bCs/>
          <w:noProof/>
          <w:color w:val="000000" w:themeColor="text1"/>
          <w:lang w:val="en-US"/>
        </w:rPr>
        <w:t>g</w:t>
      </w:r>
      <w:r>
        <w:rPr>
          <w:rFonts w:ascii="Calibri" w:hAnsi="Calibri" w:cs="Calibri"/>
          <w:bCs/>
          <w:noProof/>
          <w:color w:val="000000" w:themeColor="text1"/>
          <w:lang w:val="en-US"/>
        </w:rPr>
        <w:t>-</w:t>
      </w:r>
      <w:r w:rsidRPr="002C57A6">
        <w:rPr>
          <w:rFonts w:ascii="Calibri" w:hAnsi="Calibri" w:cs="Calibri"/>
          <w:bCs/>
          <w:noProof/>
          <w:color w:val="000000" w:themeColor="text1"/>
          <w:lang w:val="en-US"/>
        </w:rPr>
        <w:t xml:space="preserve">based approaches, </w:t>
      </w:r>
      <w:r w:rsidR="002D1DC2">
        <w:rPr>
          <w:rFonts w:ascii="Calibri" w:hAnsi="Calibri" w:cs="Calibri"/>
          <w:bCs/>
          <w:noProof/>
          <w:color w:val="000000" w:themeColor="text1"/>
          <w:lang w:val="en-US"/>
        </w:rPr>
        <w:t>[[[</w:t>
      </w:r>
      <w:r w:rsidRPr="002C57A6">
        <w:rPr>
          <w:rFonts w:ascii="Calibri" w:hAnsi="Calibri" w:cs="Calibri"/>
          <w:bCs/>
          <w:noProof/>
          <w:color w:val="000000" w:themeColor="text1"/>
          <w:lang w:val="en-US"/>
        </w:rPr>
        <w:t>such as metageno</w:t>
      </w:r>
      <w:r>
        <w:rPr>
          <w:rFonts w:ascii="Calibri" w:hAnsi="Calibri" w:cs="Calibri"/>
          <w:bCs/>
          <w:noProof/>
          <w:color w:val="000000" w:themeColor="text1"/>
          <w:lang w:val="en-US"/>
        </w:rPr>
        <w:t>m</w:t>
      </w:r>
      <w:r w:rsidRPr="002C57A6">
        <w:rPr>
          <w:rFonts w:ascii="Calibri" w:hAnsi="Calibri" w:cs="Calibri"/>
          <w:bCs/>
          <w:noProof/>
          <w:color w:val="000000" w:themeColor="text1"/>
          <w:lang w:val="en-US"/>
        </w:rPr>
        <w:t>i</w:t>
      </w:r>
      <w:r>
        <w:rPr>
          <w:rFonts w:ascii="Calibri" w:hAnsi="Calibri" w:cs="Calibri"/>
          <w:bCs/>
          <w:noProof/>
          <w:color w:val="000000" w:themeColor="text1"/>
          <w:lang w:val="en-US"/>
        </w:rPr>
        <w:t>c</w:t>
      </w:r>
      <w:r w:rsidRPr="002C57A6">
        <w:rPr>
          <w:rFonts w:ascii="Calibri" w:hAnsi="Calibri" w:cs="Calibri"/>
          <w:bCs/>
          <w:noProof/>
          <w:color w:val="000000" w:themeColor="text1"/>
          <w:lang w:val="en-US"/>
        </w:rPr>
        <w:t xml:space="preserve">s and </w:t>
      </w:r>
      <w:r>
        <w:rPr>
          <w:rFonts w:ascii="Calibri" w:hAnsi="Calibri" w:cs="Calibri"/>
          <w:bCs/>
          <w:noProof/>
          <w:color w:val="000000" w:themeColor="text1"/>
          <w:lang w:val="en-US"/>
        </w:rPr>
        <w:t>metatranscriptomics (RNA-Seq)</w:t>
      </w:r>
      <w:r w:rsidR="002D1DC2">
        <w:rPr>
          <w:rFonts w:ascii="Calibri" w:hAnsi="Calibri" w:cs="Calibri"/>
          <w:bCs/>
          <w:noProof/>
          <w:color w:val="000000" w:themeColor="text1"/>
          <w:lang w:val="en-US"/>
        </w:rPr>
        <w:t>]]]</w:t>
      </w:r>
      <w:r>
        <w:rPr>
          <w:rFonts w:ascii="Calibri" w:hAnsi="Calibri" w:cs="Calibri"/>
          <w:bCs/>
          <w:noProof/>
          <w:color w:val="000000" w:themeColor="text1"/>
          <w:lang w:val="en-US"/>
        </w:rPr>
        <w:t xml:space="preserve">, </w:t>
      </w:r>
      <w:r w:rsidRPr="002C57A6">
        <w:rPr>
          <w:rFonts w:ascii="Calibri" w:hAnsi="Calibri" w:cs="Calibri"/>
          <w:bCs/>
          <w:noProof/>
          <w:color w:val="000000" w:themeColor="text1"/>
          <w:lang w:val="en-US"/>
        </w:rPr>
        <w:t xml:space="preserve">present </w:t>
      </w:r>
      <w:r>
        <w:rPr>
          <w:rFonts w:ascii="Calibri" w:hAnsi="Calibri" w:cs="Calibri"/>
          <w:bCs/>
          <w:noProof/>
          <w:color w:val="000000" w:themeColor="text1"/>
          <w:lang w:val="en-US"/>
        </w:rPr>
        <w:t>a</w:t>
      </w:r>
      <w:r w:rsidRPr="002C57A6">
        <w:rPr>
          <w:rFonts w:ascii="Calibri" w:hAnsi="Calibri" w:cs="Calibri"/>
          <w:bCs/>
          <w:noProof/>
          <w:color w:val="000000" w:themeColor="text1"/>
          <w:lang w:val="en-US"/>
        </w:rPr>
        <w:t xml:space="preserve">n alternative </w:t>
      </w:r>
      <w:r>
        <w:rPr>
          <w:rFonts w:ascii="Calibri" w:hAnsi="Calibri" w:cs="Calibri"/>
          <w:bCs/>
          <w:noProof/>
          <w:color w:val="000000" w:themeColor="text1"/>
          <w:lang w:val="en-US"/>
        </w:rPr>
        <w:t xml:space="preserve">to DNA Metabarcoding. </w:t>
      </w:r>
      <w:r w:rsidR="00FC4770">
        <w:rPr>
          <w:rFonts w:ascii="Calibri" w:hAnsi="Calibri" w:cs="Calibri"/>
          <w:bCs/>
          <w:noProof/>
          <w:color w:val="000000" w:themeColor="text1"/>
          <w:lang w:val="en-US"/>
        </w:rPr>
        <w:t xml:space="preserve">These approaches enable the generation and analysis of metagenomes and metatranscriptomes of entire communities while avoiding </w:t>
      </w:r>
      <w:r w:rsidRPr="002C57A6">
        <w:rPr>
          <w:rFonts w:ascii="Calibri" w:hAnsi="Calibri" w:cs="Calibri"/>
          <w:bCs/>
          <w:noProof/>
          <w:color w:val="000000" w:themeColor="text1"/>
          <w:lang w:val="en-US"/>
        </w:rPr>
        <w:t xml:space="preserve">primer </w:t>
      </w:r>
      <w:r w:rsidR="00FC4770">
        <w:rPr>
          <w:rFonts w:ascii="Calibri" w:hAnsi="Calibri" w:cs="Calibri"/>
          <w:bCs/>
          <w:noProof/>
          <w:color w:val="000000" w:themeColor="text1"/>
          <w:lang w:val="en-US"/>
        </w:rPr>
        <w:t xml:space="preserve">and PCR </w:t>
      </w:r>
      <w:r w:rsidRPr="002C57A6">
        <w:rPr>
          <w:rFonts w:ascii="Calibri" w:hAnsi="Calibri" w:cs="Calibri"/>
          <w:bCs/>
          <w:noProof/>
          <w:color w:val="000000" w:themeColor="text1"/>
          <w:lang w:val="en-US"/>
        </w:rPr>
        <w:t>bias</w:t>
      </w:r>
      <w:r w:rsidR="00FC4770">
        <w:rPr>
          <w:rFonts w:ascii="Calibri" w:hAnsi="Calibri" w:cs="Calibri"/>
          <w:bCs/>
          <w:noProof/>
          <w:color w:val="000000" w:themeColor="text1"/>
          <w:lang w:val="en-US"/>
        </w:rPr>
        <w:t>.</w:t>
      </w:r>
      <w:commentRangeEnd w:id="2"/>
      <w:r w:rsidR="00C07C77">
        <w:rPr>
          <w:rStyle w:val="CommentReference"/>
        </w:rPr>
        <w:commentReference w:id="2"/>
      </w:r>
      <w:r w:rsidR="002D1DC2">
        <w:rPr>
          <w:rFonts w:ascii="Calibri" w:hAnsi="Calibri" w:cs="Calibri"/>
          <w:bCs/>
          <w:noProof/>
          <w:color w:val="000000" w:themeColor="text1"/>
          <w:lang w:val="en-US"/>
        </w:rPr>
        <w:t xml:space="preserve"> OVERALL PRO</w:t>
      </w:r>
    </w:p>
    <w:p w14:paraId="1CC0AA35" w14:textId="264E70EC" w:rsidR="00FC4770" w:rsidRDefault="00FC4770" w:rsidP="00FC4770">
      <w:pPr>
        <w:spacing w:line="360" w:lineRule="auto"/>
        <w:ind w:firstLine="720"/>
        <w:jc w:val="both"/>
        <w:rPr>
          <w:rFonts w:ascii="Calibri" w:hAnsi="Calibri" w:cs="Calibri"/>
          <w:bCs/>
          <w:noProof/>
          <w:color w:val="000000" w:themeColor="text1"/>
          <w:lang w:val="en-US"/>
        </w:rPr>
      </w:pPr>
    </w:p>
    <w:p w14:paraId="4DF8F5A1" w14:textId="437007F8" w:rsidR="002D1DC2" w:rsidRDefault="002D1DC2" w:rsidP="00FC4770">
      <w:pPr>
        <w:spacing w:line="360" w:lineRule="auto"/>
        <w:ind w:firstLine="720"/>
        <w:jc w:val="both"/>
        <w:rPr>
          <w:rFonts w:ascii="Calibri" w:hAnsi="Calibri" w:cs="Calibri"/>
          <w:bCs/>
          <w:noProof/>
          <w:color w:val="000000" w:themeColor="text1"/>
          <w:lang w:val="en-US"/>
        </w:rPr>
      </w:pPr>
      <w:r>
        <w:rPr>
          <w:rFonts w:ascii="Calibri" w:hAnsi="Calibri" w:cs="Calibri"/>
          <w:bCs/>
          <w:noProof/>
          <w:color w:val="000000" w:themeColor="text1"/>
          <w:lang w:val="en-US"/>
        </w:rPr>
        <w:t xml:space="preserve">OVERALL CON: </w:t>
      </w:r>
      <w:r w:rsidR="00C07C77">
        <w:rPr>
          <w:rFonts w:ascii="Calibri" w:hAnsi="Calibri" w:cs="Calibri"/>
          <w:bCs/>
          <w:noProof/>
          <w:color w:val="000000" w:themeColor="text1"/>
          <w:lang w:val="en-US"/>
        </w:rPr>
        <w:t>BUT: i</w:t>
      </w:r>
      <w:r w:rsidR="00FC4770">
        <w:rPr>
          <w:rFonts w:ascii="Calibri" w:hAnsi="Calibri" w:cs="Calibri"/>
          <w:bCs/>
          <w:noProof/>
          <w:color w:val="000000" w:themeColor="text1"/>
          <w:lang w:val="en-US"/>
        </w:rPr>
        <w:t>ssue of these approaches: dependant on sequencing depth</w:t>
      </w:r>
      <w:r w:rsidR="00745C9E">
        <w:rPr>
          <w:rFonts w:ascii="Calibri" w:hAnsi="Calibri" w:cs="Calibri"/>
          <w:bCs/>
          <w:noProof/>
          <w:color w:val="000000" w:themeColor="text1"/>
          <w:lang w:val="en-US"/>
        </w:rPr>
        <w:t>.</w:t>
      </w:r>
    </w:p>
    <w:p w14:paraId="39F66FD6" w14:textId="77777777" w:rsidR="002D1DC2" w:rsidRDefault="002D1DC2" w:rsidP="002D1DC2">
      <w:pPr>
        <w:spacing w:line="360" w:lineRule="auto"/>
        <w:jc w:val="both"/>
        <w:rPr>
          <w:rFonts w:ascii="Calibri" w:hAnsi="Calibri" w:cs="Calibri"/>
          <w:bCs/>
          <w:noProof/>
          <w:color w:val="000000" w:themeColor="text1"/>
          <w:lang w:val="en-US"/>
        </w:rPr>
      </w:pPr>
    </w:p>
    <w:p w14:paraId="72CECB8E" w14:textId="1933EA89" w:rsidR="002D1DC2" w:rsidRDefault="002D1DC2" w:rsidP="002D1DC2">
      <w:pPr>
        <w:spacing w:line="360" w:lineRule="auto"/>
        <w:jc w:val="both"/>
        <w:rPr>
          <w:rFonts w:ascii="Calibri" w:hAnsi="Calibri" w:cs="Calibri"/>
          <w:bCs/>
          <w:noProof/>
          <w:color w:val="000000" w:themeColor="text1"/>
          <w:lang w:val="en-US"/>
        </w:rPr>
      </w:pPr>
      <w:r>
        <w:rPr>
          <w:rFonts w:ascii="Calibri" w:hAnsi="Calibri" w:cs="Calibri"/>
          <w:bCs/>
          <w:noProof/>
          <w:color w:val="000000" w:themeColor="text1"/>
          <w:lang w:val="en-US"/>
        </w:rPr>
        <w:t>PART 2.3: SPECIFIC CON METAGENOMICS</w:t>
      </w:r>
    </w:p>
    <w:p w14:paraId="3A6671E3" w14:textId="593F7741" w:rsidR="00FC4770" w:rsidRDefault="00745C9E" w:rsidP="002D1DC2">
      <w:pPr>
        <w:spacing w:line="360" w:lineRule="auto"/>
        <w:jc w:val="both"/>
        <w:rPr>
          <w:rFonts w:ascii="Calibri" w:hAnsi="Calibri" w:cs="Calibri"/>
          <w:bCs/>
          <w:noProof/>
          <w:color w:val="000000" w:themeColor="text1"/>
          <w:lang w:val="en-US"/>
        </w:rPr>
      </w:pPr>
      <w:r>
        <w:rPr>
          <w:rFonts w:ascii="Calibri" w:hAnsi="Calibri" w:cs="Calibri"/>
          <w:bCs/>
          <w:noProof/>
          <w:color w:val="000000" w:themeColor="text1"/>
          <w:lang w:val="en-US"/>
        </w:rPr>
        <w:t>High sequencing cost is costly, if this is not a problem then metagenomics might be good to go. But if it is, then a big portion might not</w:t>
      </w:r>
      <w:r w:rsidR="00FC4770">
        <w:rPr>
          <w:rFonts w:ascii="Calibri" w:hAnsi="Calibri" w:cs="Calibri"/>
          <w:bCs/>
          <w:noProof/>
          <w:color w:val="000000" w:themeColor="text1"/>
          <w:lang w:val="en-US"/>
        </w:rPr>
        <w:t xml:space="preserve"> be sequenced. </w:t>
      </w:r>
      <w:r w:rsidR="00312A0C">
        <w:rPr>
          <w:rFonts w:ascii="Calibri" w:hAnsi="Calibri" w:cs="Calibri"/>
          <w:bCs/>
          <w:noProof/>
          <w:color w:val="000000" w:themeColor="text1"/>
          <w:lang w:val="en-US"/>
        </w:rPr>
        <w:t>Especially problematic when looking at genes</w:t>
      </w:r>
      <w:r w:rsidR="00FC4770">
        <w:rPr>
          <w:rFonts w:ascii="Calibri" w:hAnsi="Calibri" w:cs="Calibri"/>
          <w:bCs/>
          <w:noProof/>
          <w:color w:val="000000" w:themeColor="text1"/>
          <w:lang w:val="en-US"/>
        </w:rPr>
        <w:t>, barcode genes for protists and prokaryotes only make up a tiny  fraction of entire sequencing set:</w:t>
      </w:r>
    </w:p>
    <w:p w14:paraId="63201583" w14:textId="7D9E3784" w:rsidR="00FC4770" w:rsidRDefault="00FC4770" w:rsidP="00FC4770">
      <w:pPr>
        <w:spacing w:line="360" w:lineRule="auto"/>
        <w:jc w:val="both"/>
      </w:pPr>
    </w:p>
    <w:p w14:paraId="2A4ED405" w14:textId="77E124ED" w:rsidR="00FC4770" w:rsidRDefault="00FC4770" w:rsidP="00FC4770">
      <w:pPr>
        <w:spacing w:line="360" w:lineRule="auto"/>
        <w:ind w:left="720" w:firstLine="720"/>
        <w:jc w:val="both"/>
      </w:pPr>
      <w:commentRangeStart w:id="3"/>
      <w:r>
        <w:lastRenderedPageBreak/>
        <w:t xml:space="preserve">Standard barcode markers represent only a small portion of the read pool (0.05% for 16S ribosomal RNA (rRNA) genes </w:t>
      </w:r>
      <w:r>
        <w:rPr>
          <w:rStyle w:val="FootnoteReference"/>
        </w:rPr>
        <w:fldChar w:fldCharType="begin" w:fldLock="1"/>
      </w:r>
      <w: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2014)","plainTextFormattedCitation":"(Logares et al. 2014)","previouslyFormattedCitation":"(Logares et al. 2014)"},"properties":{"noteIndex":0},"schema":"https://github.com/citation-style-language/schema/raw/master/csl-citation.json"}</w:instrText>
      </w:r>
      <w:r>
        <w:rPr>
          <w:rStyle w:val="FootnoteReference"/>
        </w:rPr>
        <w:fldChar w:fldCharType="separate"/>
      </w:r>
      <w:r w:rsidRPr="00324684">
        <w:rPr>
          <w:noProof/>
        </w:rPr>
        <w:t>(Logares et al. 2014)</w:t>
      </w:r>
      <w:r>
        <w:rPr>
          <w:rStyle w:val="FootnoteReference"/>
        </w:rPr>
        <w:fldChar w:fldCharType="end"/>
      </w:r>
      <w:r>
        <w:t xml:space="preserve">; 0.3% for 23S/28S rRNA genes, and 1.4% for 16S/18S rRNA genes </w:t>
      </w:r>
      <w:r>
        <w:rPr>
          <w:rStyle w:val="FootnoteReference"/>
        </w:rPr>
        <w:fldChar w:fldCharType="begin" w:fldLock="1"/>
      </w:r>
      <w:r>
        <w:instrText>ADDIN CSL_CITATION {"citationItems":[{"id":"ITEM-1","itemData":{"DOI":"10.1016/j.syapm.2011.04.005","ISSN":"07232020","abstract":"As an evolutionary marker, 23S ribosomal RNA (rRNA) offers more diagnostic sequence stretches and greater sequence variation than 16S rRNA. However, 23S rRNA is still not as widely used. Based on 80 metagenome samples from the Global Ocean Sampling (GOS) Expedition, the usefulness and taxonomic resolution of 23S rRNA were compared to those of 16S rRNA. Since 23S rRNA is approximately twice as large as 16S rRNA, twice as many 23S rRNA gene fragments were retrieved from the GOS reads than 16S rRNA gene fragments, with 23S rRNA gene fragments being generally about 100. bp longer. Datasets for 16S and 23S rRNA sequences revealed similar relative abundances for major marine bacterial and archaeal taxa. However, 16S rRNA sequences had a better taxonomic resolution due to their significantly larger reference database. Reevaluation of the specificity of previously published PCR amplification primers and group specific fluorescence in situ hybridization probes on this metagenomic set of non-amplified 23S rRNA sequences revealed that out of 16 primers investigated, only two had more than 90% target group coverage. Evaluations of two probes, BET42a and GAM42a, were in accordance with previous evaluations, with a discrepancy in the target group coverage of the GAM42a probe when evaluated against the GOS metagenomic dataset. © 2011 Elsevier GmbH.","author":[{"dropping-particle":"","family":"Yilmaz","given":"Pelin","non-dropping-particle":"","parse-names":false,"suffix":""},{"dropping-particle":"","family":"Kottmann","given":"Renzo","non-dropping-particle":"","parse-names":false,"suffix":""},{"dropping-particle":"","family":"Pruesse","given":"Elmar","non-dropping-particle":"","parse-names":false,"suffix":""},{"dropping-particle":"","family":"Quast","given":"Christian","non-dropping-particle":"","parse-names":false,"suffix":""},{"dropping-particle":"","family":"Glöckner","given":"Frank Oliver","non-dropping-particle":"","parse-names":false,"suffix":""}],"container-title":"Systematic and Applied Microbiology","id":"ITEM-1","issue":"6","issued":{"date-parts":[["2011"]]},"page":"462-469","publisher":"Elsevier GmbH.","title":"Analysis of 23S rRNA genes in metagenomes - A case study from the Global Ocean Sampling Expedition","type":"article-journal","volume":"34"},"uris":["http://www.mendeley.com/documents/?uuid=a9c64f4d-50b2-47f4-927a-7e381142b852"]}],"mendeley":{"formattedCitation":"(Yilmaz et al. 2011)","plainTextFormattedCitation":"(Yilmaz et al. 2011)","previouslyFormattedCitation":"(Yilmaz et al. 2011)"},"properties":{"noteIndex":0},"schema":"https://github.com/citation-style-language/schema/raw/master/csl-citation.json"}</w:instrText>
      </w:r>
      <w:r>
        <w:rPr>
          <w:rStyle w:val="FootnoteReference"/>
        </w:rPr>
        <w:fldChar w:fldCharType="separate"/>
      </w:r>
      <w:r w:rsidRPr="00324684">
        <w:rPr>
          <w:bCs/>
          <w:noProof/>
          <w:lang w:val="en-US"/>
        </w:rPr>
        <w:t>(Yilmaz et al. 2011)</w:t>
      </w:r>
      <w:r>
        <w:rPr>
          <w:rStyle w:val="FootnoteReference"/>
        </w:rPr>
        <w:fldChar w:fldCharType="end"/>
      </w:r>
      <w:r>
        <w:t>). The retrieval of standard barcode markers of all organisms in a sample depends on the coverage and number of reads per genetic region, which are determined by the sequencing depth, i.e. the sequenced portion of a sample. This pitfall can, however, be overcome with higher sequencing depths, which are increasingly getting cheaper</w:t>
      </w:r>
      <w:r w:rsidR="00312A0C">
        <w:t>.</w:t>
      </w:r>
    </w:p>
    <w:p w14:paraId="13529335" w14:textId="76A67DD7" w:rsidR="00312A0C" w:rsidRDefault="00312A0C" w:rsidP="00FC4770">
      <w:pPr>
        <w:spacing w:line="360" w:lineRule="auto"/>
        <w:ind w:left="720" w:firstLine="720"/>
        <w:jc w:val="both"/>
      </w:pPr>
    </w:p>
    <w:p w14:paraId="6C368F53" w14:textId="2416F405" w:rsidR="00C07C77" w:rsidRDefault="00C07C77" w:rsidP="00FC4770">
      <w:pPr>
        <w:spacing w:line="360" w:lineRule="auto"/>
        <w:ind w:left="720" w:firstLine="720"/>
        <w:jc w:val="both"/>
      </w:pPr>
      <w:r>
        <w:t xml:space="preserve">Additional reference for problems Singer 2020 </w:t>
      </w:r>
      <w:proofErr w:type="spellStart"/>
      <w:r>
        <w:t>prepreint</w:t>
      </w:r>
      <w:proofErr w:type="spellEnd"/>
      <w:r>
        <w:t xml:space="preserve">: </w:t>
      </w:r>
      <w:r w:rsidRPr="00C07C77">
        <w:t>﻿inefficiency of the procedure: as shown in Table 1, while eukaryotic DNA is expected to be in low copy number within environmental samples (Azam and Malfatti 2007), the genome sizes are thousands of times larger than those of prokaryotes. Moreover, most of this extra DNA is noncoding, meaning it will not find a match in a reference database unless it happens to be closely related to an organism that has undergone whole genome sequencing. As has been observed by Stat et al (Stat et al. 2017), this leads to two outcomes: (1) the fraction of identifiable reads will be much lower than those from a metabarcoding experiment; and (2) while the reads may be an unbiased sample of the original eDNA, the identifiable reads will be highly biased towards genomes that have been completely sequenced—i.e., those from prokaryotes and eukaryotic model organisms. Indeed, the eukaryotic taxonomic recovery in previous studies is below 0.5% (</w:t>
      </w:r>
      <w:proofErr w:type="spellStart"/>
      <w:r w:rsidRPr="00C07C77">
        <w:t>Tedersoo</w:t>
      </w:r>
      <w:proofErr w:type="spellEnd"/>
      <w:r w:rsidRPr="00C07C77">
        <w:t xml:space="preserve"> et al. 2015; Stat et al. 2017).</w:t>
      </w:r>
      <w:commentRangeEnd w:id="3"/>
      <w:r>
        <w:rPr>
          <w:rStyle w:val="CommentReference"/>
        </w:rPr>
        <w:commentReference w:id="3"/>
      </w:r>
    </w:p>
    <w:p w14:paraId="24C12117" w14:textId="2B72FE02" w:rsidR="00C07C77" w:rsidRDefault="00C07C77" w:rsidP="00FC4770">
      <w:pPr>
        <w:spacing w:line="360" w:lineRule="auto"/>
        <w:ind w:left="720" w:firstLine="720"/>
        <w:jc w:val="both"/>
      </w:pPr>
    </w:p>
    <w:p w14:paraId="758752A3" w14:textId="046A24A7" w:rsidR="002D1DC2" w:rsidRDefault="002D1DC2" w:rsidP="002D1DC2">
      <w:pPr>
        <w:spacing w:line="360" w:lineRule="auto"/>
        <w:ind w:left="720"/>
        <w:jc w:val="both"/>
      </w:pPr>
      <w:r>
        <w:t>Note: don’t know role of mRNA-Seq for taxonomic assignments, REFS needed, should be discussed</w:t>
      </w:r>
    </w:p>
    <w:p w14:paraId="6253B98D" w14:textId="3E2D2841" w:rsidR="002D1DC2" w:rsidRDefault="002D1DC2" w:rsidP="002D1DC2">
      <w:pPr>
        <w:spacing w:line="360" w:lineRule="auto"/>
        <w:jc w:val="both"/>
      </w:pPr>
    </w:p>
    <w:p w14:paraId="404A6E9B" w14:textId="77B938AC" w:rsidR="002D1DC2" w:rsidRDefault="002D1DC2" w:rsidP="002D1DC2">
      <w:pPr>
        <w:spacing w:line="360" w:lineRule="auto"/>
        <w:jc w:val="both"/>
      </w:pPr>
      <w:r>
        <w:t>PART 2.4: SPECIFIC PRO TOTAL RNA SEQ (ORDER OF PROS AND CONS MIGHT HAVE TO BE CHANGED)</w:t>
      </w:r>
    </w:p>
    <w:p w14:paraId="18AA4717" w14:textId="64205BFA" w:rsidR="00312A0C" w:rsidRDefault="00312A0C" w:rsidP="00C07C77">
      <w:pPr>
        <w:spacing w:line="360" w:lineRule="auto"/>
        <w:ind w:firstLine="720"/>
        <w:jc w:val="both"/>
      </w:pPr>
      <w:r>
        <w:t xml:space="preserve">Alternative: In comparison, total RNA-Seq natural enrichment for </w:t>
      </w:r>
      <w:proofErr w:type="spellStart"/>
      <w:r>
        <w:t>ssu</w:t>
      </w:r>
      <w:proofErr w:type="spellEnd"/>
      <w:r>
        <w:t xml:space="preserve"> and </w:t>
      </w:r>
      <w:proofErr w:type="spellStart"/>
      <w:r>
        <w:t>lsu</w:t>
      </w:r>
      <w:proofErr w:type="spellEnd"/>
      <w:r>
        <w:t xml:space="preserve">, &gt;85% of total RNA consists of ribosomal RNA (rRNA, component of ribosomes) </w:t>
      </w:r>
      <w:r>
        <w:rPr>
          <w:rStyle w:val="FootnoteReference"/>
        </w:rPr>
        <w:fldChar w:fldCharType="begin" w:fldLock="1"/>
      </w:r>
      <w:r>
        <w:instrText>ADDIN CSL_CITATION {"citationItems":[{"id":"ITEM-1","itemData":{"DOI":"10.1007/978-1-4684-3417-0_12","ISBN":"978-1-4684-3417-0","abstract":"The long title of this chapter was suggested by the editor. I find it excellent because, right away, it points to the complexity and vagueness of the subject. This in turn forces the author to clarify his position. First of all I shall not deal with eukaryotic cells; partly because I lack the necessary specialized knowledge, but also because, as a rule, these cells contain more than one protein-synthesizing system (PSS), making them particularly difficult to analyze. So, this chapter is about the PSS in bacteria with the usual bias toward Escherichia coli.","author":[{"dropping-particle":"","family":"Maaløe","given":"O","non-dropping-particle":"","parse-names":false,"suffix":""}],"container-title":"Biological Regulation and Development: Gene Expression","editor":[{"dropping-particle":"","family":"Goldberger","given":"Robert F","non-dropping-particle":"","parse-names":false,"suffix":""}],"id":"ITEM-1","issued":{"date-parts":[["1979"]]},"page":"487-542","publisher":"Springer US","publisher-place":"Boston, MA","title":"Regulation of the Protein-Synthesizing Machinery---Ribosomes, tRNA, Factors, and So On","type":"chapter"},"uris":["http://www.mendeley.com/documents/?uuid=df82fedf-5511-4ed8-b29f-9d425296ee39"]}],"mendeley":{"formattedCitation":"(Maaløe 1979)","plainTextFormattedCitation":"(Maaløe 1979)","previouslyFormattedCitation":"(Maaløe 1979)"},"properties":{"noteIndex":0},"schema":"https://github.com/citation-style-language/schema/raw/master/csl-citation.json"}</w:instrText>
      </w:r>
      <w:r>
        <w:rPr>
          <w:rStyle w:val="FootnoteReference"/>
        </w:rPr>
        <w:fldChar w:fldCharType="separate"/>
      </w:r>
      <w:r w:rsidRPr="00324684">
        <w:rPr>
          <w:noProof/>
        </w:rPr>
        <w:t>(Maaløe 1979)</w:t>
      </w:r>
      <w:r>
        <w:rPr>
          <w:rStyle w:val="FootnoteReference"/>
        </w:rPr>
        <w:fldChar w:fldCharType="end"/>
      </w:r>
      <w:r>
        <w:t xml:space="preserve"> </w:t>
      </w:r>
      <w:commentRangeStart w:id="4"/>
      <w:r>
        <w:t xml:space="preserve">and can be </w:t>
      </w:r>
      <w:r>
        <w:lastRenderedPageBreak/>
        <w:t>even further used for mRNA analysis (used in soil and cow gut studies)</w:t>
      </w:r>
      <w:commentRangeEnd w:id="4"/>
      <w:r w:rsidR="00C07C77">
        <w:rPr>
          <w:rStyle w:val="CommentReference"/>
        </w:rPr>
        <w:commentReference w:id="4"/>
      </w:r>
      <w:r>
        <w:t xml:space="preserve">. Also active part of community: Total-RNA sequencing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environment","type":"article-journal","volume":"6"},"uris":["http://www.mendeley.com/documents/?uuid=cb3795f4-3215-40a9-b2b1-a58c91dd93f8"]}],"mendeley":{"formattedCitation":"(Gomez-Silvan et al. 2018)","plainTextFormattedCitation":"(Gomez-Silvan et al. 2018)","previouslyFormattedCitation":"(Gomez-Silvan et al. 2018)"},"properties":{"noteIndex":0},"schema":"https://github.com/citation-style-language/schema/raw/master/csl-citation.json"}</w:instrText>
      </w:r>
      <w:r>
        <w:rPr>
          <w:rStyle w:val="FootnoteReference"/>
        </w:rPr>
        <w:fldChar w:fldCharType="separate"/>
      </w:r>
      <w:r w:rsidRPr="00324684">
        <w:rPr>
          <w:bCs/>
          <w:noProof/>
          <w:lang w:val="en-US"/>
        </w:rPr>
        <w:t>(Gomez-Silvan et al. 2018)</w:t>
      </w:r>
      <w:r>
        <w:rPr>
          <w:rStyle w:val="FootnoteReference"/>
        </w:rPr>
        <w:fldChar w:fldCharType="end"/>
      </w:r>
      <w:r>
        <w:t xml:space="preserve">, based on the fact that the abundance of rRNA in a cell (as in the number of ribosomes) is an indicator for cell growth and activity </w:t>
      </w:r>
      <w:r>
        <w:rPr>
          <w:rStyle w:val="FootnoteReference"/>
        </w:rPr>
        <w:fldChar w:fldCharType="begin" w:fldLock="1"/>
      </w:r>
      <w:r>
        <w:instrText>ADDIN CSL_CITATION {"citationItems":[{"id":"ITEM-1","itemData":{"author":[{"dropping-particle":"","family":"Milo","given":"Ron","non-dropping-particle":"","parse-names":false,"suffix":""},{"dropping-particle":"","family":"Phillips","given":"Rob","non-dropping-particle":"","parse-names":false,"suffix":""}],"edition":"Draft","id":"ITEM-1","issued":{"date-parts":[["2015"]]},"number-of-pages":"188-192","publisher":"Garland Science,Taylor &amp; Francis Group","title":"CELL BIOLOGY by the numbers","type":"book"},"uris":["http://www.mendeley.com/documents/?uuid=1a6a5968-3e8d-4716-b069-252cdd12e66b"]}],"mendeley":{"formattedCitation":"(Milo and Phillips 2015)","plainTextFormattedCitation":"(Milo and Phillips 2015)","previouslyFormattedCitation":"(Milo and Phillips 2015)"},"properties":{"noteIndex":0},"schema":"https://github.com/citation-style-language/schema/raw/master/csl-citation.json"}</w:instrText>
      </w:r>
      <w:r>
        <w:rPr>
          <w:rStyle w:val="FootnoteReference"/>
        </w:rPr>
        <w:fldChar w:fldCharType="separate"/>
      </w:r>
      <w:r w:rsidRPr="00324684">
        <w:rPr>
          <w:noProof/>
        </w:rPr>
        <w:t>(Milo and Phillips 2015)</w:t>
      </w:r>
      <w:r>
        <w:rPr>
          <w:rStyle w:val="FootnoteReference"/>
        </w:rPr>
        <w:fldChar w:fldCharType="end"/>
      </w:r>
      <w:r>
        <w:t xml:space="preserve">. This signal contrasts with that from metagenomics, which targets the present community, including dead and/or inactive cells and extracellular DNA, which can make up high portions of microbial DNA datasets (up to &gt;90%;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Lever, and Jørgensen 2015)","manualFormatting":"Carini et al. 2016; Torti, Lever, and Jørgensen 2015)","plainTextFormattedCitation":"(Carini et al. 2016; Torti, Lever, and Jørgensen 2015)","previouslyFormattedCitation":"(Carini et al. 2016; Torti, Lever, and Jørgensen 2015)"},"properties":{"noteIndex":0},"schema":"https://github.com/citation-style-language/schema/raw/master/csl-citation.json"}</w:instrText>
      </w:r>
      <w:r>
        <w:rPr>
          <w:rStyle w:val="FootnoteReference"/>
        </w:rPr>
        <w:fldChar w:fldCharType="separate"/>
      </w:r>
      <w:r>
        <w:rPr>
          <w:noProof/>
        </w:rPr>
        <w:t>Carini et al. 2016; Torti, Lever, and Jørgensen 2015)</w:t>
      </w:r>
      <w:r>
        <w:rPr>
          <w:rStyle w:val="FootnoteReference"/>
        </w:rPr>
        <w:fldChar w:fldCharType="end"/>
      </w:r>
      <w:r>
        <w:t>.</w:t>
      </w:r>
    </w:p>
    <w:p w14:paraId="48757EAE" w14:textId="17C01373" w:rsidR="00312A0C" w:rsidRDefault="00312A0C" w:rsidP="00312A0C">
      <w:pPr>
        <w:spacing w:line="360" w:lineRule="auto"/>
        <w:ind w:left="720" w:firstLine="720"/>
        <w:jc w:val="both"/>
      </w:pPr>
    </w:p>
    <w:p w14:paraId="3EB6EB15" w14:textId="119E02B1" w:rsidR="002D1DC2" w:rsidRDefault="00177237" w:rsidP="00177237">
      <w:pPr>
        <w:spacing w:line="360" w:lineRule="auto"/>
        <w:jc w:val="both"/>
      </w:pPr>
      <w:r>
        <w:t>PART 3: WHAT WE DO HERE AND WHY</w:t>
      </w:r>
    </w:p>
    <w:p w14:paraId="5B60B16F" w14:textId="79520E23" w:rsidR="00312A0C" w:rsidRDefault="00312A0C" w:rsidP="002D1DC2">
      <w:pPr>
        <w:spacing w:line="360" w:lineRule="auto"/>
        <w:ind w:firstLine="720"/>
        <w:jc w:val="both"/>
      </w:pPr>
      <w:proofErr w:type="spellStart"/>
      <w:r>
        <w:t>Comparsion</w:t>
      </w:r>
      <w:proofErr w:type="spellEnd"/>
      <w:r>
        <w:t xml:space="preserve"> of </w:t>
      </w:r>
      <w:r w:rsidR="00745C9E">
        <w:t>all 3</w:t>
      </w:r>
      <w:r>
        <w:t xml:space="preserve"> methods needed for freshwater microbiome assessments. Here we compare both using mock and real freshwater microbiomes, testing different pipelines</w:t>
      </w:r>
      <w:r w:rsidR="00745C9E">
        <w:t xml:space="preserve"> for Shotgun seq</w:t>
      </w:r>
      <w:r>
        <w:t>.</w:t>
      </w:r>
      <w:r w:rsidR="00BA4B64">
        <w:t xml:space="preserve"> Many pipelines have been compared for metagenomics REF, but not for total RNA Seq</w:t>
      </w:r>
      <w:r w:rsidR="00745C9E">
        <w:t>.</w:t>
      </w:r>
    </w:p>
    <w:p w14:paraId="5BF55285" w14:textId="2F76DA4E" w:rsidR="00745C9E" w:rsidRDefault="00745C9E" w:rsidP="002D1DC2">
      <w:pPr>
        <w:spacing w:line="360" w:lineRule="auto"/>
        <w:ind w:firstLine="720"/>
        <w:jc w:val="both"/>
      </w:pPr>
      <w:r>
        <w:tab/>
        <w:t xml:space="preserve">If </w:t>
      </w:r>
      <w:proofErr w:type="spellStart"/>
      <w:r>
        <w:t>interesten</w:t>
      </w:r>
      <w:proofErr w:type="spellEnd"/>
      <w:r>
        <w:t xml:space="preserve"> in general taxonomic composition only:</w:t>
      </w:r>
    </w:p>
    <w:p w14:paraId="590D7F08" w14:textId="7988BCC6" w:rsidR="00745C9E" w:rsidRDefault="00745C9E" w:rsidP="002D1DC2">
      <w:pPr>
        <w:spacing w:line="360" w:lineRule="auto"/>
        <w:ind w:firstLine="720"/>
        <w:jc w:val="both"/>
      </w:pPr>
      <w:r>
        <w:tab/>
        <w:t xml:space="preserve">If enough sequencing depth: metabarcoding &lt; total </w:t>
      </w:r>
      <w:proofErr w:type="spellStart"/>
      <w:r>
        <w:t>rna</w:t>
      </w:r>
      <w:proofErr w:type="spellEnd"/>
      <w:r>
        <w:t xml:space="preserve"> seq &lt; </w:t>
      </w:r>
      <w:proofErr w:type="spellStart"/>
      <w:r>
        <w:t>metagenomcis</w:t>
      </w:r>
      <w:proofErr w:type="spellEnd"/>
      <w:r>
        <w:t xml:space="preserve"> for taxonomic resolution of entire communities (because higher fraction of all genetic material per organism is sequenced = more information)</w:t>
      </w:r>
    </w:p>
    <w:p w14:paraId="5F65CC83" w14:textId="01A92BB5" w:rsidR="00745C9E" w:rsidRDefault="00745C9E" w:rsidP="002D1DC2">
      <w:pPr>
        <w:spacing w:line="360" w:lineRule="auto"/>
        <w:ind w:firstLine="720"/>
        <w:jc w:val="both"/>
      </w:pPr>
      <w:r>
        <w:tab/>
        <w:t xml:space="preserve">If not enough sequencing depth: metagenomics &lt; metabarcoding &lt; total </w:t>
      </w:r>
      <w:proofErr w:type="spellStart"/>
      <w:r>
        <w:t>rna</w:t>
      </w:r>
      <w:proofErr w:type="spellEnd"/>
      <w:r>
        <w:t xml:space="preserve"> seq for taxonomic resolution of </w:t>
      </w:r>
      <w:commentRangeStart w:id="5"/>
      <w:r w:rsidRPr="002D1DC2">
        <w:t>entire communities</w:t>
      </w:r>
      <w:r>
        <w:t xml:space="preserve"> </w:t>
      </w:r>
      <w:commentRangeEnd w:id="5"/>
      <w:r w:rsidRPr="002D1DC2">
        <w:commentReference w:id="5"/>
      </w:r>
      <w:r>
        <w:t xml:space="preserve">(because </w:t>
      </w:r>
      <w:r w:rsidR="002D1DC2">
        <w:t xml:space="preserve">metabarcoding has bias, and total </w:t>
      </w:r>
      <w:proofErr w:type="spellStart"/>
      <w:r w:rsidR="002D1DC2">
        <w:t>rna</w:t>
      </w:r>
      <w:proofErr w:type="spellEnd"/>
      <w:r w:rsidR="002D1DC2">
        <w:t xml:space="preserve"> seq natural enrichment of SSU barcodes)</w:t>
      </w:r>
    </w:p>
    <w:p w14:paraId="51FE638B" w14:textId="040DC519" w:rsidR="002D1DC2" w:rsidRDefault="002D1DC2" w:rsidP="002D1DC2">
      <w:pPr>
        <w:spacing w:line="360" w:lineRule="auto"/>
        <w:ind w:firstLine="720"/>
        <w:jc w:val="both"/>
      </w:pPr>
    </w:p>
    <w:p w14:paraId="1F4EF33A" w14:textId="11144E1A" w:rsidR="002D1DC2" w:rsidRDefault="002D1DC2" w:rsidP="002D1DC2">
      <w:pPr>
        <w:spacing w:line="360" w:lineRule="auto"/>
        <w:ind w:firstLine="720"/>
        <w:jc w:val="both"/>
      </w:pPr>
      <w:r>
        <w:t xml:space="preserve">Side note: SSU genes can look different (papers </w:t>
      </w:r>
      <w:proofErr w:type="spellStart"/>
      <w:r>
        <w:t>roy</w:t>
      </w:r>
      <w:proofErr w:type="spellEnd"/>
      <w:r>
        <w:t xml:space="preserve"> </w:t>
      </w:r>
      <w:proofErr w:type="spellStart"/>
      <w:r>
        <w:t>danzmann</w:t>
      </w:r>
      <w:proofErr w:type="spellEnd"/>
      <w:r>
        <w:t xml:space="preserve"> QE), not sure what effect that has in total RNA seq, likely different SSU sequences. Same when using metabarcoding, but to what extend same?</w:t>
      </w:r>
    </w:p>
    <w:p w14:paraId="5304FE6E" w14:textId="01A1AAA4" w:rsidR="008639DE" w:rsidRDefault="008639DE" w:rsidP="002D1DC2">
      <w:pPr>
        <w:spacing w:line="360" w:lineRule="auto"/>
        <w:ind w:firstLine="720"/>
        <w:jc w:val="both"/>
      </w:pPr>
    </w:p>
    <w:p w14:paraId="321BFF8A" w14:textId="1B15531F" w:rsidR="008639DE" w:rsidRDefault="008639DE" w:rsidP="002D1DC2">
      <w:pPr>
        <w:spacing w:line="360" w:lineRule="auto"/>
        <w:ind w:firstLine="720"/>
        <w:jc w:val="both"/>
      </w:pPr>
      <w:r>
        <w:t xml:space="preserve">Bring in: </w:t>
      </w:r>
      <w:proofErr w:type="spellStart"/>
      <w:r>
        <w:t>segio</w:t>
      </w:r>
      <w:proofErr w:type="spellEnd"/>
      <w:r>
        <w:t xml:space="preserve"> et al not published: compare dataset to </w:t>
      </w:r>
      <w:proofErr w:type="spellStart"/>
      <w:r>
        <w:t>ock</w:t>
      </w:r>
      <w:proofErr w:type="spellEnd"/>
      <w:r>
        <w:t xml:space="preserve"> community that is similar: needs evaluation which pipeline works best, which is what we do</w:t>
      </w:r>
    </w:p>
    <w:p w14:paraId="6392AC4C" w14:textId="77777777" w:rsidR="00312A0C" w:rsidRDefault="00312A0C" w:rsidP="00312A0C">
      <w:pPr>
        <w:spacing w:line="360" w:lineRule="auto"/>
        <w:ind w:left="720" w:firstLine="720"/>
        <w:jc w:val="both"/>
      </w:pPr>
    </w:p>
    <w:p w14:paraId="5AD96746" w14:textId="5775FAB8" w:rsidR="00312A0C" w:rsidRDefault="00312A0C" w:rsidP="00312A0C">
      <w:pPr>
        <w:spacing w:line="360" w:lineRule="auto"/>
        <w:ind w:left="720" w:firstLine="720"/>
        <w:jc w:val="both"/>
      </w:pPr>
    </w:p>
    <w:p w14:paraId="53E0B9A3" w14:textId="615BCD6E" w:rsidR="00312A0C" w:rsidRPr="00312A0C" w:rsidRDefault="00312A0C" w:rsidP="00FC4770">
      <w:pPr>
        <w:spacing w:line="360" w:lineRule="auto"/>
        <w:ind w:left="720" w:firstLine="720"/>
        <w:jc w:val="both"/>
      </w:pPr>
    </w:p>
    <w:p w14:paraId="06A2F0D5" w14:textId="77777777" w:rsidR="00FC4770" w:rsidRDefault="00FC4770" w:rsidP="00FC4770">
      <w:pPr>
        <w:spacing w:line="360" w:lineRule="auto"/>
        <w:ind w:firstLine="720"/>
        <w:jc w:val="both"/>
        <w:rPr>
          <w:rFonts w:ascii="Calibri" w:hAnsi="Calibri" w:cs="Calibri"/>
          <w:bCs/>
          <w:noProof/>
          <w:color w:val="000000" w:themeColor="text1"/>
          <w:lang w:val="en-US"/>
        </w:rPr>
      </w:pPr>
    </w:p>
    <w:p w14:paraId="3A56E918" w14:textId="77777777" w:rsidR="00FC4770" w:rsidRPr="002C57A6" w:rsidRDefault="00FC4770" w:rsidP="00FC4770">
      <w:pPr>
        <w:spacing w:line="360" w:lineRule="auto"/>
        <w:ind w:firstLine="720"/>
        <w:jc w:val="both"/>
        <w:rPr>
          <w:rFonts w:ascii="Calibri" w:hAnsi="Calibri" w:cs="Calibri"/>
          <w:bCs/>
          <w:noProof/>
          <w:color w:val="000000" w:themeColor="text1"/>
          <w:lang w:val="en-US"/>
        </w:rPr>
      </w:pPr>
    </w:p>
    <w:p w14:paraId="6BF392BB" w14:textId="2F9BE7F4" w:rsidR="002C57A6" w:rsidRPr="002C57A6" w:rsidRDefault="002C57A6" w:rsidP="002C57A6">
      <w:pPr>
        <w:spacing w:line="360" w:lineRule="auto"/>
        <w:ind w:firstLine="720"/>
        <w:jc w:val="both"/>
        <w:rPr>
          <w:rFonts w:ascii="Calibri" w:hAnsi="Calibri" w:cs="Calibri"/>
          <w:bCs/>
          <w:noProof/>
          <w:color w:val="000000" w:themeColor="text1"/>
          <w:lang w:val="en-US"/>
        </w:rPr>
      </w:pPr>
    </w:p>
    <w:p w14:paraId="0B1E52A3" w14:textId="77777777" w:rsidR="002C57A6" w:rsidRPr="002C57A6" w:rsidRDefault="002C57A6" w:rsidP="002C57A6">
      <w:pPr>
        <w:spacing w:line="360" w:lineRule="auto"/>
        <w:ind w:firstLine="720"/>
        <w:jc w:val="both"/>
        <w:rPr>
          <w:rFonts w:ascii="Calibri" w:hAnsi="Calibri" w:cs="Calibri"/>
          <w:color w:val="000000" w:themeColor="text1"/>
        </w:rPr>
      </w:pPr>
    </w:p>
    <w:p w14:paraId="458D8DEC" w14:textId="77777777" w:rsidR="00222941" w:rsidRDefault="00222941" w:rsidP="004D5825">
      <w:pPr>
        <w:spacing w:line="360" w:lineRule="auto"/>
        <w:jc w:val="both"/>
        <w:rPr>
          <w:rFonts w:ascii="Calibri" w:hAnsi="Calibri" w:cs="Calibri"/>
        </w:rPr>
      </w:pPr>
    </w:p>
    <w:p w14:paraId="611FC0C8" w14:textId="77777777" w:rsidR="00222941" w:rsidRDefault="00222941" w:rsidP="004D5825">
      <w:pPr>
        <w:spacing w:line="360" w:lineRule="auto"/>
        <w:jc w:val="both"/>
        <w:rPr>
          <w:rFonts w:ascii="Calibri" w:hAnsi="Calibri" w:cs="Calibri"/>
        </w:rPr>
      </w:pPr>
    </w:p>
    <w:p w14:paraId="3F869081" w14:textId="1F9D5189" w:rsidR="00312A0C" w:rsidRDefault="00312A0C">
      <w:r>
        <w:br w:type="page"/>
      </w:r>
    </w:p>
    <w:p w14:paraId="714DC8C3" w14:textId="4DAB0F9F" w:rsidR="00EE3DBD" w:rsidRDefault="00312A0C" w:rsidP="00EE3DBD">
      <w:r>
        <w:lastRenderedPageBreak/>
        <w:t>Dis</w:t>
      </w:r>
      <w:r w:rsidR="00177237">
        <w:t>c</w:t>
      </w:r>
      <w:r>
        <w:t>ussion:</w:t>
      </w:r>
    </w:p>
    <w:p w14:paraId="45DF5046" w14:textId="23176F83" w:rsidR="00312A0C" w:rsidRDefault="00312A0C" w:rsidP="00EE3DBD"/>
    <w:p w14:paraId="46C28B03" w14:textId="6267CE71" w:rsidR="00177237" w:rsidRDefault="00177237" w:rsidP="00EE3DBD">
      <w:r>
        <w:t xml:space="preserve">Point out results are valid only for this specific sequencing depth, if higher, SS will become more effective, if lower, MB or maybe still MT will be more effective (to what extend </w:t>
      </w:r>
      <w:proofErr w:type="spellStart"/>
      <w:r>
        <w:t>MTl</w:t>
      </w:r>
      <w:proofErr w:type="spellEnd"/>
      <w:r>
        <w:t>? Could be investigated)</w:t>
      </w:r>
    </w:p>
    <w:p w14:paraId="45871D2C" w14:textId="77777777" w:rsidR="00177237" w:rsidRDefault="00177237" w:rsidP="00EE3DBD"/>
    <w:p w14:paraId="551DC583" w14:textId="0D2EE4D6" w:rsidR="00312A0C" w:rsidRDefault="00312A0C" w:rsidP="00EE3DBD">
      <w:r>
        <w:t>Metabarcoding for ent</w:t>
      </w:r>
      <w:r w:rsidR="00177237">
        <w:t>i</w:t>
      </w:r>
      <w:r>
        <w:t>re communities with multi-marker approaches</w:t>
      </w:r>
      <w:r w:rsidR="00177237">
        <w:t xml:space="preserve"> (will not be used here), discuss pros and cons</w:t>
      </w:r>
    </w:p>
    <w:p w14:paraId="67855565" w14:textId="0129EC4C" w:rsidR="00312A0C" w:rsidRDefault="00312A0C" w:rsidP="00EE3DBD"/>
    <w:p w14:paraId="405AC29A" w14:textId="2781F4CE" w:rsidR="00312A0C" w:rsidRDefault="00312A0C" w:rsidP="00EE3DBD">
      <w:proofErr w:type="spellStart"/>
      <w:r>
        <w:t>Rna</w:t>
      </w:r>
      <w:proofErr w:type="spellEnd"/>
      <w:r>
        <w:t xml:space="preserve"> hard to handle</w:t>
      </w:r>
    </w:p>
    <w:sectPr w:rsidR="00312A0C"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Hempel" w:date="2020-05-07T15:33:00Z" w:initials="CH">
    <w:p w14:paraId="3BCCBB61" w14:textId="67E81184" w:rsidR="00C07C77" w:rsidRDefault="00C07C77">
      <w:pPr>
        <w:pStyle w:val="CommentText"/>
      </w:pPr>
      <w:r>
        <w:rPr>
          <w:rStyle w:val="CommentReference"/>
        </w:rPr>
        <w:annotationRef/>
      </w:r>
      <w:r>
        <w:t>Maybe whole freshwater biomonitoring part not even necessary and can be shortened</w:t>
      </w:r>
    </w:p>
  </w:comment>
  <w:comment w:id="1" w:author="Christopher Hempel" w:date="2020-05-07T15:37:00Z" w:initials="CH">
    <w:p w14:paraId="45964591" w14:textId="2A4AA776" w:rsidR="009E28E9" w:rsidRDefault="009E28E9">
      <w:pPr>
        <w:pStyle w:val="CommentText"/>
      </w:pPr>
      <w:r>
        <w:rPr>
          <w:rStyle w:val="CommentReference"/>
        </w:rPr>
        <w:annotationRef/>
      </w:r>
      <w:r>
        <w:t xml:space="preserve">Summarize freshwater aspect into one section, stressing out need to </w:t>
      </w:r>
      <w:proofErr w:type="spellStart"/>
      <w:r>
        <w:t>impriove</w:t>
      </w:r>
      <w:proofErr w:type="spellEnd"/>
      <w:r>
        <w:t xml:space="preserve"> assessments (key message)</w:t>
      </w:r>
    </w:p>
  </w:comment>
  <w:comment w:id="2" w:author="Christopher Hempel" w:date="2020-05-07T15:35:00Z" w:initials="CH">
    <w:p w14:paraId="2289356A" w14:textId="59DCFE0F" w:rsidR="00C07C77" w:rsidRDefault="00C07C77">
      <w:pPr>
        <w:pStyle w:val="CommentText"/>
      </w:pPr>
      <w:r>
        <w:rPr>
          <w:rStyle w:val="CommentReference"/>
        </w:rPr>
        <w:annotationRef/>
      </w:r>
      <w:proofErr w:type="spellStart"/>
      <w:r>
        <w:t>Exlude</w:t>
      </w:r>
      <w:proofErr w:type="spellEnd"/>
      <w:r>
        <w:t xml:space="preserve"> </w:t>
      </w:r>
      <w:proofErr w:type="spellStart"/>
      <w:r>
        <w:t>RNASeq</w:t>
      </w:r>
      <w:proofErr w:type="spellEnd"/>
      <w:r>
        <w:t xml:space="preserve"> here and only talk about metagenomics and its problem, THEN next section solution </w:t>
      </w:r>
      <w:r>
        <w:sym w:font="Wingdings" w:char="F0E0"/>
      </w:r>
      <w:r>
        <w:t xml:space="preserve"> total </w:t>
      </w:r>
      <w:proofErr w:type="spellStart"/>
      <w:r>
        <w:t>RNASeq</w:t>
      </w:r>
      <w:proofErr w:type="spellEnd"/>
      <w:r>
        <w:t xml:space="preserve"> and why</w:t>
      </w:r>
    </w:p>
  </w:comment>
  <w:comment w:id="3" w:author="Christopher Hempel" w:date="2020-05-07T15:34:00Z" w:initials="CH">
    <w:p w14:paraId="35FBE82D" w14:textId="77777777" w:rsidR="00C07C77" w:rsidRDefault="00C07C77">
      <w:pPr>
        <w:pStyle w:val="CommentText"/>
      </w:pPr>
      <w:r>
        <w:rPr>
          <w:rStyle w:val="CommentReference"/>
        </w:rPr>
        <w:annotationRef/>
      </w:r>
      <w:r>
        <w:t>Summarize into main key issues of metagenomics</w:t>
      </w:r>
    </w:p>
    <w:p w14:paraId="4F603CC6" w14:textId="77777777" w:rsidR="00C07C77" w:rsidRDefault="00C07C77">
      <w:pPr>
        <w:pStyle w:val="CommentText"/>
      </w:pPr>
    </w:p>
    <w:p w14:paraId="4CF4DB61" w14:textId="4359DB65" w:rsidR="00C07C77" w:rsidRDefault="00C07C77">
      <w:pPr>
        <w:pStyle w:val="CommentText"/>
      </w:pPr>
      <w:r>
        <w:t>Cite studies that say metabarcoding is better, for example singer 2020 or stat 2017</w:t>
      </w:r>
    </w:p>
  </w:comment>
  <w:comment w:id="4" w:author="Christopher Hempel" w:date="2020-05-07T15:36:00Z" w:initials="CH">
    <w:p w14:paraId="0613558C" w14:textId="4AEBDD9D" w:rsidR="00C07C77" w:rsidRDefault="00C07C77">
      <w:pPr>
        <w:pStyle w:val="CommentText"/>
      </w:pPr>
      <w:r>
        <w:rPr>
          <w:rStyle w:val="CommentReference"/>
        </w:rPr>
        <w:annotationRef/>
      </w:r>
      <w:r>
        <w:t>Put in discussion or at end of section</w:t>
      </w:r>
    </w:p>
  </w:comment>
  <w:comment w:id="5" w:author="Christopher Hempel" w:date="2020-05-08T18:21:00Z" w:initials="CH">
    <w:p w14:paraId="714D22C3" w14:textId="02542C75" w:rsidR="00745C9E" w:rsidRDefault="00745C9E">
      <w:pPr>
        <w:pStyle w:val="CommentText"/>
      </w:pPr>
      <w:r>
        <w:rPr>
          <w:rStyle w:val="CommentReference"/>
        </w:rPr>
        <w:annotationRef/>
      </w:r>
      <w:r>
        <w:t>KEY WORD, all resolves around that, point that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CCBB61" w15:done="0"/>
  <w15:commentEx w15:paraId="45964591" w15:paraIdParent="3BCCBB61" w15:done="0"/>
  <w15:commentEx w15:paraId="2289356A" w15:done="0"/>
  <w15:commentEx w15:paraId="4CF4DB61" w15:done="0"/>
  <w15:commentEx w15:paraId="0613558C" w15:done="0"/>
  <w15:commentEx w15:paraId="714D22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EA8C8" w16cex:dateUtc="2020-05-07T19:33:00Z"/>
  <w16cex:commentExtensible w16cex:durableId="225EA9CD" w16cex:dateUtc="2020-05-07T19:37:00Z"/>
  <w16cex:commentExtensible w16cex:durableId="225EA945" w16cex:dateUtc="2020-05-07T19:35:00Z"/>
  <w16cex:commentExtensible w16cex:durableId="225EA920" w16cex:dateUtc="2020-05-07T19:34:00Z"/>
  <w16cex:commentExtensible w16cex:durableId="225EA98B" w16cex:dateUtc="2020-05-07T19:36:00Z"/>
  <w16cex:commentExtensible w16cex:durableId="226021C2" w16cex:dateUtc="2020-05-08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CCBB61" w16cid:durableId="225EA8C8"/>
  <w16cid:commentId w16cid:paraId="45964591" w16cid:durableId="225EA9CD"/>
  <w16cid:commentId w16cid:paraId="2289356A" w16cid:durableId="225EA945"/>
  <w16cid:commentId w16cid:paraId="4CF4DB61" w16cid:durableId="225EA920"/>
  <w16cid:commentId w16cid:paraId="0613558C" w16cid:durableId="225EA98B"/>
  <w16cid:commentId w16cid:paraId="714D22C3" w16cid:durableId="226021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1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73B35"/>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Hempel">
    <w15:presenceInfo w15:providerId="Windows Live" w15:userId="be5ea5624116c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177237"/>
    <w:rsid w:val="001B4483"/>
    <w:rsid w:val="00222941"/>
    <w:rsid w:val="002C57A6"/>
    <w:rsid w:val="002D1DC2"/>
    <w:rsid w:val="00312A0C"/>
    <w:rsid w:val="004D5825"/>
    <w:rsid w:val="00547004"/>
    <w:rsid w:val="005A3700"/>
    <w:rsid w:val="00745C9E"/>
    <w:rsid w:val="008639DE"/>
    <w:rsid w:val="009E28E9"/>
    <w:rsid w:val="00BA4B64"/>
    <w:rsid w:val="00C07C77"/>
    <w:rsid w:val="00E117B4"/>
    <w:rsid w:val="00EE3DBD"/>
    <w:rsid w:val="00FC47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15942</Words>
  <Characters>90872</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6</cp:revision>
  <dcterms:created xsi:type="dcterms:W3CDTF">2020-05-05T04:57:00Z</dcterms:created>
  <dcterms:modified xsi:type="dcterms:W3CDTF">2020-05-09T02:02:00Z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ies>
</file>