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444A5" w14:textId="01CB88A9" w:rsidR="00AB2BD4" w:rsidRDefault="00AB2BD4">
      <w:r>
        <w:t>For title:</w:t>
      </w:r>
    </w:p>
    <w:p w14:paraId="784673F6" w14:textId="1B9D9FD0" w:rsidR="00AB2BD4" w:rsidRDefault="00AB2BD4" w:rsidP="00AB2BD4">
      <w:pPr>
        <w:pStyle w:val="ListParagraph"/>
        <w:numPr>
          <w:ilvl w:val="0"/>
          <w:numId w:val="4"/>
        </w:numPr>
      </w:pPr>
      <w:r>
        <w:t>Components:</w:t>
      </w:r>
    </w:p>
    <w:p w14:paraId="0908AEDB" w14:textId="19205406" w:rsidR="00AB2BD4" w:rsidRDefault="00AB2BD4" w:rsidP="00AB2BD4">
      <w:pPr>
        <w:pStyle w:val="ListParagraph"/>
        <w:numPr>
          <w:ilvl w:val="1"/>
          <w:numId w:val="4"/>
        </w:numPr>
      </w:pPr>
      <w:r>
        <w:t xml:space="preserve">Comparison metagenomics total </w:t>
      </w:r>
      <w:proofErr w:type="spellStart"/>
      <w:r>
        <w:t>rna</w:t>
      </w:r>
      <w:proofErr w:type="spellEnd"/>
      <w:r w:rsidR="00942F26">
        <w:t>-</w:t>
      </w:r>
      <w:r>
        <w:t>seq – that needs to be in</w:t>
      </w:r>
      <w:r w:rsidR="00942F26">
        <w:t xml:space="preserve"> title</w:t>
      </w:r>
    </w:p>
    <w:p w14:paraId="5CB278BF" w14:textId="575C203C" w:rsidR="00AB2BD4" w:rsidRDefault="00AB2BD4" w:rsidP="00AB2BD4">
      <w:pPr>
        <w:pStyle w:val="ListParagraph"/>
        <w:numPr>
          <w:ilvl w:val="1"/>
          <w:numId w:val="4"/>
        </w:numPr>
      </w:pPr>
      <w:r>
        <w:t>Taxonomic profiling</w:t>
      </w:r>
    </w:p>
    <w:p w14:paraId="044D92FD" w14:textId="04EC1A60" w:rsidR="00AB2BD4" w:rsidRDefault="00AB2BD4" w:rsidP="00AB2BD4">
      <w:pPr>
        <w:pStyle w:val="ListParagraph"/>
        <w:numPr>
          <w:ilvl w:val="1"/>
          <w:numId w:val="4"/>
        </w:numPr>
      </w:pPr>
      <w:r>
        <w:t>Microbial mock community – that as well</w:t>
      </w:r>
    </w:p>
    <w:p w14:paraId="41D8FD48" w14:textId="5E0777BC" w:rsidR="00AB2BD4" w:rsidRDefault="00AB2BD4" w:rsidP="00AB2BD4">
      <w:pPr>
        <w:pStyle w:val="ListParagraph"/>
        <w:numPr>
          <w:ilvl w:val="1"/>
          <w:numId w:val="4"/>
        </w:numPr>
      </w:pPr>
      <w:r>
        <w:t>Fish tank sample/environmental sample</w:t>
      </w:r>
    </w:p>
    <w:p w14:paraId="3F8900C7" w14:textId="0B3E0F2D" w:rsidR="00AB2BD4" w:rsidRDefault="00AB2BD4" w:rsidP="00AB2BD4">
      <w:pPr>
        <w:pStyle w:val="ListParagraph"/>
        <w:numPr>
          <w:ilvl w:val="1"/>
          <w:numId w:val="4"/>
        </w:numPr>
      </w:pPr>
      <w:proofErr w:type="spellStart"/>
      <w:r>
        <w:t>Bioinfo</w:t>
      </w:r>
      <w:proofErr w:type="spellEnd"/>
      <w:r>
        <w:t xml:space="preserve"> tool benchmarking – relevant for </w:t>
      </w:r>
      <w:proofErr w:type="spellStart"/>
      <w:r>
        <w:t>bioinfo</w:t>
      </w:r>
      <w:proofErr w:type="spellEnd"/>
      <w:r>
        <w:t xml:space="preserve"> people</w:t>
      </w:r>
    </w:p>
    <w:p w14:paraId="33210485" w14:textId="37869AF4" w:rsidR="00AB2BD4" w:rsidRDefault="00AB2BD4" w:rsidP="00AB2BD4">
      <w:pPr>
        <w:pStyle w:val="ListParagraph"/>
        <w:numPr>
          <w:ilvl w:val="1"/>
          <w:numId w:val="4"/>
        </w:numPr>
      </w:pPr>
      <w:r>
        <w:t>Low sequencing depth – relevant for stakeholders</w:t>
      </w:r>
    </w:p>
    <w:p w14:paraId="41F36014" w14:textId="14FF24D6" w:rsidR="00CD27BB" w:rsidRDefault="00CD27BB" w:rsidP="00AB2BD4">
      <w:pPr>
        <w:pStyle w:val="ListParagraph"/>
        <w:numPr>
          <w:ilvl w:val="1"/>
          <w:numId w:val="4"/>
        </w:numPr>
      </w:pPr>
      <w:r>
        <w:t>Biomonitoring? – not sure, is not included in any title yet</w:t>
      </w:r>
      <w:r w:rsidR="00A62F5A">
        <w:t xml:space="preserve"> </w:t>
      </w:r>
      <w:r w:rsidR="00C41629">
        <w:t>but intro focusses on that</w:t>
      </w:r>
      <w:r w:rsidR="00A62F5A">
        <w:t xml:space="preserve">. However, what I present doesn’t have to be applied </w:t>
      </w:r>
      <w:r w:rsidR="00942F26">
        <w:t>for</w:t>
      </w:r>
      <w:r w:rsidR="00A62F5A">
        <w:t xml:space="preserve"> only biomonitoring</w:t>
      </w:r>
    </w:p>
    <w:p w14:paraId="2F564002" w14:textId="77777777" w:rsidR="00AB2BD4" w:rsidRDefault="00AB2BD4" w:rsidP="00AB2BD4"/>
    <w:p w14:paraId="32064044" w14:textId="77777777" w:rsidR="00AB2BD4" w:rsidRDefault="00AB2BD4"/>
    <w:p w14:paraId="38E2F26D" w14:textId="4F191197" w:rsidR="001B4483" w:rsidRDefault="005A3700">
      <w:r>
        <w:t>Comparing metagenomic</w:t>
      </w:r>
      <w:r w:rsidR="00C07C77">
        <w:t>s</w:t>
      </w:r>
      <w:r>
        <w:t xml:space="preserve"> and total </w:t>
      </w:r>
      <w:r w:rsidR="00D62ED7">
        <w:t>RNA sequencing</w:t>
      </w:r>
      <w:r>
        <w:t xml:space="preserve"> for </w:t>
      </w:r>
      <w:r w:rsidR="003A1E4D">
        <w:t xml:space="preserve">taxonomic profiling of </w:t>
      </w:r>
      <w:r w:rsidR="00AB2BD4">
        <w:t xml:space="preserve">a microbial mock community and an environmental sample at a </w:t>
      </w:r>
      <w:r w:rsidR="00942F26">
        <w:t>moderate</w:t>
      </w:r>
      <w:r w:rsidR="00AB2BD4">
        <w:t xml:space="preserve"> sequencing depth </w:t>
      </w:r>
      <w:r w:rsidR="003A1E4D">
        <w:t>using 840 bioinformatic workflows</w:t>
      </w:r>
      <w:r w:rsidR="00AB2BD4">
        <w:t xml:space="preserve"> – contains everything, but too long</w:t>
      </w:r>
    </w:p>
    <w:p w14:paraId="3E558C39" w14:textId="06710F5D" w:rsidR="003A1E4D" w:rsidRDefault="003A1E4D"/>
    <w:p w14:paraId="3A6727CB" w14:textId="0841E9A3" w:rsidR="003A1E4D" w:rsidRDefault="003A1E4D">
      <w:r>
        <w:t>OR</w:t>
      </w:r>
    </w:p>
    <w:p w14:paraId="63ACB548" w14:textId="73B3654B" w:rsidR="003A1E4D" w:rsidRDefault="003A1E4D"/>
    <w:p w14:paraId="2D99C3CD" w14:textId="71415079" w:rsidR="003A1E4D" w:rsidRDefault="003A1E4D" w:rsidP="003A1E4D">
      <w:r>
        <w:t xml:space="preserve">Comparing metagenomics and total </w:t>
      </w:r>
      <w:r w:rsidR="00D62ED7">
        <w:t>RNA sequencing</w:t>
      </w:r>
      <w:r>
        <w:t xml:space="preserve"> for taxonomic profiling of microbial communities at </w:t>
      </w:r>
      <w:r w:rsidR="00AB2BD4">
        <w:t xml:space="preserve">a </w:t>
      </w:r>
      <w:r w:rsidR="00492EC2">
        <w:t>moderate</w:t>
      </w:r>
      <w:r>
        <w:t xml:space="preserve"> sequencing depth</w:t>
      </w:r>
      <w:r w:rsidR="00AB2BD4">
        <w:t xml:space="preserve"> – for stakeholders</w:t>
      </w:r>
    </w:p>
    <w:p w14:paraId="4441DBCB" w14:textId="77777777" w:rsidR="003A1E4D" w:rsidRDefault="003A1E4D"/>
    <w:p w14:paraId="09574CBF" w14:textId="1F58EBD8" w:rsidR="003A1E4D" w:rsidRDefault="00AB2BD4">
      <w:r>
        <w:t>OR</w:t>
      </w:r>
    </w:p>
    <w:p w14:paraId="086A6A18" w14:textId="77777777" w:rsidR="00AB2BD4" w:rsidRDefault="00AB2BD4"/>
    <w:p w14:paraId="6D17BDFB" w14:textId="44F851C2" w:rsidR="003A1E4D" w:rsidRDefault="003A1E4D" w:rsidP="003A1E4D">
      <w:r>
        <w:t xml:space="preserve">Benchmarking of </w:t>
      </w:r>
      <w:r w:rsidR="00AB2BD4">
        <w:t xml:space="preserve">840 </w:t>
      </w:r>
      <w:r>
        <w:t xml:space="preserve">taxonomic profiling workflows for microbial communities using metagenomics and total </w:t>
      </w:r>
      <w:r w:rsidR="00D62ED7">
        <w:t>RNA sequencing</w:t>
      </w:r>
      <w:r w:rsidR="00AB2BD4">
        <w:t xml:space="preserve"> – for </w:t>
      </w:r>
      <w:proofErr w:type="spellStart"/>
      <w:r w:rsidR="00AB2BD4">
        <w:t>bioinfo</w:t>
      </w:r>
      <w:proofErr w:type="spellEnd"/>
      <w:r w:rsidR="00AB2BD4">
        <w:t xml:space="preserve"> people</w:t>
      </w:r>
    </w:p>
    <w:p w14:paraId="17C148EF" w14:textId="77777777" w:rsidR="003A1E4D" w:rsidRDefault="003A1E4D"/>
    <w:p w14:paraId="0E20B2E9" w14:textId="139D472F" w:rsidR="005A3700" w:rsidRDefault="00C41629">
      <w:r>
        <w:t>OR</w:t>
      </w:r>
    </w:p>
    <w:p w14:paraId="2EFBE41C" w14:textId="13C09A90" w:rsidR="00C41629" w:rsidRDefault="00C41629"/>
    <w:p w14:paraId="5EF63A89" w14:textId="6274A0D8" w:rsidR="00C41629" w:rsidRDefault="00C41629">
      <w:r>
        <w:t>Something that’s more specific to biomonitoring, as the intro points in that direction</w:t>
      </w:r>
    </w:p>
    <w:p w14:paraId="6BC52B6E" w14:textId="77777777" w:rsidR="00C41629" w:rsidRDefault="00C41629"/>
    <w:p w14:paraId="187FA110" w14:textId="66550263" w:rsidR="005A3700" w:rsidRDefault="005A3700">
      <w:r>
        <w:t>Intro</w:t>
      </w:r>
    </w:p>
    <w:p w14:paraId="66497A96" w14:textId="2BF0B88A" w:rsidR="005A3700" w:rsidRDefault="005A3700"/>
    <w:p w14:paraId="4CE45D20" w14:textId="7A002ACD" w:rsidR="005A3700" w:rsidRDefault="005A3700" w:rsidP="005A3700">
      <w:pPr>
        <w:pStyle w:val="ListParagraph"/>
        <w:numPr>
          <w:ilvl w:val="0"/>
          <w:numId w:val="1"/>
        </w:numPr>
      </w:pPr>
      <w:r>
        <w:t xml:space="preserve">Freshwater biomonitoring </w:t>
      </w:r>
      <w:r w:rsidR="00EE3DBD">
        <w:t>why</w:t>
      </w:r>
      <w:r w:rsidR="00A62F5A">
        <w:t xml:space="preserve"> </w:t>
      </w:r>
      <w:r w:rsidR="000F1848">
        <w:t xml:space="preserve">and how </w:t>
      </w:r>
      <w:r w:rsidR="00A62F5A">
        <w:sym w:font="Wingdings" w:char="F0DF"/>
      </w:r>
      <w:r w:rsidR="00A62F5A">
        <w:t xml:space="preserve"> Maybe completely exclude the biomonitoring aspect??</w:t>
      </w:r>
      <w:r w:rsidR="000F1848">
        <w:t xml:space="preserve"> Because it’s really long and not really </w:t>
      </w:r>
      <w:r w:rsidR="00D274ED">
        <w:t>the</w:t>
      </w:r>
      <w:r w:rsidR="000F1848">
        <w:t xml:space="preserve"> main focus?</w:t>
      </w:r>
    </w:p>
    <w:p w14:paraId="5AC8F785" w14:textId="1A9176A6" w:rsidR="005A3700" w:rsidRDefault="00CD27BB" w:rsidP="005A3700">
      <w:pPr>
        <w:pStyle w:val="ListParagraph"/>
        <w:numPr>
          <w:ilvl w:val="0"/>
          <w:numId w:val="1"/>
        </w:numPr>
      </w:pPr>
      <w:r>
        <w:t>Microbial</w:t>
      </w:r>
      <w:r w:rsidR="005A3700">
        <w:t xml:space="preserve"> community inclusion </w:t>
      </w:r>
      <w:r w:rsidR="000F1848">
        <w:t xml:space="preserve">was recently </w:t>
      </w:r>
      <w:r w:rsidR="005A3700">
        <w:t>advocated</w:t>
      </w:r>
    </w:p>
    <w:p w14:paraId="07F13D34" w14:textId="2C575BD6" w:rsidR="00222941" w:rsidRDefault="00222941" w:rsidP="005A3700">
      <w:pPr>
        <w:pStyle w:val="ListParagraph"/>
        <w:numPr>
          <w:ilvl w:val="0"/>
          <w:numId w:val="1"/>
        </w:numPr>
      </w:pPr>
      <w:r>
        <w:t>Not possible with traditional methods, but DNA based</w:t>
      </w:r>
    </w:p>
    <w:p w14:paraId="60AC8F92" w14:textId="37D48113" w:rsidR="005A3700" w:rsidRDefault="005A3700" w:rsidP="005A3700">
      <w:pPr>
        <w:pStyle w:val="ListParagraph"/>
        <w:numPr>
          <w:ilvl w:val="0"/>
          <w:numId w:val="1"/>
        </w:numPr>
      </w:pPr>
      <w:r>
        <w:t xml:space="preserve">Shotgun </w:t>
      </w:r>
      <w:r w:rsidR="00D274ED">
        <w:t>sequencing-based</w:t>
      </w:r>
      <w:r>
        <w:t xml:space="preserve"> approaches, such as </w:t>
      </w:r>
      <w:r w:rsidR="003A1E4D">
        <w:t>metagenomics</w:t>
      </w:r>
      <w:r>
        <w:t xml:space="preserve"> and metatranscriptomics, present such an option while avoiding primer bias common in </w:t>
      </w:r>
      <w:r w:rsidR="003A1E4D">
        <w:t>metabarcoding</w:t>
      </w:r>
    </w:p>
    <w:p w14:paraId="1E916EDA" w14:textId="60831BFC" w:rsidR="005A3700" w:rsidRDefault="003A1E4D" w:rsidP="005A3700">
      <w:pPr>
        <w:pStyle w:val="ListParagraph"/>
        <w:numPr>
          <w:ilvl w:val="0"/>
          <w:numId w:val="1"/>
        </w:numPr>
      </w:pPr>
      <w:r>
        <w:t xml:space="preserve">But: </w:t>
      </w:r>
      <w:r w:rsidR="005A3700">
        <w:t xml:space="preserve">metagenomics just small percentage of </w:t>
      </w:r>
      <w:r w:rsidR="00EE3DBD">
        <w:t xml:space="preserve">most common microbial barcodes </w:t>
      </w:r>
      <w:proofErr w:type="spellStart"/>
      <w:r w:rsidR="00EE3DBD">
        <w:t>ssu</w:t>
      </w:r>
      <w:proofErr w:type="spellEnd"/>
      <w:r w:rsidR="00EE3DBD">
        <w:t xml:space="preserve"> and </w:t>
      </w:r>
      <w:proofErr w:type="spellStart"/>
      <w:r w:rsidR="00EE3DBD">
        <w:t>lsu</w:t>
      </w:r>
      <w:proofErr w:type="spellEnd"/>
      <w:r>
        <w:t xml:space="preserve">, and high sequencing depth required </w:t>
      </w:r>
      <w:r>
        <w:sym w:font="Wingdings" w:char="F0E0"/>
      </w:r>
      <w:r>
        <w:t xml:space="preserve"> not sexy for stakeholders</w:t>
      </w:r>
    </w:p>
    <w:p w14:paraId="7DA48AEA" w14:textId="13B6E816" w:rsidR="005A3700" w:rsidRDefault="005A3700" w:rsidP="005A3700">
      <w:pPr>
        <w:pStyle w:val="ListParagraph"/>
        <w:numPr>
          <w:ilvl w:val="0"/>
          <w:numId w:val="1"/>
        </w:numPr>
      </w:pPr>
      <w:r>
        <w:t xml:space="preserve">In comparison, total RNA-Seq natural enrichment for </w:t>
      </w:r>
      <w:proofErr w:type="spellStart"/>
      <w:r>
        <w:t>ssu</w:t>
      </w:r>
      <w:proofErr w:type="spellEnd"/>
      <w:r>
        <w:t xml:space="preserve"> and </w:t>
      </w:r>
      <w:proofErr w:type="spellStart"/>
      <w:r>
        <w:t>lsu</w:t>
      </w:r>
      <w:proofErr w:type="spellEnd"/>
      <w:r>
        <w:t xml:space="preserve">, and </w:t>
      </w:r>
      <w:r w:rsidR="003A1E4D">
        <w:t>active portion of community, and low sequencing depth</w:t>
      </w:r>
      <w:r w:rsidR="000F1848">
        <w:t xml:space="preserve"> probably enough</w:t>
      </w:r>
    </w:p>
    <w:p w14:paraId="2875C4D6" w14:textId="703292D6" w:rsidR="00EE3DBD" w:rsidRDefault="003A1E4D" w:rsidP="00EE3DBD">
      <w:pPr>
        <w:pStyle w:val="ListParagraph"/>
        <w:numPr>
          <w:ilvl w:val="0"/>
          <w:numId w:val="1"/>
        </w:numPr>
      </w:pPr>
      <w:r>
        <w:t>Comparison</w:t>
      </w:r>
      <w:r w:rsidR="005A3700">
        <w:t xml:space="preserve"> of both </w:t>
      </w:r>
      <w:r w:rsidR="00EE3DBD">
        <w:t>methods needed</w:t>
      </w:r>
    </w:p>
    <w:p w14:paraId="72C74ACD" w14:textId="52AE4C23" w:rsidR="00EE3DBD" w:rsidRDefault="00EE3DBD" w:rsidP="00EE3DBD">
      <w:commentRangeStart w:id="0"/>
      <w:r>
        <w:lastRenderedPageBreak/>
        <w:t>Introduction</w:t>
      </w:r>
      <w:commentRangeEnd w:id="0"/>
      <w:r w:rsidR="00E64213">
        <w:rPr>
          <w:rStyle w:val="CommentReference"/>
        </w:rPr>
        <w:commentReference w:id="0"/>
      </w:r>
    </w:p>
    <w:p w14:paraId="03ABC4F8" w14:textId="77777777" w:rsidR="00EE3DBD" w:rsidRDefault="00EE3DBD" w:rsidP="00EE3DBD"/>
    <w:p w14:paraId="2291B550" w14:textId="4139E832" w:rsidR="002D1DC2" w:rsidRDefault="002D1DC2" w:rsidP="00EE3DBD">
      <w:pPr>
        <w:spacing w:line="360" w:lineRule="auto"/>
        <w:ind w:firstLine="576"/>
        <w:jc w:val="both"/>
        <w:rPr>
          <w:rFonts w:ascii="Calibri" w:hAnsi="Calibri" w:cs="Calibri"/>
        </w:rPr>
      </w:pPr>
      <w:r>
        <w:rPr>
          <w:rFonts w:ascii="Calibri" w:hAnsi="Calibri" w:cs="Calibri"/>
        </w:rPr>
        <w:t xml:space="preserve">PART 1 FRESHWATER ASSESSMENT AND BIOMONITORING, </w:t>
      </w:r>
      <w:r w:rsidR="00DE3419">
        <w:rPr>
          <w:rFonts w:ascii="Calibri" w:hAnsi="Calibri" w:cs="Calibri"/>
        </w:rPr>
        <w:t>COULD</w:t>
      </w:r>
      <w:r>
        <w:rPr>
          <w:rFonts w:ascii="Calibri" w:hAnsi="Calibri" w:cs="Calibri"/>
        </w:rPr>
        <w:t xml:space="preserve"> BE </w:t>
      </w:r>
      <w:r w:rsidR="00E64213">
        <w:rPr>
          <w:rFonts w:ascii="Calibri" w:hAnsi="Calibri" w:cs="Calibri"/>
        </w:rPr>
        <w:t xml:space="preserve">(MUCH) </w:t>
      </w:r>
      <w:r>
        <w:rPr>
          <w:rFonts w:ascii="Calibri" w:hAnsi="Calibri" w:cs="Calibri"/>
        </w:rPr>
        <w:t>SHORTENED</w:t>
      </w:r>
      <w:r w:rsidR="00E64213">
        <w:rPr>
          <w:rFonts w:ascii="Calibri" w:hAnsi="Calibri" w:cs="Calibri"/>
        </w:rPr>
        <w:t xml:space="preserve"> IF NECESSARY</w:t>
      </w:r>
    </w:p>
    <w:p w14:paraId="7F4EE7A8" w14:textId="7D842621" w:rsidR="00EE3DBD" w:rsidRDefault="00E56109" w:rsidP="00EE3DBD">
      <w:pPr>
        <w:spacing w:line="360" w:lineRule="auto"/>
        <w:ind w:firstLine="576"/>
        <w:jc w:val="both"/>
        <w:rPr>
          <w:rFonts w:ascii="Calibri" w:hAnsi="Calibri" w:cs="Calibri"/>
        </w:rPr>
      </w:pPr>
      <w:r w:rsidRPr="00B94B64">
        <w:rPr>
          <w:rFonts w:ascii="Calibri" w:hAnsi="Calibri" w:cs="Calibri"/>
        </w:rPr>
        <w:t>Freshwater</w:t>
      </w:r>
      <w:r>
        <w:rPr>
          <w:rFonts w:ascii="Calibri" w:hAnsi="Calibri" w:cs="Calibri"/>
        </w:rPr>
        <w:t xml:space="preserve"> systems are valuable for economic productivity, ecosystem resilience, and</w:t>
      </w:r>
      <w:r w:rsidRPr="00B94B64">
        <w:rPr>
          <w:rFonts w:ascii="Calibri" w:hAnsi="Calibri" w:cs="Calibri"/>
        </w:rPr>
        <w:t xml:space="preserve"> for maintaining ecosystem services, </w:t>
      </w:r>
      <w:r>
        <w:rPr>
          <w:rFonts w:ascii="Calibri" w:hAnsi="Calibri" w:cs="Calibri"/>
        </w:rPr>
        <w:t>including</w:t>
      </w:r>
      <w:r w:rsidRPr="00B94B64">
        <w:rPr>
          <w:rFonts w:ascii="Calibri" w:hAnsi="Calibri" w:cs="Calibri"/>
        </w:rPr>
        <w:t xml:space="preserve"> the supply of clean consumable water</w:t>
      </w:r>
      <w:r w:rsidR="00DA1B58">
        <w:rPr>
          <w:rFonts w:ascii="Calibri" w:hAnsi="Calibri" w:cs="Calibri"/>
        </w:rPr>
        <w:t xml:space="preserve"> </w:t>
      </w:r>
      <w:r w:rsidR="00DA1B58">
        <w:rPr>
          <w:rFonts w:ascii="Calibri" w:hAnsi="Calibri" w:cs="Calibri"/>
        </w:rPr>
        <w:fldChar w:fldCharType="begin" w:fldLock="1"/>
      </w:r>
      <w:r w:rsidR="006F5086">
        <w:rPr>
          <w:rFonts w:ascii="Calibri" w:hAnsi="Calibri" w:cs="Calibri"/>
        </w:rPr>
        <w:instrText>ADDIN CSL_CITATION {"citationItems":[{"id":"ITEM-1","itemData":{"DOI":"10.1017/S1464793105006950","ISBN":"1464-7931","ISSN":"14647931","PMID":"16336747","abstract":"Freshwater biodiversity is the over-riding conservation priority during the International Decade for Action - 'Water for Life' - 2005 to 2015. Fresh water makes up only 0.01% of the World's water and approximately 0.8% of the Earth's surface, yet this tiny fraction of global water supports at least 100000 species out of approximately 1.8 million - almost 6% of all described species. Inland waters and freshwater biodiversity constitute a valuable natural resource, in economic, cultural, aesthetic, scientific and educational terms. Their conservation and management are critical to the interests of all humans, nations and governments. Yet this precious heritage is in crisis. Fresh waters are experiencing declines in biodiversity far greater than those in the most affected terrestrial ecosystems, and if trends in human demands for water remain unaltered and species losses continue at current rates, the opportunity to conserve much of the remaining biodiversity in fresh water will vanish before the 'Water for Life' decade ends in 2015. Why is this so, and what is being done about it? This article explores the special features of freshwater habitats and the biodiversity they support that makes them especially vulnerable to human activities. We document threats to global freshwater biodiversity under five headings: overexploitation; water pollution; flow modification; destruction or degradation of habitat; and invasion by exotic species. Their combined and interacting influences have resulted in population declines and range reduction of freshwater biodiversity worldwide. Conservation of biodiversity is complicated by the landscape position of rivers and wetlands as 'receivers' of land-use effluents, and the problems posed by endemism and thus non-substitutability. In addition, in many parts of the world, fresh water is subject to severe competition among multiple human stakeholders. Protection of freshwater biodiversity is perhaps the ultimate conservation challenge because it is influenced by the upstream drainage network, the surrounding land, the riparian zone, and - in the case of migrating aquatic fauna - downstream reaches. Such prerequisites are hardly ever met. Immediate action is needed where opportunities exist to set aside intact lake and river ecosystems within large protected areas. For most of the global land surface, trade-offs between conservation of freshwater biodiversity and human use of ecosystem goods and services are necessary. We advoca…","author":[{"dropping-particle":"","family":"Dudgeon","given":"David","non-dropping-particle":"","parse-names":false,"suffix":""},{"dropping-particle":"","family":"Arthington","given":"Angela H.","non-dropping-particle":"","parse-names":false,"suffix":""},{"dropping-particle":"","family":"Gessner","given":"Mark O.","non-dropping-particle":"","parse-names":false,"suffix":""},{"dropping-particle":"","family":"Kawabata","given":"Zen Ichiro","non-dropping-particle":"","parse-names":false,"suffix":""},{"dropping-particle":"","family":"Knowler","given":"Duncan J.","non-dropping-particle":"","parse-names":false,"suffix":""},{"dropping-particle":"","family":"Lévêque","given":"Christian","non-dropping-particle":"","parse-names":false,"suffix":""},{"dropping-particle":"","family":"Naiman","given":"Robert J.","non-dropping-particle":"","parse-names":false,"suffix":""},{"dropping-particle":"","family":"Prieur-Richard","given":"Anne Hélène","non-dropping-particle":"","parse-names":false,"suffix":""},{"dropping-particle":"","family":"Soto","given":"Doris","non-dropping-particle":"","parse-names":false,"suffix":""},{"dropping-particle":"","family":"Stiassny","given":"Melanie L.J.","non-dropping-particle":"","parse-names":false,"suffix":""},{"dropping-particle":"","family":"Sullivan","given":"Caroline A.","non-dropping-particle":"","parse-names":false,"suffix":""}],"container-title":"Biological Reviews of the Cambridge Philosophical Society","id":"ITEM-1","issue":"2","issued":{"date-parts":[["2006"]]},"page":"163-182","title":"Freshwater biodiversity: Importance, threats, status and conservation challenges","type":"article-journal","volume":"81"},"uris":["http://www.mendeley.com/documents/?uuid=f9c12c82-c3c4-4f17-a549-a8015e49bf99"]}],"mendeley":{"formattedCitation":"(Dudgeon et al., 2006)","plainTextFormattedCitation":"(Dudgeon et al., 2006)","previouslyFormattedCitation":"(Dudgeon et al., 2006)"},"properties":{"noteIndex":0},"schema":"https://github.com/citation-style-language/schema/raw/master/csl-citation.json"}</w:instrText>
      </w:r>
      <w:r w:rsidR="00DA1B58">
        <w:rPr>
          <w:rFonts w:ascii="Calibri" w:hAnsi="Calibri" w:cs="Calibri"/>
        </w:rPr>
        <w:fldChar w:fldCharType="separate"/>
      </w:r>
      <w:r w:rsidR="00DA1B58" w:rsidRPr="00DA1B58">
        <w:rPr>
          <w:rFonts w:ascii="Calibri" w:hAnsi="Calibri" w:cs="Calibri"/>
          <w:noProof/>
        </w:rPr>
        <w:t>(Dudgeon et al., 2006)</w:t>
      </w:r>
      <w:r w:rsidR="00DA1B58">
        <w:rPr>
          <w:rFonts w:ascii="Calibri" w:hAnsi="Calibri" w:cs="Calibri"/>
        </w:rPr>
        <w:fldChar w:fldCharType="end"/>
      </w:r>
      <w:r w:rsidRPr="00B94B64">
        <w:rPr>
          <w:rFonts w:ascii="Calibri" w:hAnsi="Calibri" w:cs="Calibri"/>
        </w:rPr>
        <w:t>.</w:t>
      </w:r>
      <w:r>
        <w:rPr>
          <w:rFonts w:ascii="Calibri" w:hAnsi="Calibri" w:cs="Calibri"/>
        </w:rPr>
        <w:t xml:space="preserve"> </w:t>
      </w:r>
      <w:r w:rsidRPr="00B94B64">
        <w:rPr>
          <w:rFonts w:ascii="Calibri" w:hAnsi="Calibri" w:cs="Calibri"/>
        </w:rPr>
        <w:t xml:space="preserve">However, </w:t>
      </w:r>
      <w:r>
        <w:rPr>
          <w:rFonts w:ascii="Calibri" w:hAnsi="Calibri" w:cs="Calibri"/>
        </w:rPr>
        <w:t>these systems</w:t>
      </w:r>
      <w:r w:rsidRPr="00B94B64">
        <w:rPr>
          <w:rFonts w:ascii="Calibri" w:hAnsi="Calibri" w:cs="Calibri"/>
        </w:rPr>
        <w:t xml:space="preserve"> </w:t>
      </w:r>
      <w:r w:rsidR="00EE3DBD" w:rsidRPr="00B94B64">
        <w:rPr>
          <w:rFonts w:ascii="Calibri" w:hAnsi="Calibri" w:cs="Calibri"/>
        </w:rPr>
        <w:t>are heavily impacted by agricultural and industrial pollution</w:t>
      </w:r>
      <w:r w:rsidR="00EE3DBD">
        <w:rPr>
          <w:rFonts w:ascii="Calibri" w:hAnsi="Calibri" w:cs="Calibri"/>
        </w:rPr>
        <w:t xml:space="preserve">, </w:t>
      </w:r>
      <w:r w:rsidR="00EE3DBD" w:rsidRPr="00B94B64">
        <w:rPr>
          <w:rFonts w:ascii="Calibri" w:hAnsi="Calibri" w:cs="Calibri"/>
        </w:rPr>
        <w:t xml:space="preserve">habitat fragmentation </w:t>
      </w:r>
      <w:r w:rsidR="00EE3DBD">
        <w:rPr>
          <w:rFonts w:ascii="Calibri" w:hAnsi="Calibri" w:cs="Calibri"/>
        </w:rPr>
        <w:t>(</w:t>
      </w:r>
      <w:r w:rsidR="00EE3DBD" w:rsidRPr="00B94B64">
        <w:rPr>
          <w:rFonts w:ascii="Calibri" w:hAnsi="Calibri" w:cs="Calibri"/>
        </w:rPr>
        <w:t>wetland drainage, river straightening, and dam building</w:t>
      </w:r>
      <w:r w:rsidR="00EE3DBD">
        <w:rPr>
          <w:rFonts w:ascii="Calibri" w:hAnsi="Calibri" w:cs="Calibri"/>
        </w:rPr>
        <w:t xml:space="preserve">), and the introduction of invasive species </w:t>
      </w:r>
      <w:r w:rsidR="00EE3DBD">
        <w:rPr>
          <w:rFonts w:ascii="Calibri" w:hAnsi="Calibri" w:cs="Calibri"/>
        </w:rPr>
        <w:fldChar w:fldCharType="begin" w:fldLock="1"/>
      </w:r>
      <w:r w:rsidR="002C57A6">
        <w:rPr>
          <w:rFonts w:ascii="Calibri" w:hAnsi="Calibri" w:cs="Calibri"/>
        </w:rPr>
        <w:instrText>ADDIN CSL_CITATION {"citationItems":[{"id":"ITEM-1","itemData":{"DOI":"10.1016/j.baae.2006.05.008","ISBN":"4042816576","ISSN":"16180089","PMID":"2983","abstract":"{A figure is presented}. © 2006 Gesellschaft für Ökologie.","author":[{"dropping-particle":"","family":"Jensen","given":"Kai","non-dropping-particle":"","parse-names":false,"suffix":""},{"dropping-particle":"","family":"Trepel","given":"Michael","non-dropping-particle":"","parse-names":false,"suffix":""},{"dropping-particle":"","family":"Merritt","given":"David","non-dropping-particle":"","parse-names":false,"suffix":""},{"dropping-particle":"","family":"Rosenthal","given":"Gert","non-dropping-particle":"","parse-names":false,"suffix":""}],"container-title":"Basic and Applied Ecology","id":"ITEM-1","issue":"5","issued":{"date-parts":[["2006"]]},"note":"wasser verschlechtert sich","page":"383-387","title":"Restoration ecology of river valleys","type":"article-journal","volume":"7"},"uris":["http://www.mendeley.com/documents/?uuid=4ee1a1ff-80c1-4e93-87a0-6c9d193e01f1"]},{"id":"ITEM-2","itemData":{"DOI":"10.1007/s10530-005-0232-2","ISBN":"1053000502","ISSN":"13873547","abstract":"Freshwater aquatic organisms in North America are disproportionately imperilled when compared to their terrestrial counterparts due to widespread habitat alteration, pollution, overexploitation and the introduction of alien species. In this review, we examine the threat factors contributing to the endangerment of freshwater fishes and molluscs in Canada and further examine the nature of alien invasive species introductions affecting aquatic species at risk. Habitat loss and degradation is the predominant threat factor for Canadian freshwater fishes and molluscs that are listed as Extinct, Extirpated, Endangered and Threatened. Alien invasive species are the second most prevalent threat for fishes, affecting 26 of 41 listed species. Alien invasive species are a threat in most parts of Canada where listed fishes are found. Most (65%) of the alien invasive species affecting listed fishes are the result of intentional introductions related to sport fishing, and the majority of these introductions are unauthorized. Fifteen fishes and two plant species are cited as alien invasive species that impact listed fishes with brown bullhead (Ameiurus nebulosus) and pumpkinseed (Lepomis gibbosus) being the most prevalent. Alien species are a threat to 6 of 11 listed mollusc species. All six species are threatened by the alien zebra mussel (Dreissena polymorpha) in the Great Lakes basin. © Springer 2006.","author":[{"dropping-particle":"","family":"Dextrase","given":"Alan J.","non-dropping-particle":"","parse-names":false,"suffix":""},{"dropping-particle":"","family":"Mandrak","given":"Nicholas E.","non-dropping-particle":"","parse-names":false,"suffix":""}],"container-title":"Biological Invasions","id":"ITEM-2","issue":"1","issued":{"date-parts":[["2006"]]},"page":"13-24","title":"Impacts of alien invasive species on freshwater fauna at risk in Canada","type":"article-journal","volume":"8"},"uris":["http://www.mendeley.com/documents/?uuid=daa4169c-7740-4e39-9fe4-c1f944d4a214"]}],"mendeley":{"formattedCitation":"(Dextrase and Mandrak, 2006; Jensen et al., 2006)","plainTextFormattedCitation":"(Dextrase and Mandrak, 2006; Jensen et al., 2006)","previouslyFormattedCitation":"(Dextrase and Mandrak, 2006; Jensen et al., 2006)"},"properties":{"noteIndex":0},"schema":"https://github.com/citation-style-language/schema/raw/master/csl-citation.json"}</w:instrText>
      </w:r>
      <w:r w:rsidR="00EE3DBD">
        <w:rPr>
          <w:rFonts w:ascii="Calibri" w:hAnsi="Calibri" w:cs="Calibri"/>
        </w:rPr>
        <w:fldChar w:fldCharType="separate"/>
      </w:r>
      <w:r w:rsidR="00222941" w:rsidRPr="00222941">
        <w:rPr>
          <w:rFonts w:ascii="Calibri" w:hAnsi="Calibri" w:cs="Calibri"/>
          <w:noProof/>
        </w:rPr>
        <w:t>(Dextrase and Mandrak, 2006; Jensen et al., 2006)</w:t>
      </w:r>
      <w:r w:rsidR="00EE3DBD">
        <w:rPr>
          <w:rFonts w:ascii="Calibri" w:hAnsi="Calibri" w:cs="Calibri"/>
        </w:rPr>
        <w:fldChar w:fldCharType="end"/>
      </w:r>
      <w:r w:rsidR="00EE3DBD" w:rsidRPr="00B94B64">
        <w:rPr>
          <w:rFonts w:ascii="Calibri" w:hAnsi="Calibri" w:cs="Calibri"/>
        </w:rPr>
        <w:t>. Consequently, freshwater</w:t>
      </w:r>
      <w:r w:rsidR="004D5825">
        <w:rPr>
          <w:rFonts w:ascii="Calibri" w:hAnsi="Calibri" w:cs="Calibri"/>
        </w:rPr>
        <w:t xml:space="preserve"> systems</w:t>
      </w:r>
      <w:r w:rsidR="00EE3DBD" w:rsidRPr="00B94B64">
        <w:rPr>
          <w:rFonts w:ascii="Calibri" w:hAnsi="Calibri" w:cs="Calibri"/>
        </w:rPr>
        <w:t xml:space="preserve"> </w:t>
      </w:r>
      <w:r w:rsidR="00EE3DBD">
        <w:rPr>
          <w:rFonts w:ascii="Calibri" w:hAnsi="Calibri" w:cs="Calibri"/>
        </w:rPr>
        <w:t>belong to</w:t>
      </w:r>
      <w:r w:rsidR="00EE3DBD" w:rsidRPr="00B94B64">
        <w:rPr>
          <w:rFonts w:ascii="Calibri" w:hAnsi="Calibri" w:cs="Calibri"/>
        </w:rPr>
        <w:t xml:space="preserve"> the most threatened ecosystems with some of the highest rates of species loss </w:t>
      </w:r>
      <w:r w:rsidR="00EE3DBD">
        <w:rPr>
          <w:rStyle w:val="FootnoteReference"/>
          <w:rFonts w:ascii="Calibri" w:hAnsi="Calibri" w:cs="Calibri"/>
        </w:rPr>
        <w:fldChar w:fldCharType="begin" w:fldLock="1"/>
      </w:r>
      <w:r w:rsidR="002C57A6">
        <w:rPr>
          <w:rFonts w:ascii="Calibri" w:hAnsi="Calibri" w:cs="Calibri"/>
        </w:rPr>
        <w:instrText>ADDIN CSL_CITATION {"citationItems":[{"id":"ITEM-1","itemData":{"DOI":"10.1017/S0376892902000097","ISBN":"1469-4387","ISSN":"03768929","PMID":"16228437","abstract":"Running waters are perhaps the most impacted ecosystem on the planet as they have been the focus for human settlement and are heavily exploited for water supplies, irrigation, electricity generation, and waste disposal. Lotic systems also have an intimate contact with their catchments and so land-use alterations affect them directly. Here long-term trends in the factors that currently impact running waters are reviewed with the aim of predicting what the main threats to rivers will be in the year 2025. The main ultimate factors forcing change in running waters (ecosystem destruction, physical habitat and water chemistry alteration, and the direct addition or removal of species) stem from proximate influences from urbanization, industry, land-use change and water-course alterations. Any one river is likely to be subjected to several types of impact, and the management of impacts on lotic systems is complicated by numerous links between different forms of anthropogenic effect. Long-term trends for different impacts vary. Concentrations of chemical pollutants such as toxins and nutrients have increased in rivers in developed countries over the past century, with recent reductions for some pollutants (e.g. metals, organic toxicants, acidification), and continued increases in others (e.g. nutrients); there are no long-term chemical data for developing countries. Dam construction increased rapidly during the twentieth century, peaking in the 1970s, and the number of reservoirs has stabilized since this time, whereas the transfer of exotic species between lotic systems continues to increase. Hence, there have been some success stories in the attempts to reduce the impacts from anthropogenic impacts in developed nations. Improvements in the pH status of running waters should continue with lower sulphurous emissions, although emissions of nitrous oxides are set to continue under current legislation and will continue to contribute to acidification and nutrient loadings. Climate change also will impact running waters through alterations in hydrology and thermal regimes, although precise predictions are problematic; effects are likely to vary between regions and to operate alongside rather than override those from other impacts. Effects from climate change may be more extreme over longer time scales (&gt;50 years). The overriding pressure on running water ecosystems up to 2025 will stem from the predicted increase in the human population, with concomitant increases in…","author":[{"dropping-particle":"","family":"Malmqvist","given":"Björn","non-dropping-particle":"","parse-names":false,"suffix":""},{"dropping-particle":"","family":"Rundle","given":"Simon","non-dropping-particle":"","parse-names":false,"suffix":""}],"container-title":"Environmental Conservation","id":"ITEM-1","issue":"2","issued":{"date-parts":[["2002"]]},"page":"134-153","title":"Threats to the running water ecosystems of the world","type":"article-journal","volume":"29"},"uris":["http://www.mendeley.com/documents/?uuid=04422fd2-9ac0-406d-ad30-1e687d44e816"]}],"mendeley":{"formattedCitation":"(Malmqvist and Rundle, 2002)","plainTextFormattedCitation":"(Malmqvist and Rundle, 2002)","previouslyFormattedCitation":"(Malmqvist and Rundle, 2002)"},"properties":{"noteIndex":0},"schema":"https://github.com/citation-style-language/schema/raw/master/csl-citation.json"}</w:instrText>
      </w:r>
      <w:r w:rsidR="00EE3DBD">
        <w:rPr>
          <w:rStyle w:val="FootnoteReference"/>
          <w:rFonts w:ascii="Calibri" w:hAnsi="Calibri" w:cs="Calibri"/>
        </w:rPr>
        <w:fldChar w:fldCharType="separate"/>
      </w:r>
      <w:r w:rsidR="00222941" w:rsidRPr="00222941">
        <w:rPr>
          <w:rFonts w:ascii="Calibri" w:hAnsi="Calibri" w:cs="Calibri"/>
          <w:bCs/>
          <w:noProof/>
          <w:lang w:val="en-US"/>
        </w:rPr>
        <w:t>(Malmqvist and Rundle, 2002)</w:t>
      </w:r>
      <w:r w:rsidR="00EE3DBD">
        <w:rPr>
          <w:rStyle w:val="FootnoteReference"/>
          <w:rFonts w:ascii="Calibri" w:hAnsi="Calibri" w:cs="Calibri"/>
        </w:rPr>
        <w:fldChar w:fldCharType="end"/>
      </w:r>
      <w:r w:rsidR="00EE3DBD" w:rsidRPr="00B94B64">
        <w:rPr>
          <w:rFonts w:ascii="Calibri" w:hAnsi="Calibri" w:cs="Calibri"/>
        </w:rPr>
        <w:t>.</w:t>
      </w:r>
    </w:p>
    <w:p w14:paraId="627BD567" w14:textId="2F305435" w:rsidR="00EE3DBD" w:rsidRDefault="00EE3DBD" w:rsidP="00222941">
      <w:pPr>
        <w:spacing w:line="360" w:lineRule="auto"/>
        <w:ind w:firstLine="576"/>
        <w:jc w:val="both"/>
        <w:rPr>
          <w:rFonts w:ascii="Calibri" w:hAnsi="Calibri" w:cs="Calibri"/>
        </w:rPr>
      </w:pPr>
      <w:r w:rsidRPr="00B94B64">
        <w:rPr>
          <w:rFonts w:ascii="Calibri" w:hAnsi="Calibri" w:cs="Calibri"/>
        </w:rPr>
        <w:t xml:space="preserve"> </w:t>
      </w:r>
      <w:r>
        <w:rPr>
          <w:rFonts w:ascii="Calibri" w:hAnsi="Calibri" w:cs="Calibri"/>
        </w:rPr>
        <w:t xml:space="preserve">To prevent this species loss, the natural status of freshwater </w:t>
      </w:r>
      <w:r w:rsidR="004D5825">
        <w:rPr>
          <w:rFonts w:ascii="Calibri" w:hAnsi="Calibri" w:cs="Calibri"/>
        </w:rPr>
        <w:t xml:space="preserve">bodies </w:t>
      </w:r>
      <w:r>
        <w:rPr>
          <w:rFonts w:ascii="Calibri" w:hAnsi="Calibri" w:cs="Calibri"/>
        </w:rPr>
        <w:t xml:space="preserve">needs to be protected, preserved, and restored. </w:t>
      </w:r>
      <w:r w:rsidR="004D5825">
        <w:rPr>
          <w:rFonts w:ascii="Calibri" w:hAnsi="Calibri" w:cs="Calibri"/>
        </w:rPr>
        <w:t xml:space="preserve">Therefore, the ecological status of individual freshwater bodies must be </w:t>
      </w:r>
      <w:r w:rsidR="00AD7C3E">
        <w:rPr>
          <w:rFonts w:ascii="Calibri" w:hAnsi="Calibri" w:cs="Calibri"/>
        </w:rPr>
        <w:t>determined, which is accomplished by freshwater biomonitoring</w:t>
      </w:r>
      <w:r w:rsidR="004D5825">
        <w:rPr>
          <w:rFonts w:ascii="Calibri" w:hAnsi="Calibri" w:cs="Calibri"/>
        </w:rPr>
        <w:t>. This</w:t>
      </w:r>
      <w:r w:rsidR="00222941">
        <w:rPr>
          <w:rFonts w:ascii="Calibri" w:hAnsi="Calibri" w:cs="Calibri"/>
        </w:rPr>
        <w:t xml:space="preserve"> </w:t>
      </w:r>
      <w:r w:rsidR="00AD7C3E">
        <w:rPr>
          <w:rFonts w:ascii="Calibri" w:hAnsi="Calibri" w:cs="Calibri"/>
        </w:rPr>
        <w:t>determination</w:t>
      </w:r>
      <w:r w:rsidR="00222941">
        <w:rPr>
          <w:rFonts w:ascii="Calibri" w:hAnsi="Calibri" w:cs="Calibri"/>
        </w:rPr>
        <w:t xml:space="preserve"> help</w:t>
      </w:r>
      <w:r w:rsidR="004B1D38">
        <w:rPr>
          <w:rFonts w:ascii="Calibri" w:hAnsi="Calibri" w:cs="Calibri"/>
        </w:rPr>
        <w:t>s</w:t>
      </w:r>
      <w:r w:rsidR="004D5825">
        <w:rPr>
          <w:rFonts w:ascii="Calibri" w:hAnsi="Calibri" w:cs="Calibri"/>
        </w:rPr>
        <w:t xml:space="preserve"> to </w:t>
      </w:r>
      <w:r w:rsidR="00AD7C3E">
        <w:rPr>
          <w:rFonts w:ascii="Calibri" w:hAnsi="Calibri" w:cs="Calibri"/>
        </w:rPr>
        <w:t>identify</w:t>
      </w:r>
      <w:r w:rsidR="004D5825">
        <w:rPr>
          <w:rFonts w:ascii="Calibri" w:hAnsi="Calibri" w:cs="Calibri"/>
        </w:rPr>
        <w:t xml:space="preserve"> if </w:t>
      </w:r>
      <w:r w:rsidR="00222941">
        <w:rPr>
          <w:rFonts w:ascii="Calibri" w:hAnsi="Calibri" w:cs="Calibri"/>
        </w:rPr>
        <w:t>a freshwater body’s</w:t>
      </w:r>
      <w:r w:rsidR="004D5825">
        <w:rPr>
          <w:rFonts w:ascii="Calibri" w:hAnsi="Calibri" w:cs="Calibri"/>
        </w:rPr>
        <w:t xml:space="preserve"> natural status is threatened and if </w:t>
      </w:r>
      <w:r w:rsidR="00AF3351">
        <w:rPr>
          <w:rFonts w:ascii="Calibri" w:hAnsi="Calibri" w:cs="Calibri"/>
        </w:rPr>
        <w:t xml:space="preserve">preservation or </w:t>
      </w:r>
      <w:r w:rsidR="004D5825">
        <w:rPr>
          <w:rFonts w:ascii="Calibri" w:hAnsi="Calibri" w:cs="Calibri"/>
        </w:rPr>
        <w:t xml:space="preserve">restoration </w:t>
      </w:r>
      <w:r w:rsidR="004D5825" w:rsidRPr="004D5825">
        <w:rPr>
          <w:rFonts w:ascii="Calibri" w:hAnsi="Calibri" w:cs="Calibri"/>
        </w:rPr>
        <w:t xml:space="preserve">strategies </w:t>
      </w:r>
      <w:r w:rsidR="004D5825">
        <w:rPr>
          <w:rFonts w:ascii="Calibri" w:hAnsi="Calibri" w:cs="Calibri"/>
        </w:rPr>
        <w:t>need to be applied.</w:t>
      </w:r>
    </w:p>
    <w:p w14:paraId="6D6FBCDC" w14:textId="5C23C44D" w:rsidR="004D5825" w:rsidRDefault="004D5825" w:rsidP="004D5825">
      <w:pPr>
        <w:spacing w:line="360" w:lineRule="auto"/>
        <w:jc w:val="both"/>
        <w:rPr>
          <w:rFonts w:ascii="Calibri" w:hAnsi="Calibri" w:cs="Calibri"/>
        </w:rPr>
      </w:pPr>
    </w:p>
    <w:p w14:paraId="34F516E2" w14:textId="3DFD2B13" w:rsidR="002C57A6" w:rsidRDefault="00222941" w:rsidP="002C57A6">
      <w:pPr>
        <w:spacing w:line="360" w:lineRule="auto"/>
        <w:ind w:firstLine="576"/>
        <w:jc w:val="both"/>
        <w:rPr>
          <w:rFonts w:ascii="Calibri" w:hAnsi="Calibri" w:cs="Calibri"/>
        </w:rPr>
      </w:pPr>
      <w:r>
        <w:rPr>
          <w:rFonts w:ascii="Calibri" w:hAnsi="Calibri" w:cs="Calibri"/>
        </w:rPr>
        <w:t xml:space="preserve">Traditionally, </w:t>
      </w:r>
      <w:r>
        <w:t>freshwater biomonitoring</w:t>
      </w:r>
      <w:r w:rsidRPr="00B94B64">
        <w:t xml:space="preserve"> </w:t>
      </w:r>
      <w:r w:rsidR="00B12813">
        <w:t xml:space="preserve">is </w:t>
      </w:r>
      <w:r w:rsidR="00154801">
        <w:t>assessed</w:t>
      </w:r>
      <w:r>
        <w:t xml:space="preserve"> </w:t>
      </w:r>
      <w:r w:rsidR="00B12813">
        <w:t>by sampling</w:t>
      </w:r>
      <w:r w:rsidRPr="00B94B64">
        <w:t xml:space="preserve"> </w:t>
      </w:r>
      <w:r>
        <w:t xml:space="preserve">bioindicators, </w:t>
      </w:r>
      <w:r>
        <w:rPr>
          <w:rFonts w:ascii="Calibri" w:hAnsi="Calibri" w:cs="Calibri"/>
        </w:rPr>
        <w:t xml:space="preserve">most commonly </w:t>
      </w:r>
      <w:r w:rsidRPr="00B94B64">
        <w:t>benthic macroinvertebrates</w:t>
      </w:r>
      <w:r>
        <w:t xml:space="preserve">, but also </w:t>
      </w:r>
      <w:r w:rsidRPr="00B94B64">
        <w:t>diatoms, macrophytes,</w:t>
      </w:r>
      <w:r>
        <w:t xml:space="preserve"> zooplankton, and</w:t>
      </w:r>
      <w:r w:rsidRPr="00B94B64">
        <w:t xml:space="preserve"> fish</w:t>
      </w:r>
      <w:r>
        <w:t xml:space="preserve"> </w:t>
      </w:r>
      <w:r>
        <w:rPr>
          <w:rStyle w:val="FootnoteReference"/>
        </w:rPr>
        <w:fldChar w:fldCharType="begin" w:fldLock="1"/>
      </w:r>
      <w:r w:rsidR="002C57A6">
        <w:instrText>ADDIN CSL_CITATION {"citationItems":[{"id":"ITEM-1","itemData":{"author":[{"dropping-particle":"","family":"Bellinger","given":"Edward G.","non-dropping-particle":"","parse-names":false,"suffix":""},{"dropping-particle":"","family":"Sigee","given":"David C.","non-dropping-particle":"","parse-names":false,"suffix":""}],"edition":"2nd","id":"ITEM-1","issued":{"date-parts":[["2015"]]},"number-of-pages":"101 pp.","publisher":"John Wiley &amp; Sons Ltd","publisher-place":"Chichester, West Sussex","title":"Freshwater Algae - Identification, Enumeration and Use as Bioindicators","type":"book"},"uris":["http://www.mendeley.com/documents/?uuid=076a995a-5eec-49ed-acdb-fbcb306f72ed"]},{"id":"ITEM-2","itemData":{"DOI":"10.1007/s10750-006-0175-3","ISSN":"0018-8158","abstract":"The paper presents a new index for assessing water trophy and organic pollution. It is based on only true aquatic macrophytes – being calculated on species score, coefficient of ecological amplitude and degree of cover. The method was tested in an acidic lowland river and an alkaline mountain river, and is shown to be validated by bio-indication scales based on macrophyte communities. The practical interest is discussed regarding the Water Framework Directive.","author":[{"dropping-particle":"","family":"Haury","given":"J.","non-dropping-particle":"","parse-names":false,"suffix":""},{"dropping-particle":"","family":"Peltre","given":"M. -C.","non-dropping-particle":"","parse-names":false,"suffix":""},{"dropping-particle":"","family":"Trémolières","given":"M.","non-dropping-particle":"","parse-names":false,"suffix":""},{"dropping-particle":"","family":"Barbe","given":"J.","non-dropping-particle":"","parse-names":false,"suffix":""},{"dropping-particle":"","family":"Thiébaut","given":"G.","non-dropping-particle":"","parse-names":false,"suffix":""},{"dropping-particle":"","family":"Bernez","given":"I.","non-dropping-particle":"","parse-names":false,"suffix":""},{"dropping-particle":"","family":"Daniel","given":"H.","non-dropping-particle":"","parse-names":false,"suffix":""},{"dropping-particle":"","family":"Chatenet","given":"P.","non-dropping-particle":"","parse-names":false,"suffix":""},{"dropping-particle":"","family":"Haan-Archipof","given":"G.","non-dropping-particle":"","parse-names":false,"suffix":""},{"dropping-particle":"","family":"Muller","given":"S.","non-dropping-particle":"","parse-names":false,"suffix":""},{"dropping-particle":"","family":"Dutartre","given":"A.","non-dropping-particle":"","parse-names":false,"suffix":""},{"dropping-particle":"","family":"Laplace-Treyture","given":"C.","non-dropping-particle":"","parse-names":false,"suffix":""},{"dropping-particle":"","family":"Cazaubon","given":"A.","non-dropping-particle":"","parse-names":false,"suffix":""},{"dropping-particle":"","family":"Lambert-Servien","given":"E.","non-dropping-particle":"","parse-names":false,"suffix":""}],"container-title":"Hydrobiologia","id":"ITEM-2","issue":"1","issued":{"date-parts":[["2006"]]},"page":"153-158","title":"A new method to assess water trophy and organic pollution – the Macrophyte Biological Index for Rivers (IBMR): its application to different types of river and pollution","type":"article-journal","volume":"570"},"uris":["http://www.mendeley.com/documents/?uuid=0fda5ae6-80d3-4e0c-8fde-47a38388af0d"]},{"id":"ITEM-3","itemData":{"DOI":"10.1577/1548-8446(1981)006","author":[{"dropping-particle":"","family":"Karr","given":"James R","non-dropping-particle":"","parse-names":false,"suffix":""}],"container-title":"Fisheries","id":"ITEM-3","issue":"6","issued":{"date-parts":[["1981"]]},"page":"21-27","title":"Assessment of Biotic Integrity Using Fish Communities","type":"article-journal","volume":"6"},"uris":["http://www.mendeley.com/documents/?uuid=dcb99de1-30e3-441e-979f-96782c39187b"]},{"id":"ITEM-4","itemData":{"author":[{"dropping-particle":"","family":"Resh","given":"Vincent H","non-dropping-particle":"","parse-names":false,"suffix":""},{"dropping-particle":"","family":"Unzicker","given":"John D","non-dropping-particle":"","parse-names":false,"suffix":""}],"container-title":"Water Pollution Control Federation","id":"ITEM-4","issue":"1","issued":{"date-parts":[["1975"]]},"page":"9-19","title":"Water Quality Monitoring and Aquatic Organisms : The Importance of Species Identification","type":"article-journal","volume":"47"},"uris":["http://www.mendeley.com/documents/?uuid=67aba1bd-c48e-40af-9bd8-bc649b462c20"]},{"id":"ITEM-5","itemData":{"DOI":"10.1007/s10750-011-0831-0","ISSN":"00188158","abstract":"With the implementation of the EU Water Framework Directive (WFD), the member states have to classify the ecological status of surface waters following standardised procedures. It was a matter of some surprise to lake ecologists that zooplankton were not included as a biological quality element (BQE) despite their being considered to be an important and integrated component of the pelagic food web. To the best of our knowledge, the decision of omitting zooplankton is not wise, and it has resulted in the withdrawal of zooplankton from many so-far-solid monitoring programmes. Using examples from particularly Danish, Estonian, and the UK lakes, we show that zooplankton (sampled from the water and the sediment) have a strong indicator value, which cannot be covered by sampling fish and phytoplankton without a very comprehensive and costly effort. When selecting the right metrics, zooplankton are cost-efficient indicators of the trophic state and ecological quality of lakes. Moreover, they are important indicators of the success/failure of measures taken to bring the lakes to at least good ecological status. Therefore, we strongly recommend the EU to include zooplankton as a central BQE in the WFD assessments, and undertake similar regional calibration exercises to obtain relevant and robust metrics also for zooplankton as is being done at present in the cases of fish, phytoplankton, macrophytes and benthic invertebrates. © 2011 Springer Science+Business Media B.V.","author":[{"dropping-particle":"","family":"Jeppesen","given":"Erik","non-dropping-particle":"","parse-names":false,"suffix":""},{"dropping-particle":"","family":"Nõges","given":"Peeter","non-dropping-particle":"","parse-names":false,"suffix":""},{"dropping-particle":"","family":"Davidson","given":"Thomas A.","non-dropping-particle":"","parse-names":false,"suffix":""},{"dropping-particle":"","family":"Haberman","given":"Juta","non-dropping-particle":"","parse-names":false,"suffix":""},{"dropping-particle":"","family":"Nõges","given":"Tiina","non-dropping-particle":"","parse-names":false,"suffix":""},{"dropping-particle":"","family":"Blank","given":"Kätlin","non-dropping-particle":"","parse-names":false,"suffix":""},{"dropping-particle":"","family":"Lauridsen","given":"Torben L.","non-dropping-particle":"","parse-names":false,"suffix":""},{"dropping-particle":"","family":"Søndergaard","given":"Martin","non-dropping-particle":"","parse-names":false,"suffix":""},{"dropping-particle":"","family":"Sayer","given":"Carl","non-dropping-particle":"","parse-names":false,"suffix":""},{"dropping-particle":"","family":"Laugaste","given":"Reet","non-dropping-particle":"","parse-names":false,"suffix":""},{"dropping-particle":"","family":"Johansson","given":"Liselotte S.","non-dropping-particle":"","parse-names":false,"suffix":""},{"dropping-particle":"","family":"Bjerring","given":"Rikke","non-dropping-particle":"","parse-names":false,"suffix":""},{"dropping-particle":"","family":"Amsinck","given":"Susanne L.","non-dropping-particle":"","parse-names":false,"suffix":""}],"container-title":"Hydrobiologia","id":"ITEM-5","issue":"1","issued":{"date-parts":[["2011"]]},"page":"279-297","title":"Zooplankton as indicators in lakes: A scientific-based plea for including zooplankton in the ecological quality assessment of lakes according to the European Water Framework Directive (WFD)","type":"article-journal","volume":"676"},"uris":["http://www.mendeley.com/documents/?uuid=943df83a-f226-4577-b856-c0fcef56ef5f"]}],"mendeley":{"formattedCitation":"(Bellinger and Sigee, 2015; Haury et al., 2006; Jeppesen et al., 2011; Karr, 1981; Resh and Unzicker, 1975)","plainTextFormattedCitation":"(Bellinger and Sigee, 2015; Haury et al., 2006; Jeppesen et al., 2011; Karr, 1981; Resh and Unzicker, 1975)","previouslyFormattedCitation":"(Bellinger and Sigee, 2015; Haury et al., 2006; Jeppesen et al., 2011; Karr, 1981; Resh and Unzicker, 1975)"},"properties":{"noteIndex":0},"schema":"https://github.com/citation-style-language/schema/raw/master/csl-citation.json"}</w:instrText>
      </w:r>
      <w:r>
        <w:rPr>
          <w:rStyle w:val="FootnoteReference"/>
        </w:rPr>
        <w:fldChar w:fldCharType="separate"/>
      </w:r>
      <w:r w:rsidRPr="00222941">
        <w:rPr>
          <w:bCs/>
          <w:noProof/>
          <w:lang w:val="en-US"/>
        </w:rPr>
        <w:t>(Bellinger and Sigee, 2015; Haury et al., 2006; Jeppesen et al., 2011; Karr, 1981; Resh and Unzicker, 1975)</w:t>
      </w:r>
      <w:r>
        <w:rPr>
          <w:rStyle w:val="FootnoteReference"/>
        </w:rPr>
        <w:fldChar w:fldCharType="end"/>
      </w:r>
      <w:r>
        <w:t xml:space="preserve">. </w:t>
      </w:r>
      <w:r>
        <w:rPr>
          <w:color w:val="000000" w:themeColor="text1"/>
        </w:rPr>
        <w:t xml:space="preserve">However, </w:t>
      </w:r>
      <w:r w:rsidR="00154801">
        <w:rPr>
          <w:color w:val="000000" w:themeColor="text1"/>
        </w:rPr>
        <w:t>uni</w:t>
      </w:r>
      <w:r>
        <w:rPr>
          <w:color w:val="000000" w:themeColor="text1"/>
        </w:rPr>
        <w:t>cellular eukaryotes</w:t>
      </w:r>
      <w:r w:rsidR="00D274ED">
        <w:rPr>
          <w:color w:val="000000" w:themeColor="text1"/>
        </w:rPr>
        <w:t xml:space="preserve"> </w:t>
      </w:r>
      <w:r>
        <w:rPr>
          <w:color w:val="000000" w:themeColor="text1"/>
        </w:rPr>
        <w:t xml:space="preserve">and prokaryotes </w:t>
      </w:r>
      <w:r w:rsidR="008A7FDD">
        <w:rPr>
          <w:color w:val="000000" w:themeColor="text1"/>
        </w:rPr>
        <w:t xml:space="preserve">(hereafter referred to as microbes) </w:t>
      </w:r>
      <w:r>
        <w:rPr>
          <w:color w:val="000000" w:themeColor="text1"/>
        </w:rPr>
        <w:t>were</w:t>
      </w:r>
      <w:r w:rsidRPr="008B0117">
        <w:rPr>
          <w:color w:val="000000" w:themeColor="text1"/>
        </w:rPr>
        <w:t xml:space="preserve"> proposed as </w:t>
      </w:r>
      <w:r>
        <w:rPr>
          <w:color w:val="000000" w:themeColor="text1"/>
        </w:rPr>
        <w:t xml:space="preserve">nearly equally good if not better </w:t>
      </w:r>
      <w:r w:rsidRPr="008B0117">
        <w:rPr>
          <w:color w:val="000000" w:themeColor="text1"/>
        </w:rPr>
        <w:t xml:space="preserve">bioindicators, </w:t>
      </w:r>
      <w:r>
        <w:rPr>
          <w:color w:val="000000" w:themeColor="text1"/>
        </w:rPr>
        <w:t xml:space="preserve">because they respond faster to environmental changes </w:t>
      </w:r>
      <w:r>
        <w:rPr>
          <w:rStyle w:val="FootnoteReference"/>
          <w:color w:val="000000" w:themeColor="text1"/>
        </w:rPr>
        <w:fldChar w:fldCharType="begin" w:fldLock="1"/>
      </w:r>
      <w:r w:rsidR="00612BB6">
        <w:rPr>
          <w:color w:val="000000" w:themeColor="text1"/>
        </w:rPr>
        <w:instrText>ADDIN CSL_CITATION {"citationItems":[{"id":"ITEM-1","itemData":{"author":[{"dropping-particle":"","family":"Foissner","given":"Wilhelm","non-dropping-particle":"","parse-names":false,"suffix":""},{"dropping-particle":"","family":"Berger","given":"Helmut","non-dropping-particle":"","parse-names":false,"suffix":""}],"container-title":"Freshwater Biology","id":"ITEM-1","issue":"1","issued":{"date-parts":[["1996"]]},"page":"375-482","title":"A User-Friendly Guide to the Ciliates","type":"article-journal","volume":"35"},"uris":["http://www.mendeley.com/documents/?uuid=52582d5a-9ce8-43f2-95f0-757a77523992"]},{"id":"ITEM-2","itemData":{"DOI":"10.3844/ajassp.2009.1815.1819","ISBN":"1546-9239","ISSN":"15469239","abstract":"Problem statement: This review tended to summarize some recent research on zooplankton as bioindicator in India and some other countries of the world. Approach: These researches were mainly on fresh water bodies. Results: Qualitative as well as quantitative analysis were done by Shannon diversity index (H'), Evenness index (J), Species Richness index (S) and Saprobic index. In most of the cases zooplankton population size was correlated with biotic and abiotic parameters (pH, alkalinity, temperature, dissolve oxygen, transparency, phosphate, chlorine). Species of Rotifers, Cladocerans, Copepods and Ostracods were found in all cases. Species variation of these order deceased in polluted water. Some species were not found in some highly polluted area though these species have high tolerance level. Conclusion/Recommendations: All the results of the studies indicated that potentiality of zooplankton as bioindicator is very high. Other countries can develop these concepts to monitor water quality","author":[{"dropping-particle":"","family":"Ferdous","given":"Zannatul","non-dropping-particle":"","parse-names":false,"suffix":""}],"container-title":"American Journal of Applied Sciences","id":"ITEM-2","issue":"10","issued":{"date-parts":[["2009"]]},"page":"1815-1819","title":"A Review : Potentiality of Zooplankton as Bioindicator","type":"article-journal","volume":"6"},"uris":["http://www.mendeley.com/documents/?uuid=987d24b9-a8e0-4b10-b54a-31a24e3ba9f5"]},{"id":"ITEM-3","itemData":{"DOI":"10.4467/16890027AP.13.0011.1108","ISSN":"00651583","abstract":"To introduce the special issue this paper reviews the use of protists as bioindicators. Seven key advantages of protist bioindicators are highlighted, namely: environmental sensitivity, functional importance, distribution, size and numbers, response times, ease of analysis and preservation potential. Protist bioindicators have been used in a wide range of contexts from monitoring ecosystem restoration to fire history, and particularly environmental pollution. Most major protist groups have been used as bioindicators with diatoms, foraminifera and testate amoebae particularly widely studied. To increase uptake of protist bioindication methods in routine environmental monitoring technique development should consider the needs of stakeholders from an early stage. Papers in this special issue reflect the diversity of both protist life and possible bioindicator applications.","author":[{"dropping-particle":"","family":"Payne","given":"Richard J.","non-dropping-particle":"","parse-names":false,"suffix":""}],"container-title":"Acta Protozoologica","id":"ITEM-3","issue":"3","issued":{"date-parts":[["2013"]]},"page":"105-113","title":"Seven reasons why protists make useful bioindicators","type":"article-journal","volume":"52"},"uris":["http://www.mendeley.com/documents/?uuid=315cd321-5282-4450-862c-6be15d063346"]},{"id":"ITEM-4","itemData":{"DOI":"https://doi.org/10.1002/aqc.509","ISBN":"0‐471‐35234‐9","author":[{"dropping-particle":"V","family":"McArthur","given":"J","non-dropping-particle":"","parse-names":false,"suffix":""}],"chapter-number":"12","container-title":"Bioassessment and Management of North American Freshwater Wetlands","editor":[{"dropping-particle":"","family":"Rader","given":"R. B.","non-dropping-particle":"","parse-names":false,"suffix":""},{"dropping-particle":"","family":"Batzer","given":"D. P.","non-dropping-particle":"","parse-names":false,"suffix":""},{"dropping-particle":"","family":"Wissinger","given":"S. A.","non-dropping-particle":"","parse-names":false,"suffix":""}],"id":"ITEM-4","issued":{"date-parts":[["2001"]]},"page":"249-261","publisher":"John Wiley &amp; Sons","publisher-place":"Chichester, West Sussex","title":"Bacteria as Biomonitors","type":"chapter"},"uris":["http://www.mendeley.com/documents/?uuid=67edf6e3-90cc-4be3-a000-b9fd0320002b"]},{"id":"ITEM-5","itemData":{"DOI":"10.1128/mBio.00326-15","abstract":"ABSTRACT Biological sensors can be engineered to measure a wide range of environmental conditions. Here we show that statistical analysis of DNA from natural microbial communities can be used to accurately identify environmental contaminants, including uranium and nitrate at a nuclear waste site. In addition to contamination, sequence data from the 16S rRNA gene alone can quantitatively predict a rich catalogue of 26 geochemical features collected from 93 wells with highly differing geochemistry characteristics. We extend this approach to identify sites contaminated with hydrocarbons from the Deepwater Horizon oil spill, finding that altered bacterial communities encode a memory of prior contamination, even after the contaminants themselves have been fully degraded. We show that the bacterial strains that are most useful for detecting oil and uranium are known to interact with these substrates, indicating that this statistical approach uncovers ecologically meaningful interactions consistent with previous experimental observations. Future efforts should focus on evaluating the geographical generalizability of these associations. Taken as a whole, these results indicate that ubiquitous, natural bacterial communities can be used as in situ environmental sensors that respond to and capture perturbations caused by human impacts. These in situ biosensors rely on environmental selection rather than directed engineering, and so this approach could be rapidly deployed and scaled as sequencing technology continues to become faster, simpler, and less expensive. IMPORTANCE Here we show that DNA from natural bacterial communities can be used as a quantitative biosensor to accurately distinguish unpolluted sites from those contaminated with uranium, nitrate, or oil. These results indicate that bacterial communities can be used as environmental sensors that respond to and capture perturbations caused by human impacts.","author":[{"dropping-particle":"","family":"Smith","given":"Marc B","non-dropping-particle":"","parse-names":false,"suffix":""},{"dropping-particle":"","family":"Rocha","given":"Andrea M","non-dropping-particle":"","parse-names":false,"suffix":""},{"dropping-particle":"","family":"Smillie","given":"Chris S","non-dropping-particle":"","parse-names":false,"suffix":""},{"dropping-particle":"","family":"Olesen","given":"Scott W","non-dropping-particle":"","parse-names":false,"suffix":""},{"dropping-particle":"","family":"Paradis","given":"Charles","non-dropping-particle":"","parse-names":false,"suffix":""},{"dropping-particle":"","family":"Wu","given":"Liyou","non-dropping-particle":"","parse-names":false,"suffix":""},{"dropping-particle":"","family":"Campbell","given":"James H","non-dropping-particle":"","parse-names":false,"suffix":""},{"dropping-particle":"","family":"Fortney","given":"Julian L","non-dropping-particle":"","parse-names":false,"suffix":""},{"dropping-particle":"","family":"Mehlhorn","given":"Tonia L","non-dropping-particle":"","parse-names":false,"suffix":""},{"dropping-particle":"","family":"Lowe","given":"Kenneth A","non-dropping-particle":"","parse-names":false,"suffix":""},{"dropping-particle":"","family":"Earles","given":"Jennifer E","non-dropping-particle":"","parse-names":false,"suffix":""},{"dropping-particle":"","family":"Phillips","given":"Jana","non-dropping-particle":"","parse-names":false,"suffix":""},{"dropping-particle":"","family":"Techtmann","given":"Steve M","non-dropping-particle":"","parse-names":false,"suffix":""},{"dropping-particle":"","family":"Joyner","given":"Dominique C","non-dropping-particle":"","parse-names":false,"suffix":""},{"dropping-particle":"","family":"Elias","given":"Dwayne A","non-dropping-particle":"","parse-names":false,"suffix":""},{"dropping-particle":"","family":"Bailey","given":"Kathryn L","non-dropping-particle":"","parse-names":false,"suffix":""},{"dropping-particle":"","family":"Hurt","given":"Richard A","non-dropping-particle":"","parse-names":false,"suffix":""},{"dropping-particle":"","family":"Preheim","given":"Sarah P","non-dropping-particle":"","parse-names":false,"suffix":""},{"dropping-particle":"","family":"Sanders","given":"Matthew C","non-dropping-particle":"","parse-names":false,"suffix":""},{"dropping-particle":"","family":"Yang","given":"Joy","non-dropping-particle":"","parse-names":false,"suffix":""},{"dropping-particle":"","family":"Mueller","given":"Marcella A","non-dropping-particle":"","parse-names":false,"suffix":""},{"dropping-particle":"","family":"Brooks","given":"Scott","non-dropping-particle":"","parse-names":false,"suffix":""},{"dropping-particle":"","family":"Watson","given":"David B","non-dropping-particle":"","parse-names":false,"suffix":""},{"dropping-particle":"","family":"Zhang","given":"Ping","non-dropping-particle":"","parse-names":false,"suffix":""},{"dropping-particle":"","family":"He","given":"Zhili","non-dropping-particle":"","parse-names":false,"suffix":""},{"dropping-particle":"","family":"Dubinsky","given":"Eric A","non-dropping-particle":"","parse-names":false,"suffix":""},{"dropping-particle":"","family":"Adams","given":"Paul D","non-dropping-particle":"","parse-names":false,"suffix":""},{"dropping-particle":"","family":"Arkin","given":"Adam P","non-dropping-particle":"","parse-names":false,"suffix":""},{"dropping-particle":"","family":"Fields","given":"Matthew W","non-dropping-particle":"","parse-names":false,"suffix":""},{"dropping-particle":"","family":"Zhou","given":"Jizhong","non-dropping-particle":"","parse-names":false,"suffix":""},{"dropping-particle":"","family":"Alm","given":"Eric J","non-dropping-particle":"","parse-names":false,"suffix":""},{"dropping-particle":"","family":"Hazen","given":"Terry C","non-dropping-particle":"","parse-names":false,"suffix":""}],"container-title":"mBio","id":"ITEM-5","issue":"3","issued":{"date-parts":[["2015"]]},"page":"e00326-15","title":"Natural Bacterial Communities Serve as Quantitative Geochemical Biosensors","type":"article-journal","volume":"6"},"uris":["http://www.mendeley.com/documents/?uuid=b1097c15-9488-4546-ba39-d4f7e3bcd44f"]},{"id":"ITEM-6","itemData":{"DOI":"10.1016/j.ecolind.2017.10.041","ISSN":"1470160X","abstract":"The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Indicators","id":"ITEM-6","issued":{"date-parts":[["2018"]]},"page":"153-164","publisher":"Elsevier","title":"Metabarcoding of benthic ciliate communities shows high potential for environmental monitoring in salmon aquaculture","type":"article-journal","volume":"85"},"uris":["http://www.mendeley.com/documents/?uuid=c347e569-339a-4a28-a17e-2110e58f97e6"]}],"mendeley":{"formattedCitation":"(Ferdous, 2009; Foissner and Berger, 1996; McArthur, 2001; Payne, 2013; Smith et al., 2015; Stoeck et al., 2018)","plainTextFormattedCitation":"(Ferdous, 2009; Foissner and Berger, 1996; McArthur, 2001; Payne, 2013; Smith et al., 2015; Stoeck et al., 2018)","previouslyFormattedCitation":"(Ferdous, 2009; Foissner and Berger, 1996; McArthur, 2001; Payne, 2013; Smith et al., 2015; Stoeck et al., 2018)"},"properties":{"noteIndex":0},"schema":"https://github.com/citation-style-language/schema/raw/master/csl-citation.json"}</w:instrText>
      </w:r>
      <w:r>
        <w:rPr>
          <w:rStyle w:val="FootnoteReference"/>
          <w:color w:val="000000" w:themeColor="text1"/>
        </w:rPr>
        <w:fldChar w:fldCharType="separate"/>
      </w:r>
      <w:r w:rsidR="002C57A6" w:rsidRPr="002C57A6">
        <w:rPr>
          <w:bCs/>
          <w:noProof/>
          <w:color w:val="000000" w:themeColor="text1"/>
          <w:lang w:val="en-US"/>
        </w:rPr>
        <w:t>(Ferdous, 2009; Foissner and Berger, 1996; McArthur, 2001; Payne, 2013; Smith et al., 2015; Stoeck et al., 2018)</w:t>
      </w:r>
      <w:r>
        <w:rPr>
          <w:rStyle w:val="FootnoteReference"/>
          <w:color w:val="000000" w:themeColor="text1"/>
        </w:rPr>
        <w:fldChar w:fldCharType="end"/>
      </w:r>
      <w:r>
        <w:rPr>
          <w:color w:val="000000" w:themeColor="text1"/>
        </w:rPr>
        <w:t>.</w:t>
      </w:r>
      <w:r w:rsidR="002C57A6">
        <w:rPr>
          <w:color w:val="000000" w:themeColor="text1"/>
        </w:rPr>
        <w:t xml:space="preserve"> Consequently, recent studies advocate for the inclusion of</w:t>
      </w:r>
      <w:r w:rsidR="00612BB6">
        <w:rPr>
          <w:color w:val="000000" w:themeColor="text1"/>
        </w:rPr>
        <w:t xml:space="preserve"> microb</w:t>
      </w:r>
      <w:r w:rsidR="00DE3419">
        <w:rPr>
          <w:color w:val="000000" w:themeColor="text1"/>
        </w:rPr>
        <w:t>ial communities</w:t>
      </w:r>
      <w:r w:rsidR="002C57A6">
        <w:rPr>
          <w:color w:val="000000" w:themeColor="text1"/>
        </w:rPr>
        <w:t xml:space="preserve"> into ecological assessments </w:t>
      </w:r>
      <w:r w:rsidR="002C57A6">
        <w:rPr>
          <w:rStyle w:val="FootnoteReference"/>
          <w:color w:val="000000" w:themeColor="text1"/>
        </w:rPr>
        <w:fldChar w:fldCharType="begin" w:fldLock="1"/>
      </w:r>
      <w:r w:rsidR="008A75A7">
        <w:rPr>
          <w:color w:val="000000" w:themeColor="text1"/>
        </w:rPr>
        <w:instrText>ADDIN CSL_CITATION {"citationItems":[{"id":"ITEM-1","itemData":{"DOI":"10.1016/j.ejop.2016.02.003","ISSN":"16180429","abstract":"High-throughput amplicon sequencing of environmental DNA and/or RNA proved to be a powerful tool to describe protist diversity. This new approach called also the metabarcoding has totally transformed our view of protist diversity, revealing a large number of novel lineages and expanding the range of protist phylogenetic diversity at almost every taxonomic level. However, until now the objectives of the vast majority of metabarcoding studies were purely academic. Practical applications of protist metabarcoding are surprisingly scarce, despite the fact that several groups of protists are commonly used as bioindicators of environmental impacts in freshwater or marine ecosystems. Here, we are reviewing studies that examine the ecological applications of metabarcoding for two groups of well-known protist bioindicators: diatoms and foraminifera. The results of these studies show that despite some biological and technical biases, molecular data quite faithfully reflect the morphology-based biotic indices and provide a similar assessment of ecosystem status. In view of these results, protist metabarcoding appears as a rapid and accurate tool for the evaluation of the quality of aquatic ecosystems. Hence, we plead for integration of protist metabarcoding in future biomonitoring projects as a complement of traditional methods and a source of new biosensors for environmental impact assessment.","author":[{"dropping-particle":"","family":"Pawlowski","given":"J.","non-dropping-particle":"","parse-names":false,"suffix":""},{"dropping-particle":"","family":"Lejzerowicz","given":"F.","non-dropping-particle":"","parse-names":false,"suffix":""},{"dropping-particle":"","family":"Apotheloz-Perret-Gentil","given":"L.","non-dropping-particle":"","parse-names":false,"suffix":""},{"dropping-particle":"","family":"Visco","given":"J.","non-dropping-particle":"","parse-names":false,"suffix":""},{"dropping-particle":"","family":"Esling","given":"P.","non-dropping-particle":"","parse-names":false,"suffix":""}],"container-title":"European Journal of Protistology","id":"ITEM-1","issued":{"date-parts":[["2016"]]},"page":"12-25","publisher":"Elsevier GmbH","title":"Protist metabarcoding and environmental biomonitoring: Time for change","type":"article-journal","volume":"55"},"uris":["http://www.mendeley.com/documents/?uuid=6ede3179-0475-4e4c-9090-a44377ea9e39"]},{"id":"ITEM-2","itemData":{"DOI":"10.1016/j.tim.2018.10.012","ISSN":"18784380","abstract":"Genomics is fast becoming a routine tool in medical diagnostics and cutting-edge biotechnologies. Yet, its use for environmental biomonitoring is still considered a futuristic ideal. Until now, environmental genomics was mainly used as a replacement of the burdensome morphological identification, to screen known morphologically distinguishable bioindicator taxa. While prokaryotic and eukaryotic microbial diversity is of key importance in ecosystem functioning, its implementation in biomonitoring programs is still largely unappreciated, mainly because of difficulties in identifying microbes and limited knowledge of their ecological functions. Here, we argue that the combination of massive environmental genomics microbial data with machine learning algorithms can be extremely powerful for biomonitoring programs and pave the way to fill important gaps in our understanding of microbial ecology.","author":[{"dropping-particle":"","family":"Cordier","given":"Tristan","non-dropping-particle":"","parse-names":false,"suffix":""},{"dropping-particle":"","family":"Lanzén","given":"Anders","non-dropping-particle":"","parse-names":false,"suffix":""},{"dropping-particle":"","family":"Apothéloz-Perret-Gentil","given":"Laure","non-dropping-particle":"","parse-names":false,"suffix":""},{"dropping-particle":"","family":"Stoeck","given":"Thorsten","non-dropping-particle":"","parse-names":false,"suffix":""},{"dropping-particle":"","family":"Pawlowski","given":"Jan","non-dropping-particle":"","parse-names":false,"suffix":""}],"container-title":"Trends in Microbiology","id":"ITEM-2","issue":"5","issued":{"date-parts":[["2019"]]},"page":"387-397","publisher":"Elsevier Ltd","title":"Embracing Environmental Genomics and Machine Learning for Routine Biomonitoring","type":"article-journal","volume":"27"},"uris":["http://www.mendeley.com/documents/?uuid=8ea21dac-c19d-427b-8c06-02e6c70f2907"]}],"mendeley":{"formattedCitation":"(Cordier et al., 2019; Pawlowski et al., 2016)","plainTextFormattedCitation":"(Cordier et al., 2019; Pawlowski et al., 2016)","previouslyFormattedCitation":"(Cordier et al., 2019; Pawlowski et al., 2016)"},"properties":{"noteIndex":0},"schema":"https://github.com/citation-style-language/schema/raw/master/csl-citation.json"}</w:instrText>
      </w:r>
      <w:r w:rsidR="002C57A6">
        <w:rPr>
          <w:rStyle w:val="FootnoteReference"/>
          <w:color w:val="000000" w:themeColor="text1"/>
        </w:rPr>
        <w:fldChar w:fldCharType="separate"/>
      </w:r>
      <w:r w:rsidR="00612BB6" w:rsidRPr="00612BB6">
        <w:rPr>
          <w:bCs/>
          <w:noProof/>
          <w:color w:val="000000" w:themeColor="text1"/>
          <w:lang w:val="en-US"/>
        </w:rPr>
        <w:t>(Cordier et al., 2019; Pawlowski et al., 2016)</w:t>
      </w:r>
      <w:r w:rsidR="002C57A6">
        <w:rPr>
          <w:rStyle w:val="FootnoteReference"/>
          <w:color w:val="000000" w:themeColor="text1"/>
        </w:rPr>
        <w:fldChar w:fldCharType="end"/>
      </w:r>
      <w:r w:rsidR="002C57A6">
        <w:rPr>
          <w:color w:val="000000" w:themeColor="text1"/>
        </w:rPr>
        <w:t>.</w:t>
      </w:r>
    </w:p>
    <w:p w14:paraId="5FD6AC39" w14:textId="1C55943D" w:rsidR="002C57A6" w:rsidRDefault="002C57A6" w:rsidP="004D5825">
      <w:pPr>
        <w:spacing w:line="360" w:lineRule="auto"/>
        <w:jc w:val="both"/>
        <w:rPr>
          <w:color w:val="000000" w:themeColor="text1"/>
        </w:rPr>
      </w:pPr>
    </w:p>
    <w:p w14:paraId="1A24AF32" w14:textId="77249F82" w:rsidR="002D1DC2" w:rsidRDefault="002D1DC2" w:rsidP="004D5825">
      <w:pPr>
        <w:spacing w:line="360" w:lineRule="auto"/>
        <w:jc w:val="both"/>
        <w:rPr>
          <w:color w:val="000000" w:themeColor="text1"/>
        </w:rPr>
      </w:pPr>
      <w:r>
        <w:rPr>
          <w:color w:val="000000" w:themeColor="text1"/>
        </w:rPr>
        <w:t>PART 2: DNA-BASED APPROACH</w:t>
      </w:r>
    </w:p>
    <w:p w14:paraId="5308453F" w14:textId="0439BACF" w:rsidR="002D1DC2" w:rsidRDefault="002D1DC2" w:rsidP="004D5825">
      <w:pPr>
        <w:spacing w:line="360" w:lineRule="auto"/>
        <w:jc w:val="both"/>
        <w:rPr>
          <w:color w:val="000000" w:themeColor="text1"/>
        </w:rPr>
      </w:pPr>
      <w:r>
        <w:rPr>
          <w:color w:val="000000" w:themeColor="text1"/>
        </w:rPr>
        <w:t xml:space="preserve">PART 2.1: </w:t>
      </w:r>
      <w:commentRangeStart w:id="1"/>
      <w:r>
        <w:rPr>
          <w:color w:val="000000" w:themeColor="text1"/>
        </w:rPr>
        <w:t>METABARCODING</w:t>
      </w:r>
      <w:commentRangeEnd w:id="1"/>
      <w:r w:rsidR="00A62F5A">
        <w:rPr>
          <w:rStyle w:val="CommentReference"/>
        </w:rPr>
        <w:commentReference w:id="1"/>
      </w:r>
    </w:p>
    <w:p w14:paraId="48BA19BD" w14:textId="31C3CEA0" w:rsidR="005D113D" w:rsidRDefault="00B12813" w:rsidP="005D113D">
      <w:pPr>
        <w:spacing w:line="360" w:lineRule="auto"/>
        <w:ind w:firstLine="720"/>
        <w:jc w:val="both"/>
        <w:rPr>
          <w:color w:val="000000" w:themeColor="text1"/>
        </w:rPr>
      </w:pPr>
      <w:r>
        <w:rPr>
          <w:color w:val="000000" w:themeColor="text1"/>
        </w:rPr>
        <w:lastRenderedPageBreak/>
        <w:t>For freshwater biomonitoring,</w:t>
      </w:r>
      <w:r w:rsidR="00DE3419">
        <w:rPr>
          <w:color w:val="000000" w:themeColor="text1"/>
        </w:rPr>
        <w:t xml:space="preserve"> </w:t>
      </w:r>
      <w:r>
        <w:rPr>
          <w:color w:val="000000" w:themeColor="text1"/>
        </w:rPr>
        <w:t xml:space="preserve">sampled </w:t>
      </w:r>
      <w:r w:rsidR="00DE3419">
        <w:rPr>
          <w:color w:val="000000" w:themeColor="text1"/>
        </w:rPr>
        <w:t xml:space="preserve">communities need to be taxonomically identified. </w:t>
      </w:r>
      <w:r w:rsidR="008A75A7">
        <w:rPr>
          <w:color w:val="000000" w:themeColor="text1"/>
        </w:rPr>
        <w:t>T</w:t>
      </w:r>
      <w:r>
        <w:rPr>
          <w:color w:val="000000" w:themeColor="text1"/>
        </w:rPr>
        <w:t xml:space="preserve">axonomic </w:t>
      </w:r>
      <w:r w:rsidR="005D113D">
        <w:rPr>
          <w:color w:val="000000" w:themeColor="text1"/>
        </w:rPr>
        <w:t>identification</w:t>
      </w:r>
      <w:r w:rsidR="008A75A7">
        <w:rPr>
          <w:color w:val="000000" w:themeColor="text1"/>
        </w:rPr>
        <w:t xml:space="preserve"> of </w:t>
      </w:r>
      <w:r w:rsidR="008A7FDD">
        <w:rPr>
          <w:color w:val="000000" w:themeColor="text1"/>
        </w:rPr>
        <w:t>traditional</w:t>
      </w:r>
      <w:r w:rsidR="008A75A7">
        <w:rPr>
          <w:color w:val="000000" w:themeColor="text1"/>
        </w:rPr>
        <w:t xml:space="preserve"> bioindicators</w:t>
      </w:r>
      <w:r>
        <w:rPr>
          <w:color w:val="000000" w:themeColor="text1"/>
        </w:rPr>
        <w:t xml:space="preserve"> is assessed by </w:t>
      </w:r>
      <w:r w:rsidR="00D274ED">
        <w:rPr>
          <w:color w:val="000000" w:themeColor="text1"/>
        </w:rPr>
        <w:t xml:space="preserve">the </w:t>
      </w:r>
      <w:r>
        <w:rPr>
          <w:color w:val="000000" w:themeColor="text1"/>
        </w:rPr>
        <w:t>morphology of specimens.</w:t>
      </w:r>
      <w:r w:rsidR="005D113D">
        <w:rPr>
          <w:color w:val="000000" w:themeColor="text1"/>
        </w:rPr>
        <w:t xml:space="preserve"> </w:t>
      </w:r>
      <w:r w:rsidR="00E64213">
        <w:rPr>
          <w:color w:val="000000" w:themeColor="text1"/>
        </w:rPr>
        <w:t>In contrast to that</w:t>
      </w:r>
      <w:r w:rsidR="005D113D">
        <w:rPr>
          <w:color w:val="000000" w:themeColor="text1"/>
        </w:rPr>
        <w:t>, taxonomic identification of microbial communities, which is called taxonomic profiling, is often not feasible with morphology. This is due</w:t>
      </w:r>
      <w:r>
        <w:rPr>
          <w:color w:val="000000" w:themeColor="text1"/>
        </w:rPr>
        <w:t xml:space="preserve"> </w:t>
      </w:r>
      <w:r w:rsidR="005D113D">
        <w:rPr>
          <w:color w:val="000000" w:themeColor="text1"/>
        </w:rPr>
        <w:t>to a</w:t>
      </w:r>
      <w:r>
        <w:rPr>
          <w:color w:val="000000" w:themeColor="text1"/>
        </w:rPr>
        <w:t xml:space="preserve"> lack of diagnostical traits, and DNA-based methods can </w:t>
      </w:r>
      <w:r w:rsidR="005D113D">
        <w:rPr>
          <w:color w:val="000000" w:themeColor="text1"/>
        </w:rPr>
        <w:t>often</w:t>
      </w:r>
      <w:r>
        <w:rPr>
          <w:color w:val="000000" w:themeColor="text1"/>
        </w:rPr>
        <w:t xml:space="preserve"> be the only option to distinguish </w:t>
      </w:r>
      <w:r w:rsidR="005D113D">
        <w:rPr>
          <w:color w:val="000000" w:themeColor="text1"/>
        </w:rPr>
        <w:t>microbes</w:t>
      </w:r>
      <w:r>
        <w:rPr>
          <w:color w:val="000000" w:themeColor="text1"/>
        </w:rPr>
        <w:t xml:space="preserve"> </w:t>
      </w:r>
      <w:r>
        <w:rPr>
          <w:rStyle w:val="FootnoteReference"/>
          <w:color w:val="000000" w:themeColor="text1"/>
        </w:rPr>
        <w:fldChar w:fldCharType="begin" w:fldLock="1"/>
      </w:r>
      <w:r>
        <w:rPr>
          <w:color w:val="000000" w:themeColor="text1"/>
        </w:rPr>
        <w:instrText>ADDIN CSL_CITATION {"citationItems":[{"id":"ITEM-1","itemData":{"DOI":"10.1371/journal.pbio.1001419","ISBN":"1545-7885 (Electronic)\\r1544-9173 (Linking)","ISSN":"15449173","PMID":"23139639","abstract":"A group of protist experts proposes a two-step DNA barcoding approach, comprising a universal eukaryotic pre-barcode followed by group-specific barcodes, to unveil the hidden biodiversity of microbial eukaryotes.","author":[{"dropping-particle":"","family":"Pawlowski","given":"Jan","non-dropping-particle":"","parse-names":false,"suffix":""},{"dropping-particle":"","family":"Audic","given":"Stéphane","non-dropping-particle":"","parse-names":false,"suffix":""},{"dropping-particle":"","family":"Adl","given":"Sina","non-dropping-particle":"","parse-names":false,"suffix":""},{"dropping-particle":"","family":"Bass","given":"David","non-dropping-particle":"","parse-names":false,"suffix":""},{"dropping-particle":"","family":"Belbahri","given":"Lassaâd","non-dropping-particle":"","parse-names":false,"suffix":""},{"dropping-particle":"","family":"Berney","given":"Cédric","non-dropping-particle":"","parse-names":false,"suffix":""},{"dropping-particle":"","family":"Bowser","given":"Samuel S.","non-dropping-particle":"","parse-names":false,"suffix":""},{"dropping-particle":"","family":"Cepicka","given":"Ivan","non-dropping-particle":"","parse-names":false,"suffix":""},{"dropping-particle":"","family":"Decelle","given":"Johan","non-dropping-particle":"","parse-names":false,"suffix":""},{"dropping-particle":"","family":"Dunthorn","given":"Micah","non-dropping-particle":"","parse-names":false,"suffix":""},{"dropping-particle":"","family":"Fiore-Donno","given":"Anna Maria","non-dropping-particle":"","parse-names":false,"suffix":""},{"dropping-particle":"","family":"Gile","given":"Gillian H.","non-dropping-particle":"","parse-names":false,"suffix":""},{"dropping-particle":"","family":"Holzmann","given":"Maria","non-dropping-particle":"","parse-names":false,"suffix":""},{"dropping-particle":"","family":"Jahn","given":"Regine","non-dropping-particle":"","parse-names":false,"suffix":""},{"dropping-particle":"","family":"Jirků","given":"Miloslav","non-dropping-particle":"","parse-names":false,"suffix":""},{"dropping-particle":"","family":"Keeling","given":"Patrick J.","non-dropping-particle":"","parse-names":false,"suffix":""},{"dropping-particle":"","family":"Kostka","given":"Martin","non-dropping-particle":"","parse-names":false,"suffix":""},{"dropping-particle":"","family":"Kudryavtsev","given":"Alexander","non-dropping-particle":"","parse-names":false,"suffix":""},{"dropping-particle":"","family":"Lara","given":"Enrique","non-dropping-particle":"","parse-names":false,"suffix":""},{"dropping-particle":"","family":"Lukeš","given":"Julius","non-dropping-particle":"","parse-names":false,"suffix":""},{"dropping-particle":"","family":"Mann","given":"David G.","non-dropping-particle":"","parse-names":false,"suffix":""},{"dropping-particle":"","family":"Mitchell","given":"Edward A D","non-dropping-particle":"","parse-names":false,"suffix":""},{"dropping-particle":"","family":"Nitsche","given":"Frank","non-dropping-particle":"","parse-names":false,"suffix":""},{"dropping-particle":"","family":"Romeralo","given":"Maria","non-dropping-particle":"","parse-names":false,"suffix":""},{"dropping-particle":"","family":"Saunders","given":"Gary W.","non-dropping-particle":"","parse-names":false,"suffix":""},{"dropping-particle":"","family":"Simpson","given":"Alastair G B","non-dropping-particle":"","parse-names":false,"suffix":""},{"dropping-particle":"V.","family":"Smirnov","given":"Alexey","non-dropping-particle":"","parse-names":false,"suffix":""},{"dropping-particle":"","family":"Spouge","given":"John L.","non-dropping-particle":"","parse-names":false,"suffix":""},{"dropping-particle":"","family":"Stern","given":"Rowena F.","non-dropping-particle":"","parse-names":false,"suffix":""},{"dropping-particle":"","family":"Stoeck","given":"Thorsten","non-dropping-particle":"","parse-names":false,"suffix":""},{"dropping-particle":"","family":"Zimmermann","given":"Jonas","non-dropping-particle":"","parse-names":false,"suffix":""},{"dropping-particle":"","family":"Schindel","given":"David","non-dropping-particle":"","parse-names":false,"suffix":""},{"dropping-particle":"","family":"Vargas","given":"Colomban","non-dropping-particle":"de","parse-names":false,"suffix":""}],"container-title":"PLoS Biology","id":"ITEM-1","issue":"11","issued":{"date-parts":[["2012"]]},"page":"e1001419","title":"CBOL Protist Working Group: Barcoding Eukaryotic Richness beyond the Animal, Plant, and Fungal Kingdoms","type":"article-journal","volume":"10"},"uris":["http://www.mendeley.com/documents/?uuid=d3b5c481-9ec8-387d-9a98-5daaf16acbc2"]},{"id":"ITEM-2","itemData":{"DOI":"10.1111/j.1096-0031.2003.00008.x","ISSN":"07483007","abstract":"So-called DNA barcodes have recently been proposed to answer the problem of specimen identification and to quantify global biodiversity. We show that this proposition is wanting in terms of rationale, methodology and interpretation of results. In addition to falling short of all its stated goals, the method abandons the benefits of morphological studies in favor of a limited molecular identification system that would ultimately impede our understanding of biodiversity © The Willi Hennig Society 2004.","author":[{"dropping-particle":"","family":"Will","given":"K. W.","non-dropping-particle":"","parse-names":false,"suffix":""},{"dropping-particle":"","family":"Rubinoff","given":"D.","non-dropping-particle":"","parse-names":false,"suffix":""}],"container-title":"Cladistics","id":"ITEM-2","issue":"1","issued":{"date-parts":[["2004"]]},"page":"47-55","title":"Myth of the molecule: DNA barcodes for species cannot replace morphology for identification and classification","type":"article-journal","volume":"20"},"uris":["http://www.mendeley.com/documents/?uuid=d68af76c-c299-4be8-b538-48197f14f66a"]}],"mendeley":{"formattedCitation":"(Pawlowski et al., 2012; Will and Rubinoff, 2004)","plainTextFormattedCitation":"(Pawlowski et al., 2012; Will and Rubinoff, 2004)","previouslyFormattedCitation":"(Pawlowski et al., 2012; Will and Rubinoff, 2004)"},"properties":{"noteIndex":0},"schema":"https://github.com/citation-style-language/schema/raw/master/csl-citation.json"}</w:instrText>
      </w:r>
      <w:r>
        <w:rPr>
          <w:rStyle w:val="FootnoteReference"/>
          <w:color w:val="000000" w:themeColor="text1"/>
        </w:rPr>
        <w:fldChar w:fldCharType="separate"/>
      </w:r>
      <w:r w:rsidRPr="002C57A6">
        <w:rPr>
          <w:bCs/>
          <w:noProof/>
          <w:color w:val="000000" w:themeColor="text1"/>
          <w:lang w:val="en-US"/>
        </w:rPr>
        <w:t>(Pawlowski et al., 2012; Will and Rubinoff, 2004)</w:t>
      </w:r>
      <w:r>
        <w:rPr>
          <w:rStyle w:val="FootnoteReference"/>
          <w:color w:val="000000" w:themeColor="text1"/>
        </w:rPr>
        <w:fldChar w:fldCharType="end"/>
      </w:r>
      <w:r>
        <w:rPr>
          <w:color w:val="000000" w:themeColor="text1"/>
        </w:rPr>
        <w:t>.</w:t>
      </w:r>
      <w:r w:rsidR="008A75A7">
        <w:rPr>
          <w:color w:val="000000" w:themeColor="text1"/>
        </w:rPr>
        <w:t xml:space="preserve"> But even for </w:t>
      </w:r>
      <w:r w:rsidR="008A7FDD">
        <w:rPr>
          <w:color w:val="000000" w:themeColor="text1"/>
        </w:rPr>
        <w:t>traditional</w:t>
      </w:r>
      <w:r w:rsidR="008A75A7">
        <w:rPr>
          <w:color w:val="000000" w:themeColor="text1"/>
        </w:rPr>
        <w:t xml:space="preserve"> bioindicators, morphological identification can be </w:t>
      </w:r>
      <w:r w:rsidR="00E64213">
        <w:rPr>
          <w:color w:val="000000" w:themeColor="text1"/>
        </w:rPr>
        <w:t>biased</w:t>
      </w:r>
      <w:r w:rsidR="008A75A7">
        <w:rPr>
          <w:color w:val="000000" w:themeColor="text1"/>
        </w:rPr>
        <w:t xml:space="preserve"> </w:t>
      </w:r>
      <w:r w:rsidR="00ED072D">
        <w:rPr>
          <w:color w:val="000000" w:themeColor="text1"/>
        </w:rPr>
        <w:fldChar w:fldCharType="begin" w:fldLock="1"/>
      </w:r>
      <w:r w:rsidR="00F80F6A">
        <w:rPr>
          <w:color w:val="000000" w:themeColor="text1"/>
        </w:rPr>
        <w:instrText xml:space="preserve">ADDIN CSL_CITATION {"citationItems":[{"id":"ITEM-1","itemData":{"DOI":"10.1899/10-016.1","ISSN":"0887-3593","abstract":"Four approaches to or levels of identifying macroinvertebrates (amateur/family, expert entomologist/genus, expert entomologist/genus-species, and DNA barcoding/species) were used to assess community structure and water quality in White Clay Creek, Pennsylvania, USA. Macroinvertebrates were collected in March 2008 from 2 riffle sites 3.9 km apart on the same stream. The downstream site was known to be degraded by land and water use. About 98% of the 1617 specimens used for analysis, including small, immature, and damaged specimens, were successfully barcoded (sequenced) for the mitochondrial cytochrome c oxidase subunit I gene. A criterion of 2 to 4% genetic divergence provided good separation of presumptive species. Barcodes increased the taxonomic inventory across the 2 sites by 475% (124 taxa) relative to the amateur level, and 125% (83 taxa) and 70% (62 taxa) relative to the expert genus and species levels, respectively. Barcoding revealed species not currently described in larval taxonomic keys, including multiple (2-11) coexisting congeneric species. That 150 species were revealed by barcoding samples collected on the same date and in the same habitat was unprecedented, as was the fact that 60 cm2 of stream bottom supported an average of 248 to 347 individuals representing 55 to 68 species. Most barcode species were rare, with 42% represented by ≤2 individuals. Across all species, 43 of 89 barcode species were unique to upstream site 11 and 60 of 107 were unique to downstream site 12. In terms of water-quality assessment, most of the 17 metrics studied changed significantly (α = 0.05) when taxonomy changed from family to genus-species (79% and 93% for sites 11 and 12, respectively), and many also changed when taxonomy changed from genus to species (59 and 65% for sites 11 and 12, respectively). The proportion of metrics able to detect a difference (α = 0.05) between sites 11 and 12 increased with improved taxonomic resolution (36, 47, 65, and 76% for family, genus, genus-species, and barcode, respectively). The results revealed a pollution-tolerance gap because barcoding pushed larval taxonomy beyond the available pollution-tolerance data. Regardless, the combined morphological and molecular approach provides a finer resolution for evaluating environmental change associated with both natural and anthropogenic processes. The ability to distinguish larvae at the species level through barcoding finally puts biodiversity assessments for aquatic communi…","author":[{"dropping-particle":"","family":"Sweeney","given":"Bernard W.","non-dropping-particle":"","parse-names":false,"suffix":""},{"dropping-particle":"","family":"Battle","given":"Juliann M.","non-dropping-particle":"","parse-names":false,"suffix":""},{"dropping-particle":"","family":"Jackson","given":"John K.","non-dropping-particle":"","parse-names":false,"suffix":""},{"dropping-particle":"","family":"Dapkey","given":"Tanya","non-dropping-particle":"","parse-names":false,"suffix":""}],"container-title":"Journal of the North American Benthological Society","id":"ITEM-1","issue":"1","issued":{"date-parts":[["2011"]]},"page":"195-216","title":"Can DNA barcodes of stream macroinvertebrates improve descriptions of community structure and water quality?","type":"article-journal","volume":"30"},"uris":["http://www.mendeley.com/documents/?uuid=f7c3f043-91a2-469a-a829-7c2dc1d23491"]},{"id":"ITEM-2","itemData":{"DOI":"10.1086/674782","ISSN":"21619565","abstract":"Benthic macroinvertebrate community composition is used to assess wetland and stream condition and to help differentiate the effects of stressors among sites. Deoxyribonucleic acid (DNA) barcoding has been promoted as a way to increase taxonomic resolution and, thereby, to increase the sensitivity of bioassessment metrics. We compared the ability of several commonly used bioassessment metrics calculated with data derived from morphology and from DNA barcoding to detect differences in stream condition of 6 paired sites in southern California with relatively subtle impacts to habitat. At each site, we sampled an upstream (reference) reach and a downstream (impact) reach with armored stream banks. We counted and identified </w:instrText>
      </w:r>
      <w:r w:rsidR="00F80F6A">
        <w:rPr>
          <w:rFonts w:ascii="Cambria Math" w:hAnsi="Cambria Math" w:cs="Cambria Math"/>
          <w:color w:val="000000" w:themeColor="text1"/>
        </w:rPr>
        <w:instrText>∼</w:instrText>
      </w:r>
      <w:r w:rsidR="00F80F6A">
        <w:rPr>
          <w:color w:val="000000" w:themeColor="text1"/>
        </w:rPr>
        <w:instrText xml:space="preserve">600 organisms/sample based on morphology (generally to species, but to genus for midges). We then extracted mitochondrial (mt)DNA from each individual and sequenced the </w:instrText>
      </w:r>
      <w:r w:rsidR="00F80F6A">
        <w:rPr>
          <w:rFonts w:ascii="Cambria Math" w:hAnsi="Cambria Math" w:cs="Cambria Math"/>
          <w:color w:val="000000" w:themeColor="text1"/>
        </w:rPr>
        <w:instrText>∼</w:instrText>
      </w:r>
      <w:r w:rsidR="00F80F6A">
        <w:rPr>
          <w:color w:val="000000" w:themeColor="text1"/>
        </w:rPr>
        <w:instrText>658-base pair (bp) barcoding region of the cytochrome c oxidase subunit I (COI) gene. Most (91%) organisms yielded sequences &gt;350 bp in length, but high failure rates for all taxa collected from 1 stream required that we exclude it from analysis. Sixteen metrics calculated with morphological data showed subtle but not significant differences in community composition between armored and unarmored reaches. The statistical power of 10 of the 16 metrics was substantially higher when calculated with DNA than with morphological data, and we were able to discern differences between armored and unarmored reaches with the DNA data. These differences were associated with increased taxonomic richness detected for midges, mayflies, noninsects, caddisflies, and black flies when DNA data were used. Our results suggest that identifications based on DNA barcoding have the potential to improve power to detect small changes in stream condition. © 2014 by The Society for Freshwater Science.","author":[{"dropping-particle":"","family":"Stein","given":"Eric D.","non-dropping-particle":"","parse-names":false,"suffix":""},{"dropping-particle":"","family":"White","given":"Bryan P.","non-dropping-particle":"","parse-names":false,"suffix":""},{"dropping-particle":"","family":"Mazor","given":"Raphael D.","non-dropping-particle":"","parse-names":false,"suffix":""},{"dropping-particle":"","family":"Jackson","given":"John K.","non-dropping-particle":"","parse-names":false,"suffix":""},{"dropping-particle":"","family":"Battle","given":"Juliann M.","non-dropping-particle":"","parse-names":false,"suffix":""},{"dropping-particle":"","family":"Miller","given":"Peter E.","non-dropping-particle":"","parse-names":false,"suffix":""},{"dropping-particle":"","family":"Pilgrim","given":"Erik M.","non-dropping-particle":"","parse-names":false,"suffix":""},{"dropping-particle":"","family":"Sweeney","given":"Bernard W.","non-dropping-particle":"","parse-names":false,"suffix":""}],"container-title":"Freshwater Science","id":"ITEM-2","issue":"1","issued":{"date-parts":[["2014"]]},"page":"302-311","title":"Does DNA barcoding improve performance of traditional stream bioassessment metrics?","type":"article-journal","volume":"33"},"uris":["http://www.mendeley.com/documents/?uuid=d0a7f18c-d064-47fb-8bc0-fc9ece675979"]}],"mendeley":{"formattedCitation":"(Stein et al., 2014; Sweeney et al., 2011)","plainTextFormattedCitation":"(Stein et al., 2014; Sweeney et al., 2011)","previouslyFormattedCitation":"(Stein et al., 2014; Sweeney et al., 2011)"},"properties":{"noteIndex":0},"schema":"https://github.com/citation-style-language/schema/raw/master/csl-citation.json"}</w:instrText>
      </w:r>
      <w:r w:rsidR="00ED072D">
        <w:rPr>
          <w:color w:val="000000" w:themeColor="text1"/>
        </w:rPr>
        <w:fldChar w:fldCharType="separate"/>
      </w:r>
      <w:r w:rsidR="00ED072D" w:rsidRPr="00ED072D">
        <w:rPr>
          <w:noProof/>
          <w:color w:val="000000" w:themeColor="text1"/>
        </w:rPr>
        <w:t>(Stein et al., 2014; Sweeney et al., 2011)</w:t>
      </w:r>
      <w:r w:rsidR="00ED072D">
        <w:rPr>
          <w:color w:val="000000" w:themeColor="text1"/>
        </w:rPr>
        <w:fldChar w:fldCharType="end"/>
      </w:r>
      <w:r w:rsidR="008A75A7">
        <w:rPr>
          <w:color w:val="000000" w:themeColor="text1"/>
        </w:rPr>
        <w:t xml:space="preserve">. </w:t>
      </w:r>
      <w:r w:rsidR="00DE3419">
        <w:rPr>
          <w:color w:val="000000" w:themeColor="text1"/>
        </w:rPr>
        <w:t xml:space="preserve">Consequently, DNA metabarcoding </w:t>
      </w:r>
      <w:r w:rsidR="00DE3419">
        <w:rPr>
          <w:color w:val="000000" w:themeColor="text1"/>
        </w:rPr>
        <w:fldChar w:fldCharType="begin" w:fldLock="1"/>
      </w:r>
      <w:r w:rsidR="00DE3419">
        <w:rPr>
          <w:color w:val="000000" w:themeColor="text1"/>
        </w:rPr>
        <w:instrText>ADDIN CSL_CITATION {"citationItems":[{"id":"ITEM-1","itemData":{"author":[{"dropping-particle":"","family":"Taberlet","given":"Pierre","non-dropping-particle":"","parse-names":false,"suffix":""},{"dropping-particle":"","family":"Coissac","given":"Eric","non-dropping-particle":"","parse-names":false,"suffix":""},{"dropping-particle":"","family":"Pompanon","given":"François","non-dropping-particle":"","parse-names":false,"suffix":""},{"dropping-particle":"","family":"Brochmann","given":"Christian","non-dropping-particle":"","parse-names":false,"suffix":""},{"dropping-particle":"","family":"Willerslev","given":"Eske","non-dropping-particle":"","parse-names":false,"suffix":""}],"container-title":"Molecular Ecology","id":"ITEM-1","issued":{"date-parts":[["2012"]]},"page":"2045-2050","title":"Towards next-generation biodiversity assessment using DNA metabarcoding","type":"article-journal","volume":"21"},"uris":["http://www.mendeley.com/documents/?uuid=ca3d7bff-7756-4778-9ffb-21a2c6cd032e"]}],"mendeley":{"formattedCitation":"(Taberlet et al., 2012)","plainTextFormattedCitation":"(Taberlet et al., 2012)","previouslyFormattedCitation":"(Taberlet et al., 2012)"},"properties":{"noteIndex":0},"schema":"https://github.com/citation-style-language/schema/raw/master/csl-citation.json"}</w:instrText>
      </w:r>
      <w:r w:rsidR="00DE3419">
        <w:rPr>
          <w:color w:val="000000" w:themeColor="text1"/>
        </w:rPr>
        <w:fldChar w:fldCharType="separate"/>
      </w:r>
      <w:r w:rsidR="00DE3419" w:rsidRPr="002C57A6">
        <w:rPr>
          <w:noProof/>
          <w:color w:val="000000" w:themeColor="text1"/>
        </w:rPr>
        <w:t>(Taberlet et al., 2012)</w:t>
      </w:r>
      <w:r w:rsidR="00DE3419">
        <w:rPr>
          <w:color w:val="000000" w:themeColor="text1"/>
        </w:rPr>
        <w:fldChar w:fldCharType="end"/>
      </w:r>
      <w:r w:rsidR="00DE3419">
        <w:rPr>
          <w:color w:val="000000" w:themeColor="text1"/>
        </w:rPr>
        <w:t xml:space="preserve"> ha</w:t>
      </w:r>
      <w:r w:rsidR="00E64213">
        <w:rPr>
          <w:color w:val="000000" w:themeColor="text1"/>
        </w:rPr>
        <w:t>s</w:t>
      </w:r>
      <w:r w:rsidR="00DE3419">
        <w:rPr>
          <w:color w:val="000000" w:themeColor="text1"/>
        </w:rPr>
        <w:t xml:space="preserve"> established as a</w:t>
      </w:r>
      <w:r w:rsidR="005D113D">
        <w:rPr>
          <w:color w:val="000000" w:themeColor="text1"/>
        </w:rPr>
        <w:t xml:space="preserve"> complementing approach in freshwater biomonitoring</w:t>
      </w:r>
      <w:r w:rsidR="00E64213">
        <w:rPr>
          <w:color w:val="000000" w:themeColor="text1"/>
        </w:rPr>
        <w:t>.</w:t>
      </w:r>
      <w:r w:rsidR="008A75A7">
        <w:rPr>
          <w:color w:val="000000" w:themeColor="text1"/>
        </w:rPr>
        <w:t xml:space="preserve"> </w:t>
      </w:r>
      <w:r w:rsidR="00E64213">
        <w:rPr>
          <w:color w:val="000000" w:themeColor="text1"/>
        </w:rPr>
        <w:t>It was</w:t>
      </w:r>
      <w:r w:rsidR="005D113D">
        <w:rPr>
          <w:color w:val="000000" w:themeColor="text1"/>
        </w:rPr>
        <w:t xml:space="preserve"> in fact shown </w:t>
      </w:r>
      <w:r w:rsidR="00E64213">
        <w:rPr>
          <w:color w:val="000000" w:themeColor="text1"/>
        </w:rPr>
        <w:t>that DNA metabarcoding can</w:t>
      </w:r>
      <w:r w:rsidR="005D113D">
        <w:rPr>
          <w:color w:val="000000" w:themeColor="text1"/>
        </w:rPr>
        <w:t xml:space="preserve"> </w:t>
      </w:r>
      <w:r w:rsidR="00D274ED">
        <w:rPr>
          <w:color w:val="000000" w:themeColor="text1"/>
        </w:rPr>
        <w:t xml:space="preserve">even </w:t>
      </w:r>
      <w:r w:rsidR="005D113D">
        <w:rPr>
          <w:color w:val="000000" w:themeColor="text1"/>
        </w:rPr>
        <w:t xml:space="preserve">outperform morphology-based </w:t>
      </w:r>
      <w:r w:rsidR="008A75A7">
        <w:rPr>
          <w:color w:val="000000" w:themeColor="text1"/>
        </w:rPr>
        <w:t xml:space="preserve">ecological assessments </w:t>
      </w:r>
      <w:r w:rsidR="008A75A7">
        <w:rPr>
          <w:color w:val="000000" w:themeColor="text1"/>
        </w:rPr>
        <w:fldChar w:fldCharType="begin" w:fldLock="1"/>
      </w:r>
      <w:r w:rsidR="00F638A3">
        <w:rPr>
          <w:color w:val="000000" w:themeColor="text1"/>
        </w:rPr>
        <w:instrText>ADDIN CSL_CITATION {"citationItems":[{"id":"ITEM-1","itemData":{"DOI":"10.1016/j.ecolind.2017.10.041","ISSN":"1470160X","abstract":"The backbone of benthic marine monitoring programs is the biological component, traditionally the macrofauna inventory. Such macrofauna-based environmental impact assessments (EIA), however, are very time consuming and expensive. To overcome these shortcomings, we used environmental metabarcoding to test the potential of protists as bioindicators in EIAs. Therefore, we analyzed taxonomic metabarcodes (V9 region of the SSU rRNA), obtained from sediment samples collected along a 400-m transect extending from below salmon cages towards the open sea along the predominant current flow. The obtained genetic data of protistan communities were compared to benchmark data obtained from traditional macrofauna surveys of the same samples. Ciliates emerged as the most powerful indicators mirroring the macrofauna benchmark patterns with statistical significance. Ordination analyses showed that ciliate communities resolved impacted sampling sites below and in immediate vicinity of the salmon cages even better than macrofauna communities. It can be concluded that ciliates allow for a better fine-scale resolution of impact conditions than traditional monitoring methods. Other protistan taxon groups such as diatoms and chrysophytes were not as successful as marine benthic indicators compared to ciliates. We conclude that the implementation of ciliate metabarcoding can substantially improve EIAs. We discuss further mandatory research needs to make ciliate metabarcoding a routine tool in official regulations for EIAs in salmon farming.In contrast, o","author":[{"dropping-particle":"","family":"Stoeck","given":"Thorsten","non-dropping-particle":"","parse-names":false,"suffix":""},{"dropping-particle":"","family":"Kochems","given":"Rebecca","non-dropping-particle":"","parse-names":false,"suffix":""},{"dropping-particle":"","family":"Forster","given":"Dominik","non-dropping-particle":"","parse-names":false,"suffix":""},{"dropping-particle":"","family":"Lejzerowicz","given":"Franck","non-dropping-particle":"","parse-names":false,"suffix":""},{"dropping-particle":"","family":"Pawlowski","given":"Jan","non-dropping-particle":"","parse-names":false,"suffix":""}],"container-title":"Ecological Indicators","id":"ITEM-1","issued":{"date-parts":[["2018"]]},"page":"153-164","publisher":"Elsevier","title":"Metabarcoding of benthic ciliate communities shows high potential for environmental monitoring in salmon aquaculture","type":"article-journal","volume":"85"},"uris":["http://www.mendeley.com/documents/?uuid=c347e569-339a-4a28-a17e-2110e58f97e6"]},{"id":"ITEM-2","itemData":{"DOI":"10.1111/2041-210X.12789","ISBN":"2041-210X","ISSN":"2041210X","PMID":"21818320","abstract":"* DNA metabarcoding holds great promise for the assessment of macroinvertebrates in stream ecosystems. However, few large-scale studies have compared the performance of DNA metabarcoding with that of routine morphological identification. * We performed metabarcoding using four primer sets on macroinvertebrate samples from 18 stream sites across Finland. The samples were collected in 2013 and identified based on morphology as part of a Finnish stream monitoring program. Specimens were morphologically classified, following standardised protocols, to the lowest taxonomic level for which identification was feasible in the routine national monitoring. * DNA metabarcoding identified more than twice the number of taxa than the morphology-based protocol, and also yielded a higher taxonomic resolution. For each sample, we detected more taxa by metabarcoding than by the morphological method, and all four primer sets exhibited comparably good performance. Sequence read abundance and the number of specimens per taxon (a proxy for biomass) were significantly correlated in each sample, although the adjusted R2 values were low. With a few exceptions, the ecological status assessment metrics calculated from morphological and DNA metabarcoding datasets were similar. Given the recent reduction in sequencing costs, metabarcoding is currently approximately as expensive as morphology-based identification. * Using samples obtained in the field, we demonstrated that DNA metabarcoding can achieve comparable assessment results to current protocols relying on morphological identification. Thus, metabarcoding represents a feasible and reliable method to identify macroinvertebrates in stream bioassessment, and offers powerful advantage over morphological identification in providing identification for taxonomic groups that are unfeasible to identify in routine protocols. To unlock the full potential of DNA metabarcoding for ecosystem assessment, however, it will be necessary to address key problems with current laboratory protocols and reference databases.","author":[{"dropping-particle":"","family":"Elbrecht","given":"Vasco","non-dropping-particle":"","parse-names":false,"suffix":""},{"dropping-particle":"","family":"Vamos","given":"Ecaterina Edith","non-dropping-particle":"","parse-names":false,"suffix":""},{"dropping-particle":"","family":"Meissner","given":"Kristian","non-dropping-particle":"","parse-names":false,"suffix":""},{"dropping-particle":"","family":"Aroviita","given":"Jukka","non-dropping-particle":"","parse-names":false,"suffix":""},{"dropping-particle":"","family":"Leese","given":"Florian","non-dropping-particle":"","parse-names":false,"suffix":""}],"container-title":"Methods in Ecology and Evolution","id":"ITEM-2","issue":"10","issued":{"date-parts":[["2017"]]},"page":"1265-1275","title":"Assessing strengths and weaknesses of DNA metabarcoding-based macroinvertebrate identification for routine stream monitoring","type":"article-journal","volume":"8"},"uris":["http://www.mendeley.com/documents/?uuid=32f5b69b-e06f-445e-b73d-5a1688be22cb"]}],"mendeley":{"formattedCitation":"(Elbrecht et al., 2017; Stoeck et al., 2018)","plainTextFormattedCitation":"(Elbrecht et al., 2017; Stoeck et al., 2018)","previouslyFormattedCitation":"(Elbrecht et al., 2017; Stoeck et al., 2018)"},"properties":{"noteIndex":0},"schema":"https://github.com/citation-style-language/schema/raw/master/csl-citation.json"}</w:instrText>
      </w:r>
      <w:r w:rsidR="008A75A7">
        <w:rPr>
          <w:color w:val="000000" w:themeColor="text1"/>
        </w:rPr>
        <w:fldChar w:fldCharType="separate"/>
      </w:r>
      <w:r w:rsidR="008A75A7" w:rsidRPr="008A75A7">
        <w:rPr>
          <w:noProof/>
          <w:color w:val="000000" w:themeColor="text1"/>
        </w:rPr>
        <w:t>(Elbrecht et al., 2017; Stoeck et al., 2018)</w:t>
      </w:r>
      <w:r w:rsidR="008A75A7">
        <w:rPr>
          <w:color w:val="000000" w:themeColor="text1"/>
        </w:rPr>
        <w:fldChar w:fldCharType="end"/>
      </w:r>
      <w:r w:rsidR="008A75A7">
        <w:rPr>
          <w:color w:val="000000" w:themeColor="text1"/>
        </w:rPr>
        <w:t>.</w:t>
      </w:r>
    </w:p>
    <w:p w14:paraId="612DD331" w14:textId="0C3FF2FF" w:rsidR="00A62F5A" w:rsidRDefault="00E64213" w:rsidP="00C41629">
      <w:pPr>
        <w:spacing w:line="360" w:lineRule="auto"/>
        <w:ind w:firstLine="720"/>
        <w:jc w:val="both"/>
        <w:rPr>
          <w:rFonts w:ascii="Calibri" w:hAnsi="Calibri" w:cs="Calibri"/>
          <w:color w:val="000000" w:themeColor="text1"/>
        </w:rPr>
      </w:pPr>
      <w:r>
        <w:rPr>
          <w:rFonts w:ascii="Calibri" w:hAnsi="Calibri" w:cs="Calibri"/>
          <w:color w:val="000000" w:themeColor="text1"/>
        </w:rPr>
        <w:t xml:space="preserve">Despite this improvement in ecological assessments by DNA metabarcoding, it is known that </w:t>
      </w:r>
      <w:r w:rsidR="00C41629">
        <w:rPr>
          <w:rFonts w:ascii="Calibri" w:hAnsi="Calibri" w:cs="Calibri"/>
          <w:color w:val="000000" w:themeColor="text1"/>
        </w:rPr>
        <w:t>this approach</w:t>
      </w:r>
      <w:r>
        <w:rPr>
          <w:rFonts w:ascii="Calibri" w:hAnsi="Calibri" w:cs="Calibri"/>
          <w:color w:val="000000" w:themeColor="text1"/>
        </w:rPr>
        <w:t xml:space="preserve"> can </w:t>
      </w:r>
      <w:r w:rsidR="00FC2B78">
        <w:rPr>
          <w:rFonts w:ascii="Calibri" w:hAnsi="Calibri" w:cs="Calibri"/>
          <w:color w:val="000000" w:themeColor="text1"/>
        </w:rPr>
        <w:t>be biased as well</w:t>
      </w:r>
      <w:r>
        <w:rPr>
          <w:rFonts w:ascii="Calibri" w:hAnsi="Calibri" w:cs="Calibri"/>
          <w:color w:val="000000" w:themeColor="text1"/>
        </w:rPr>
        <w:t>. P</w:t>
      </w:r>
      <w:r w:rsidR="002C57A6">
        <w:rPr>
          <w:rFonts w:ascii="Calibri" w:hAnsi="Calibri" w:cs="Calibri"/>
          <w:color w:val="000000" w:themeColor="text1"/>
        </w:rPr>
        <w:t xml:space="preserve">rimer bias </w:t>
      </w:r>
      <w:r>
        <w:rPr>
          <w:rFonts w:ascii="Calibri" w:hAnsi="Calibri" w:cs="Calibri"/>
          <w:color w:val="000000" w:themeColor="text1"/>
        </w:rPr>
        <w:t>can</w:t>
      </w:r>
      <w:r w:rsidR="00FC2B78">
        <w:rPr>
          <w:rFonts w:ascii="Calibri" w:hAnsi="Calibri" w:cs="Calibri"/>
          <w:color w:val="000000" w:themeColor="text1"/>
        </w:rPr>
        <w:t xml:space="preserve"> be</w:t>
      </w:r>
      <w:r>
        <w:rPr>
          <w:rFonts w:ascii="Calibri" w:hAnsi="Calibri" w:cs="Calibri"/>
          <w:color w:val="000000" w:themeColor="text1"/>
        </w:rPr>
        <w:t xml:space="preserve"> introduced by</w:t>
      </w:r>
      <w:r w:rsidR="002C57A6" w:rsidRPr="004D1350">
        <w:rPr>
          <w:rFonts w:ascii="Calibri" w:hAnsi="Calibri" w:cs="Calibri"/>
          <w:color w:val="000000" w:themeColor="text1"/>
        </w:rPr>
        <w:t xml:space="preserve"> varying </w:t>
      </w:r>
      <w:r w:rsidR="002C57A6">
        <w:rPr>
          <w:rFonts w:ascii="Calibri" w:hAnsi="Calibri" w:cs="Calibri"/>
          <w:color w:val="000000" w:themeColor="text1"/>
        </w:rPr>
        <w:t xml:space="preserve">primer </w:t>
      </w:r>
      <w:r w:rsidR="002C57A6" w:rsidRPr="004D1350">
        <w:rPr>
          <w:rFonts w:ascii="Calibri" w:hAnsi="Calibri" w:cs="Calibri"/>
          <w:color w:val="000000" w:themeColor="text1"/>
        </w:rPr>
        <w:t xml:space="preserve">binding affinities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{"citationItems":[{"id":"ITEM-1","itemData":{"DOI":"10.1111/1755-0998.12156","ISSN":"1755098X","abstract":"Predicting whether a predator is capable of affecting the dynamics of a prey species in the field implies the analysis of the complete diet of the predator, not simply rates of predation on a target taxon. Here, we employed the Ion Torrent next-generation sequencing technology to investigate the diet of a generalist arthropod predator. A complete dietary analysis requires the use of general primers, but these will also amplify the predator unless suppressed using a blocking probe. However, blocking probes can potentially block other species, particularly if they are phylogenetically close. Here, we aimed to demonstrate that enough prey sequence could be obtained without blocking probes. In communities with many predators, this approach obviates the need to design and test numerous blocking primers, thus making analysis of complex community food webs a viable proposition. We applied this approach to the analysis of predation by the linyphiid spider Oedothorax fuscus in an arable field. We obtained over two million raw reads. After discarding the low-quality and predator reads, the libraries still contained over 61 000 prey reads (3% of the raw reads; 6% of reads passing quality control). The libraries were rich in Collembola, Lepidoptera, Diptera and Nematoda. They also contained sequences derived from several spider species and from horticultural pests (aphids). Oedothorax fuscus is common in UK cereal fields, and the results showed that it is exploiting a wide range of prey. Next-generation sequencing using general primers but without blocking probes provided ample sequences for analysis of the prey range of this spider and proved to be a simple and inexpensive approach. © 2013 John Wiley &amp; Sons Ltd.","author":[{"dropping-particle":"","family":"Piñol","given":"J.","non-dropping-particle":"","parse-names":false,"suffix":""},{"dropping-particle":"","family":"San Andrés","given":"V.","non-dropping-particle":"","parse-names":false,"suffix":""},{"dropping-particle":"","family":"Clare","given":"E. L.","non-dropping-particle":"","parse-names":false,"suffix":""},{"dropping-particle":"","family":"Mir","given":"G.","non-dropping-particle":"","parse-names":false,"suffix":""},{"dropping-particle":"","family":"Symondson","given":"W. O.C.","non-dropping-particle":"","parse-names":false,"suffix":""}],"container-title":"Molecular Ecology Resources","id":"ITEM-1","issue":"1","issued":{"date-parts":[["2014"]]},"page":"18-26","title":"A pragmatic approach to the analysis of diets of generalist predators: The use of next-generation sequencing with no blocking probes","type":"article-journal","volume":"14"},"uris":["http://www.mendeley.com/documents/?uuid=8c0197df-a405-4e28-9086-06a6df449a73"]},{"id":"ITEM-2","itemData":{"DOI":"10.1371/journal.pone.0130324","ISBN":"10.1371/journal.pone.0130324","ISSN":"19326203","PMID":"26154168","abstract":"Metabarcoding is an emerging genetic tool to rapidly assess biodiversity in ecosystems. It involves high-throughput sequencing of a standard gene from an environmental sample and comparison to a reference database. However, no consensus has emerged regarding laboratory pipelines to screen species diversity and infer species abundances from environmental samples. In particular, the effect of primer bias and the detection limit for specimens with a low biomass has not been systematically examined, when processing samples in bulk. We developed and tested a DNA metabarcoding protocol that utilises the standard cytochrome c oxidase subunit I (COI) barcoding fragment to detect freshwater macroinvertebrate taxa. DNA was extracted in bulk, amplified in a single PCR step, and purified, and the libraries were directly sequenced in two independent MiSeq runs (300-bp paired-end reads). Specifically, we assessed the influence of specimen biomass on sequence read abundance by sequencing 31 specimens of a stonefly species with known haplotypes spanning three orders of magnitude in biomass (experiment I). Then, we tested the recovery of 52 different freshwater invertebrate taxa of similar biomass using the same standard barcoding primers (experiment II). Each experiment was replicated ten times to maximise statistical power. The results of both experiments were consistent across replicates. We found a distinct positive correlation between species biomass and resulting numbers of MiSeq reads. Furthermore, we reliably recovered 83% of the 52 taxa used to test primer bias. However, sequence abundance varied by four orders of magnitudes between taxa despite the use of similar amounts of biomass. Our metabarcoding approach yielded reliable results for high-throughput assessments. However, the results indicated that primer efficiency is highly species-specific, which would prevent straightforward assessments of species abundance and biomass in a sample. Thus, PCR-based metabarcoding assessments of biodiversity should rely on presence-absence metrics.","author":[{"dropping-particle":"","family":"Elbrecht","given":"Vasco","non-dropping-particle":"","parse-names":false,"suffix":""},{"dropping-particle":"","family":"Leese","given":"Florian","non-dropping-particle":"","parse-names":false,"suffix":""}],"container-title":"PLoS ONE","id":"ITEM-2","issue":"7","issued":{"date-parts":[["2015"]]},"page":"1-16","title":"Can DNA-based ecosystem assessments quantify species abundance? Testing primer bias and biomass-sequence relationships with an innovative metabarcoding protocol","type":"article-journal","volume":"10"},"uris":["http://www.mendeley.com/documents/?uuid=d766e5ba-26d4-4704-9ea4-143d65cdae7d"]},{"id":"ITEM-3","itemData":{"DOI":"10.1038/s41598-017-17333-x","ISSN":"20452322","abstract":"Amplicon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Reports","id":"ITEM-3","issue":"1","issued":{"date-parts":[["2017"]]},"page":"1-12","title":"Estimating and mitigating amplification bias in qualitative and quantitative arthropod metabarcoding","type":"article-journal","volume":"7"},"uris":["http://www.mendeley.com/documents/?uuid=c5d7223c-3c64-4b0f-bf46-d3f70675000e"]},{"id":"ITEM-4","itemData":{"DOI":"10.1111/2041-210X.12849","ISSN":"2041210X","abstract":"©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Evolution","id":"ITEM-4","issue":"1","issued":{"date-parts":[["2018"]]},"page":"134-147","title":"Scrutinizing key steps for reliable metabarcoding of environmental samples","type":"article-journal","volume":"9"},"uris":["http://www.mendeley.com/documents/?uuid=ae92f239-ceef-4137-989b-8fae83dc349f"]},{"id":"ITEM-5","itemData":{"DOI":"10.1093/gigascience/giz092","ISSN":"2047-217X","abstract":"&lt;p&gt;Trap-based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J","non-dropping-particle":"","parse-names":false,"suffix":""}],"container-title":"GigaScience","id":"ITEM-5","issue":"8","issued":{"date-parts":[["2019"]]},"page":"1-22","publisher":"Oxford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surveillance","type":"article-journal","volume":"8"},"uris":["http://www.mendeley.com/documents/?uuid=882e99ad-6151-4097-851d-f3746fb79f88"]}],"mendeley":{"formattedCitation":"(Alberdi et al., 2018; Elbrecht and Leese, 2015; Krehenwinkel et al., 2017; Piñol et al., 2014; Piper et al., 2019)","plainTextFormattedCitation":"(Alberdi et al., 2018; Elbrecht and Leese, 2015; Krehenwinkel et al., 2017; Piñol et al., 2014; Piper et al., 2019)","previouslyFormattedCitation":"(Alberdi et al., 2018; Elbrecht and Leese, 2015; Krehenwinkel et al., 2017; Piñol et al., 2014; Piper et al.,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(Alberdi et al., 2018; Elbrecht and Leese, 2015; Krehenwinkel et al., 2017; Piñol et al., 2014; Piper et al., 2019)</w:t>
      </w:r>
      <w:r w:rsidR="002C57A6">
        <w:rPr>
          <w:rStyle w:val="FootnoteReference"/>
          <w:rFonts w:ascii="Calibri" w:hAnsi="Calibri" w:cs="Calibri"/>
          <w:color w:val="000000" w:themeColor="text1"/>
        </w:rPr>
        <w:fldChar w:fldCharType="end"/>
      </w:r>
      <w:r>
        <w:rPr>
          <w:rFonts w:ascii="Calibri" w:hAnsi="Calibri" w:cs="Calibri"/>
          <w:color w:val="000000" w:themeColor="text1"/>
        </w:rPr>
        <w:t>,</w:t>
      </w:r>
      <w:r w:rsidR="002C57A6">
        <w:rPr>
          <w:rFonts w:ascii="Calibri" w:hAnsi="Calibri" w:cs="Calibri"/>
          <w:color w:val="000000" w:themeColor="text1"/>
        </w:rPr>
        <w:t xml:space="preserve"> </w:t>
      </w:r>
      <w:r>
        <w:rPr>
          <w:rFonts w:ascii="Calibri" w:hAnsi="Calibri" w:cs="Calibri"/>
          <w:color w:val="000000" w:themeColor="text1"/>
        </w:rPr>
        <w:t xml:space="preserve">and </w:t>
      </w:r>
      <w:r w:rsidR="002C57A6">
        <w:rPr>
          <w:rFonts w:ascii="Calibri" w:hAnsi="Calibri" w:cs="Calibri"/>
          <w:color w:val="000000" w:themeColor="text1"/>
        </w:rPr>
        <w:t xml:space="preserve">PCR bias </w:t>
      </w:r>
      <w:r>
        <w:rPr>
          <w:rFonts w:ascii="Calibri" w:hAnsi="Calibri" w:cs="Calibri"/>
          <w:color w:val="000000" w:themeColor="text1"/>
        </w:rPr>
        <w:t>can be</w:t>
      </w:r>
      <w:r w:rsidR="002C57A6">
        <w:rPr>
          <w:rFonts w:ascii="Calibri" w:hAnsi="Calibri" w:cs="Calibri"/>
          <w:color w:val="000000" w:themeColor="text1"/>
        </w:rPr>
        <w:t xml:space="preserve"> introduced by GC preference of the polymerase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{"citationItems":[{"id":"ITEM-1","itemData":{"DOI":"10.1111/1755-0998.12895","ISSN":"17550998","abstract":"Abstract DNA metabarcoding is an increasingly popular method to characterize and quantify biodiversity in environmental samples. Metabarcoding approaches simultaneously amplify a short, variable genomic region, or “barcode,” from a broad taxonomic group via the polymerase chain reaction (PCR), using universal primers that anneal to flanking conserved regions. Results of these experiments are reported as occurrence data, which provide a list of taxa amplified from the sample, or relative abundance data, which measure the relative contribution of each taxon to the overall composition of amplified product. The accuracy of both occurrence and relative abundance estimates can be affected by a variety of biological and technical biases. For example, taxa with larger biomass may be better represented in environmental samples than those with smaller biomass. Here, we explore how polymerase choice, a potential source of technical bias, might influence results in metabarcoding experiments. We compared potential biases of six commercially available polymerases using a combination of mixtures of amplifiable synthetic sequences and real sedimentary DNA extracts. We find that polymerase choice can affect both occurrence and relative abundance estimates and that the main source of this bias appears to be polymerase preference for sequences with specific GC contents. We further recommend an experimental approach for metabarcoding based on results of our synthetic experiments.","author":[{"dropping-particle":"V.","family":"Nichols","given":"Ruth","non-dropping-particle":"","parse-names":false,"suffix":""},{"dropping-particle":"","family":"Vollmers","given":"Christopher","non-dropping-particle":"","parse-names":false,"suffix":""},{"dropping-particle":"","family":"Newsom","given":"Lee A.","non-dropping-particle":"","parse-names":false,"suffix":""},{"dropping-particle":"","family":"Wang","given":"Yue","non-dropping-particle":"","parse-names":false,"suffix":""},{"dropping-particle":"","family":"Heintzman","given":"Peter D.","non-dropping-particle":"","parse-names":false,"suffix":""},{"dropping-particle":"","family":"Leighton","given":"McKenna","non-dropping-particle":"","parse-names":false,"suffix":""},{"dropping-particle":"","family":"Green","given":"Richard E.","non-dropping-particle":"","parse-names":false,"suffix":""},{"dropping-particle":"","family":"Shapiro","given":"Beth","non-dropping-particle":"","parse-names":false,"suffix":""}],"container-title":"Molecular Ecology Resources","id":"ITEM-1","issue":"5","issued":{"date-parts":[["2018"]]},"page":"927-939","title":"Minimizing polymerase biases in metabarcoding","type":"article-journal","volume":"18"},"uris":["http://www.mendeley.com/documents/?uuid=d31e5053-8749-41c4-96ca-a4858fbed8cc"]},{"id":"ITEM-2","itemData":{"DOI":"10.1128/msphere.00163-19","ISSN":"23795042","abstract":"PCR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D.","non-dropping-particle":"","parse-names":false,"suffix":""}],"container-title":"mSphere","id":"ITEM-2","issue":"3","issued":{"date-parts":[["2019"]]},"page":"e00163-19","title":"The Impact of DNA Polymerase and Number of Rounds of Amplification in PCR on 16S rRNA Gene Sequence Data","type":"article-journal","volume":"4"},"uris":["http://www.mendeley.com/documents/?uuid=c2678d95-e7ca-4ca7-9407-4863719cc5ed"]}],"mendeley":{"formattedCitation":"(Nichols et al., 2018; Sze and Schloss, 2019)","plainTextFormattedCitation":"(Nichols et al., 2018; Sze and Schloss, 2019)","previouslyFormattedCitation":"(Nichols et al., 2018;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(Nichols et al., 2018;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PCR inhibition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author":[{"dropping-particle":"","family":"Taberlet","given":"Pierre","non-dropping-particle":"","parse-names":false,"suffix":""},{"dropping-particle":"","family":"Griffin","given":"Sally","non-dropping-particle":"","parse-names":false,"suffix":""},{"dropping-particle":"","family":"Goossens","given":"Benoît","non-dropping-particle":"","parse-names":false,"suffix":""},{"dropping-particle":"","family":"Questiau","given":"Sophie","non-dropping-particle":"","parse-names":false,"suffix":""},{"dropping-particle":"","family":"Manceau","given":"Valérie","non-dropping-particle":"","parse-names":false,"suffix":""},{"dropping-particle":"","family":"Escaravage","given":"Nathalie","non-dropping-particle":"","parse-names":false,"suffix":""},{"dropping-particle":"","family":"Waits","given":"Lisette P","non-dropping-particle":"","parse-names":false,"suffix":""},{"dropping-particle":"","family":"Bouvet","given":"Jean","non-dropping-particle":"","parse-names":false,"suffix":""}],"container-title":"Nucleic Acid Research","id":"ITEM-1","issue":"16","issued":{"date-parts":[["1996"]]},"page":"3189-3194","title":"Reliable genotyping of samll samples with very low DNA quantities using PCR","type":"article-journal","volume":"24"},"uris":["http://www.mendeley.com/documents/?uuid=72318c9a-5a4a-4d18-a466-da4f4f7617ac"]},{"id":"ITEM-2","itemData":{"DOI":"10.1111/1755-0998.12285","ISBN":"1755-0998","ISSN":"17550998","PMID":"24890199","abstract":"Environmental DNA (eDNA) detection has emerged as a powerful tool for monitoring aquatic organisms, but much remains unknown about the dynamics of aquatic eDNA over a range of environmental conditions. DNA concentrations in streams and rivers will depend not only on the equilibrium between DNA entering the water and DNA leaving the system through degradation, but also on downstream transport. To improve understanding of the dynamics of eDNA concentration in lotic systems, we introduced caged trout into two fishless headwater streams and took eDNA samples at evenly spaced downstream intervals. This was repeated 18 times from mid-summer through autumn, over flows ranging from approximately 1-96 L/s. We used quantitative PCR to relate DNA copy number to distance from source. We found that regardless of flow, there were detectable levels of DNA at 239.5 m. The main effect of flow on eDNA counts was in opposite directions in the two streams. At the lowest flows, eDNA counts were highest close to the source and quickly trailed off over distance. At the highest flows, DNA counts were relatively low both near and far from the source. Biomass was positively related to eDNA copy number in both streams. A combination of cell settling, turbulence and dilution effects is probably responsible for our observations. Additionally, during high leaf deposition periods, the presence of inhibitors resulted in no amplification for high copy number samples in the absence of an inhibition-releasing strategy, demonstrating the necessity to carefully consider inhibition in eDNA analysis.","author":[{"dropping-particle":"","family":"Jane","given":"Stephen F.","non-dropping-particle":"","parse-names":false,"suffix":""},{"dropping-particle":"","family":"Wilcox","given":"Taylor M.","non-dropping-particle":"","parse-names":false,"suffix":""},{"dropping-particle":"","family":"Mckelvey","given":"Kevin S.","non-dropping-particle":"","parse-names":false,"suffix":""},{"dropping-particle":"","family":"Young","given":"Michael K.","non-dropping-particle":"","parse-names":false,"suffix":""},{"dropping-particle":"","family":"Schwartz","given":"Michael K.","non-dropping-particle":"","parse-names":false,"suffix":""},{"dropping-particle":"","family":"Lowe","given":"Winsor H.","non-dropping-particle":"","parse-names":false,"suffix":""},{"dropping-particle":"","family":"Letcher","given":"Benjamin H.","non-dropping-particle":"","parse-names":false,"suffix":""},{"dropping-particle":"","family":"Whiteley","given":"Andrew R.","non-dropping-particle":"","parse-names":false,"suffix":""}],"container-title":"Molecular Ecology Resources","id":"ITEM-2","issue":"1","issued":{"date-parts":[["2015"]]},"page":"216-227","title":"Distance, flow and PCR inhibition: EDNA dynamics in two headwater streams","type":"article-journal","volume":"15"},"uris":["http://www.mendeley.com/documents/?uuid=bdcd3b61-f1c5-4cc6-b336-6184379c0248"]}],"mendeley":{"formattedCitation":"(Jane et al., 2015; Taberlet et al., 1996)","plainTextFormattedCitation":"(Jane et al., 2015; Taberlet et al., 1996)","previouslyFormattedCitation":"(Jane et al., 2015; Taberlet et al., 1996)"},"properties":{"noteIndex":0},"schema":"https://github.com/citation-style-language/schema/raw/master/csl-citation.json"}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bCs/>
          <w:noProof/>
          <w:color w:val="000000" w:themeColor="text1"/>
          <w:lang w:val="en-US"/>
        </w:rPr>
        <w:t>(Jane et al., 2015; Taberlet et al., 1996)</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and chimera formation </w:t>
      </w:r>
      <w:r w:rsidR="002C57A6">
        <w:rPr>
          <w:rStyle w:val="FootnoteReference"/>
          <w:rFonts w:ascii="Calibri" w:hAnsi="Calibri" w:cs="Calibri"/>
          <w:color w:val="000000" w:themeColor="text1"/>
        </w:rPr>
        <w:fldChar w:fldCharType="begin" w:fldLock="1"/>
      </w:r>
      <w:r w:rsidR="00612BB6">
        <w:rPr>
          <w:rFonts w:ascii="Calibri" w:hAnsi="Calibri" w:cs="Calibri"/>
          <w:color w:val="000000" w:themeColor="text1"/>
        </w:rPr>
        <w:instrText>ADDIN CSL_CITATION {"citationItems":[{"id":"ITEM-1","itemData":{"DOI":"10.1128/msphere.00163-19","ISSN":"23795042","abstract":"PCR amplification of 16S rRNA genes is a critical yet underappreciated step in the generation of sequence data to describe the taxonomic composition of microbial communities. Numerous factors in the design of PCR can impact the sequencing error rate, the abundance of chimeric sequences, and the degree to which the fragments in the product represent their abundance in the original sample (i.e., bias). We compared the performance of high fidelity polymerases and various numbers of rounds of amplification when amplifying a mock community and human stool samples. Although it was impossible to derive specific recommendations, we did observe general trends. Namely, using a polymerase with the highest possible fidelity and minimizing the number of rounds of PCR reduced the sequencing error rate, fraction of chimeric sequences, and bias. Evidence of bias at the sequence level was subtle and could not be ascribed to the fragments’ fraction of bases that were guanines or cytosines. When analyzing mock community data, the amount that the community deviated from the expected composition increased with the number of rounds of PCR. This bias was inconsistent for human stool samples. Overall, the results underscore the difficulty of comparing sequence data that are generated by different PCR protocols. However, the results indicate that the variation in human stool samples is generally larger than that introduced by the choice of polymerase or number of rounds of PCR. IMPORTANCE A steep decline in sequencing costs drove an explosion in studies characterizing microbial communities from diverse environments. Although a significant amount of effort has gone into understanding the error profiles of DNA sequencers, little has been done to understand the downstream effects of the PCR amplification protocol. We quantified the effects of the choice of polymerase and number of PCR cycles on the quality of downstream data. We found that these choices can have a profound impact on the way that a microbial community is represented in the sequence data. The effects are relatively small compared to the variation in human stool samples; however, care should be taken to use polymerases with the highest possible fidelity and to minimize the number of rounds of PCR. These results also underscore that it is not possible to directly compare sequence data generated under different PCR conditions.","author":[{"dropping-particle":"","family":"Sze","given":"Marc A.","non-dropping-particle":"","parse-names":false,"suffix":""},{"dropping-particle":"","family":"Schloss","given":"Patrick D.","non-dropping-particle":"","parse-names":false,"suffix":""}],"container-title":"mSphere","id":"ITEM-1","issue":"3","issued":{"date-parts":[["2019"]]},"page":"e00163-19","title":"The Impact of DNA Polymerase and Number of Rounds of Amplification in PCR on 16S rRNA Gene Sequence Data","type":"article-journal","volume":"4"},"uris":["http://www.mendeley.com/documents/?uuid=c2678d95-e7ca-4ca7-9407-4863719cc5ed"]},{"id":"ITEM-2","itemData":{"DOI":"10.1093/gigascience/giz092","ISSN":"2047-217X","abstract":"&lt;p&gt;Trap-based surveillance strategies are widely used for monitoring of invasive insect species, aiming to detect newly arrived exotic taxa as well as track the population levels of established or endemic pests. Where these surveillance traps have low specificity and capture non-target endemic species in excess of the target pests, the need for extensive specimen sorting and identification creates a major diagnostic bottleneck. While the recent development of standardized molecular diagnostics has partly alleviated this requirement, the single specimen per reaction nature of these methods does not readily scale to the sheer number of insects trapped in surveillance programmes. Consequently, target lists are often restricted to a few high-priority pests, allowing unanticipated species to avoid detection and potentially establish populations.&lt;/p&gt;","author":[{"dropping-particle":"","family":"Piper","given":"Alexander M","non-dropping-particle":"","parse-names":false,"suffix":""},{"dropping-particle":"","family":"Batovska","given":"Jana","non-dropping-particle":"","parse-names":false,"suffix":""},{"dropping-particle":"","family":"Cogan","given":"Noel O I","non-dropping-particle":"","parse-names":false,"suffix":""},{"dropping-particle":"","family":"Weiss","given":"John","non-dropping-particle":"","parse-names":false,"suffix":""},{"dropping-particle":"","family":"Cunningham","given":"John Paul","non-dropping-particle":"","parse-names":false,"suffix":""},{"dropping-particle":"","family":"Rodoni","given":"Brendan C","non-dropping-particle":"","parse-names":false,"suffix":""},{"dropping-particle":"","family":"Blacket","given":"Mark J","non-dropping-particle":"","parse-names":false,"suffix":""}],"container-title":"GigaScience","id":"ITEM-2","issue":"8","issued":{"date-parts":[["2019"]]},"page":"1-22","publisher":"Oxford University Press","title":"Prospects and challenges of implementing DNA metabarcoding for high-throughput insect surveillance","type":"article-journal","volume":"8"},"uris":["http://www.mendeley.com/documents/?uuid=882e99ad-6151-4097-851d-f3746fb79f88"]}],"mendeley":{"formattedCitation":"(Piper et al., 2019; Sze and Schloss, 2019)","plainTextFormattedCitation":"(Piper et al., 2019; Sze and Schloss, 2019)","previouslyFormattedCitation":"(Piper et al., 2019; Sze and Schloss, 2019)"},"properties":{"noteIndex":0},"schema":"https://github.com/citation-style-language/schema/raw/master/csl-citation.json"}</w:instrText>
      </w:r>
      <w:r w:rsidR="002C57A6">
        <w:rPr>
          <w:rStyle w:val="FootnoteReference"/>
          <w:rFonts w:ascii="Calibri" w:hAnsi="Calibri" w:cs="Calibri"/>
          <w:color w:val="000000" w:themeColor="text1"/>
        </w:rPr>
        <w:fldChar w:fldCharType="separate"/>
      </w:r>
      <w:r w:rsidR="00612BB6" w:rsidRPr="00612BB6">
        <w:rPr>
          <w:rFonts w:ascii="Calibri" w:hAnsi="Calibri" w:cs="Calibri"/>
          <w:noProof/>
          <w:color w:val="000000" w:themeColor="text1"/>
        </w:rPr>
        <w:t>(Piper et al., 2019; Sze and Schloss, 2019)</w:t>
      </w:r>
      <w:r w:rsidR="002C57A6">
        <w:rPr>
          <w:rStyle w:val="FootnoteReference"/>
          <w:rFonts w:ascii="Calibri" w:hAnsi="Calibri" w:cs="Calibri"/>
          <w:color w:val="000000" w:themeColor="text1"/>
        </w:rPr>
        <w:fldChar w:fldCharType="end"/>
      </w:r>
      <w:r w:rsidR="002C57A6">
        <w:rPr>
          <w:rFonts w:ascii="Calibri" w:hAnsi="Calibri" w:cs="Calibri"/>
          <w:color w:val="000000" w:themeColor="text1"/>
        </w:rPr>
        <w:t xml:space="preserve">. </w:t>
      </w:r>
      <w:r w:rsidR="00CD27BB">
        <w:rPr>
          <w:rFonts w:ascii="Calibri" w:hAnsi="Calibri" w:cs="Calibri"/>
          <w:color w:val="000000" w:themeColor="text1"/>
        </w:rPr>
        <w:t xml:space="preserve">Furthermore, it is not possible to analyze entire communities with DNA metabarcoding, as primers are designed to target specific groups. </w:t>
      </w:r>
      <w:r w:rsidR="00C41629">
        <w:rPr>
          <w:rFonts w:ascii="Calibri" w:hAnsi="Calibri" w:cs="Calibri"/>
          <w:color w:val="000000" w:themeColor="text1"/>
        </w:rPr>
        <w:t xml:space="preserve">Although several studies have shown that targeting multiple groups with multiple primer sets increases taxonomic coverage </w:t>
      </w:r>
      <w:r w:rsidR="00C41629">
        <w:rPr>
          <w:rStyle w:val="FootnoteReference"/>
          <w:rFonts w:ascii="Calibri" w:hAnsi="Calibri" w:cs="Calibri"/>
          <w:color w:val="000000" w:themeColor="text1"/>
        </w:rPr>
        <w:fldChar w:fldCharType="begin" w:fldLock="1"/>
      </w:r>
      <w:r w:rsidR="00EB444C">
        <w:rPr>
          <w:rFonts w:ascii="Calibri" w:hAnsi="Calibri" w:cs="Calibri"/>
          <w:color w:val="000000" w:themeColor="text1"/>
        </w:rPr>
        <w:instrText>ADDIN CSL_CITATION {"citationItems":[{"id":"ITEM-1","itemData":{"DOI":"10.1111/eva.12694","ISSN":"17524571","abstract":"© 2018 McGill University. Evolutionary Applications published by John Wiley  &amp;  Sons Ltd Metabarcoding combines DNA barcoding with high-throughput sequencing, often using one genetic marker to understand complex and taxonomically diverse samples. However, species-level identification depends heavily on the choice of marker and the selected primer pair, often with a trade-off between successful species amplification and taxonomic resolution. We present a versatile metabarcoding protocol for biomonitoring that involves the use of two barcode markers (COI and 18S) and four primer pairs in a single high-throughput sequencing run, via sample multiplexing. We validate the protocol using a series of 24 mock zooplanktonic communities incorporating various levels of genetic variation. With the use of a single marker and single primer pair, the highest species recovery was 77%. With all three COI fragments, we detected 62%–83% of species across the mock communities, while the use of the 18S fragment alone resulted in the detection of 73%–75% of species. The species detection level was significantly improved to 89%–93% when both markers were used. Furthermore, multiplexing did not have a negative impact on the proportion of reads assigned to each species and the total number of species detected was similar to when markers were sequenced alone. Overall, our metabarcoding approach utilizing two barcode markers and multiple primer pairs per barcode improved species detection rates over a single marker/primer pair by 14% to 35%, making it an attractive and relatively cost-effective method for biomonitoring natural zooplankton communities. We strongly recommend combining evolutionary independent markers and, when necessary, multiple primer pairs per marker to increase species detection (i.e., reduce false negatives) in metabarcoding studies.","author":[{"dropping-particle":"","family":"Zhang","given":"Guang K.","non-dropping-particle":"","parse-names":false,"suffix":""},{"dropping-particle":"","family":"Chain","given":"Frédéric J.J.","non-dropping-particle":"","parse-names":false,"suffix":""},{"dropping-particle":"","family":"Abbott","given":"Cathryn L.","non-dropping-particle":"","parse-names":false,"suffix":""},{"dropping-particle":"","family":"Cristescu","given":"Melania E.","non-dropping-particle":"","parse-names":false,"suffix":""}],"container-title":"Evolutionary Applications","id":"ITEM-1","issue":"10","issued":{"date-parts":[["2018"]]},"page":"1901-1914","title":"Metabarcoding using multiplexed markers increases species detection in complex zooplankton communities","type":"article-journal","volume":"11"},"uris":["http://www.mendeley.com/documents/?uuid=9e028288-c5f3-4a6a-b183-67cdf05c0243"]},{"id":"ITEM-2","itemData":{"DOI":"10.1111/1755-0998.12188","ISSN":"1755098X","abstract":"Ecological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diet","type":"article-journal","volume":"14"},"uris":["http://www.mendeley.com/documents/?uuid=eee3f353-d8ba-44b2-9fbe-45e11d890c6c"]},{"id":"ITEM-3","itemData":{"DOI":"10.1111/2041-210X.12849","ISSN":"2041210X","abstract":"© 2017 British Ecological Society.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Evolution","id":"ITEM-3","issue":"1","issued":{"date-parts":[["2018"]]},"page":"134-147","title":"Scrutinizing key steps for reliable metabarcoding of environmental samples","type":"article-journal","volume":"9"},"uris":["http://www.mendeley.com/documents/?uuid=ae92f239-ceef-4137-989b-8fae83dc349f"]},{"id":"ITEM-4","itemData":{"DOI":"10.1038/s41598-017-12501-5","ISBN":"7034894671","ISSN":"20452322","PMID":"28947818","abstract":"Effective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Reports","id":"ITEM-4","issue":"1","issued":{"date-parts":[["2017"]]},"page":"1-11","publisher":"Springer US","title":"Ecosystem biomonitoring with eDNA: Metabarcoding across the tree of life in a tropical marine environment","type":"article-journal","volume":"7"},"uris":["http://www.mendeley.com/documents/?uuid=4d3beede-e883-48ff-9887-785fa56a54e9"]}],"mendeley":{"formattedCitation":"(Alberdi et al., 2018; De Barba et al., 2014; Stat et al., 2017; Zhang et al., 2018)","plainTextFormattedCitation":"(Alberdi et al., 2018; De Barba et al., 2014; Stat et al., 2017; Zhang et al., 2018)","previouslyFormattedCitation":"(Alberdi et al., 2018; De Barba et al., 2014; Stat et al., 2017; Zhang et al., 2018)"},"properties":{"noteIndex":0},"schema":"https://github.com/citation-style-language/schema/raw/master/csl-citation.json"}</w:instrText>
      </w:r>
      <w:r w:rsidR="00C41629">
        <w:rPr>
          <w:rStyle w:val="FootnoteReference"/>
          <w:rFonts w:ascii="Calibri" w:hAnsi="Calibri" w:cs="Calibri"/>
          <w:color w:val="000000" w:themeColor="text1"/>
        </w:rPr>
        <w:fldChar w:fldCharType="separate"/>
      </w:r>
      <w:r w:rsidR="009A387B" w:rsidRPr="009A387B">
        <w:rPr>
          <w:rFonts w:ascii="Calibri" w:hAnsi="Calibri" w:cs="Calibri"/>
          <w:bCs/>
          <w:noProof/>
          <w:color w:val="000000" w:themeColor="text1"/>
          <w:lang w:val="en-US"/>
        </w:rPr>
        <w:t>(Alberdi et al., 2018; De Barba et al., 2014; Stat et al., 2017; Zhang et al., 2018)</w:t>
      </w:r>
      <w:r w:rsidR="00C41629">
        <w:rPr>
          <w:rStyle w:val="FootnoteReference"/>
          <w:rFonts w:ascii="Calibri" w:hAnsi="Calibri" w:cs="Calibri"/>
          <w:color w:val="000000" w:themeColor="text1"/>
        </w:rPr>
        <w:fldChar w:fldCharType="end"/>
      </w:r>
      <w:r w:rsidR="00C41629">
        <w:rPr>
          <w:rFonts w:ascii="Calibri" w:hAnsi="Calibri" w:cs="Calibri"/>
          <w:color w:val="000000" w:themeColor="text1"/>
        </w:rPr>
        <w:t xml:space="preserve">, using multiple primer sets adds bias due to interactions between primers and unequal primer sensitivity. This can lead to varying and unpredictable results </w:t>
      </w:r>
      <w:r w:rsidR="00C41629">
        <w:rPr>
          <w:rStyle w:val="FootnoteReference"/>
          <w:rFonts w:ascii="Calibri" w:hAnsi="Calibri" w:cs="Calibri"/>
          <w:color w:val="000000" w:themeColor="text1"/>
        </w:rPr>
        <w:fldChar w:fldCharType="begin" w:fldLock="1"/>
      </w:r>
      <w:r w:rsidR="00EB444C">
        <w:rPr>
          <w:rFonts w:ascii="Calibri" w:hAnsi="Calibri" w:cs="Calibri"/>
          <w:color w:val="000000" w:themeColor="text1"/>
        </w:rPr>
        <w:instrText>ADDIN CSL_CITATION {"citationItems":[{"id":"ITEM-1","itemData":{"DOI":"10.1002/ece3.5063","ISSN":"20457758","abstract":"In diet metabarcoding analyses, insufficient taxonomic coverage of PCR primer sets generates false negatives that may dramatically distort biodiversity estimates. In this paper, we investigated the taxonomic coverage and complementarity of three cy-tochrome c oxidase subunit I gene (COI) primer sets based on in silico analyses and we conducted an in vivo evaluation using fecal and spider web samples from different invertivores, environments, and geographic locations. Our results underline the lack of predictability of both the coverage and complementarity of individual primer sets: (a) sharp discrepancies exist observed between in silico and in vivo analyses (to the detriment of in silico analyses); (b) both coverage and complementarity depend greatly on the predator and on the taxonomic level at which preys are considered; (c) primer sets' complementarity is the greatest at fine taxonomic levels (molecular operational taxonomic units [MOTUs] and variants). We then formalized the \"one-locus-several-primer-sets\" (OLSP) strategy, that is, the use of several primer sets that target the same locus (here the first part of the COI gene) and the same group of taxa (here invertebrates). The proximal aim of the OLSP strategy is to minimize false negatives by increasing total coverage through multiple primer sets. We illustrate that the OLSP strategy is especially relevant from this perspective since distinct variants 2 | CORSE Et al.","author":[{"dropping-particle":"","family":"Corse","given":"Emmanuel","non-dropping-particle":"","parse-names":false,"suffix":""},{"dropping-particle":"","family":"Tougard","given":"Christelle","non-dropping-particle":"","parse-names":false,"suffix":""},{"dropping-particle":"","family":"Archambaud-Suard","given":"Gaït","non-dropping-particle":"","parse-names":false,"suffix":""},{"dropping-particle":"","family":"Agnèse","given":"Jean François","non-dropping-particle":"","parse-names":false,"suffix":""},{"dropping-particle":"","family":"Messu Mandeng","given":"Françoise D.","non-dropping-particle":"","parse-names":false,"suffix":""},{"dropping-particle":"","family":"Bilong Bilong","given":"Charles F.","non-dropping-particle":"","parse-names":false,"suffix":""},{"dropping-particle":"","family":"Duneau","given":"David","non-dropping-particle":"","parse-names":false,"suffix":""},{"dropping-particle":"","family":"Zinger","given":"Lucie","non-dropping-particle":"","parse-names":false,"suffix":""},{"dropping-particle":"","family":"Chappaz","given":"Rémi","non-dropping-particle":"","parse-names":false,"suffix":""},{"dropping-particle":"","family":"Xu","given":"Charles C.Y.","non-dropping-particle":"","parse-names":false,"suffix":""},{"dropping-particle":"","family":"Meglécz","given":"Emese","non-dropping-particle":"","parse-names":false,"suffix":""},{"dropping-particle":"","family":"Dubut","given":"Vincent","non-dropping-particle":"","parse-names":false,"suffix":""}],"container-title":"Ecology and Evolution","id":"ITEM-1","issue":"8","issued":{"date-parts":[["2019"]]},"page":"4603-4620","title":"One-locus-several-primers: A strategy to improve the taxonomic and haplotypic coverage in diet metabarcoding studies","type":"article-journal","volume":"9"},"uris":["http://www.mendeley.com/documents/?uuid=5b4ba2ea-25ad-4631-b34a-b56b1258669d"]},{"id":"ITEM-2","itemData":{"DOI":"10.1111/1755-0998.12188","ISSN":"1755098X","abstract":"Ecological understanding of the role of consumer-resource interactions in natural food webs is limited by the difficulty of accurately and efficiently determining the complex variety of food types animals have eaten in the field. We developed a method based on DNA metabarcoding multiplexing and next-generation sequencing to uncover different taxonomic groups of organisms from complex diet samples. We validated this approach on 91 faeces of a large omnivorous mammal, the brown bear, using DNA metabarcoding markers targeting the plant, vertebrate and invertebrate components of the diet. We included internal controls in the experiments and performed PCR replication for accuracy validation in postsequencing data analysis. Using our multiplexing strategy, we significantly simplified the experimental procedure and accurately and concurrently identified different prey DNA corresponding to the targeted taxonomic groups, with ≥ 60% of taxa of all diet components identified to genus/species level. The systematic application of internal controls and replication was a useful and simple way to evaluate the performance of our experimental procedure, standardize the selection of sequence filtering parameters for each marker data and validate the accuracy of the results. Our general approach can be adapted to the analysis of dietary samples of various predator species in different ecosystems, for a number of conservation and ecological applications entailing large-scale population level diet assessment through cost-effective screening of multiple DNA metabarcodes, and the detection of fine dietary variation among samples or individuals and of rare food items.","author":[{"dropping-particle":"","family":"Barba","given":"M.","non-dropping-particle":"De","parse-names":false,"suffix":""},{"dropping-particle":"","family":"Miquel","given":"C.","non-dropping-particle":"","parse-names":false,"suffix":""},{"dropping-particle":"","family":"Boyer","given":"F.","non-dropping-particle":"","parse-names":false,"suffix":""},{"dropping-particle":"","family":"Mercier","given":"C.","non-dropping-particle":"","parse-names":false,"suffix":""},{"dropping-particle":"","family":"Rioux","given":"D.","non-dropping-particle":"","parse-names":false,"suffix":""},{"dropping-particle":"","family":"Coissac","given":"E.","non-dropping-particle":"","parse-names":false,"suffix":""},{"dropping-particle":"","family":"Taberlet","given":"P.","non-dropping-particle":"","parse-names":false,"suffix":""}],"container-title":"Molecular Ecology Resources","id":"ITEM-2","issue":"2","issued":{"date-parts":[["2014"]]},"page":"306-323","title":"DNA metabarcoding multiplexing and validation of data accuracy for diet assessment: Application to omnivorous diet","type":"article-journal","volume":"14"},"uris":["http://www.mendeley.com/documents/?uuid=eee3f353-d8ba-44b2-9fbe-45e11d890c6c"]},{"id":"ITEM-3","itemData":{"DOI":"10.1111/mec.14776","ISSN":"1365294X","abstract":"Abstract DNA metabarcoding is a technique used to survey biodiversity in many ecological settings, but there are doubts about whether it can provide quantitative results, that is, the proportions of each species in the mixture as opposed to a species list. While there are several experimental studies that report quantitative metabarcoding results, there are a similar number that fail to do so. Here, we provide the rationale to understand under what circumstances the technique can be quantitative. In essence, we simulate a mixture of DNA of S species with a defined initial abundance distribution. In the simulated PCR, each species increases its concentration following a certain amplification efficiency. The final DNA concentration will reflect the initial one when the efficiency is similar for all species; otherwise, the initial and final DNA concentrations would be poorly related. Although there are many known factors that modulate amplification efficiency, we focused on the number of primer?template mismatches, arguably the most important one. We used 15 common primers pairs targeting the mitochondrial COI region and the mitogenomes of ca. 1,200 insect species. The results showed that some primers pairs produced quantitative results under most circumstances, whereas some other primers failed to do so. In conclusion, depending on the primer pair used in the PCR amplification and on the characteristics of the mixture analysed (i.e., high species richness, low evenness), DNA metabarcoding can provide a quantitative estimate of the relative abundances of different species.","author":[{"dropping-particle":"","family":"Piñol","given":"Josep","non-dropping-particle":"","parse-names":false,"suffix":""},{"dropping-particle":"","family":"Senar","given":"Miquel A.","non-dropping-particle":"","parse-names":false,"suffix":""},{"dropping-particle":"","family":"Symondson","given":"William O.C.","non-dropping-particle":"","parse-names":false,"suffix":""}],"container-title":"Molecular Ecology","id":"ITEM-3","issue":"2","issued":{"date-parts":[["2019"]]},"page":"407-419","title":"The choice of universal primers and the characteristics of the species mixture determine when DNA metabarcoding can be quantitative","type":"article-journal","volume":"28"},"uris":["http://www.mendeley.com/documents/?uuid=bfec6cf9-9449-413e-8ef4-cc46e868073e"]}],"mendeley":{"formattedCitation":"(Corse et al., 2019; De Barba et al., 2014; Piñol et al., 2019)","plainTextFormattedCitation":"(Corse et al., 2019; De Barba et al., 2014; Piñol et al., 2019)","previouslyFormattedCitation":"(Corse et al., 2019; De Barba et al., 2014; Piñol et al., 2019)"},"properties":{"noteIndex":0},"schema":"https://github.com/citation-style-language/schema/raw/master/csl-citation.json"}</w:instrText>
      </w:r>
      <w:r w:rsidR="00C41629">
        <w:rPr>
          <w:rStyle w:val="FootnoteReference"/>
          <w:rFonts w:ascii="Calibri" w:hAnsi="Calibri" w:cs="Calibri"/>
          <w:color w:val="000000" w:themeColor="text1"/>
        </w:rPr>
        <w:fldChar w:fldCharType="separate"/>
      </w:r>
      <w:r w:rsidR="009A387B" w:rsidRPr="009A387B">
        <w:rPr>
          <w:rFonts w:ascii="Calibri" w:hAnsi="Calibri" w:cs="Calibri"/>
          <w:bCs/>
          <w:noProof/>
          <w:color w:val="000000" w:themeColor="text1"/>
          <w:lang w:val="en-US"/>
        </w:rPr>
        <w:t>(Corse et al., 2019; De Barba et al., 2014; Piñol et al., 2019)</w:t>
      </w:r>
      <w:r w:rsidR="00C41629">
        <w:rPr>
          <w:rStyle w:val="FootnoteReference"/>
          <w:rFonts w:ascii="Calibri" w:hAnsi="Calibri" w:cs="Calibri"/>
          <w:color w:val="000000" w:themeColor="text1"/>
        </w:rPr>
        <w:fldChar w:fldCharType="end"/>
      </w:r>
      <w:r w:rsidR="00C41629">
        <w:rPr>
          <w:rFonts w:ascii="Calibri" w:hAnsi="Calibri" w:cs="Calibri"/>
          <w:color w:val="000000" w:themeColor="text1"/>
        </w:rPr>
        <w:t xml:space="preserve">. </w:t>
      </w:r>
      <w:commentRangeStart w:id="2"/>
      <w:r w:rsidR="00C41629">
        <w:rPr>
          <w:rFonts w:ascii="Calibri" w:hAnsi="Calibri" w:cs="Calibri"/>
          <w:color w:val="000000" w:themeColor="text1"/>
        </w:rPr>
        <w:t xml:space="preserve">Primer interaction may be circumvented by splitting up DNA samples and using different primer sets for every sample </w:t>
      </w:r>
      <w:r w:rsidR="00C41629">
        <w:rPr>
          <w:rStyle w:val="FootnoteReference"/>
          <w:rFonts w:ascii="Calibri" w:hAnsi="Calibri" w:cs="Calibri"/>
          <w:color w:val="000000" w:themeColor="text1"/>
        </w:rPr>
        <w:fldChar w:fldCharType="begin" w:fldLock="1"/>
      </w:r>
      <w:r w:rsidR="00EB444C">
        <w:rPr>
          <w:rFonts w:ascii="Calibri" w:hAnsi="Calibri" w:cs="Calibri"/>
          <w:color w:val="000000" w:themeColor="text1"/>
        </w:rPr>
        <w:instrText>ADDIN CSL_CITATION {"citationItems":[{"id":"ITEM-1","itemData":{"DOI":"10.1111/eva.12644","ISSN":"17524571","abstract":"© 2018 John Wiley  &amp;  Sons Ltd. As multiple species of bats are currently experiencing dramatic declines in populations due to white-nose syndrome (WNS) and other factors, conservation managers have an urgent need for data on the ecology and overall status of populations of once-common bat species. Standard approaches to obtain data on bat populations often involve capture and handling, requiring extensive expertise and unavoidably resulting in stress to the bats. New methods to rapidly obtain critical data are needed that minimize both the stress on bats and the spread of WNS. Guano provides a noninvasive source of DNA that includes information from the bat, but also dietary items, parasites, and pathogens. DNA metabarcoding is a high-throughput, DNA-based identification technique to assess the biodiversity of environmental or fecal samples. We investigated the use of multifaceted DNA metabarcoding (MDM), a technique combining next-generation DNA sequencing (NGS), DNA barcodes, and bioinformatic analysis, to simultaneously collect data on multiple parameters of interest (bat species composition, individual genotype, sex ratios, diet, parasites, and presence of WNS) from fecal samples using a single NGS run. We tested the accuracy of each MDM assay using samples in which these parameters were previously determined using conventional approaches. We found that assays for bat species identification, insect diet, parasite diversity, and genotype were both sensitive and accurate, the assay to detect WNS was highly sensitive but requires careful sample processing steps to ensure the reliability of results, while assays for nectivorous diet and sex showed lower sensitivity. MDM was able to quantify multiple data classes from fecal samples simultaneously, and results were consistent whether we included assays for a single data class or multiple data classes. Overall, MDM is a useful approach that employs noninvasive sampling and a customizable suite of assays to gain important and largely accurate information on bat ecology and population dynamics.","author":[{"dropping-particle":"","family":"Swift","given":"Joel F.","non-dropping-particle":"","parse-names":false,"suffix":""},{"dropping-particle":"","family":"Lance","given":"Richard F.","non-dropping-particle":"","parse-names":false,"suffix":""},{"dropping-particle":"","family":"Guan","given":"Xin","non-dropping-particle":"","parse-names":false,"suffix":""},{"dropping-particle":"","family":"Britzke","given":"Eric R.","non-dropping-particle":"","parse-names":false,"suffix":""},{"dropping-particle":"","family":"Lindsay","given":"Denise L.","non-dropping-particle":"","parse-names":false,"suffix":""},{"dropping-particle":"","family":"Edwards","given":"Christine E.","non-dropping-particle":"","parse-names":false,"suffix":""}],"container-title":"Evolutionary Applications","id":"ITEM-1","issue":"7","issued":{"date-parts":[["2018"]]},"page":"1120-1138","title":"Multifaceted DNA metabarcoding: Validation of a noninvasive, next-generation approach to studying bat populations","type":"article-journal","volume":"11"},"uris":["http://www.mendeley.com/documents/?uuid=5fb5cba5-9bf2-41e9-8d34-cbc3bbdbcf5b"]},{"id":"ITEM-2","itemData":{"DOI":"10.1093/gigascience/gix080","ISBN":"3131748028","ISSN":"2047217X","abstract":"DNA metabarcoding provides great potential for species identification in complex samples such as food supplements and traditional medicines. Such a method would aid Convention on International Trade in Endangered Species of Wild Fauna and Flora (CITES) enforcement officers to combat wildlife crime by preventing illegal trade of endangered plant and animal species. The objective of this research was to develop a multi-locus DNA metabarcoding method for forensic wildlife species identification and to evaluate the applicability and reproducibility of this approach across different laboratories. A DNA metabarcoding method was developed that makes use of 12 DNA barcode markers that have demonstrated universal applicability across a wide range of plant and animal taxa and that facilitate the identification of species in samples containing degraded DNA. The DNA metabarcoding method was developed based on Illumina MiSeq amplicon sequencing of well-defined experimental mixtures, for which a bioinformatics pipeline with user-friendly web-interface was developed. The performance of the DNA metabarcoding method was assessed in an international validation trial by 16 laboratories, in which the method was found to be highly reproducible and sensitive enough to identify species present in a mixture at 1% dry weight content. The advanced multi-locus DNA metabarcoding method assessed in this study provides reliable and detailed data on the composition of complex food products, including information on the presence of CITES-listed species. The method can provide improved resolution for species identification, while verifying species with multiple DNA barcodes contributes to an enhanced quality assurance.","author":[{"dropping-particle":"","family":"Arulandhu","given":"Alfred J.","non-dropping-particle":"","parse-names":false,"suffix":""},{"dropping-particle":"","family":"Staats","given":"Martijn","non-dropping-particle":"","parse-names":false,"suffix":""},{"dropping-particle":"","family":"Hagelaar","given":"Rico","non-dropping-particle":"","parse-names":false,"suffix":""},{"dropping-particle":"","family":"Voorhuijzen","given":"Marleen M.","non-dropping-particle":"","parse-names":false,"suffix":""},{"dropping-particle":"","family":"Prins","given":"Theo W.","non-dropping-particle":"","parse-names":false,"suffix":""},{"dropping-particle":"","family":"Scholtens","given":"Ingrid","non-dropping-particle":"","parse-names":false,"suffix":""},{"dropping-particle":"","family":"Costessi","given":"Adalberto","non-dropping-particle":"","parse-names":false,"suffix":""},{"dropping-particle":"","family":"Duijsings","given":"Danny","non-dropping-particle":"","parse-names":false,"suffix":""},{"dropping-particle":"","family":"Rechenmann","given":"François","non-dropping-particle":"","parse-names":false,"suffix":""},{"dropping-particle":"","family":"Gaspar","given":"Frédéric B.","non-dropping-particle":"","parse-names":false,"suffix":""},{"dropping-particle":"","family":"Barreto Crespo","given":"Maria Teresa","non-dropping-particle":"","parse-names":false,"suffix":""},{"dropping-particle":"","family":"Holst-Jensen","given":"Arne","non-dropping-particle":"","parse-names":false,"suffix":""},{"dropping-particle":"","family":"Birck","given":"Matthew","non-dropping-particle":"","parse-names":false,"suffix":""},{"dropping-particle":"","family":"Burns","given":"Malcolm","non-dropping-particle":"","parse-names":false,"suffix":""},{"dropping-particle":"","family":"Haynes","given":"Edward","non-dropping-particle":"","parse-names":false,"suffix":""},{"dropping-particle":"","family":"Hochegger","given":"Rupert","non-dropping-particle":"","parse-names":false,"suffix":""},{"dropping-particle":"","family":"Klingl","given":"Alexander","non-dropping-particle":"","parse-names":false,"suffix":""},{"dropping-particle":"","family":"Lundberg","given":"Lisa","non-dropping-particle":"","parse-names":false,"suffix":""},{"dropping-particle":"","family":"Natale","given":"Chiara","non-dropping-particle":"","parse-names":false,"suffix":""},{"dropping-particle":"","family":"Niekamp","given":"Hauke","non-dropping-particle":"","parse-names":false,"suffix":""},{"dropping-particle":"","family":"Perri","given":"Elena","non-dropping-particle":"","parse-names":false,"suffix":""},{"dropping-particle":"","family":"Barbante","given":"Alessandra","non-dropping-particle":"","parse-names":false,"suffix":""},{"dropping-particle":"","family":"Rosec","given":"Jean Philippe","non-dropping-particle":"","parse-names":false,"suffix":""},{"dropping-particle":"","family":"Seyfarth","given":"Ralf","non-dropping-particle":"","parse-names":false,"suffix":""},{"dropping-particle":"","family":"Sovova","given":"Tereza","non-dropping-particle":"","parse-names":false,"suffix":""},{"dropping-particle":"","family":"Moorleghem","given":"Christoff","non-dropping-particle":"Van","parse-names":false,"suffix":""},{"dropping-particle":"","family":"Ruth","given":"Saskia","non-dropping-particle":"van","parse-names":false,"suffix":""},{"dropping-particle":"","family":"Peelen","given":"Tamara","non-dropping-particle":"","parse-names":false,"suffix":""},{"dropping-particle":"","family":"Kok","given":"Esther","non-dropping-particle":"","parse-names":false,"suffix":""}],"container-title":"GigaScience","id":"ITEM-2","issue":"10","issued":{"date-parts":[["2017"]]},"page":"1-18","title":"Development and validation of a multi-locus DNA metabarcoding method to identify endangered species in complex samples","type":"article-journal","volume":"6"},"uris":["http://www.mendeley.com/documents/?uuid=075fb3f1-bf26-4048-8415-a26feff6cfac"]}],"mendeley":{"formattedCitation":"(Arulandhu et al., 2017; Swift et al., 2018)","plainTextFormattedCitation":"(Arulandhu et al., 2017; Swift et al., 2018)","previouslyFormattedCitation":"(Arulandhu et al., 2017; Swift et al., 2018)"},"properties":{"noteIndex":0},"schema":"https://github.com/citation-style-language/schema/raw/master/csl-citation.json"}</w:instrText>
      </w:r>
      <w:r w:rsidR="00C41629">
        <w:rPr>
          <w:rStyle w:val="FootnoteReference"/>
          <w:rFonts w:ascii="Calibri" w:hAnsi="Calibri" w:cs="Calibri"/>
          <w:color w:val="000000" w:themeColor="text1"/>
        </w:rPr>
        <w:fldChar w:fldCharType="separate"/>
      </w:r>
      <w:r w:rsidR="009A387B" w:rsidRPr="009A387B">
        <w:rPr>
          <w:rFonts w:ascii="Calibri" w:hAnsi="Calibri" w:cs="Calibri"/>
          <w:bCs/>
          <w:noProof/>
          <w:color w:val="000000" w:themeColor="text1"/>
          <w:lang w:val="en-US"/>
        </w:rPr>
        <w:t>(Arulandhu et al., 2017; Swift et al., 2018)</w:t>
      </w:r>
      <w:r w:rsidR="00C41629">
        <w:rPr>
          <w:rStyle w:val="FootnoteReference"/>
          <w:rFonts w:ascii="Calibri" w:hAnsi="Calibri" w:cs="Calibri"/>
          <w:color w:val="000000" w:themeColor="text1"/>
        </w:rPr>
        <w:fldChar w:fldCharType="end"/>
      </w:r>
      <w:r w:rsidR="00C41629">
        <w:rPr>
          <w:rFonts w:ascii="Calibri" w:hAnsi="Calibri" w:cs="Calibri"/>
          <w:color w:val="000000" w:themeColor="text1"/>
        </w:rPr>
        <w:t xml:space="preserve">, but splitting up samples can add stochastic bias, and unequal primer sensitivity is still present. </w:t>
      </w:r>
      <w:commentRangeEnd w:id="2"/>
      <w:r w:rsidR="00A62F5A">
        <w:rPr>
          <w:rStyle w:val="CommentReference"/>
        </w:rPr>
        <w:commentReference w:id="2"/>
      </w:r>
    </w:p>
    <w:p w14:paraId="0C857BE8" w14:textId="14F176C5" w:rsidR="00E64213" w:rsidRDefault="008A7FDD" w:rsidP="00E64213">
      <w:pPr>
        <w:spacing w:line="360" w:lineRule="auto"/>
        <w:ind w:firstLine="720"/>
        <w:jc w:val="both"/>
        <w:rPr>
          <w:rFonts w:ascii="Calibri" w:hAnsi="Calibri" w:cs="Calibri"/>
          <w:color w:val="000000" w:themeColor="text1"/>
        </w:rPr>
      </w:pPr>
      <w:r>
        <w:rPr>
          <w:rFonts w:ascii="Calibri" w:hAnsi="Calibri" w:cs="Calibri"/>
          <w:color w:val="000000" w:themeColor="text1"/>
        </w:rPr>
        <w:t>Both t</w:t>
      </w:r>
      <w:r w:rsidR="00E64213">
        <w:rPr>
          <w:rFonts w:ascii="Calibri" w:hAnsi="Calibri" w:cs="Calibri"/>
          <w:color w:val="000000" w:themeColor="text1"/>
        </w:rPr>
        <w:t>h</w:t>
      </w:r>
      <w:r w:rsidR="00A62F5A">
        <w:rPr>
          <w:rFonts w:ascii="Calibri" w:hAnsi="Calibri" w:cs="Calibri"/>
          <w:color w:val="000000" w:themeColor="text1"/>
        </w:rPr>
        <w:t>e</w:t>
      </w:r>
      <w:r w:rsidR="00E64213">
        <w:rPr>
          <w:rFonts w:ascii="Calibri" w:hAnsi="Calibri" w:cs="Calibri"/>
          <w:color w:val="000000" w:themeColor="text1"/>
        </w:rPr>
        <w:t xml:space="preserve"> </w:t>
      </w:r>
      <w:r>
        <w:rPr>
          <w:rFonts w:ascii="Calibri" w:hAnsi="Calibri" w:cs="Calibri"/>
          <w:color w:val="000000" w:themeColor="text1"/>
        </w:rPr>
        <w:t>inability of DNA metabarcoding to target entire communities and the associated primer and PCR bias</w:t>
      </w:r>
      <w:r w:rsidR="00A62F5A">
        <w:rPr>
          <w:rFonts w:ascii="Calibri" w:hAnsi="Calibri" w:cs="Calibri"/>
          <w:color w:val="000000" w:themeColor="text1"/>
        </w:rPr>
        <w:t xml:space="preserve"> </w:t>
      </w:r>
      <w:r w:rsidR="00E64213">
        <w:rPr>
          <w:rFonts w:ascii="Calibri" w:hAnsi="Calibri" w:cs="Calibri"/>
          <w:color w:val="000000" w:themeColor="text1"/>
        </w:rPr>
        <w:t xml:space="preserve">limit </w:t>
      </w:r>
      <w:r>
        <w:rPr>
          <w:rFonts w:ascii="Calibri" w:hAnsi="Calibri" w:cs="Calibri"/>
          <w:color w:val="000000" w:themeColor="text1"/>
        </w:rPr>
        <w:t>the</w:t>
      </w:r>
      <w:r w:rsidR="00A62F5A">
        <w:rPr>
          <w:rFonts w:ascii="Calibri" w:hAnsi="Calibri" w:cs="Calibri"/>
          <w:color w:val="000000" w:themeColor="text1"/>
        </w:rPr>
        <w:t xml:space="preserve"> application </w:t>
      </w:r>
      <w:r>
        <w:rPr>
          <w:rFonts w:ascii="Calibri" w:hAnsi="Calibri" w:cs="Calibri"/>
          <w:color w:val="000000" w:themeColor="text1"/>
        </w:rPr>
        <w:t xml:space="preserve">of DNA metabarcoding </w:t>
      </w:r>
      <w:r w:rsidR="00A62F5A">
        <w:rPr>
          <w:rFonts w:ascii="Calibri" w:hAnsi="Calibri" w:cs="Calibri"/>
          <w:color w:val="000000" w:themeColor="text1"/>
        </w:rPr>
        <w:t>for analyzing</w:t>
      </w:r>
      <w:r w:rsidR="00E64213">
        <w:rPr>
          <w:rFonts w:ascii="Calibri" w:hAnsi="Calibri" w:cs="Calibri"/>
          <w:color w:val="000000" w:themeColor="text1"/>
        </w:rPr>
        <w:t xml:space="preserve"> microbial communities</w:t>
      </w:r>
      <w:r w:rsidR="00A62F5A">
        <w:rPr>
          <w:rFonts w:ascii="Calibri" w:hAnsi="Calibri" w:cs="Calibri"/>
          <w:color w:val="000000" w:themeColor="text1"/>
        </w:rPr>
        <w:t xml:space="preserve">. </w:t>
      </w:r>
      <w:r w:rsidR="00C91A73">
        <w:rPr>
          <w:rFonts w:ascii="Calibri" w:hAnsi="Calibri" w:cs="Calibri"/>
          <w:color w:val="000000" w:themeColor="text1"/>
        </w:rPr>
        <w:t>These limitations need to be overcome as only unbiased information on entire microbial communities will allow for more accurate ecological assessments.</w:t>
      </w:r>
    </w:p>
    <w:p w14:paraId="1FE160CB" w14:textId="2CA6AE76" w:rsidR="002D1DC2" w:rsidRPr="002C57A6" w:rsidRDefault="002D1DC2" w:rsidP="002D1DC2">
      <w:pPr>
        <w:spacing w:line="360" w:lineRule="auto"/>
        <w:jc w:val="both"/>
        <w:rPr>
          <w:rFonts w:ascii="Calibri" w:hAnsi="Calibri" w:cs="Calibri"/>
          <w:bCs/>
          <w:noProof/>
          <w:color w:val="000000" w:themeColor="text1"/>
          <w:lang w:val="en-US"/>
        </w:rPr>
      </w:pPr>
      <w:r>
        <w:rPr>
          <w:rFonts w:ascii="Calibri" w:hAnsi="Calibri" w:cs="Calibri"/>
          <w:bCs/>
          <w:noProof/>
          <w:color w:val="000000" w:themeColor="text1"/>
          <w:lang w:val="en-US"/>
        </w:rPr>
        <w:lastRenderedPageBreak/>
        <w:t xml:space="preserve">PART 2.2: </w:t>
      </w:r>
      <w:r w:rsidR="00D62ED7">
        <w:rPr>
          <w:rFonts w:ascii="Calibri" w:hAnsi="Calibri" w:cs="Calibri"/>
          <w:bCs/>
          <w:noProof/>
          <w:color w:val="000000" w:themeColor="text1"/>
          <w:lang w:val="en-US"/>
        </w:rPr>
        <w:t>METAGENOMICS</w:t>
      </w:r>
    </w:p>
    <w:p w14:paraId="5FA6FF7C" w14:textId="1AA0A746" w:rsidR="007F079D" w:rsidRDefault="00645104" w:rsidP="00FC4770">
      <w:pPr>
        <w:spacing w:line="360" w:lineRule="auto"/>
        <w:ind w:firstLine="720"/>
        <w:jc w:val="both"/>
        <w:rPr>
          <w:rFonts w:ascii="Calibri" w:hAnsi="Calibri" w:cs="Calibri"/>
          <w:color w:val="000000" w:themeColor="text1"/>
        </w:rPr>
      </w:pPr>
      <w:r>
        <w:rPr>
          <w:rFonts w:ascii="Calibri" w:hAnsi="Calibri" w:cs="Calibri"/>
          <w:color w:val="000000" w:themeColor="text1"/>
        </w:rPr>
        <w:t xml:space="preserve">An alternative approach for DNA-based taxonomic profiling of microbial communities is metagenomics. This approach allows for taxonomic profiling </w:t>
      </w:r>
      <w:r w:rsidR="00C41629">
        <w:rPr>
          <w:rFonts w:ascii="Calibri" w:hAnsi="Calibri" w:cs="Calibri"/>
          <w:color w:val="000000" w:themeColor="text1"/>
        </w:rPr>
        <w:t xml:space="preserve">of entire communities </w:t>
      </w:r>
      <w:r>
        <w:rPr>
          <w:rFonts w:ascii="Calibri" w:hAnsi="Calibri" w:cs="Calibri"/>
          <w:color w:val="000000" w:themeColor="text1"/>
        </w:rPr>
        <w:t xml:space="preserve">by </w:t>
      </w:r>
      <w:r w:rsidR="00FC6056">
        <w:rPr>
          <w:rFonts w:ascii="Calibri" w:hAnsi="Calibri" w:cs="Calibri"/>
          <w:color w:val="000000" w:themeColor="text1"/>
        </w:rPr>
        <w:t xml:space="preserve">shotgun sequencing, which </w:t>
      </w:r>
      <w:r w:rsidR="00C91A73">
        <w:rPr>
          <w:rFonts w:ascii="Calibri" w:hAnsi="Calibri" w:cs="Calibri"/>
          <w:color w:val="000000" w:themeColor="text1"/>
        </w:rPr>
        <w:t>involves</w:t>
      </w:r>
      <w:r w:rsidR="00FC6056">
        <w:rPr>
          <w:rFonts w:ascii="Calibri" w:hAnsi="Calibri" w:cs="Calibri"/>
          <w:color w:val="000000" w:themeColor="text1"/>
        </w:rPr>
        <w:t xml:space="preserve"> the </w:t>
      </w:r>
      <w:r>
        <w:rPr>
          <w:rFonts w:ascii="Calibri" w:hAnsi="Calibri" w:cs="Calibri"/>
          <w:color w:val="000000" w:themeColor="text1"/>
        </w:rPr>
        <w:t xml:space="preserve">random fragmentation </w:t>
      </w:r>
      <w:r w:rsidR="00C13917">
        <w:rPr>
          <w:rFonts w:ascii="Calibri" w:hAnsi="Calibri" w:cs="Calibri"/>
          <w:color w:val="000000" w:themeColor="text1"/>
        </w:rPr>
        <w:t>and sequencing of</w:t>
      </w:r>
      <w:r>
        <w:rPr>
          <w:rFonts w:ascii="Calibri" w:hAnsi="Calibri" w:cs="Calibri"/>
          <w:color w:val="000000" w:themeColor="text1"/>
        </w:rPr>
        <w:t xml:space="preserve"> </w:t>
      </w:r>
      <w:r w:rsidR="00853528">
        <w:rPr>
          <w:rFonts w:ascii="Calibri" w:hAnsi="Calibri" w:cs="Calibri"/>
          <w:color w:val="000000" w:themeColor="text1"/>
        </w:rPr>
        <w:t xml:space="preserve">the entire </w:t>
      </w:r>
      <w:r>
        <w:rPr>
          <w:rFonts w:ascii="Calibri" w:hAnsi="Calibri" w:cs="Calibri"/>
          <w:color w:val="000000" w:themeColor="text1"/>
        </w:rPr>
        <w:t>DNA</w:t>
      </w:r>
      <w:r w:rsidR="00853528">
        <w:rPr>
          <w:rFonts w:ascii="Calibri" w:hAnsi="Calibri" w:cs="Calibri"/>
          <w:color w:val="000000" w:themeColor="text1"/>
        </w:rPr>
        <w:t xml:space="preserve"> in a sample</w:t>
      </w:r>
      <w:r>
        <w:rPr>
          <w:rFonts w:ascii="Calibri" w:hAnsi="Calibri" w:cs="Calibri"/>
          <w:color w:val="000000" w:themeColor="text1"/>
        </w:rPr>
        <w:t>.</w:t>
      </w:r>
      <w:r w:rsidR="00C13917">
        <w:rPr>
          <w:rFonts w:ascii="Calibri" w:hAnsi="Calibri" w:cs="Calibri"/>
          <w:color w:val="000000" w:themeColor="text1"/>
        </w:rPr>
        <w:t xml:space="preserve"> </w:t>
      </w:r>
      <w:r w:rsidR="007F079D">
        <w:rPr>
          <w:rFonts w:ascii="Calibri" w:hAnsi="Calibri" w:cs="Calibri"/>
          <w:color w:val="000000" w:themeColor="text1"/>
        </w:rPr>
        <w:t xml:space="preserve">That way, entire communities can be sequenced </w:t>
      </w:r>
      <w:r w:rsidR="00C91A73">
        <w:rPr>
          <w:rFonts w:ascii="Calibri" w:hAnsi="Calibri" w:cs="Calibri"/>
          <w:color w:val="000000" w:themeColor="text1"/>
        </w:rPr>
        <w:t>PCR-free</w:t>
      </w:r>
      <w:r w:rsidR="007F079D">
        <w:rPr>
          <w:rFonts w:ascii="Calibri" w:hAnsi="Calibri" w:cs="Calibri"/>
          <w:color w:val="000000" w:themeColor="text1"/>
        </w:rPr>
        <w:t xml:space="preserve"> and</w:t>
      </w:r>
      <w:r w:rsidR="00C91A73">
        <w:rPr>
          <w:rFonts w:ascii="Calibri" w:hAnsi="Calibri" w:cs="Calibri"/>
          <w:color w:val="000000" w:themeColor="text1"/>
        </w:rPr>
        <w:t>,</w:t>
      </w:r>
      <w:r w:rsidR="007F079D">
        <w:rPr>
          <w:rFonts w:ascii="Calibri" w:hAnsi="Calibri" w:cs="Calibri"/>
          <w:color w:val="000000" w:themeColor="text1"/>
        </w:rPr>
        <w:t xml:space="preserve"> therefore</w:t>
      </w:r>
      <w:r w:rsidR="00C91A73">
        <w:rPr>
          <w:rFonts w:ascii="Calibri" w:hAnsi="Calibri" w:cs="Calibri"/>
          <w:color w:val="000000" w:themeColor="text1"/>
        </w:rPr>
        <w:t>,</w:t>
      </w:r>
      <w:r w:rsidR="007F079D">
        <w:rPr>
          <w:rFonts w:ascii="Calibri" w:hAnsi="Calibri" w:cs="Calibri"/>
          <w:color w:val="000000" w:themeColor="text1"/>
        </w:rPr>
        <w:t xml:space="preserve"> excluding the bias</w:t>
      </w:r>
      <w:r w:rsidR="00A62F5A">
        <w:rPr>
          <w:rFonts w:ascii="Calibri" w:hAnsi="Calibri" w:cs="Calibri"/>
          <w:color w:val="000000" w:themeColor="text1"/>
        </w:rPr>
        <w:t xml:space="preserve"> associated with DNA metabarcoding</w:t>
      </w:r>
      <w:r w:rsidR="007F079D">
        <w:rPr>
          <w:rFonts w:ascii="Calibri" w:hAnsi="Calibri" w:cs="Calibri"/>
          <w:color w:val="000000" w:themeColor="text1"/>
        </w:rPr>
        <w:t>.</w:t>
      </w:r>
    </w:p>
    <w:p w14:paraId="0E70FA6B" w14:textId="3E928A20" w:rsidR="00EF34EF" w:rsidRDefault="00A62F5A" w:rsidP="00BA3733">
      <w:pPr>
        <w:spacing w:line="360" w:lineRule="auto"/>
        <w:ind w:firstLine="720"/>
        <w:jc w:val="both"/>
        <w:rPr>
          <w:rFonts w:ascii="Calibri" w:hAnsi="Calibri" w:cs="Calibri"/>
          <w:color w:val="000000" w:themeColor="text1"/>
        </w:rPr>
      </w:pPr>
      <w:r>
        <w:rPr>
          <w:rFonts w:ascii="Calibri" w:hAnsi="Calibri" w:cs="Calibri"/>
          <w:color w:val="000000" w:themeColor="text1"/>
        </w:rPr>
        <w:t xml:space="preserve">Metagenomics is not commonly used for biomonitoring but has </w:t>
      </w:r>
      <w:r w:rsidR="00F62332">
        <w:rPr>
          <w:rFonts w:ascii="Calibri" w:hAnsi="Calibri" w:cs="Calibri"/>
          <w:color w:val="000000" w:themeColor="text1"/>
        </w:rPr>
        <w:t xml:space="preserve">already been applied successfully for </w:t>
      </w:r>
      <w:r w:rsidR="00C91A73">
        <w:rPr>
          <w:rFonts w:ascii="Calibri" w:hAnsi="Calibri" w:cs="Calibri"/>
          <w:color w:val="000000" w:themeColor="text1"/>
        </w:rPr>
        <w:t>years</w:t>
      </w:r>
      <w:r w:rsidR="00F62332">
        <w:rPr>
          <w:rFonts w:ascii="Calibri" w:hAnsi="Calibri" w:cs="Calibri"/>
          <w:color w:val="000000" w:themeColor="text1"/>
        </w:rPr>
        <w:t xml:space="preserve"> in many other fields</w:t>
      </w:r>
      <w:r w:rsidR="00F80F6A">
        <w:rPr>
          <w:rFonts w:ascii="Calibri" w:hAnsi="Calibri" w:cs="Calibri"/>
          <w:color w:val="000000" w:themeColor="text1"/>
        </w:rPr>
        <w:t xml:space="preserve"> </w:t>
      </w:r>
      <w:r w:rsidR="00F80F6A">
        <w:rPr>
          <w:rFonts w:ascii="Calibri" w:hAnsi="Calibri" w:cs="Calibri"/>
          <w:color w:val="000000" w:themeColor="text1"/>
        </w:rPr>
        <w:fldChar w:fldCharType="begin" w:fldLock="1"/>
      </w:r>
      <w:r w:rsidR="00987EBB">
        <w:rPr>
          <w:rFonts w:ascii="Calibri" w:hAnsi="Calibri" w:cs="Calibri"/>
          <w:color w:val="000000" w:themeColor="text1"/>
        </w:rPr>
        <w:instrText>ADDIN CSL_CITATION {"citationItems":[{"id":"ITEM-1","itemData":{"DOI":"10.1371/journal.pcbi.1000667","ISSN":"1553734X","abstract":"Metagenomics is a discipline that enables the genomic study of uncultured microorganisms. Faster, cheaper sequencing technologies and the ability to sequence uncultured microbes sampled directly from their habitats are expanding and transforming our view of the microbial world. Distilling meaningful information from the millions of new genomic sequences presents a serious challenge to bioinformaticians. In cultured microbes, the genomic data come from a single clone, making sequence assembly and annotation tractable. In metagenomics, the data come from heterogeneous microbial communities, sometimes containing more than 10,000 species, with the sequence data being noisy and partial. From sampling, to assembly, to gene calling and function prediction, bioinformatics faces new demands in interpreting voluminous, noisy, and often partial sequence data. Although metagenomics is a relative newcomer to science, the past few years have seen an explosion in computational methods applied to metagenomic-based research. It is therefore not within the scope of this article to provide an exhaustive review. Rather, we provide here a concise yet comprehensive introduction to the current computational requirements presented by metagenomics, and review the recent progress made. We also note whether there is software that implements any of the methods presented here, and briefly review its utility. Nevertheless, it would be useful if readers of this article would avail themselves of the comment section provided by this journal, and relate their own experiences. Finally, the last section of this article provides a few representative studies illustrating different facets of recent scientific discoveries made using metagenomics. © 2010 Wooley et al.","author":[{"dropping-particle":"","family":"Wooley","given":"John C.","non-dropping-particle":"","parse-names":false,"suffix":""},{"dropping-particle":"","family":"Godzik","given":"Adam","non-dropping-particle":"","parse-names":false,"suffix":""},{"dropping-particle":"","family":"Friedberg","given":"Iddo","non-dropping-particle":"","parse-names":false,"suffix":""}],"container-title":"PLoS Computational Biology","id":"ITEM-1","issue":"2","issued":{"date-parts":[["2010"]]},"title":"A primer on metagenomics","type":"article-journal","volume":"6"},"uris":["http://www.mendeley.com/documents/?uuid=71fc485a-770b-4c82-bd98-0f6f52ff9579"]},{"id":"ITEM-2","itemData":{"DOI":"10.1146/annurev-marine-120709-142811","ISSN":"1941-1405","abstract":"Here we report three complete bacterial genome assemblies from a PacBio shotgun metagenome of a co-culture from Upper Klamath Lake, OR. Genome annotations and culture conditions indicate these bacteria are dependent on carbon and nitrogen fixation from the cyanobacterium Aphanizomenon flos-aquae, whose genome was assembled to draft-quality. Due to their taxonomic novelty relative to previously sequenced bacteria, we have temporarily designated these bacteria as incertae sedis Hyphomonadaceae strain UKL13-1 (3,501,508 bp and 56.12% GC), incertae sedis Betaproteobacterium strain UKL13-2 (3,387,087 bp and 54.98% GC), and incertae sedis Bacteroidetes strain UKL13-3 (3,236,529 bp and 37.33% GC). Each genome consists of a single circular chromosome with no identified plasmids. When compared with binned Illumina assemblies of the same three genomes, there was ~7% discrepancy in total genome length. Gaps where Illumina assemblies broke were often due to repetitive elements. Within these missing sequences were essential genes and genes associated with a variety of functional categories. Annotated gene content reveals that both Proteobacteria are aerobic anoxygenic phototrophs, with Betaproteobacterium UKL13-2 potentially capable of phototrophic oxidation of sulfur compounds. Both proteobacterial genomes contain transporters suggesting they are scavenging fixed nitrogen from A. flos-aquae in the form of ammonium. Bacteroidetes UKL13-3 has few completely annotated biosynthetic pathways, and has a comparatively higher proportion of unannotated genes. The genomes were detected in only a few other freshwater metagenomes, suggesting that these bacteria are not ubiquitous in freshwater systems. Our results indicate that long-read sequencing is a viable method for sequencing dominant members from low-diversity microbial communities, and should be considered for environmental metagenomics when conditions meet these requirements.","author":[{"dropping-particle":"","family":"Gilbert","given":"Jack A.","non-dropping-particle":"","parse-names":false,"suffix":""},{"dropping-particle":"","family":"Dupont","given":"Christopher L.","non-dropping-particle":"","parse-names":false,"suffix":""}],"container-title":"Annual Review of Marine Science","id":"ITEM-2","issue":"1","issued":{"date-parts":[["2011"]]},"page":"347-371","title":"Microbial Metagenomics: Beyond the Genome","type":"article-journal","volume":"3"},"uris":["http://www.mendeley.com/documents/?uuid=08fb1895-f880-48b8-a545-38c10bdf6835"]}],"mendeley":{"formattedCitation":"(Gilbert and Dupont, 2011; Wooley et al., 2010)","plainTextFormattedCitation":"(Gilbert and Dupont, 2011; Wooley et al., 2010)","previouslyFormattedCitation":"(Gilbert and Dupont, 2011; Wooley et al., 2010)"},"properties":{"noteIndex":0},"schema":"https://github.com/citation-style-language/schema/raw/master/csl-citation.json"}</w:instrText>
      </w:r>
      <w:r w:rsidR="00F80F6A">
        <w:rPr>
          <w:rFonts w:ascii="Calibri" w:hAnsi="Calibri" w:cs="Calibri"/>
          <w:color w:val="000000" w:themeColor="text1"/>
        </w:rPr>
        <w:fldChar w:fldCharType="separate"/>
      </w:r>
      <w:r w:rsidR="00CC2460" w:rsidRPr="00CC2460">
        <w:rPr>
          <w:rFonts w:ascii="Calibri" w:hAnsi="Calibri" w:cs="Calibri"/>
          <w:noProof/>
          <w:color w:val="000000" w:themeColor="text1"/>
        </w:rPr>
        <w:t>(Gilbert and Dupont, 2011; Wooley et al., 2010)</w:t>
      </w:r>
      <w:r w:rsidR="00F80F6A">
        <w:rPr>
          <w:rFonts w:ascii="Calibri" w:hAnsi="Calibri" w:cs="Calibri"/>
          <w:color w:val="000000" w:themeColor="text1"/>
        </w:rPr>
        <w:fldChar w:fldCharType="end"/>
      </w:r>
      <w:r w:rsidR="006F5086">
        <w:rPr>
          <w:rFonts w:ascii="Calibri" w:hAnsi="Calibri" w:cs="Calibri"/>
          <w:color w:val="000000" w:themeColor="text1"/>
        </w:rPr>
        <w:t xml:space="preserve"> and recent studies predict that metagenomics will soon be implemented into biomonitoring </w:t>
      </w:r>
      <w:r w:rsidR="006F5086">
        <w:rPr>
          <w:rFonts w:ascii="Calibri" w:hAnsi="Calibri" w:cs="Calibri"/>
          <w:color w:val="000000" w:themeColor="text1"/>
        </w:rPr>
        <w:fldChar w:fldCharType="begin" w:fldLock="1"/>
      </w:r>
      <w:r w:rsidR="006F5086">
        <w:rPr>
          <w:rFonts w:ascii="Calibri" w:hAnsi="Calibri" w:cs="Calibri"/>
          <w:color w:val="000000" w:themeColor="text1"/>
        </w:rPr>
        <w:instrText>ADDIN CSL_CITATION {"citationItems":[{"id":"ITEM-1","itemData":{"DOI":"10.20944/PREPRINTS202001.0278.V1","author":[{"dropping-particle":"","family":"Cordier","given":"Tristan","non-dropping-particle":"","parse-names":false,"suffix":""},{"dropping-particle":"","family":"Sáez","given":"Laura Alonso","non-dropping-particle":"","parse-names":false,"suffix":""},{"dropping-particle":"","family":"Apotheloz-Perret-Gentil","given":"Laure","non-dropping-particle":"","parse-names":false,"suffix":""},{"dropping-particle":"","family":"Aylagas","given":"Eva","non-dropping-particle":"","parse-names":false,"suffix":""},{"dropping-particle":"","family":"Bohan","given":"David A.","non-dropping-particle":"","parse-names":false,"suffix":""},{"dropping-particle":"","family":"Bouchez","given":"Agnès","non-dropping-particle":"","parse-names":false,"suffix":""},{"dropping-particle":"","family":"Chariton","given":"Anthony","non-dropping-particle":"","parse-names":false,"suffix":""},{"dropping-particle":"","family":"Creer","given":"Simon","non-dropping-particle":"","parse-names":false,"suffix":""},{"dropping-particle":"","family":"Fruhe","given":"Larissa","non-dropping-particle":"","parse-names":false,"suffix":""},{"dropping-particle":"","family":"Keck","given":"François","non-dropping-particle":"","parse-names":false,"suffix":""},{"dropping-particle":"","family":"Keeley","given":"Nigel","non-dropping-particle":"","parse-names":false,"suffix":""},{"dropping-particle":"","family":"Laroche","given":"Olivier","non-dropping-particle":"","parse-names":false,"suffix":""},{"dropping-particle":"","family":"Leese","given":"Florian","non-dropping-particle":"","parse-names":false,"suffix":""},{"dropping-particle":"","family":"Pochon","given":"Xavier","non-dropping-particle":"","parse-names":false,"suffix":""},{"dropping-particle":"","family":"Stoeck","given":"Thorsten","non-dropping-particle":"","parse-names":false,"suffix":""},{"dropping-particle":"","family":"Pawlowski","given":"Jan","non-dropping-particle":"","parse-names":false,"suffix":""},{"dropping-particle":"","family":"Lanzén","given":"Anders","non-dropping-particle":"","parse-names":false,"suffix":""}],"container-title":"Preprints","id":"ITEM-1","issue":"January","issued":{"date-parts":[["2020"]]},"title":"Ecosystems Monitoring Powered by Environmental Genomics: A Review of Current Strategies with An Implementation Roadmap","type":"article-journal"},"uris":["http://www.mendeley.com/documents/?uuid=e1f63067-c8c1-4445-85f0-e0bbc540e0ea"]},{"id":"ITEM-2","itemData":{"DOI":"10.1016/bs.aecr.2018.01.001","ISSN":"00652504","abstract":"Aquatic biomonitoring has become an essential task in Europe and many other regions as a consequence of strong anthropogenic pressures affecting the health of lakes, rivers, oceans and groundwater. A typical assessment of the environmental quality status, such as it is required by European but also North American and other legislation, relies on matching the composition of assemblages of organisms identified using morphological criteria present in aquatic ecosystems to those expected in the absence of anthropogenic pressures. Through decade-long and difficult intercalibration exercises among networks of regulators and scientists in European countries, a pragmatic biomonitoring approach was developed and adopted, which now produces invaluable information. Nonetheless, this approach is based on several hundred different protocols, making it susceptible to issues with comparability, scale and resolution. Furthermore, data acquisition is often slow due to a lack of taxonomic experts for many taxa and regions and time-consuming morphological identification of organisms. High-throughput genetic screening methods such as (e)DNA metabarcoding have been proposed as a possible solution to these shortcomings. Such “next-generation biomonitoring”, also termed “biomonitoring 2.0”, has many advantages over the traditional approach in terms of speed, comparability and costs. It also creates the potential to include new bioindicators and thereby further improves the assessment of aquatic ecosystem health. However, several major conceptual and technological challenges still hinder its implementation into legal and regulatory frameworks. Academic scientists sometimes tend to overlook legal or socioeconomic constraints, which regulators have to consider on a regular basis. Moreover, quantification of species abundance or biomass remains a significant bottleneck to releasing the full potential of these approaches. Here, we highlight the main challenges for next-generation aquatic biomonitoring and outline principles and good practices to address these with an emphasis on bridging traditional disciplinary boundaries between academics, regulators, stakeholders and industry.","author":[{"dropping-particle":"","family":"Leese","given":"Florian","non-dropping-particle":"","parse-names":false,"suffix":""},{"dropping-particle":"","family":"Bouchez","given":"Agnès","non-dropping-particle":"","parse-names":false,"suffix":""},{"dropping-particle":"","family":"Abarenkov","given":"Kessy","non-dropping-particle":"","parse-names":false,"suffix":""},{"dropping-particle":"","family":"Altermatt","given":"Florian","non-dropping-particle":"","parse-names":false,"suffix":""},{"dropping-particle":"","family":"Borja","given":"Ángel","non-dropping-particle":"","parse-names":false,"suffix":""},{"dropping-particle":"","family":"Bruce","given":"Kat","non-dropping-particle":"","parse-names":false,"suffix":""},{"dropping-particle":"","family":"Ekrem","given":"Torbjørn","non-dropping-particle":"","parse-names":false,"suffix":""},{"dropping-particle":"","family":"Čiampor","given":"Fedor","non-dropping-particle":"","parse-names":false,"suffix":""},{"dropping-particle":"","family":"Čiamporová-Zaťovičová","given":"Zuzana","non-dropping-particle":"","parse-names":false,"suffix":""},{"dropping-particle":"","family":"Costa","given":"Filipe O.","non-dropping-particle":"","parse-names":false,"suffix":""},{"dropping-particle":"","family":"Duarte","given":"Sofia","non-dropping-particle":"","parse-names":false,"suffix":""},{"dropping-particle":"","family":"Elbrecht","given":"Vasco","non-dropping-particle":"","parse-names":false,"suffix":""},{"dropping-particle":"","family":"Fontaneto","given":"Diego","non-dropping-particle":"","parse-names":false,"suffix":""},{"dropping-particle":"","family":"Franc","given":"Alain","non-dropping-particle":"","parse-names":false,"suffix":""},{"dropping-particle":"","family":"Geiger","given":"Matthias F.","non-dropping-particle":"","parse-names":false,"suffix":""},{"dropping-particle":"","family":"Hering","given":"Daniel","non-dropping-particle":"","parse-names":false,"suffix":""},{"dropping-particle":"","family":"Kahlert","given":"Maria","non-dropping-particle":"","parse-names":false,"suffix":""},{"dropping-particle":"","family":"Kalamujić Stroil","given":"Belma","non-dropping-particle":"","parse-names":false,"suffix":""},{"dropping-particle":"","family":"Kelly","given":"Martyn","non-dropping-particle":"","parse-names":false,"suffix":""},{"dropping-particle":"","family":"Keskin","given":"Emre","non-dropping-particle":"","parse-names":false,"suffix":""},{"dropping-particle":"","family":"Liska","given":"Igor","non-dropping-particle":"","parse-names":false,"suffix":""},{"dropping-particle":"","family":"Mergen","given":"Patricia","non-dropping-particle":"","parse-names":false,"suffix":""},{"dropping-particle":"","family":"Meissner","given":"Kristian","non-dropping-particle":"","parse-names":false,"suffix":""},{"dropping-particle":"","family":"Pawlowski","given":"Jan","non-dropping-particle":"","parse-names":false,"suffix":""},{"dropping-particle":"","family":"Penev","given":"Lyubomir","non-dropping-particle":"","parse-names":false,"suffix":""},{"dropping-particle":"","family":"Reyjol","given":"Yorick","non-dropping-particle":"","parse-names":false,"suffix":""},{"dropping-particle":"","family":"Rotter","given":"Ana","non-dropping-particle":"","parse-names":false,"suffix":""},{"dropping-particle":"","family":"Steinke","given":"Dirk","non-dropping-particle":"","parse-names":false,"suffix":""},{"dropping-particle":"","family":"Wal","given":"Bas","non-dropping-particle":"van der","parse-names":false,"suffix":""},{"dropping-particle":"","family":"Vitecek","given":"Simon","non-dropping-particle":"","parse-names":false,"suffix":""},{"dropping-particle":"","family":"Zimmermann","given":"Jonas","non-dropping-particle":"","parse-names":false,"suffix":""},{"dropping-particle":"","family":"Weigand","given":"Alexander M.","non-dropping-particle":"","parse-names":false,"suffix":""}],"container-title":"Advances in Ecological Research","id":"ITEM-2","issued":{"date-parts":[["2018"]]},"page":"63-99","title":"Why We Need Sustainable Networks Bridging Countries, Disciplines, Cultures and Generations for Aquatic Biomonitoring 2.0: A Perspective Derived From the DNAqua-Net COST Action","type":"article-journal","volume":"58"},"uris":["http://www.mendeley.com/documents/?uuid=268a8e00-5a3e-4f6d-abf4-008fd488e5ea"]}],"mendeley":{"formattedCitation":"(Cordier et al., 2020; Leese et al., 2018)","plainTextFormattedCitation":"(Cordier et al., 2020; Leese et al., 2018)"},"properties":{"noteIndex":0},"schema":"https://github.com/citation-style-language/schema/raw/master/csl-citation.json"}</w:instrText>
      </w:r>
      <w:r w:rsidR="006F5086">
        <w:rPr>
          <w:rFonts w:ascii="Calibri" w:hAnsi="Calibri" w:cs="Calibri"/>
          <w:color w:val="000000" w:themeColor="text1"/>
        </w:rPr>
        <w:fldChar w:fldCharType="separate"/>
      </w:r>
      <w:r w:rsidR="006F5086" w:rsidRPr="006F5086">
        <w:rPr>
          <w:rFonts w:ascii="Calibri" w:hAnsi="Calibri" w:cs="Calibri"/>
          <w:noProof/>
          <w:color w:val="000000" w:themeColor="text1"/>
        </w:rPr>
        <w:t>(Cordier et al., 2020; Leese et al., 2018)</w:t>
      </w:r>
      <w:r w:rsidR="006F5086">
        <w:rPr>
          <w:rFonts w:ascii="Calibri" w:hAnsi="Calibri" w:cs="Calibri"/>
          <w:color w:val="000000" w:themeColor="text1"/>
        </w:rPr>
        <w:fldChar w:fldCharType="end"/>
      </w:r>
      <w:r w:rsidR="00CC2460">
        <w:rPr>
          <w:rFonts w:ascii="Calibri" w:hAnsi="Calibri" w:cs="Calibri"/>
          <w:color w:val="000000" w:themeColor="text1"/>
        </w:rPr>
        <w:t>.</w:t>
      </w:r>
      <w:r w:rsidR="00BA3733">
        <w:rPr>
          <w:rFonts w:ascii="Calibri" w:hAnsi="Calibri" w:cs="Calibri"/>
          <w:color w:val="000000" w:themeColor="text1"/>
        </w:rPr>
        <w:t xml:space="preserve"> </w:t>
      </w:r>
      <w:r w:rsidR="00C13917">
        <w:rPr>
          <w:rFonts w:ascii="Calibri" w:hAnsi="Calibri" w:cs="Calibri"/>
          <w:color w:val="000000" w:themeColor="text1"/>
        </w:rPr>
        <w:t xml:space="preserve">However, </w:t>
      </w:r>
      <w:r w:rsidR="00BA3733">
        <w:rPr>
          <w:rFonts w:ascii="Calibri" w:hAnsi="Calibri" w:cs="Calibri"/>
          <w:color w:val="000000" w:themeColor="text1"/>
        </w:rPr>
        <w:t xml:space="preserve">the application of </w:t>
      </w:r>
      <w:r w:rsidR="00C13917">
        <w:rPr>
          <w:rFonts w:ascii="Calibri" w:hAnsi="Calibri" w:cs="Calibri"/>
          <w:color w:val="000000" w:themeColor="text1"/>
        </w:rPr>
        <w:t>metagenomics</w:t>
      </w:r>
      <w:r w:rsidR="00BA3733">
        <w:rPr>
          <w:rFonts w:ascii="Calibri" w:hAnsi="Calibri" w:cs="Calibri"/>
          <w:color w:val="000000" w:themeColor="text1"/>
        </w:rPr>
        <w:t xml:space="preserve"> for taxonomic profiling</w:t>
      </w:r>
      <w:r w:rsidR="00C13917">
        <w:rPr>
          <w:rFonts w:ascii="Calibri" w:hAnsi="Calibri" w:cs="Calibri"/>
          <w:color w:val="000000" w:themeColor="text1"/>
        </w:rPr>
        <w:t xml:space="preserve"> is highly dependent on sequencing depth</w:t>
      </w:r>
      <w:r w:rsidR="00853528">
        <w:rPr>
          <w:rFonts w:ascii="Calibri" w:hAnsi="Calibri" w:cs="Calibri"/>
          <w:color w:val="000000" w:themeColor="text1"/>
        </w:rPr>
        <w:t>, i.e., the sequenced portion of a sample</w:t>
      </w:r>
      <w:r w:rsidR="001A2ECC">
        <w:rPr>
          <w:rFonts w:ascii="Calibri" w:hAnsi="Calibri" w:cs="Calibri"/>
          <w:color w:val="000000" w:themeColor="text1"/>
        </w:rPr>
        <w:t xml:space="preserve">. </w:t>
      </w:r>
      <w:r w:rsidR="002C18E7">
        <w:rPr>
          <w:rFonts w:ascii="Calibri" w:hAnsi="Calibri" w:cs="Calibri"/>
          <w:color w:val="000000" w:themeColor="text1"/>
        </w:rPr>
        <w:t xml:space="preserve">This dependency is </w:t>
      </w:r>
      <w:r w:rsidR="00745D52">
        <w:rPr>
          <w:rFonts w:ascii="Calibri" w:hAnsi="Calibri" w:cs="Calibri"/>
          <w:color w:val="000000" w:themeColor="text1"/>
        </w:rPr>
        <w:t>due to</w:t>
      </w:r>
      <w:r w:rsidR="002C18E7">
        <w:rPr>
          <w:rFonts w:ascii="Calibri" w:hAnsi="Calibri" w:cs="Calibri"/>
          <w:color w:val="000000" w:themeColor="text1"/>
        </w:rPr>
        <w:t xml:space="preserve"> the small number of genes in an organism that are useful for taxonomic profiling. </w:t>
      </w:r>
      <w:r w:rsidR="007B7DE4">
        <w:rPr>
          <w:rFonts w:ascii="Calibri" w:hAnsi="Calibri" w:cs="Calibri"/>
          <w:color w:val="000000" w:themeColor="text1"/>
        </w:rPr>
        <w:t xml:space="preserve">Standard barcode genes </w:t>
      </w:r>
      <w:r w:rsidR="00BA3733">
        <w:rPr>
          <w:rFonts w:ascii="Calibri" w:hAnsi="Calibri" w:cs="Calibri"/>
          <w:color w:val="000000" w:themeColor="text1"/>
        </w:rPr>
        <w:t xml:space="preserve">that are used </w:t>
      </w:r>
      <w:r w:rsidR="007B7DE4">
        <w:rPr>
          <w:rFonts w:ascii="Calibri" w:hAnsi="Calibri" w:cs="Calibri"/>
          <w:color w:val="000000" w:themeColor="text1"/>
        </w:rPr>
        <w:t xml:space="preserve">for </w:t>
      </w:r>
      <w:r w:rsidR="00745D52">
        <w:rPr>
          <w:rFonts w:ascii="Calibri" w:hAnsi="Calibri" w:cs="Calibri"/>
          <w:color w:val="000000" w:themeColor="text1"/>
        </w:rPr>
        <w:t>that purpose</w:t>
      </w:r>
      <w:r w:rsidR="007B7DE4">
        <w:rPr>
          <w:rFonts w:ascii="Calibri" w:hAnsi="Calibri" w:cs="Calibri"/>
          <w:color w:val="000000" w:themeColor="text1"/>
        </w:rPr>
        <w:t xml:space="preserve"> can make up as little as </w:t>
      </w:r>
      <w:r w:rsidR="007B7DE4">
        <w:t xml:space="preserve">0.05%-1.4% </w:t>
      </w:r>
      <w:r w:rsidR="007B7DE4">
        <w:rPr>
          <w:rFonts w:ascii="Calibri" w:hAnsi="Calibri" w:cs="Calibri"/>
          <w:color w:val="000000" w:themeColor="text1"/>
        </w:rPr>
        <w:t xml:space="preserve">in metagenomics data </w:t>
      </w:r>
      <w:r w:rsidR="007B7DE4">
        <w:rPr>
          <w:rFonts w:ascii="Calibri" w:hAnsi="Calibri" w:cs="Calibri"/>
          <w:color w:val="000000" w:themeColor="text1"/>
        </w:rPr>
        <w:fldChar w:fldCharType="begin" w:fldLock="1"/>
      </w:r>
      <w:r w:rsidR="006939CC">
        <w:rPr>
          <w:rFonts w:ascii="Calibri" w:hAnsi="Calibri" w:cs="Calibri"/>
          <w:color w:val="000000" w:themeColor="text1"/>
        </w:rPr>
        <w:instrText>ADDIN CSL_CITATION {"citationItems":[{"id":"ITEM-1","itemData":{"DOI":"10.1038/nbt.1823","ISSN":"10870156","abstract":"Here we present a standard developed by the Genomic Standards Consortium (GSC) for reporting marker gene sequences-the minimum information about a marker gene sequence (MIMARKS). We also introduce a system for describing the environment from which a biological sample originates. The 'environmental packages' apply to any genome sequence of known origin and can be used in combination with MIMARKS and other GSC checklists. Finally, to establish a unified standard for describing sequence data and to provide a single point of entry for the scientific community to access and learn about GSC checklists, we present the minimum information about any (x) sequence (MIxS). Adoption of MIxS will enhance our ability to analyze natural genetic diversity documented by massive DNA sequencing efforts from myriad ecosystems in our ever-changing biosphere.","author":[{"dropping-particle":"","family":"Yilmaz","given":"Pelin","non-dropping-particle":"","parse-names":false,"suffix":""},{"dropping-particle":"","family":"Kottmann","given":"Renzo","non-dropping-particle":"","parse-names":false,"suffix":""},{"dropping-particle":"","family":"Field","given":"Dawn","non-dropping-particle":"","parse-names":false,"suffix":""},{"dropping-particle":"","family":"Knight","given":"Rob","non-dropping-particle":"","parse-names":false,"suffix":""},{"dropping-particle":"","family":"Cole","given":"James R.","non-dropping-particle":"","parse-names":false,"suffix":""},{"dropping-particle":"","family":"Amaral-Zettler","given":"Linda","non-dropping-particle":"","parse-names":false,"suffix":""},{"dropping-particle":"","family":"Gilbert","given":"Jack A.","non-dropping-particle":"","parse-names":false,"suffix":""},{"dropping-particle":"","family":"Karsch-Mizrachi","given":"Ilene","non-dropping-particle":"","parse-names":false,"suffix":""},{"dropping-particle":"","family":"Johnston","given":"Anjanette","non-dropping-particle":"","parse-names":false,"suffix":""},{"dropping-particle":"","family":"Cochrane","given":"Guy","non-dropping-particle":"","parse-names":false,"suffix":""},{"dropping-particle":"","family":"Vaughan","given":"Robert","non-dropping-particle":"","parse-names":false,"suffix":""},{"dropping-particle":"","family":"Hunter","given":"Christopher","non-dropping-particle":"","parse-names":false,"suffix":""},{"dropping-particle":"","family":"Park","given":"Joonhong","non-dropping-particle":"","parse-names":false,"suffix":""},{"dropping-particle":"","family":"Morrison","given":"Norman","non-dropping-particle":"","parse-names":false,"suffix":""},{"dropping-particle":"","family":"Rocca-Serra","given":"Philippe","non-dropping-particle":"","parse-names":false,"suffix":""},{"dropping-particle":"","family":"Sterk","given":"Peter","non-dropping-particle":"","parse-names":false,"suffix":""},{"dropping-particle":"","family":"Arumugam","given":"Manimozhiyan","non-dropping-particle":"","parse-names":false,"suffix":""},{"dropping-particle":"","family":"Bailey","given":"Mark","non-dropping-particle":"","parse-names":false,"suffix":""},{"dropping-particle":"","family":"Baumgartner","given":"Laura","non-dropping-particle":"","parse-names":false,"suffix":""},{"dropping-particle":"","family":"Birren","given":"Bruce W.","non-dropping-particle":"","parse-names":false,"suffix":""},{"dropping-particle":"","family":"Blaser","given":"Martin J.","non-dropping-particle":"","parse-names":false,"suffix":""},{"dropping-particle":"","family":"Bonazzi","given":"Vivien","non-dropping-particle":"","parse-names":false,"suffix":""},{"dropping-particle":"","family":"Booth","given":"Tim","non-dropping-particle":"","parse-names":false,"suffix":""},{"dropping-particle":"","family":"Bork","given":"Peer","non-dropping-particle":"","parse-names":false,"suffix":""},{"dropping-particle":"","family":"Bushman","given":"Frederic D.","non-dropping-particle":"","parse-names":false,"suffix":""},{"dropping-particle":"","family":"Buttigieg","given":"Pier Luigi","non-dropping-particle":"","parse-names":false,"suffix":""},{"dropping-particle":"","family":"Chain","given":"Patrick S.G.","non-dropping-particle":"","parse-names":false,"suffix":""},{"dropping-particle":"","family":"Charlson","given":"Emily","non-dropping-particle":"","parse-names":false,"suffix":""},{"dropping-particle":"","family":"Costello","given":"Elizabeth K.","non-dropping-particle":"","parse-names":false,"suffix":""},{"dropping-particle":"","family":"Huot-Creasy","given":"Heather","non-dropping-particle":"","parse-names":false,"suffix":""},{"dropping-particle":"","family":"Dawyndt","given":"Peter","non-dropping-particle":"","parse-names":false,"suffix":""},{"dropping-particle":"","family":"Desantis","given":"Todd","non-dropping-particle":"","parse-names":false,"suffix":""},{"dropping-particle":"","family":"Fierer","given":"Noah","non-dropping-particle":"","parse-names":false,"suffix":""},{"dropping-particle":"","family":"Fuhrman","given":"Jed A.","non-dropping-particle":"","parse-names":false,"suffix":""},{"dropping-particle":"","family":"Gallery","given":"Rachel E.","non-dropping-particle":"","parse-names":false,"suffix":""},{"dropping-particle":"","family":"Gevers","given":"Dirk","non-dropping-particle":"","parse-names":false,"suffix":""},{"dropping-particle":"","family":"Gibbs","given":"Richard A.","non-dropping-particle":"","parse-names":false,"suffix":""},{"dropping-particle":"","family":"Gil","given":"Inigo San","non-dropping-particle":"","parse-names":false,"suffix":""},{"dropping-particle":"","family":"Gonzalez","given":"Antonio","non-dropping-particle":"","parse-names":false,"suffix":""},{"dropping-particle":"","family":"Gordon","given":"Jeffrey I.","non-dropping-particle":"","parse-names":false,"suffix":""},{"dropping-particle":"","family":"Guralnick","given":"Robert","non-dropping-particle":"","parse-names":false,"suffix":""},{"dropping-particle":"","family":"Hankeln","given":"Wolfgang","non-dropping-particle":"","parse-names":false,"suffix":""},{"dropping-particle":"","family":"Highlander","given":"Sarah","non-dropping-particle":"","parse-names":false,"suffix":""},{"dropping-particle":"","family":"Hugenholtz","given":"Philip","non-dropping-particle":"","parse-names":false,"suffix":""},{"dropping-particle":"","family":"Jansson","given":"Janet","non-dropping-particle":"","parse-names":false,"suffix":""},{"dropping-particle":"","family":"Kau","given":"Andrew L.","non-dropping-particle":"","parse-names":false,"suffix":""},{"dropping-particle":"","family":"Kelley","given":"Scott T.","non-dropping-particle":"","parse-names":false,"suffix":""},{"dropping-particle":"","family":"Kennedy","given":"Jerry","non-dropping-particle":"","parse-names":false,"suffix":""},{"dropping-particle":"","family":"Knights","given":"Dan","non-dropping-particle":"","parse-names":false,"suffix":""},{"dropping-particle":"","family":"Koren","given":"Omry","non-dropping-particle":"","parse-names":false,"suffix":""},{"dropping-particle":"","family":"Kuczynski","given":"Justin","non-dropping-particle":"","parse-names":false,"suffix":""},{"dropping-particle":"","family":"Kyrpides","given":"Nikos","non-dropping-particle":"","parse-names":false,"suffix":""},{"dropping-particle":"","family":"Larsen","given":"Robert","non-dropping-particle":"","parse-names":false,"suffix":""},{"dropping-particle":"","family":"Lauber","given":"Christian L.","non-dropping-particle":"","parse-names":false,"suffix":""},{"dropping-particle":"","family":"Legg","given":"Teresa","non-dropping-particle":"","parse-names":false,"suffix":""},{"dropping-particle":"","family":"Ley","given":"Ruth E.","non-dropping-particle":"","parse-names":false,"suffix":""},{"dropping-particle":"","family":"Lozupone","given":"Catherine A.","non-dropping-particle":"","parse-names":false,"suffix":""},{"dropping-particle":"","family":"Ludwig","given":"Wolfgang","non-dropping-particle":"","parse-names":false,"suffix":""},{"dropping-particle":"","family":"Lyons","given":"Donna","non-dropping-particle":"","parse-names":false,"suffix":""},{"dropping-particle":"","family":"Maguire","given":"Eamonn","non-dropping-particle":"","parse-names":false,"suffix":""},{"dropping-particle":"","family":"Methé","given":"Barbara A.","non-dropping-particle":"","parse-names":false,"suffix":""},{"dropping-particle":"","family":"Meyer","given":"Folker","non-dropping-particle":"","parse-names":false,"suffix":""},{"dropping-particle":"","family":"Muegge","given":"Brian","non-dropping-particle":"","parse-names":false,"suffix":""},{"dropping-particle":"","family":"Nakielny","given":"Sara","non-dropping-particle":"","parse-names":false,"suffix":""},{"dropping-particle":"","family":"Nelson","given":"Karen E.","non-dropping-particle":"","parse-names":false,"suffix":""},{"dropping-particle":"","family":"Nemergut","given":"Diana","non-dropping-particle":"","parse-names":false,"suffix":""},{"dropping-particle":"","family":"Neufeld","given":"Josh D.","non-dropping-particle":"","parse-names":false,"suffix":""},{"dropping-particle":"","family":"Newbold","given":"Lindsay K.","non-dropping-particle":"","parse-names":false,"suffix":""},{"dropping-particle":"","family":"Oliver","given":"Anna E.","non-dropping-particle":"","parse-names":false,"suffix":""},{"dropping-particle":"","family":"Pace","given":"Norman R.","non-dropping-particle":"","parse-names":false,"suffix":""},{"dropping-particle":"","family":"Palanisamy","given":"Giriprakash","non-dropping-particle":"","parse-names":false,"suffix":""},{"dropping-particle":"","family":"Peplies","given":"Jörg","non-dropping-particle":"","parse-names":false,"suffix":""},{"dropping-particle":"","family":"Petrosino","given":"Joseph","non-dropping-particle":"","parse-names":false,"suffix":""},{"dropping-particle":"","family":"Proctor","given":"Lita","non-dropping-particle":"","parse-names":false,"suffix":""},{"dropping-particle":"","family":"Pruesse","given":"Elmar","non-dropping-particle":"","parse-names":false,"suffix":""},{"dropping-particle":"","family":"Quast","given":"Christian","non-dropping-particle":"","parse-names":false,"suffix":""},{"dropping-particle":"","family":"Raes","given":"Jeroen","non-dropping-particle":"","parse-names":false,"suffix":""},{"dropping-particle":"","family":"Ratnasingham","given":"Sujeevan","non-dropping-particle":"","parse-names":false,"suffix":""},{"dropping-particle":"","family":"Ravel","given":"Jacques","non-dropping-particle":"","parse-names":false,"suffix":""},{"dropping-particle":"","family":"Relman","given":"David A.","non-dropping-particle":"","parse-names":false,"suffix":""},{"dropping-particle":"","family":"Assunta-Sansone","given":"Susanna","non-dropping-particle":"","parse-names":false,"suffix":""},{"dropping-particle":"","family":"Schloss","given":"Patrick D.","non-dropping-particle":"","parse-names":false,"suffix":""},{"dropping-particle":"","family":"Schriml","given":"Lynn","non-dropping-particle":"","parse-names":false,"suffix":""},{"dropping-particle":"","family":"Sinha","given":"Rohini","non-dropping-particle":"","parse-names":false,"suffix":""},{"dropping-particle":"","family":"Smith","given":"Michelle I.","non-dropping-particle":"","parse-names":false,"suffix":""},{"dropping-particle":"","family":"Sodergren","given":"Erica","non-dropping-particle":"","parse-names":false,"suffix":""},{"dropping-particle":"","family":"Spor","given":"Aymé","non-dropping-particle":"","parse-names":false,"suffix":""},{"dropping-particle":"","family":"Stombaugh","given":"Jesse","non-dropping-particle":"","parse-names":false,"suffix":""},{"dropping-particle":"","family":"Tiedje","given":"James M.","non-dropping-particle":"","parse-names":false,"suffix":""},{"dropping-particle":"V.","family":"Ward","given":"Doyle","non-dropping-particle":"","parse-names":false,"suffix":""},{"dropping-particle":"","family":"Weinstock","given":"George M.","non-dropping-particle":"","parse-names":false,"suffix":""},{"dropping-particle":"","family":"Wendel","given":"Doug","non-dropping-particle":"","parse-names":false,"suffix":""},{"dropping-particle":"","family":"White","given":"Owen","non-dropping-particle":"","parse-names":false,"suffix":""},{"dropping-particle":"","family":"Whiteley","given":"Andrew","non-dropping-particle":"","parse-names":false,"suffix":""},{"dropping-particle":"","family":"Wilke","given":"Andreas","non-dropping-particle":"","parse-names":false,"suffix":""},{"dropping-particle":"","family":"Wortman","given":"Jennifer R.","non-dropping-particle":"","parse-names":false,"suffix":""},{"dropping-particle":"","family":"Yatsunenko","given":"Tanya","non-dropping-particle":"","parse-names":false,"suffix":""},{"dropping-particle":"","family":"Glöckner","given":"Frank Oliver","non-dropping-particle":"","parse-names":false,"suffix":""}],"container-title":"Nature Biotechnology","id":"ITEM-1","issue":"5","issued":{"date-parts":[["2011"]]},"page":"415-420","title":"Minimum information about a marker gene sequence (MIMARKS) and minimum information about any (x) sequence (MIxS) specifications","type":"article-journal","volume":"29"},"uris":["http://www.mendeley.com/documents/?uuid=4f4ac5f3-0cd9-498e-bf74-98cd19656e57"]},{"id":"ITEM-2","itemData":{"DOI":"10.1111/1462-2920.12250","ISSN":"14622920","abstract":"Sequencing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Microbiology","id":"ITEM-2","issue":"9","issued":{"date-parts":[["2014"]]},"page":"2659-2671","title":"Metagenomic 16S rDNA Illumina tags are a powerful alternative to amplicon sequencing to explore diversity and structure of microbial communities","type":"article-journal","volume":"16"},"uris":["http://www.mendeley.com/documents/?uuid=6d973113-910d-4c73-9a15-a2f47ee51e7b"]}],"mendeley":{"formattedCitation":"(Logares et al., 2014; Yilmaz et al., 2011)","plainTextFormattedCitation":"(Logares et al., 2014; Yilmaz et al., 2011)","previouslyFormattedCitation":"(Logares et al., 2014; Yilmaz et al., 2011)"},"properties":{"noteIndex":0},"schema":"https://github.com/citation-style-language/schema/raw/master/csl-citation.json"}</w:instrText>
      </w:r>
      <w:r w:rsidR="007B7DE4">
        <w:rPr>
          <w:rFonts w:ascii="Calibri" w:hAnsi="Calibri" w:cs="Calibri"/>
          <w:color w:val="000000" w:themeColor="text1"/>
        </w:rPr>
        <w:fldChar w:fldCharType="separate"/>
      </w:r>
      <w:r w:rsidR="00EB444C" w:rsidRPr="00EB444C">
        <w:rPr>
          <w:rFonts w:ascii="Calibri" w:hAnsi="Calibri" w:cs="Calibri"/>
          <w:noProof/>
          <w:color w:val="000000" w:themeColor="text1"/>
        </w:rPr>
        <w:t>(Logares et al., 2014; Yilmaz et al., 2011)</w:t>
      </w:r>
      <w:r w:rsidR="007B7DE4">
        <w:rPr>
          <w:rFonts w:ascii="Calibri" w:hAnsi="Calibri" w:cs="Calibri"/>
          <w:color w:val="000000" w:themeColor="text1"/>
        </w:rPr>
        <w:fldChar w:fldCharType="end"/>
      </w:r>
      <w:r w:rsidR="007B7DE4">
        <w:rPr>
          <w:rFonts w:ascii="Calibri" w:hAnsi="Calibri" w:cs="Calibri"/>
          <w:color w:val="000000" w:themeColor="text1"/>
        </w:rPr>
        <w:t xml:space="preserve">, and references for other genes are often missing, </w:t>
      </w:r>
      <w:r w:rsidR="007B7DE4" w:rsidRPr="00BA3733">
        <w:rPr>
          <w:rFonts w:ascii="Calibri" w:hAnsi="Calibri" w:cs="Calibri"/>
          <w:color w:val="000000" w:themeColor="text1"/>
        </w:rPr>
        <w:t>which is why the major portion of metagenomic data often remains unknown</w:t>
      </w:r>
      <w:r w:rsidR="00EE5B9B" w:rsidRPr="00BA3733">
        <w:rPr>
          <w:rFonts w:ascii="Calibri" w:hAnsi="Calibri" w:cs="Calibri"/>
          <w:color w:val="000000" w:themeColor="text1"/>
        </w:rPr>
        <w:t xml:space="preserve"> </w:t>
      </w:r>
      <w:r w:rsidR="00BA3733" w:rsidRPr="00BA3733">
        <w:rPr>
          <w:rFonts w:ascii="Calibri" w:hAnsi="Calibri" w:cs="Calibri"/>
          <w:color w:val="000000" w:themeColor="text1"/>
        </w:rPr>
        <w:fldChar w:fldCharType="begin" w:fldLock="1"/>
      </w:r>
      <w:r w:rsidR="00BA3733"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00BA3733" w:rsidRPr="00BA3733">
        <w:rPr>
          <w:rFonts w:ascii="Calibri" w:hAnsi="Calibri" w:cs="Calibri"/>
          <w:color w:val="000000" w:themeColor="text1"/>
        </w:rPr>
        <w:fldChar w:fldCharType="separate"/>
      </w:r>
      <w:r w:rsidR="00BA3733" w:rsidRPr="00BA3733">
        <w:rPr>
          <w:rFonts w:ascii="Calibri" w:hAnsi="Calibri" w:cs="Calibri"/>
          <w:noProof/>
          <w:color w:val="000000" w:themeColor="text1"/>
        </w:rPr>
        <w:t>(Singer et al., 2020; Stat et al., 2017)</w:t>
      </w:r>
      <w:r w:rsidR="00BA3733" w:rsidRPr="00BA3733">
        <w:rPr>
          <w:rFonts w:ascii="Calibri" w:hAnsi="Calibri" w:cs="Calibri"/>
          <w:color w:val="000000" w:themeColor="text1"/>
        </w:rPr>
        <w:fldChar w:fldCharType="end"/>
      </w:r>
      <w:r w:rsidR="009A387B">
        <w:rPr>
          <w:rFonts w:ascii="Calibri" w:hAnsi="Calibri" w:cs="Calibri"/>
          <w:color w:val="000000" w:themeColor="text1"/>
        </w:rPr>
        <w:t>.</w:t>
      </w:r>
      <w:r w:rsidR="00745D52">
        <w:rPr>
          <w:rFonts w:ascii="Calibri" w:hAnsi="Calibri" w:cs="Calibri"/>
          <w:color w:val="000000" w:themeColor="text1"/>
        </w:rPr>
        <w:t xml:space="preserve"> </w:t>
      </w:r>
      <w:r w:rsidR="007B7DE4">
        <w:rPr>
          <w:rFonts w:ascii="Calibri" w:hAnsi="Calibri" w:cs="Calibri"/>
          <w:color w:val="000000" w:themeColor="text1"/>
        </w:rPr>
        <w:t xml:space="preserve">The </w:t>
      </w:r>
      <w:r w:rsidR="00745D52">
        <w:rPr>
          <w:rFonts w:ascii="Calibri" w:hAnsi="Calibri" w:cs="Calibri"/>
          <w:color w:val="000000" w:themeColor="text1"/>
        </w:rPr>
        <w:t>efficiency</w:t>
      </w:r>
      <w:r w:rsidR="007B7DE4">
        <w:rPr>
          <w:rFonts w:ascii="Calibri" w:hAnsi="Calibri" w:cs="Calibri"/>
          <w:color w:val="000000" w:themeColor="text1"/>
        </w:rPr>
        <w:t xml:space="preserve"> of metagenomics for </w:t>
      </w:r>
      <w:r w:rsidR="00745D52">
        <w:rPr>
          <w:rFonts w:ascii="Calibri" w:hAnsi="Calibri" w:cs="Calibri"/>
          <w:color w:val="000000" w:themeColor="text1"/>
        </w:rPr>
        <w:t>t</w:t>
      </w:r>
      <w:r w:rsidR="007B7DE4">
        <w:rPr>
          <w:rFonts w:ascii="Calibri" w:hAnsi="Calibri" w:cs="Calibri"/>
          <w:color w:val="000000" w:themeColor="text1"/>
        </w:rPr>
        <w:t>axonomic profiling is</w:t>
      </w:r>
      <w:r w:rsidR="00D274ED">
        <w:rPr>
          <w:rFonts w:ascii="Calibri" w:hAnsi="Calibri" w:cs="Calibri"/>
          <w:color w:val="000000" w:themeColor="text1"/>
        </w:rPr>
        <w:t>,</w:t>
      </w:r>
      <w:r w:rsidR="007B7DE4">
        <w:rPr>
          <w:rFonts w:ascii="Calibri" w:hAnsi="Calibri" w:cs="Calibri"/>
          <w:color w:val="000000" w:themeColor="text1"/>
        </w:rPr>
        <w:t xml:space="preserve"> therefore</w:t>
      </w:r>
      <w:r w:rsidR="00D274ED">
        <w:rPr>
          <w:rFonts w:ascii="Calibri" w:hAnsi="Calibri" w:cs="Calibri"/>
          <w:color w:val="000000" w:themeColor="text1"/>
        </w:rPr>
        <w:t>,</w:t>
      </w:r>
      <w:r w:rsidR="007B7DE4">
        <w:rPr>
          <w:rFonts w:ascii="Calibri" w:hAnsi="Calibri" w:cs="Calibri"/>
          <w:color w:val="000000" w:themeColor="text1"/>
        </w:rPr>
        <w:t xml:space="preserve"> dependant on the coverage of</w:t>
      </w:r>
      <w:r w:rsidR="001F532F">
        <w:rPr>
          <w:rFonts w:ascii="Calibri" w:hAnsi="Calibri" w:cs="Calibri"/>
          <w:color w:val="000000" w:themeColor="text1"/>
        </w:rPr>
        <w:t xml:space="preserve"> </w:t>
      </w:r>
      <w:r w:rsidR="00A96A61">
        <w:rPr>
          <w:rFonts w:ascii="Calibri" w:hAnsi="Calibri" w:cs="Calibri"/>
          <w:color w:val="000000" w:themeColor="text1"/>
        </w:rPr>
        <w:t xml:space="preserve">these </w:t>
      </w:r>
      <w:r w:rsidR="001F532F">
        <w:rPr>
          <w:rFonts w:ascii="Calibri" w:hAnsi="Calibri" w:cs="Calibri"/>
          <w:color w:val="000000" w:themeColor="text1"/>
        </w:rPr>
        <w:t xml:space="preserve">barcode genes, which is directly related to the sequencing depth. The more complex a community is, the higher sequencing depth </w:t>
      </w:r>
      <w:r w:rsidR="00745D52">
        <w:rPr>
          <w:rFonts w:ascii="Calibri" w:hAnsi="Calibri" w:cs="Calibri"/>
          <w:color w:val="000000" w:themeColor="text1"/>
        </w:rPr>
        <w:t xml:space="preserve">is required </w:t>
      </w:r>
      <w:r w:rsidR="001F532F">
        <w:rPr>
          <w:rFonts w:ascii="Calibri" w:hAnsi="Calibri" w:cs="Calibri"/>
          <w:color w:val="000000" w:themeColor="text1"/>
        </w:rPr>
        <w:t>to cover barcode genes</w:t>
      </w:r>
      <w:r w:rsidR="007B7DE4">
        <w:rPr>
          <w:rFonts w:ascii="Calibri" w:hAnsi="Calibri" w:cs="Calibri"/>
          <w:color w:val="000000" w:themeColor="text1"/>
        </w:rPr>
        <w:t xml:space="preserve"> </w:t>
      </w:r>
      <w:r w:rsidR="00745D52">
        <w:rPr>
          <w:rFonts w:ascii="Calibri" w:hAnsi="Calibri" w:cs="Calibri"/>
          <w:color w:val="000000" w:themeColor="text1"/>
        </w:rPr>
        <w:t>to an extend where the community can be accurately profiled.</w:t>
      </w:r>
      <w:r w:rsidR="00A35E1D">
        <w:rPr>
          <w:rFonts w:ascii="Calibri" w:hAnsi="Calibri" w:cs="Calibri"/>
          <w:color w:val="000000" w:themeColor="text1"/>
        </w:rPr>
        <w:t xml:space="preserve"> </w:t>
      </w:r>
      <w:r w:rsidR="00A96A61">
        <w:rPr>
          <w:rFonts w:ascii="Calibri" w:hAnsi="Calibri" w:cs="Calibri"/>
          <w:color w:val="000000" w:themeColor="text1"/>
        </w:rPr>
        <w:t>Consequently</w:t>
      </w:r>
      <w:r w:rsidR="00BA3733">
        <w:rPr>
          <w:rFonts w:ascii="Calibri" w:hAnsi="Calibri" w:cs="Calibri"/>
          <w:color w:val="000000" w:themeColor="text1"/>
        </w:rPr>
        <w:t>, g</w:t>
      </w:r>
      <w:r w:rsidR="00C13917">
        <w:rPr>
          <w:rFonts w:ascii="Calibri" w:hAnsi="Calibri" w:cs="Calibri"/>
          <w:color w:val="000000" w:themeColor="text1"/>
        </w:rPr>
        <w:t>iven sufficient sequencing depth, metagenomics can outperform metabarcoding</w:t>
      </w:r>
      <w:r w:rsidR="00F638A3">
        <w:rPr>
          <w:rFonts w:ascii="Calibri" w:hAnsi="Calibri" w:cs="Calibri"/>
          <w:color w:val="000000" w:themeColor="text1"/>
        </w:rPr>
        <w:t xml:space="preserve"> </w:t>
      </w:r>
      <w:r w:rsidR="00745D52">
        <w:rPr>
          <w:rFonts w:ascii="Calibri" w:hAnsi="Calibri" w:cs="Calibri"/>
          <w:color w:val="000000" w:themeColor="text1"/>
        </w:rPr>
        <w:t xml:space="preserve">in terms of taxonomic profiling </w:t>
      </w:r>
      <w:r w:rsidR="00F638A3">
        <w:rPr>
          <w:rFonts w:ascii="Calibri" w:hAnsi="Calibri" w:cs="Calibri"/>
          <w:color w:val="000000" w:themeColor="text1"/>
        </w:rPr>
        <w:fldChar w:fldCharType="begin" w:fldLock="1"/>
      </w:r>
      <w:r w:rsidR="00853528">
        <w:rPr>
          <w:rFonts w:ascii="Calibri" w:hAnsi="Calibri" w:cs="Calibri"/>
          <w:color w:val="000000" w:themeColor="text1"/>
        </w:rPr>
        <w:instrText>ADDIN CSL_CITATION {"citationItems":[{"id":"ITEM-1","itemData":{"DOI":"10.1111/1462-2920.12250","ISSN":"14622920","abstract":"Sequencing of 16S rDNA polymerase chain reaction (PCR) amplicons is the most common approach for investigating environmental prokaryotic diversity, despite the known biases introduced during PCR. Here we show that 16S rDNA fragments derived from Illumina-sequenced environmental metagenomes (mitags) are a powerful alternative to 16S rDNA amplicons for investigating the taxonomic diversity and structure of prokaryotic communities. As part of the Tara Oceans global expedition, marine plankton was sampled in three locations, resulting in 29 subsamples for which metagenomes were produced by shotgun Illumina sequencing (ca. 700 Gb). For comparative analyses, a subset of samples was also selected for Roche-454 sequencing using both shotgun (m454tags; 13 metagenomes, ca. 2.4 Gb) and 16S rDNA amplicon (454tags; ca. 0.075 Gb) approaches. Our results indicate that by overcoming PCR biases related to amplification and primer mismatch, mitags may provide more realistic estimates of community richness and evenness than amplicon 454tags. In addition, mitags can capture expected beta diversity patterns. Using mitags is now economically feasible given the dramatic reduction in high-throughput sequencing costs, having the advantage of retrieving simultaneously both taxonomic (Bacteria, Archaea and Eukarya) and functional information from the same microbial community.","author":[{"dropping-particle":"","family":"Logares","given":"Ramiro","non-dropping-particle":"","parse-names":false,"suffix":""},{"dropping-particle":"","family":"Sunagawa","given":"Shinichi","non-dropping-particle":"","parse-names":false,"suffix":""},{"dropping-particle":"","family":"Salazar","given":"Guillem","non-dropping-particle":"","parse-names":false,"suffix":""},{"dropping-particle":"","family":"Cornejo-Castillo","given":"Francisco M.","non-dropping-particle":"","parse-names":false,"suffix":""},{"dropping-particle":"","family":"Ferrera","given":"Isabel","non-dropping-particle":"","parse-names":false,"suffix":""},{"dropping-particle":"","family":"Sarmento","given":"Hugo","non-dropping-particle":"","parse-names":false,"suffix":""},{"dropping-particle":"","family":"Hingamp","given":"Pascal","non-dropping-particle":"","parse-names":false,"suffix":""},{"dropping-particle":"","family":"Ogata","given":"Hiroyuki","non-dropping-particle":"","parse-names":false,"suffix":""},{"dropping-particle":"","family":"Vargas","given":"Colomban","non-dropping-particle":"de","parse-names":false,"suffix":""},{"dropping-particle":"","family":"Lima-Mendez","given":"Gipsi","non-dropping-particle":"","parse-names":false,"suffix":""},{"dropping-particle":"","family":"Raes","given":"Jeroen","non-dropping-particle":"","parse-names":false,"suffix":""},{"dropping-particle":"","family":"Poulain","given":"Julie","non-dropping-particle":"","parse-names":false,"suffix":""},{"dropping-particle":"","family":"Jaillon","given":"Olivier","non-dropping-particle":"","parse-names":false,"suffix":""},{"dropping-particle":"","family":"Wincker","given":"Patrick","non-dropping-particle":"","parse-names":false,"suffix":""},{"dropping-particle":"","family":"Kandels-Lewis","given":"Stefanie","non-dropping-particle":"","parse-names":false,"suffix":""},{"dropping-particle":"","family":"Karsenti","given":"Eric","non-dropping-particle":"","parse-names":false,"suffix":""},{"dropping-particle":"","family":"Bork","given":"Peer","non-dropping-particle":"","parse-names":false,"suffix":""},{"dropping-particle":"","family":"Acinas","given":"Silvia G.","non-dropping-particle":"","parse-names":false,"suffix":""}],"container-title":"Environmental Microbiology","id":"ITEM-1","issue":"9","issued":{"date-parts":[["2014"]]},"page":"2659-2671","title":"Metagenomic 16S rDNA Illumina tags are a powerful alternative to amplicon sequencing to explore diversity and structure of microbial communities","type":"article-journal","volume":"16"},"uris":["http://www.mendeley.com/documents/?uuid=6d973113-910d-4c73-9a15-a2f47ee51e7b"]},{"id":"ITEM-2","itemData":{"ISBN":"9814335053","abstract":"16S rRNA gene sequencing has been widely used for probing the species structure of a variety of environmental bacterial communities. Alternatively, 16S rRNA gene fragments can be retrieved from shotgun metagenomic sequences (metagenomes) and used for species profiling. Both approaches have their limitations-16S rRNA sequencing may be biased because of unequal amplification of species' 16S rRNA genes, whereas shotgun metagenomic sequencing may not be deep enough to detect the 16S rRNA genes of rare species in a community. However, previous studies showed that these two approaches give largely similar species profiles for a few bacterial communities. To investigate this problem in greater detail, we conducted a systematic comparison of these two approaches. We developed PHYLOSHOP, a pipeline that predicts 16S rRNA gene fragments in metagenomes, reports the taxonomic assignment of these fragments, and visualizes their taxonomy distribution. Using PHYLOSHOP, we analyzed 33 metagenomic datasets of human-associated bacterial communities, and compared the bacterial community structures derived from these metagenomic datasets with the community structure derived from 16S rRNA gene sequencing (71 datasets). Based on several statistical tests (including a statistical test proposed here that takes into consideration differences in sample size), we observed that these two approaches give significantly different community structures for nearly all the bacterial communities collected from different locations on and in human body, and that these differences cannot be be explained by differences in sample size and are likely to be attributed by experimental method.","author":[{"dropping-particle":"","family":"Shah","given":"Neethu","non-dropping-particle":"","parse-names":false,"suffix":""},{"dropping-particle":"","family":"Tang","given":"Haixu","non-dropping-particle":"","parse-names":false,"suffix":""},{"dropping-particle":"","family":"Doak","given":"Thomas G.","non-dropping-particle":"","parse-names":false,"suffix":""},{"dropping-particle":"","family":"Ye","given":"Yuzhen","non-dropping-particle":"","parse-names":false,"suffix":""}],"container-title":"Pacific Symposium on Biocomputing 2011","id":"ITEM-2","issued":{"date-parts":[["2010"]]},"page":"165-176","title":"Comparing bacterial communities inferred from 16S rRNA gene sequencing and shotgun metagenomics","type":"article-journal"},"uris":["http://www.mendeley.com/documents/?uuid=ef7d3525-0873-405e-ba8f-cfe3dbbbdd6c"]},{"id":"ITEM-3","itemData":{"DOI":"10.1111/1462-2920.12086","ISSN":"14622912","abstract":"Next-generation sequencing has dramatically changed the landscape of microbial ecology, large-scale and in-depth diversity studies being now widely accessible. However, determining the accuracy of taxonomic and quantitative inferences and comparing results obtained with different approaches are complicated by incongruence of experimental and computational data types and also by lack of knowledge of the true ecological diversity. Here we used highly diverse bacterial and archaeal synthetic communities assembled from pure genomic DNAs to compare inferences from metagenomic and SSU rRNA amplicon sequencing. Both Illumina and 454 metagenomic data outperformed amplicon sequencing in quantifying the community composition, but the outcome was dependent on analysis parameters and platform. New approaches in processing and classifying amplicons can reconstruct the taxonomic composition of the community with high reproducibility within primer sets, but all tested primers sets lead to significant taxon-specific biases. Controlled synthetic communities assembled to broadly mimic the phylogenetic richness in target environments can provide important validation for fine-tuning experimental and computational parameters used to characterize natural communities.","author":[{"dropping-particle":"","family":"Shakya","given":"Migun","non-dropping-particle":"","parse-names":false,"suffix":""},{"dropping-particle":"","family":"Quince","given":"Christopher","non-dropping-particle":"","parse-names":false,"suffix":""},{"dropping-particle":"","family":"Campbell","given":"James H.","non-dropping-particle":"","parse-names":false,"suffix":""},{"dropping-particle":"","family":"Yang","given":"Zamin K.","non-dropping-particle":"","parse-names":false,"suffix":""},{"dropping-particle":"","family":"Schadt","given":"Christopher W.","non-dropping-particle":"","parse-names":false,"suffix":""},{"dropping-particle":"","family":"Podar","given":"Mircea","non-dropping-particle":"","parse-names":false,"suffix":""}],"container-title":"Environmental Microbiology","id":"ITEM-3","issue":"6","issued":{"date-parts":[["2013"]]},"page":"1882-1899","title":"Comparative metagenomic and rRNA microbial diversity characterization using archaeal and bacterial synthetic communities","type":"article-journal","volume":"15"},"uris":["http://www.mendeley.com/documents/?uuid=994b3804-ae89-4546-a2e0-29285c8c2c04"]}],"mendeley":{"formattedCitation":"(Logares et al., 2014; Shah et al., 2010; Shakya et al., 2013)","plainTextFormattedCitation":"(Logares et al., 2014; Shah et al., 2010; Shakya et al., 2013)","previouslyFormattedCitation":"(Logares et al., 2014; Shah et al., 2010; Shakya et al., 2013)"},"properties":{"noteIndex":0},"schema":"https://github.com/citation-style-language/schema/raw/master/csl-citation.json"}</w:instrText>
      </w:r>
      <w:r w:rsidR="00F638A3">
        <w:rPr>
          <w:rFonts w:ascii="Calibri" w:hAnsi="Calibri" w:cs="Calibri"/>
          <w:color w:val="000000" w:themeColor="text1"/>
        </w:rPr>
        <w:fldChar w:fldCharType="separate"/>
      </w:r>
      <w:r w:rsidR="00F638A3" w:rsidRPr="00F638A3">
        <w:rPr>
          <w:rFonts w:ascii="Calibri" w:hAnsi="Calibri" w:cs="Calibri"/>
          <w:noProof/>
          <w:color w:val="000000" w:themeColor="text1"/>
        </w:rPr>
        <w:t>(Logares et al., 2014; Shah et al., 2010; Shakya et al., 2013)</w:t>
      </w:r>
      <w:r w:rsidR="00F638A3">
        <w:rPr>
          <w:rFonts w:ascii="Calibri" w:hAnsi="Calibri" w:cs="Calibri"/>
          <w:color w:val="000000" w:themeColor="text1"/>
        </w:rPr>
        <w:fldChar w:fldCharType="end"/>
      </w:r>
      <w:r w:rsidR="00BA3733">
        <w:rPr>
          <w:rFonts w:ascii="Calibri" w:hAnsi="Calibri" w:cs="Calibri"/>
          <w:color w:val="000000" w:themeColor="text1"/>
        </w:rPr>
        <w:t>,</w:t>
      </w:r>
      <w:r w:rsidR="00C13917">
        <w:rPr>
          <w:rFonts w:ascii="Calibri" w:hAnsi="Calibri" w:cs="Calibri"/>
          <w:color w:val="000000" w:themeColor="text1"/>
        </w:rPr>
        <w:t xml:space="preserve"> </w:t>
      </w:r>
      <w:r w:rsidR="00A96A61">
        <w:rPr>
          <w:rFonts w:ascii="Calibri" w:hAnsi="Calibri" w:cs="Calibri"/>
          <w:color w:val="000000" w:themeColor="text1"/>
        </w:rPr>
        <w:t xml:space="preserve">whereas </w:t>
      </w:r>
      <w:r w:rsidR="00C13917">
        <w:rPr>
          <w:rFonts w:ascii="Calibri" w:hAnsi="Calibri" w:cs="Calibri"/>
          <w:color w:val="000000" w:themeColor="text1"/>
        </w:rPr>
        <w:t>at low sequencing depths</w:t>
      </w:r>
      <w:r w:rsidR="00F638A3">
        <w:rPr>
          <w:rFonts w:ascii="Calibri" w:hAnsi="Calibri" w:cs="Calibri"/>
          <w:color w:val="000000" w:themeColor="text1"/>
        </w:rPr>
        <w:t>,</w:t>
      </w:r>
      <w:r w:rsidR="00C13917">
        <w:rPr>
          <w:rFonts w:ascii="Calibri" w:hAnsi="Calibri" w:cs="Calibri"/>
          <w:color w:val="000000" w:themeColor="text1"/>
        </w:rPr>
        <w:t xml:space="preserve"> </w:t>
      </w:r>
      <w:r w:rsidR="00745D52">
        <w:rPr>
          <w:rFonts w:ascii="Calibri" w:hAnsi="Calibri" w:cs="Calibri"/>
          <w:color w:val="000000" w:themeColor="text1"/>
        </w:rPr>
        <w:t>the coverage of barcodes can</w:t>
      </w:r>
      <w:r w:rsidR="00BA3733">
        <w:rPr>
          <w:rFonts w:ascii="Calibri" w:hAnsi="Calibri" w:cs="Calibri"/>
          <w:color w:val="000000" w:themeColor="text1"/>
        </w:rPr>
        <w:t xml:space="preserve"> sometimes be </w:t>
      </w:r>
      <w:r w:rsidR="00A96A61">
        <w:rPr>
          <w:rFonts w:ascii="Calibri" w:hAnsi="Calibri" w:cs="Calibri"/>
          <w:color w:val="000000" w:themeColor="text1"/>
        </w:rPr>
        <w:t>too</w:t>
      </w:r>
      <w:r w:rsidR="00BA3733">
        <w:rPr>
          <w:rFonts w:ascii="Calibri" w:hAnsi="Calibri" w:cs="Calibri"/>
          <w:color w:val="000000" w:themeColor="text1"/>
        </w:rPr>
        <w:t xml:space="preserve"> low and</w:t>
      </w:r>
      <w:r w:rsidR="00EB444C">
        <w:rPr>
          <w:rFonts w:ascii="Calibri" w:hAnsi="Calibri" w:cs="Calibri"/>
          <w:color w:val="000000" w:themeColor="text1"/>
        </w:rPr>
        <w:t xml:space="preserve"> </w:t>
      </w:r>
      <w:r w:rsidR="00F638A3" w:rsidRPr="00BA3733">
        <w:rPr>
          <w:rFonts w:ascii="Calibri" w:hAnsi="Calibri" w:cs="Calibri"/>
          <w:color w:val="000000" w:themeColor="text1"/>
        </w:rPr>
        <w:t xml:space="preserve">metagenomics can be outperformed by metabarcoding </w:t>
      </w:r>
      <w:r w:rsidR="00F638A3" w:rsidRPr="00BA3733">
        <w:rPr>
          <w:rFonts w:ascii="Calibri" w:hAnsi="Calibri" w:cs="Calibri"/>
          <w:color w:val="000000" w:themeColor="text1"/>
        </w:rPr>
        <w:fldChar w:fldCharType="begin" w:fldLock="1"/>
      </w:r>
      <w:r w:rsidR="00853528" w:rsidRPr="00BA3733">
        <w:rPr>
          <w:rFonts w:ascii="Calibri" w:hAnsi="Calibri" w:cs="Calibri"/>
          <w:color w:val="000000" w:themeColor="text1"/>
        </w:rPr>
        <w:instrText>ADDIN CSL_CITATION {"citationItems":[{"id":"ITEM-1","itemData":{"DOI":"10.1101/2020.03.16.993667","abstract":"The isolation and analysis of environmental DNA (eDNA) for ecosystem assessment and monitoring has become increasingly popular. A majority of studies have taken a metabarcoding approach--that is, amplifying and sequencing one or more gene targets of interest. Shotgun sequencing of eDNA--also called metagenomics--while popular in microbial community analysis has not seen much adoption for the analysis of other groups of organisms. Especially in light of the existence of extremely high-capacity DNA sequencers, we decided to test the performance of a shotgun approach side-by-side with a metabarcoding approach on marine water samples obtained from offshore Newfoundland. We found that metabarcoding remains the most efficient technique, but that metagenomics also has significant power to reveal biodiversity patterns, and in fact can be treated as an independent confirmation of ecological gradients. Moreover, we show that metagenomics can also be used to infer factors related to ecosystem health and function.","author":[{"dropping-particle":"","family":"Singer","given":"Gregory A C","non-dropping-particle":"","parse-names":false,"suffix":""},{"dropping-particle":"","family":"Shekarriz","given":"Shahrokh","non-dropping-particle":"","parse-names":false,"suffix":""},{"dropping-particle":"","family":"McCarthy","given":"Avery","non-dropping-particle":"","parse-names":false,"suffix":""},{"dropping-particle":"","family":"Fahner","given":"Nicole","non-dropping-particle":"","parse-names":false,"suffix":""},{"dropping-particle":"","family":"Hajibabaei","given":"Mehrdad","non-dropping-particle":"","parse-names":false,"suffix":""}],"container-title":"bioRxiv","id":"ITEM-1","issued":{"date-parts":[["2020"]]},"page":"2020.03.16.993667","title":"The utility of a metagenomics approach for marine biomonitoring","type":"article-journal"},"uris":["http://www.mendeley.com/documents/?uuid=088dda17-878b-483e-a5e5-1d04e8e2d194"]},{"id":"ITEM-2","itemData":{"DOI":"10.1038/s41598-017-12501-5","ISBN":"7034894671","ISSN":"20452322","PMID":"28947818","abstract":"Effective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Reports","id":"ITEM-2","issue":"1","issued":{"date-parts":[["2017"]]},"page":"1-11","publisher":"Springer US","title":"Ecosystem biomonitoring with eDNA: Metabarcoding across the tree of life in a tropical marine environment","type":"article-journal","volume":"7"},"uris":["http://www.mendeley.com/documents/?uuid=4d3beede-e883-48ff-9887-785fa56a54e9"]}],"mendeley":{"formattedCitation":"(Singer et al., 2020; Stat et al., 2017)","plainTextFormattedCitation":"(Singer et al., 2020; Stat et al., 2017)","previouslyFormattedCitation":"(Singer et al., 2020; Stat et al., 2017)"},"properties":{"noteIndex":0},"schema":"https://github.com/citation-style-language/schema/raw/master/csl-citation.json"}</w:instrText>
      </w:r>
      <w:r w:rsidR="00F638A3" w:rsidRPr="00BA3733">
        <w:rPr>
          <w:rFonts w:ascii="Calibri" w:hAnsi="Calibri" w:cs="Calibri"/>
          <w:color w:val="000000" w:themeColor="text1"/>
        </w:rPr>
        <w:fldChar w:fldCharType="separate"/>
      </w:r>
      <w:r w:rsidR="00F638A3" w:rsidRPr="00BA3733">
        <w:rPr>
          <w:rFonts w:ascii="Calibri" w:hAnsi="Calibri" w:cs="Calibri"/>
          <w:noProof/>
          <w:color w:val="000000" w:themeColor="text1"/>
        </w:rPr>
        <w:t>(Singer et al., 2020; Stat et al., 2017)</w:t>
      </w:r>
      <w:r w:rsidR="00F638A3" w:rsidRPr="00BA3733">
        <w:rPr>
          <w:rFonts w:ascii="Calibri" w:hAnsi="Calibri" w:cs="Calibri"/>
          <w:color w:val="000000" w:themeColor="text1"/>
        </w:rPr>
        <w:fldChar w:fldCharType="end"/>
      </w:r>
      <w:r w:rsidR="007F079D" w:rsidRPr="00BA3733">
        <w:rPr>
          <w:rFonts w:ascii="Calibri" w:hAnsi="Calibri" w:cs="Calibri"/>
          <w:color w:val="000000" w:themeColor="text1"/>
        </w:rPr>
        <w:t>.</w:t>
      </w:r>
    </w:p>
    <w:p w14:paraId="1D26282D" w14:textId="53D0EA9A" w:rsidR="00795AE9" w:rsidRDefault="00EB444C" w:rsidP="00795AE9">
      <w:pPr>
        <w:spacing w:line="360" w:lineRule="auto"/>
        <w:ind w:firstLine="720"/>
        <w:jc w:val="both"/>
        <w:rPr>
          <w:rFonts w:ascii="Calibri" w:hAnsi="Calibri" w:cs="Calibri"/>
          <w:color w:val="000000" w:themeColor="text1"/>
        </w:rPr>
      </w:pPr>
      <w:r>
        <w:rPr>
          <w:rFonts w:ascii="Calibri" w:hAnsi="Calibri" w:cs="Calibri"/>
          <w:color w:val="000000" w:themeColor="text1"/>
        </w:rPr>
        <w:t>Another factor that needs to be considered for metagenomics is the high costs that are involved for</w:t>
      </w:r>
      <w:r w:rsidR="00853528">
        <w:rPr>
          <w:rFonts w:ascii="Calibri" w:hAnsi="Calibri" w:cs="Calibri"/>
          <w:color w:val="000000" w:themeColor="text1"/>
        </w:rPr>
        <w:t xml:space="preserve"> high sequencing depths</w:t>
      </w:r>
      <w:r>
        <w:rPr>
          <w:rFonts w:ascii="Calibri" w:hAnsi="Calibri" w:cs="Calibri"/>
          <w:color w:val="000000" w:themeColor="text1"/>
        </w:rPr>
        <w:t>.</w:t>
      </w:r>
      <w:r w:rsidR="00795AE9">
        <w:rPr>
          <w:rFonts w:ascii="Calibri" w:hAnsi="Calibri" w:cs="Calibri"/>
          <w:color w:val="000000" w:themeColor="text1"/>
        </w:rPr>
        <w:t xml:space="preserve"> Given the previously mentioned dependency of metagenomics on sequencing depth, i</w:t>
      </w:r>
      <w:r>
        <w:rPr>
          <w:rFonts w:ascii="Calibri" w:hAnsi="Calibri" w:cs="Calibri"/>
          <w:color w:val="000000" w:themeColor="text1"/>
        </w:rPr>
        <w:t xml:space="preserve">t is recommended to aim for </w:t>
      </w:r>
      <w:r w:rsidRPr="00EB444C">
        <w:rPr>
          <w:rFonts w:ascii="Calibri" w:hAnsi="Calibri" w:cs="Calibri"/>
          <w:color w:val="000000" w:themeColor="text1"/>
        </w:rPr>
        <w:t>﻿maximize</w:t>
      </w:r>
      <w:r>
        <w:rPr>
          <w:rFonts w:ascii="Calibri" w:hAnsi="Calibri" w:cs="Calibri"/>
          <w:color w:val="000000" w:themeColor="text1"/>
        </w:rPr>
        <w:t>d</w:t>
      </w:r>
      <w:r w:rsidRPr="00EB444C">
        <w:rPr>
          <w:rFonts w:ascii="Calibri" w:hAnsi="Calibri" w:cs="Calibri"/>
          <w:color w:val="000000" w:themeColor="text1"/>
        </w:rPr>
        <w:t xml:space="preserve"> </w:t>
      </w:r>
      <w:r>
        <w:rPr>
          <w:rFonts w:ascii="Calibri" w:hAnsi="Calibri" w:cs="Calibri"/>
          <w:color w:val="000000" w:themeColor="text1"/>
        </w:rPr>
        <w:t xml:space="preserve">sequencing </w:t>
      </w:r>
      <w:r w:rsidRPr="00EB444C">
        <w:rPr>
          <w:rFonts w:ascii="Calibri" w:hAnsi="Calibri" w:cs="Calibri"/>
          <w:color w:val="000000" w:themeColor="text1"/>
        </w:rPr>
        <w:t>output</w:t>
      </w:r>
      <w:r>
        <w:rPr>
          <w:rFonts w:ascii="Calibri" w:hAnsi="Calibri" w:cs="Calibri"/>
          <w:color w:val="000000" w:themeColor="text1"/>
        </w:rPr>
        <w:t xml:space="preserve"> when performing metagenomics</w:t>
      </w:r>
      <w:r w:rsidR="00795AE9">
        <w:rPr>
          <w:rFonts w:ascii="Calibri" w:hAnsi="Calibri" w:cs="Calibri"/>
          <w:color w:val="000000" w:themeColor="text1"/>
        </w:rPr>
        <w:t xml:space="preserve">. </w:t>
      </w:r>
      <w:r w:rsidRPr="00EB444C">
        <w:rPr>
          <w:rFonts w:ascii="Calibri" w:hAnsi="Calibri" w:cs="Calibri"/>
          <w:color w:val="000000" w:themeColor="text1"/>
        </w:rPr>
        <w:t xml:space="preserve">﻿Illumina </w:t>
      </w:r>
      <w:proofErr w:type="spellStart"/>
      <w:r w:rsidRPr="00EB444C">
        <w:rPr>
          <w:rFonts w:ascii="Calibri" w:hAnsi="Calibri" w:cs="Calibri"/>
          <w:color w:val="000000" w:themeColor="text1"/>
        </w:rPr>
        <w:t>HiSeq</w:t>
      </w:r>
      <w:proofErr w:type="spellEnd"/>
      <w:r w:rsidRPr="00EB444C">
        <w:rPr>
          <w:rFonts w:ascii="Calibri" w:hAnsi="Calibri" w:cs="Calibri"/>
          <w:color w:val="000000" w:themeColor="text1"/>
        </w:rPr>
        <w:t xml:space="preserve">, </w:t>
      </w:r>
      <w:proofErr w:type="spellStart"/>
      <w:r w:rsidRPr="00EB444C">
        <w:rPr>
          <w:rFonts w:ascii="Calibri" w:hAnsi="Calibri" w:cs="Calibri"/>
          <w:color w:val="000000" w:themeColor="text1"/>
        </w:rPr>
        <w:t>NextSeq</w:t>
      </w:r>
      <w:proofErr w:type="spellEnd"/>
      <w:r w:rsidR="00A35E1D">
        <w:rPr>
          <w:rFonts w:ascii="Calibri" w:hAnsi="Calibri" w:cs="Calibri"/>
          <w:color w:val="000000" w:themeColor="text1"/>
        </w:rPr>
        <w:t>,</w:t>
      </w:r>
      <w:r w:rsidRPr="00EB444C">
        <w:rPr>
          <w:rFonts w:ascii="Calibri" w:hAnsi="Calibri" w:cs="Calibri"/>
          <w:color w:val="000000" w:themeColor="text1"/>
        </w:rPr>
        <w:t xml:space="preserve"> and </w:t>
      </w:r>
      <w:proofErr w:type="spellStart"/>
      <w:r w:rsidRPr="00EB444C">
        <w:rPr>
          <w:rFonts w:ascii="Calibri" w:hAnsi="Calibri" w:cs="Calibri"/>
          <w:color w:val="000000" w:themeColor="text1"/>
        </w:rPr>
        <w:t>NovaSeq</w:t>
      </w:r>
      <w:proofErr w:type="spellEnd"/>
      <w:r>
        <w:rPr>
          <w:rFonts w:ascii="Calibri" w:hAnsi="Calibri" w:cs="Calibri"/>
          <w:color w:val="000000" w:themeColor="text1"/>
        </w:rPr>
        <w:t xml:space="preserve"> </w:t>
      </w:r>
      <w:r w:rsidR="00795AE9">
        <w:rPr>
          <w:rFonts w:ascii="Calibri" w:hAnsi="Calibri" w:cs="Calibri"/>
          <w:color w:val="000000" w:themeColor="text1"/>
        </w:rPr>
        <w:t xml:space="preserve">sequencing runs </w:t>
      </w:r>
      <w:r>
        <w:rPr>
          <w:rFonts w:ascii="Calibri" w:hAnsi="Calibri" w:cs="Calibri"/>
          <w:color w:val="000000" w:themeColor="text1"/>
        </w:rPr>
        <w:t xml:space="preserve">are considered to be suited </w:t>
      </w:r>
      <w:r w:rsidR="00795AE9">
        <w:rPr>
          <w:rFonts w:ascii="Calibri" w:hAnsi="Calibri" w:cs="Calibri"/>
          <w:color w:val="000000" w:themeColor="text1"/>
        </w:rPr>
        <w:t xml:space="preserve">for that purpose </w:t>
      </w:r>
      <w:r>
        <w:rPr>
          <w:rFonts w:ascii="Calibri" w:hAnsi="Calibri" w:cs="Calibri"/>
          <w:color w:val="000000" w:themeColor="text1"/>
        </w:rPr>
        <w:fldChar w:fldCharType="begin" w:fldLock="1"/>
      </w:r>
      <w:r w:rsidR="006939CC">
        <w:rPr>
          <w:rFonts w:ascii="Calibri" w:hAnsi="Calibri" w:cs="Calibri"/>
          <w:color w:val="000000" w:themeColor="text1"/>
        </w:rPr>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analysis","type":"article-journal","volume":"35"},"uris":["http://www.mendeley.com/documents/?uuid=129e7328-0ff5-4a4a-883f-e12061863c72"]}],"mendeley":{"formattedCitation":"(Quince et al., 2017)","plainTextFormattedCitation":"(Quince et al., 2017)","previouslyFormattedCitation":"(Quince et al., 2017)"},"properties":{"noteIndex":0},"schema":"https://github.com/citation-style-language/schema/raw/master/csl-citation.json"}</w:instrText>
      </w:r>
      <w:r>
        <w:rPr>
          <w:rFonts w:ascii="Calibri" w:hAnsi="Calibri" w:cs="Calibri"/>
          <w:color w:val="000000" w:themeColor="text1"/>
        </w:rPr>
        <w:fldChar w:fldCharType="separate"/>
      </w:r>
      <w:r w:rsidRPr="00EB444C">
        <w:rPr>
          <w:rFonts w:ascii="Calibri" w:hAnsi="Calibri" w:cs="Calibri"/>
          <w:noProof/>
          <w:color w:val="000000" w:themeColor="text1"/>
        </w:rPr>
        <w:t>(Quince et al., 2017)</w:t>
      </w:r>
      <w:r>
        <w:rPr>
          <w:rFonts w:ascii="Calibri" w:hAnsi="Calibri" w:cs="Calibri"/>
          <w:color w:val="000000" w:themeColor="text1"/>
        </w:rPr>
        <w:fldChar w:fldCharType="end"/>
      </w:r>
      <w:r>
        <w:rPr>
          <w:rFonts w:ascii="Calibri" w:hAnsi="Calibri" w:cs="Calibri"/>
          <w:color w:val="000000" w:themeColor="text1"/>
        </w:rPr>
        <w:t>.</w:t>
      </w:r>
      <w:r w:rsidR="00795AE9">
        <w:rPr>
          <w:rFonts w:ascii="Calibri" w:hAnsi="Calibri" w:cs="Calibri"/>
          <w:color w:val="000000" w:themeColor="text1"/>
        </w:rPr>
        <w:t xml:space="preserve"> However, running these sequencers is expensive, and for many biomonitoring applications, it is important to consider the </w:t>
      </w:r>
      <w:r w:rsidR="00795AE9">
        <w:rPr>
          <w:rFonts w:ascii="Calibri" w:hAnsi="Calibri" w:cs="Calibri"/>
          <w:color w:val="000000" w:themeColor="text1"/>
        </w:rPr>
        <w:lastRenderedPageBreak/>
        <w:t xml:space="preserve">limited budget available to stakeholders. Consequently, the use of these high </w:t>
      </w:r>
      <w:r w:rsidR="00A96A61">
        <w:rPr>
          <w:rFonts w:ascii="Calibri" w:hAnsi="Calibri" w:cs="Calibri"/>
          <w:color w:val="000000" w:themeColor="text1"/>
        </w:rPr>
        <w:t xml:space="preserve">sequencing </w:t>
      </w:r>
      <w:r w:rsidR="00795AE9">
        <w:rPr>
          <w:rFonts w:ascii="Calibri" w:hAnsi="Calibri" w:cs="Calibri"/>
          <w:color w:val="000000" w:themeColor="text1"/>
        </w:rPr>
        <w:t xml:space="preserve">output sequencers might not be </w:t>
      </w:r>
      <w:r w:rsidR="00A96A61">
        <w:rPr>
          <w:rFonts w:ascii="Calibri" w:hAnsi="Calibri" w:cs="Calibri"/>
          <w:color w:val="000000" w:themeColor="text1"/>
        </w:rPr>
        <w:t xml:space="preserve">affordable yet for routine </w:t>
      </w:r>
      <w:r w:rsidR="00D274ED">
        <w:rPr>
          <w:rFonts w:ascii="Calibri" w:hAnsi="Calibri" w:cs="Calibri"/>
          <w:color w:val="000000" w:themeColor="text1"/>
        </w:rPr>
        <w:t>biomonitoring</w:t>
      </w:r>
      <w:r w:rsidR="00795AE9">
        <w:rPr>
          <w:rFonts w:ascii="Calibri" w:hAnsi="Calibri" w:cs="Calibri"/>
          <w:color w:val="000000" w:themeColor="text1"/>
        </w:rPr>
        <w:t>.</w:t>
      </w:r>
    </w:p>
    <w:p w14:paraId="011F4B80" w14:textId="02FF7488" w:rsidR="00A57A05" w:rsidRDefault="00896C79" w:rsidP="00795AE9">
      <w:pPr>
        <w:spacing w:line="360" w:lineRule="auto"/>
        <w:ind w:firstLine="720"/>
        <w:jc w:val="both"/>
        <w:rPr>
          <w:rFonts w:ascii="Calibri" w:hAnsi="Calibri" w:cs="Calibri"/>
          <w:color w:val="000000" w:themeColor="text1"/>
        </w:rPr>
      </w:pPr>
      <w:commentRangeStart w:id="3"/>
      <w:commentRangeEnd w:id="3"/>
      <w:r>
        <w:rPr>
          <w:rStyle w:val="CommentReference"/>
        </w:rPr>
        <w:commentReference w:id="3"/>
      </w:r>
    </w:p>
    <w:p w14:paraId="6253B98D" w14:textId="3E2D2841" w:rsidR="002D1DC2" w:rsidRDefault="002D1DC2" w:rsidP="002D1DC2">
      <w:pPr>
        <w:spacing w:line="360" w:lineRule="auto"/>
        <w:jc w:val="both"/>
      </w:pPr>
    </w:p>
    <w:p w14:paraId="404A6E9B" w14:textId="53C23BA5" w:rsidR="002D1DC2" w:rsidRDefault="002D1DC2" w:rsidP="002D1DC2">
      <w:pPr>
        <w:spacing w:line="360" w:lineRule="auto"/>
        <w:jc w:val="both"/>
      </w:pPr>
      <w:r>
        <w:t>PART 2.</w:t>
      </w:r>
      <w:r w:rsidR="00FC6056">
        <w:t>3</w:t>
      </w:r>
      <w:r>
        <w:t>: TOTAL RNA SEQ</w:t>
      </w:r>
    </w:p>
    <w:p w14:paraId="4FCBECE7" w14:textId="71184231" w:rsidR="00987EBB" w:rsidRDefault="00FC6056" w:rsidP="00896C79">
      <w:pPr>
        <w:spacing w:line="360" w:lineRule="auto"/>
        <w:ind w:firstLine="576"/>
        <w:jc w:val="both"/>
        <w:rPr>
          <w:rFonts w:ascii="Calibri" w:hAnsi="Calibri" w:cs="Calibri"/>
          <w:color w:val="000000" w:themeColor="text1"/>
        </w:rPr>
      </w:pPr>
      <w:r>
        <w:tab/>
        <w:t xml:space="preserve"> </w:t>
      </w:r>
      <w:r w:rsidR="00896C79">
        <w:rPr>
          <w:rFonts w:ascii="Calibri" w:hAnsi="Calibri" w:cs="Calibri"/>
          <w:color w:val="000000" w:themeColor="text1"/>
        </w:rPr>
        <w:t>A</w:t>
      </w:r>
      <w:r w:rsidR="00795AE9">
        <w:rPr>
          <w:rFonts w:ascii="Calibri" w:hAnsi="Calibri" w:cs="Calibri"/>
          <w:color w:val="000000" w:themeColor="text1"/>
        </w:rPr>
        <w:t>nother</w:t>
      </w:r>
      <w:r w:rsidR="00896C79">
        <w:rPr>
          <w:rFonts w:ascii="Calibri" w:hAnsi="Calibri" w:cs="Calibri"/>
          <w:color w:val="000000" w:themeColor="text1"/>
        </w:rPr>
        <w:t xml:space="preserve"> promising but not broadly applied approach to taxonomic profiling is total </w:t>
      </w:r>
      <w:r w:rsidR="00D62ED7">
        <w:rPr>
          <w:rFonts w:ascii="Calibri" w:hAnsi="Calibri" w:cs="Calibri"/>
          <w:color w:val="000000" w:themeColor="text1"/>
        </w:rPr>
        <w:t>RNA sequencing (total RNA-Seq)</w:t>
      </w:r>
      <w:r w:rsidR="00896C79">
        <w:rPr>
          <w:rFonts w:ascii="Calibri" w:hAnsi="Calibri" w:cs="Calibri"/>
          <w:color w:val="000000" w:themeColor="text1"/>
        </w:rPr>
        <w:t xml:space="preserve">. </w:t>
      </w:r>
      <w:r w:rsidR="00BD071E">
        <w:rPr>
          <w:rFonts w:ascii="Calibri" w:hAnsi="Calibri" w:cs="Calibri"/>
          <w:color w:val="000000" w:themeColor="text1"/>
        </w:rPr>
        <w:t xml:space="preserve">For this approach, RNA instead of DNA is </w:t>
      </w:r>
      <w:r w:rsidR="004229F1">
        <w:rPr>
          <w:rFonts w:ascii="Calibri" w:hAnsi="Calibri" w:cs="Calibri"/>
          <w:color w:val="000000" w:themeColor="text1"/>
        </w:rPr>
        <w:t>shotgun</w:t>
      </w:r>
      <w:r w:rsidR="00BD071E">
        <w:rPr>
          <w:rFonts w:ascii="Calibri" w:hAnsi="Calibri" w:cs="Calibri"/>
          <w:color w:val="000000" w:themeColor="text1"/>
        </w:rPr>
        <w:t xml:space="preserve"> sequenced, which is called metatranscriptomics. </w:t>
      </w:r>
      <w:r w:rsidR="006A3798">
        <w:rPr>
          <w:rFonts w:ascii="Calibri" w:hAnsi="Calibri" w:cs="Calibri"/>
          <w:color w:val="000000" w:themeColor="text1"/>
        </w:rPr>
        <w:t xml:space="preserve">RNA </w:t>
      </w:r>
      <w:r w:rsidR="0075059D">
        <w:rPr>
          <w:rFonts w:ascii="Calibri" w:hAnsi="Calibri" w:cs="Calibri"/>
          <w:color w:val="000000" w:themeColor="text1"/>
        </w:rPr>
        <w:t xml:space="preserve">from a single cell </w:t>
      </w:r>
      <w:r w:rsidR="006A3798">
        <w:rPr>
          <w:rFonts w:ascii="Calibri" w:hAnsi="Calibri" w:cs="Calibri"/>
          <w:color w:val="000000" w:themeColor="text1"/>
        </w:rPr>
        <w:t xml:space="preserve">consists to &gt;85% of rRNA </w:t>
      </w:r>
      <w:r w:rsidR="0075059D">
        <w:rPr>
          <w:rFonts w:ascii="Calibri" w:hAnsi="Calibri" w:cs="Calibri"/>
          <w:color w:val="000000" w:themeColor="text1"/>
        </w:rPr>
        <w:t xml:space="preserve">and &lt;15% of mRNA </w:t>
      </w:r>
      <w:r w:rsidR="006A3798">
        <w:rPr>
          <w:rStyle w:val="FootnoteReference"/>
        </w:rPr>
        <w:fldChar w:fldCharType="begin" w:fldLock="1"/>
      </w:r>
      <w:r w:rsidR="00EA11B7">
        <w:instrText>ADDIN CSL_CITATION {"citationItems":[{"id":"ITEM-1","itemData":{"DOI":"10.1007/978-1-4684-3417-0_12","ISBN":"978-1-4684-3417-0","abstract":"The long title of this chapter was suggested by the editor. I find it excellent because, right away, it points to the complexity and vagueness of the subject. This in turn forces the author to clarify his position. First of all I shall not deal with eukaryotic cells; partly because I lack the necessary specialized knowledge, but also because, as a rule, these cells contain more than one protein-synthesizing system (PSS), making them particularly difficult to analyze. So, this chapter is about the PSS in bacteria with the usual bias toward Escherichia coli.","author":[{"dropping-particle":"","family":"Maaløe","given":"O","non-dropping-particle":"","parse-names":false,"suffix":""}],"container-title":"Biological Regulation and Development: Gene Expression","editor":[{"dropping-particle":"","family":"Goldberger","given":"Robert F","non-dropping-particle":"","parse-names":false,"suffix":""}],"id":"ITEM-1","issued":{"date-parts":[["1979"]]},"page":"487-542","publisher":"Springer US","publisher-place":"Boston, MA","title":"Regulation of the Protein-Synthesizing Machinery---Ribosomes, tRNA, Factors, and So On","type":"chapter"},"uris":["http://www.mendeley.com/documents/?uuid=df82fedf-5511-4ed8-b29f-9d425296ee39"]}],"mendeley":{"formattedCitation":"(Maaløe, 1979)","plainTextFormattedCitation":"(Maaløe, 1979)","previouslyFormattedCitation":"(Maaløe, 1979)"},"properties":{"noteIndex":0},"schema":"https://github.com/citation-style-language/schema/raw/master/csl-citation.json"}</w:instrText>
      </w:r>
      <w:r w:rsidR="006A3798">
        <w:rPr>
          <w:rStyle w:val="FootnoteReference"/>
        </w:rPr>
        <w:fldChar w:fldCharType="separate"/>
      </w:r>
      <w:r w:rsidR="006A3798" w:rsidRPr="00886040">
        <w:rPr>
          <w:noProof/>
        </w:rPr>
        <w:t>(Maaløe, 1979)</w:t>
      </w:r>
      <w:r w:rsidR="006A3798">
        <w:rPr>
          <w:rStyle w:val="FootnoteReference"/>
        </w:rPr>
        <w:fldChar w:fldCharType="end"/>
      </w:r>
      <w:r w:rsidR="0075059D">
        <w:t xml:space="preserve">, and </w:t>
      </w:r>
      <w:r w:rsidR="006939CC">
        <w:t xml:space="preserve">therefore, </w:t>
      </w:r>
      <w:r w:rsidR="00BD071E">
        <w:rPr>
          <w:rFonts w:ascii="Calibri" w:hAnsi="Calibri" w:cs="Calibri"/>
          <w:color w:val="000000" w:themeColor="text1"/>
        </w:rPr>
        <w:t>metatranscriptomics</w:t>
      </w:r>
      <w:r w:rsidR="006939CC">
        <w:rPr>
          <w:rFonts w:ascii="Calibri" w:hAnsi="Calibri" w:cs="Calibri"/>
          <w:color w:val="000000" w:themeColor="text1"/>
        </w:rPr>
        <w:t xml:space="preserve"> usually</w:t>
      </w:r>
      <w:r w:rsidR="00BD071E">
        <w:rPr>
          <w:rFonts w:ascii="Calibri" w:hAnsi="Calibri" w:cs="Calibri"/>
          <w:color w:val="000000" w:themeColor="text1"/>
        </w:rPr>
        <w:t xml:space="preserve"> </w:t>
      </w:r>
      <w:r w:rsidR="0095217A">
        <w:rPr>
          <w:rFonts w:ascii="Calibri" w:hAnsi="Calibri" w:cs="Calibri"/>
          <w:color w:val="000000" w:themeColor="text1"/>
        </w:rPr>
        <w:t xml:space="preserve">includes </w:t>
      </w:r>
      <w:r w:rsidR="00D274ED">
        <w:rPr>
          <w:rFonts w:ascii="Calibri" w:hAnsi="Calibri" w:cs="Calibri"/>
          <w:color w:val="000000" w:themeColor="text1"/>
        </w:rPr>
        <w:t>an</w:t>
      </w:r>
      <w:r w:rsidR="0095217A">
        <w:rPr>
          <w:rFonts w:ascii="Calibri" w:hAnsi="Calibri" w:cs="Calibri"/>
          <w:color w:val="000000" w:themeColor="text1"/>
        </w:rPr>
        <w:t xml:space="preserve"> mRNA enrichment step such as</w:t>
      </w:r>
      <w:r w:rsidR="00BD071E">
        <w:rPr>
          <w:rFonts w:ascii="Calibri" w:hAnsi="Calibri" w:cs="Calibri"/>
          <w:color w:val="000000" w:themeColor="text1"/>
        </w:rPr>
        <w:t xml:space="preserve"> rRNA deplet</w:t>
      </w:r>
      <w:r w:rsidR="00886040">
        <w:rPr>
          <w:rFonts w:ascii="Calibri" w:hAnsi="Calibri" w:cs="Calibri"/>
          <w:color w:val="000000" w:themeColor="text1"/>
        </w:rPr>
        <w:t>ion</w:t>
      </w:r>
      <w:r w:rsidR="00BD071E">
        <w:rPr>
          <w:rFonts w:ascii="Calibri" w:hAnsi="Calibri" w:cs="Calibri"/>
          <w:color w:val="000000" w:themeColor="text1"/>
        </w:rPr>
        <w:t xml:space="preserve"> </w:t>
      </w:r>
      <w:r w:rsidR="00487CC7">
        <w:rPr>
          <w:rFonts w:ascii="Calibri" w:hAnsi="Calibri" w:cs="Calibri"/>
          <w:color w:val="000000" w:themeColor="text1"/>
        </w:rPr>
        <w:t xml:space="preserve">because the approach is </w:t>
      </w:r>
      <w:r w:rsidR="00CF4C17">
        <w:rPr>
          <w:rFonts w:ascii="Calibri" w:hAnsi="Calibri" w:cs="Calibri"/>
          <w:color w:val="000000" w:themeColor="text1"/>
        </w:rPr>
        <w:t>usually</w:t>
      </w:r>
      <w:r w:rsidR="00487CC7">
        <w:rPr>
          <w:rFonts w:ascii="Calibri" w:hAnsi="Calibri" w:cs="Calibri"/>
          <w:color w:val="000000" w:themeColor="text1"/>
        </w:rPr>
        <w:t xml:space="preserve"> </w:t>
      </w:r>
      <w:r w:rsidR="00EA11B7">
        <w:rPr>
          <w:rFonts w:ascii="Calibri" w:hAnsi="Calibri" w:cs="Calibri"/>
          <w:color w:val="000000" w:themeColor="text1"/>
        </w:rPr>
        <w:t xml:space="preserve">focused on mRNA sequencing </w:t>
      </w:r>
      <w:r w:rsidR="00487CC7">
        <w:rPr>
          <w:rFonts w:ascii="Calibri" w:hAnsi="Calibri" w:cs="Calibri"/>
          <w:color w:val="000000" w:themeColor="text1"/>
        </w:rPr>
        <w:t>for gene expression profiling</w:t>
      </w:r>
      <w:r w:rsidR="006939CC">
        <w:rPr>
          <w:rFonts w:ascii="Calibri" w:hAnsi="Calibri" w:cs="Calibri"/>
          <w:color w:val="000000" w:themeColor="text1"/>
        </w:rPr>
        <w:t xml:space="preserve"> </w:t>
      </w:r>
      <w:r w:rsidR="006939CC">
        <w:rPr>
          <w:rFonts w:ascii="Calibri" w:hAnsi="Calibri" w:cs="Calibri"/>
          <w:color w:val="000000" w:themeColor="text1"/>
        </w:rPr>
        <w:fldChar w:fldCharType="begin" w:fldLock="1"/>
      </w:r>
      <w:r w:rsidR="00586671">
        <w:rPr>
          <w:rFonts w:ascii="Calibri" w:hAnsi="Calibri" w:cs="Calibri"/>
          <w:color w:val="000000" w:themeColor="text1"/>
        </w:rPr>
        <w:instrText>ADDIN CSL_CITATION {"citationItems":[{"id":"ITEM-1","itemData":{"DOI":"10.4137/BBI.S34610","ISSN":"11779322","abstract":"The human intestinal microbiome is a microbial ecosystem that expresses as many as 100 times more genes than the human host, thereby constituting an important component of the human holobiome, which contributes to multiple health and disease processes. As most commensal species are difficult or impossible to culture, genomic characterization of microbiome composition and function, under various environmental conditions, comprises a central tool in understanding its roles in health and disease. The first decade of microbiome research was mainly characterized by usage of DNA sequencing--based 16S rDNA and shotgun metagenome sequencing, allowing for the elucidation of microbial composition and genome structure. Technological advances in RNA-seq have recently provided us with an ability to gain insight into the genes that are actively expressed in complex bacterial communities, enabling the elucidation of the functional changes that dictate the microbiome functions at given contexts, its interactions with the host, and functional alterations that accompany the conversion of a healthy microbiome toward a disease-driving configuration. Here, we highlight some of the key metatranscriptomics strategies that are implemented to determine microbiota gene expression and its regulation and discuss the advantages and potential challenges associated with these approaches.","author":[{"dropping-particle":"","family":"Bashiardes","given":"Stavros","non-dropping-particle":"","parse-names":false,"suffix":""},{"dropping-particle":"","family":"Zilberman-Schapira","given":"Gili","non-dropping-particle":"","parse-names":false,"suffix":""},{"dropping-particle":"","family":"Elinav","given":"Eran","non-dropping-particle":"","parse-names":false,"suffix":""}],"container-title":"Bioinformatics and Biology Insights","id":"ITEM-1","issued":{"date-parts":[["2016"]]},"page":"19-25","title":"Use of metatranscriptomics in microbiome research","type":"article-journal","volume":"10"},"uris":["http://www.mendeley.com/documents/?uuid=97008a7a-83af-4b18-872b-4063fd6a5c8b"]}],"mendeley":{"formattedCitation":"(Bashiardes et al., 2016)","plainTextFormattedCitation":"(Bashiardes et al., 2016)","previouslyFormattedCitation":"(Bashiardes et al., 2016)"},"properties":{"noteIndex":0},"schema":"https://github.com/citation-style-language/schema/raw/master/csl-citation.json"}</w:instrText>
      </w:r>
      <w:r w:rsidR="006939CC">
        <w:rPr>
          <w:rFonts w:ascii="Calibri" w:hAnsi="Calibri" w:cs="Calibri"/>
          <w:color w:val="000000" w:themeColor="text1"/>
        </w:rPr>
        <w:fldChar w:fldCharType="separate"/>
      </w:r>
      <w:r w:rsidR="006939CC" w:rsidRPr="006939CC">
        <w:rPr>
          <w:rFonts w:ascii="Calibri" w:hAnsi="Calibri" w:cs="Calibri"/>
          <w:noProof/>
          <w:color w:val="000000" w:themeColor="text1"/>
        </w:rPr>
        <w:t>(Bashiardes et al., 2016)</w:t>
      </w:r>
      <w:r w:rsidR="006939CC">
        <w:rPr>
          <w:rFonts w:ascii="Calibri" w:hAnsi="Calibri" w:cs="Calibri"/>
          <w:color w:val="000000" w:themeColor="text1"/>
        </w:rPr>
        <w:fldChar w:fldCharType="end"/>
      </w:r>
      <w:r w:rsidR="00886040">
        <w:rPr>
          <w:rFonts w:ascii="Calibri" w:hAnsi="Calibri" w:cs="Calibri"/>
          <w:color w:val="000000" w:themeColor="text1"/>
        </w:rPr>
        <w:t xml:space="preserve">. However, for total </w:t>
      </w:r>
      <w:r w:rsidR="00D62ED7">
        <w:rPr>
          <w:rFonts w:ascii="Calibri" w:hAnsi="Calibri" w:cs="Calibri"/>
          <w:color w:val="000000" w:themeColor="text1"/>
        </w:rPr>
        <w:t>RNA-Seq</w:t>
      </w:r>
      <w:r w:rsidR="00487CC7">
        <w:rPr>
          <w:rFonts w:ascii="Calibri" w:hAnsi="Calibri" w:cs="Calibri"/>
          <w:color w:val="000000" w:themeColor="text1"/>
        </w:rPr>
        <w:t>,</w:t>
      </w:r>
      <w:r w:rsidR="00886040">
        <w:rPr>
          <w:rFonts w:ascii="Calibri" w:hAnsi="Calibri" w:cs="Calibri"/>
          <w:color w:val="000000" w:themeColor="text1"/>
        </w:rPr>
        <w:t xml:space="preserve"> no mRNA enrichment step is performed. </w:t>
      </w:r>
      <w:r w:rsidR="00987EBB">
        <w:rPr>
          <w:rFonts w:ascii="Calibri" w:hAnsi="Calibri" w:cs="Calibri"/>
          <w:color w:val="000000" w:themeColor="text1"/>
        </w:rPr>
        <w:t xml:space="preserve">This enables both the structural and functional analysis of microbial communities </w:t>
      </w:r>
      <w:r w:rsidR="00987EBB">
        <w:rPr>
          <w:rFonts w:ascii="Calibri" w:hAnsi="Calibri" w:cs="Calibri"/>
          <w:color w:val="000000" w:themeColor="text1"/>
        </w:rPr>
        <w:fldChar w:fldCharType="begin" w:fldLock="1"/>
      </w:r>
      <w:r w:rsidR="000A37E7">
        <w:rPr>
          <w:rFonts w:ascii="Calibri" w:hAnsi="Calibri" w:cs="Calibri"/>
          <w:color w:val="000000" w:themeColor="text1"/>
        </w:rPr>
        <w:instrText xml:space="preserve">ADDIN CSL_CITATION {"citationItems":[{"id":"ITEM-1","itemData":{"DOI":"10.1093/femsec/fiaa016","ISSN":"15746941","abstract":"Recycling of wood ash from energy production may counteract soil acidification and return essential nutrients to soils. However, wood ash amendment affects soil physicochemical parameters that control composition and functional expression of the soil microbial community. Here, we applied total RNA sequencing to simultaneously assess the impact of wood ash amendment on the active soil microbial communities and the expression of functional genes from all microbial taxa. Wood ash significantly affected the taxonomic (rRNA) as well as functional (mRNA) profiles of both agricultural and forest soil. Increase in pH, electrical conductivity, dissolved organic carbon and phosphate were the most important physicochemical drivers for the observed changes. Wood ash amendment increased the relative abundance of the copiotrophic groups Chitinonophagaceae (Bacteroidetes) and Rhizobiales (Alphaproteobacteria) and resulted in higher expression of genes involved in metabolism and cell growth. Finally, total RNA sequencing allowed us to show that some groups of bacterial feeding protozoa increased concomitantly to the enhanced bacterial growth, which shows their pivotal role in the regulation of bacterial abundance in soil.","author":[{"dropping-particle":"","family":"Bang-Andreasen","given":"Toke","non-dropping-particle":"","parse-names":false,"suffix":""},{"dropping-particle":"","family":"Anwar","given":"Muhammad Zohaib","non-dropping-particle":"","parse-names":false,"suffix":""},{"dropping-particle":"","family":"Lanzén","given":"Anders","non-dropping-particle":"","parse-names":false,"suffix":""},{"dropping-particle":"","family":"Kjøller","given":"Rasmus","non-dropping-particle":"","parse-names":false,"suffix":""},{"dropping-particle":"","family":"Rønn","given":"Regin","non-dropping-particle":"","parse-names":false,"suffix":""},{"dropping-particle":"","family":"Ekelund","given":"Flemming","non-dropping-particle":"","parse-names":false,"suffix":""},{"dropping-particle":"","family":"Jacobsen","given":"Carsten Suhr","non-dropping-particle":"","parse-names":false,"suffix":""}],"container-title":"FEMS microbiology ecology","id":"ITEM-1","issue":"3","issued":{"date-parts":[["2020"]]},"page":"1-13","title":"Total RNA sequencing reveals multilevel microbial community changes and functional responses to wood ash application in agricultural and forest soil","type":"article-journal","volume":"96"},"uris":["http://www.mendeley.com/documents/?uuid=7f95f924-11ee-4544-9970-4684e42ddb4f"]},{"id":"ITEM-2","itemData":{"DOI":"10.1371/journal.pone.0002527","ISSN":"19326203","abstract":"Background: Soil ecosystems harbor the most complex prokaryotic and eukaryotic microbial communities on Earth. Experimental approaches studying these systems usually focus on either the soil community's taxonomic structure or its functional characteristics. Many methods target DNA as marker molecule and use PCR for amplification. Methodology/Principal Findings: Here we apply an RNA-centered meta-transcriptomic approach to simultaneously obtain information on both structure and function of a soil community. Total community RNA is random reversely transcribed into cDNA without any PCR or cloning step. Direct pyrosequencing produces large numbers of cDNA rRNA-tags; these are taxonomically profiled in a binding approach using the MEGAN software and two specifically compiled rRNA reference databases containing small and large subunit rRNA sequences. The pyrosequencing also produces mRNA-tags; these provide a sequence-based transcriptome of the community. One soil dataset of 258,411 RNA-tags of </w:instrText>
      </w:r>
      <w:r w:rsidR="000A37E7">
        <w:rPr>
          <w:rFonts w:ascii="Cambria Math" w:hAnsi="Cambria Math" w:cs="Cambria Math"/>
          <w:color w:val="000000" w:themeColor="text1"/>
        </w:rPr>
        <w:instrText>∼</w:instrText>
      </w:r>
      <w:r w:rsidR="000A37E7">
        <w:rPr>
          <w:rFonts w:ascii="Calibri" w:hAnsi="Calibri" w:cs="Calibri"/>
          <w:color w:val="000000" w:themeColor="text1"/>
        </w:rPr>
        <w:instrText>98 bp length contained 193,219 rRNA-tags with valid taxonomic information, together with 21,133 mRNA-tags. Quantitative information about the relative abundance of organism from all three domains of life and from different trophic levels was obtained in a single experiment. Less frequent taxa, such as soil Crenarchaeota, were well represented in the data set. These were identified by more than 2,000 rRNA-tags; furthrmore, their activity in situ was revealed through the presence of mRNA-tags specific for enzymes involved in ammonia oxidation and CO2 fixation. Conclusions/Significance: This approach could be widely applied in microbial ecology by efficiently linking community structure and function in a single experiment while avoiding biases inherent in other methods. © 2008 Urich et al.","author":[{"dropping-particle":"","family":"Urich","given":"Tim","non-dropping-particle":"","parse-names":false,"suffix":""},{"dropping-particle":"","family":"Lanzén","given":"Anders","non-dropping-particle":"","parse-names":false,"suffix":""},{"dropping-particle":"","family":"Qi","given":"Ji","non-dropping-particle":"","parse-names":false,"suffix":""},{"dropping-particle":"","family":"Huson","given":"Daniel H.","non-dropping-particle":"","parse-names":false,"suffix":""},{"dropping-particle":"","family":"Schleper","given":"Christa","non-dropping-particle":"","parse-names":false,"suffix":""},{"dropping-particle":"","family":"Schuster","given":"Stephan C.","non-dropping-particle":"","parse-names":false,"suffix":""}],"container-title":"PLoS ONE","id":"ITEM-2","issue":"6","issued":{"date-parts":[["2008"]]},"title":"Simultaneous assessment of soil microbial community structure and function through analysis of the meta-transcriptome","type":"article-journal","volume":"3"},"uris":["http://www.mendeley.com/documents/?uuid=1984f091-fa1a-490d-91f9-7c0610651d43"]},{"id":"ITEM-3","itemData":{"DOI":"10.1128/AEM.00061-17","ISSN":"10985336","abstract":"Exploring compositional and functional characteristics of the rumen microbiome can improve the understanding of its role in rumen function and cattle feed efficiency. In this study, we applied metatranscriptomics to characterize the active rumen microbiomes of beef cattle with different feed efficiencies (efficient, n = 10; inefficient, n = 10) using total RNA sequencing. Active bacterial and archaeal compositions were estimated based on 16S rRNAs, and active microbial metabolic functions including carbohydrate-active enzymes (CAZymes) were assessed based on mRNAs from the same metatranscriptomic data sets. In total, six bacterial phyla (Proteobacteria, Firmicutes, Bacteroidetes, Spirochaetes, Cyanobacteria, and Synergistetes), eight bacterial families (Succinivibrionaceae, Prevotellaceae, Ruminococcaceae, Lachnospiraceae, Veillonellaceae, Spirochaetaceae, Dethiosulfovibrionaceae, and Mogibacteriaceae), four archaeal clades (Methanomassiliicoccales, Methanobrevibacter ruminantium, Methanobrevibacter gottschalkii, and Methanosphaera), 112 metabolic pathways, and 126 CAZymes were identified as core components of the active rumen microbiome. As determined by comparative analysis, three bacterial families (Lachnospiraceae, Lactobacillaceae, and Veillonellaceae) tended to be more abundant in low-feed-efficiency (inefficient) animals (P &lt; 0.10), and one archaeal taxon (Methanomassiliicoccales) tended to be more abundant in high-feed-efficiency (efficient) cattle (P &lt; 0.10). Meanwhile, 32 microbial metabolic pathways and 12 CAZymes were differentially abundant (linear discriminant analysis score of &gt; 2 with a P value of &lt;0.05) between two groups. Among them, 30 metabolic pathways and 11 CAZymes were more abundant in the rumen of inefficient cattle, while 2 metabolic pathways and 1 CAZyme were more abundant in efficient animals. These findings suggest that the rumen microbiomes of inefficient cattle have more diverse activities than those of efficient cattle, which may be related to the host feed efficiency variation.","author":[{"dropping-particle":"","family":"Li","given":"Fuyong","non-dropping-particle":"","parse-names":false,"suffix":""},{"dropping-particle":"","family":"Guan","given":"Le Luo","non-dropping-particle":"","parse-names":false,"suffix":""}],"container-title":"Applied and Environmental Microbiology","id":"ITEM-3","issue":"9","issued":{"date-parts":[["2017"]]},"page":"1-16","title":"Metatranscriptomic profiling reveals linkages between the active rumen microbiome and feed efficiency in beef cattle","type":"article-journal","volume":"83"},"uris":["http://www.mendeley.com/documents/?uuid=20fd2db3-abd5-4278-b76a-a798ebdcf6e1"]}],"mendeley":{"formattedCitation":"(Bang-Andreasen et al., 2020; Li and Guan, 2017; Urich et al., 2008)","plainTextFormattedCitation":"(Bang-Andreasen et al., 2020; Li and Guan, 2017; Urich et al., 2008)","previouslyFormattedCitation":"(Bang-Andreasen et al., 2020; Li and Guan, 2017; Urich et al., 2008)"},"properties":{"noteIndex":0},"schema":"https://github.com/citation-style-language/schema/raw/master/csl-citation.json"}</w:instrText>
      </w:r>
      <w:r w:rsidR="00987EBB">
        <w:rPr>
          <w:rFonts w:ascii="Calibri" w:hAnsi="Calibri" w:cs="Calibri"/>
          <w:color w:val="000000" w:themeColor="text1"/>
        </w:rPr>
        <w:fldChar w:fldCharType="separate"/>
      </w:r>
      <w:r w:rsidR="00987EBB" w:rsidRPr="00987EBB">
        <w:rPr>
          <w:rFonts w:ascii="Calibri" w:hAnsi="Calibri" w:cs="Calibri"/>
          <w:noProof/>
          <w:color w:val="000000" w:themeColor="text1"/>
        </w:rPr>
        <w:t>(Bang-Andreasen et al., 2020; Li and Guan, 2017; Urich et al., 2008)</w:t>
      </w:r>
      <w:r w:rsidR="00987EBB">
        <w:rPr>
          <w:rFonts w:ascii="Calibri" w:hAnsi="Calibri" w:cs="Calibri"/>
          <w:color w:val="000000" w:themeColor="text1"/>
        </w:rPr>
        <w:fldChar w:fldCharType="end"/>
      </w:r>
      <w:r w:rsidR="00987EBB">
        <w:rPr>
          <w:rFonts w:ascii="Calibri" w:hAnsi="Calibri" w:cs="Calibri"/>
          <w:color w:val="000000" w:themeColor="text1"/>
        </w:rPr>
        <w:t>.</w:t>
      </w:r>
    </w:p>
    <w:p w14:paraId="45C9F949" w14:textId="6A3B170A" w:rsidR="00F16EFF" w:rsidRDefault="00487CC7" w:rsidP="00896C79">
      <w:pPr>
        <w:spacing w:line="360" w:lineRule="auto"/>
        <w:ind w:firstLine="576"/>
        <w:jc w:val="both"/>
        <w:rPr>
          <w:rFonts w:ascii="Calibri" w:hAnsi="Calibri" w:cs="Calibri"/>
          <w:color w:val="000000" w:themeColor="text1"/>
        </w:rPr>
      </w:pPr>
      <w:r>
        <w:rPr>
          <w:rFonts w:ascii="Calibri" w:hAnsi="Calibri" w:cs="Calibri"/>
          <w:color w:val="000000" w:themeColor="text1"/>
        </w:rPr>
        <w:t>Given</w:t>
      </w:r>
      <w:r w:rsidR="0075059D">
        <w:rPr>
          <w:rFonts w:ascii="Calibri" w:hAnsi="Calibri" w:cs="Calibri"/>
          <w:color w:val="000000" w:themeColor="text1"/>
        </w:rPr>
        <w:t xml:space="preserve"> the high proportion of rRNA in total RNA</w:t>
      </w:r>
      <w:r w:rsidR="00886040">
        <w:rPr>
          <w:rFonts w:ascii="Calibri" w:hAnsi="Calibri" w:cs="Calibri"/>
          <w:color w:val="000000" w:themeColor="text1"/>
        </w:rPr>
        <w:t>, t</w:t>
      </w:r>
      <w:r w:rsidR="00896C79">
        <w:rPr>
          <w:rFonts w:ascii="Calibri" w:hAnsi="Calibri" w:cs="Calibri"/>
          <w:color w:val="000000" w:themeColor="text1"/>
        </w:rPr>
        <w:t xml:space="preserve">otal </w:t>
      </w:r>
      <w:r w:rsidR="00D62ED7">
        <w:rPr>
          <w:rFonts w:ascii="Calibri" w:hAnsi="Calibri" w:cs="Calibri"/>
          <w:color w:val="000000" w:themeColor="text1"/>
        </w:rPr>
        <w:t>RNA-Seq</w:t>
      </w:r>
      <w:r w:rsidR="00896C79">
        <w:rPr>
          <w:rFonts w:ascii="Calibri" w:hAnsi="Calibri" w:cs="Calibri"/>
          <w:color w:val="000000" w:themeColor="text1"/>
        </w:rPr>
        <w:t xml:space="preserve"> data is naturally enriched for </w:t>
      </w:r>
      <w:r>
        <w:rPr>
          <w:rFonts w:ascii="Calibri" w:hAnsi="Calibri" w:cs="Calibri"/>
          <w:color w:val="000000" w:themeColor="text1"/>
        </w:rPr>
        <w:t>rRNA sequences and</w:t>
      </w:r>
      <w:r w:rsidR="00EA11B7">
        <w:rPr>
          <w:rFonts w:ascii="Calibri" w:hAnsi="Calibri" w:cs="Calibri"/>
          <w:color w:val="000000" w:themeColor="text1"/>
        </w:rPr>
        <w:t>,</w:t>
      </w:r>
      <w:r>
        <w:rPr>
          <w:rFonts w:ascii="Calibri" w:hAnsi="Calibri" w:cs="Calibri"/>
          <w:color w:val="000000" w:themeColor="text1"/>
        </w:rPr>
        <w:t xml:space="preserve"> therefore</w:t>
      </w:r>
      <w:r w:rsidR="00EA11B7">
        <w:rPr>
          <w:rFonts w:ascii="Calibri" w:hAnsi="Calibri" w:cs="Calibri"/>
          <w:color w:val="000000" w:themeColor="text1"/>
        </w:rPr>
        <w:t>,</w:t>
      </w:r>
      <w:r>
        <w:rPr>
          <w:rFonts w:ascii="Calibri" w:hAnsi="Calibri" w:cs="Calibri"/>
          <w:color w:val="000000" w:themeColor="text1"/>
        </w:rPr>
        <w:t xml:space="preserve"> for </w:t>
      </w:r>
      <w:r w:rsidR="00896C79">
        <w:rPr>
          <w:rFonts w:ascii="Calibri" w:hAnsi="Calibri" w:cs="Calibri"/>
          <w:color w:val="000000" w:themeColor="text1"/>
        </w:rPr>
        <w:t xml:space="preserve">standard barcodes in microbial </w:t>
      </w:r>
      <w:r>
        <w:rPr>
          <w:rFonts w:ascii="Calibri" w:hAnsi="Calibri" w:cs="Calibri"/>
          <w:color w:val="000000" w:themeColor="text1"/>
        </w:rPr>
        <w:t xml:space="preserve">taxonomic </w:t>
      </w:r>
      <w:r w:rsidR="00896C79">
        <w:rPr>
          <w:rFonts w:ascii="Calibri" w:hAnsi="Calibri" w:cs="Calibri"/>
          <w:color w:val="000000" w:themeColor="text1"/>
        </w:rPr>
        <w:t>profiling (16S/18S rRNA</w:t>
      </w:r>
      <w:r w:rsidR="00886040">
        <w:rPr>
          <w:rFonts w:ascii="Calibri" w:hAnsi="Calibri" w:cs="Calibri"/>
          <w:color w:val="000000" w:themeColor="text1"/>
        </w:rPr>
        <w:t xml:space="preserve"> but also </w:t>
      </w:r>
      <w:r w:rsidR="00886040">
        <w:t>28S rRNA</w:t>
      </w:r>
      <w:r w:rsidR="00896C79">
        <w:rPr>
          <w:rFonts w:ascii="Calibri" w:hAnsi="Calibri" w:cs="Calibri"/>
          <w:color w:val="000000" w:themeColor="text1"/>
        </w:rPr>
        <w:t>)</w:t>
      </w:r>
      <w:r>
        <w:rPr>
          <w:rFonts w:ascii="Calibri" w:hAnsi="Calibri" w:cs="Calibri"/>
          <w:color w:val="000000" w:themeColor="text1"/>
        </w:rPr>
        <w:t>.</w:t>
      </w:r>
      <w:r w:rsidR="000A70BC">
        <w:rPr>
          <w:rFonts w:ascii="Calibri" w:hAnsi="Calibri" w:cs="Calibri"/>
          <w:color w:val="000000" w:themeColor="text1"/>
        </w:rPr>
        <w:t xml:space="preserve"> </w:t>
      </w:r>
      <w:r w:rsidR="007F2596">
        <w:rPr>
          <w:rFonts w:ascii="Calibri" w:hAnsi="Calibri" w:cs="Calibri"/>
          <w:color w:val="000000" w:themeColor="text1"/>
        </w:rPr>
        <w:t>For that reason, total RNA-Seq</w:t>
      </w:r>
      <w:r>
        <w:rPr>
          <w:rFonts w:ascii="Calibri" w:hAnsi="Calibri" w:cs="Calibri"/>
          <w:color w:val="000000" w:themeColor="text1"/>
        </w:rPr>
        <w:t xml:space="preserve"> </w:t>
      </w:r>
      <w:r w:rsidR="000A37E7">
        <w:rPr>
          <w:rFonts w:ascii="Calibri" w:hAnsi="Calibri" w:cs="Calibri"/>
          <w:color w:val="000000" w:themeColor="text1"/>
        </w:rPr>
        <w:t xml:space="preserve">was proposed as </w:t>
      </w:r>
      <w:r w:rsidR="00D274ED">
        <w:rPr>
          <w:rFonts w:ascii="Calibri" w:hAnsi="Calibri" w:cs="Calibri"/>
          <w:color w:val="000000" w:themeColor="text1"/>
        </w:rPr>
        <w:t xml:space="preserve">a </w:t>
      </w:r>
      <w:r w:rsidR="000A37E7">
        <w:rPr>
          <w:rFonts w:ascii="Calibri" w:hAnsi="Calibri" w:cs="Calibri"/>
          <w:color w:val="000000" w:themeColor="text1"/>
        </w:rPr>
        <w:t xml:space="preserve">superior alternative to metabarcoding </w:t>
      </w:r>
      <w:r w:rsidR="000A37E7">
        <w:rPr>
          <w:rFonts w:ascii="Calibri" w:hAnsi="Calibri" w:cs="Calibri"/>
          <w:color w:val="000000" w:themeColor="text1"/>
        </w:rPr>
        <w:fldChar w:fldCharType="begin" w:fldLock="1"/>
      </w:r>
      <w:r w:rsidR="000A37E7">
        <w:rPr>
          <w:rFonts w:ascii="Calibri" w:hAnsi="Calibri" w:cs="Calibri"/>
          <w:color w:val="000000" w:themeColor="text1"/>
        </w:rPr>
        <w:instrText>ADDIN CSL_CITATION {"citationItems":[{"id":"ITEM-1","itemData":{"DOI":"10.1038/ismej.2015.30","ISSN":"17517370","abstract":"The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Journal","id":"ITEM-1","issue":"10","issued":{"date-parts":[["2015"]]},"page":"2178-2190","publisher":"Nature Publishing Group","title":"Metatranscriptomic census of active protists in soils","type":"article-journal","volume":"9"},"uris":["http://www.mendeley.com/documents/?uuid=acd8f8dc-022c-4af3-aa7c-ff6a39b11bda"]}],"mendeley":{"formattedCitation":"(Geisen et al., 2015)","plainTextFormattedCitation":"(Geisen et al., 2015)","previouslyFormattedCitation":"(Geisen et al., 2015)"},"properties":{"noteIndex":0},"schema":"https://github.com/citation-style-language/schema/raw/master/csl-citation.json"}</w:instrText>
      </w:r>
      <w:r w:rsidR="000A37E7">
        <w:rPr>
          <w:rFonts w:ascii="Calibri" w:hAnsi="Calibri" w:cs="Calibri"/>
          <w:color w:val="000000" w:themeColor="text1"/>
        </w:rPr>
        <w:fldChar w:fldCharType="separate"/>
      </w:r>
      <w:r w:rsidR="000A37E7" w:rsidRPr="000A37E7">
        <w:rPr>
          <w:rFonts w:ascii="Calibri" w:hAnsi="Calibri" w:cs="Calibri"/>
          <w:noProof/>
          <w:color w:val="000000" w:themeColor="text1"/>
        </w:rPr>
        <w:t>(Geisen et al., 2015)</w:t>
      </w:r>
      <w:r w:rsidR="000A37E7">
        <w:rPr>
          <w:rFonts w:ascii="Calibri" w:hAnsi="Calibri" w:cs="Calibri"/>
          <w:color w:val="000000" w:themeColor="text1"/>
        </w:rPr>
        <w:fldChar w:fldCharType="end"/>
      </w:r>
      <w:r w:rsidR="000A37E7">
        <w:rPr>
          <w:rFonts w:ascii="Calibri" w:hAnsi="Calibri" w:cs="Calibri"/>
          <w:color w:val="000000" w:themeColor="text1"/>
        </w:rPr>
        <w:t xml:space="preserve"> and </w:t>
      </w:r>
      <w:commentRangeStart w:id="4"/>
      <w:r w:rsidR="006823DD">
        <w:rPr>
          <w:rFonts w:ascii="Calibri" w:hAnsi="Calibri" w:cs="Calibri"/>
          <w:color w:val="000000" w:themeColor="text1"/>
        </w:rPr>
        <w:t xml:space="preserve">should </w:t>
      </w:r>
      <w:r w:rsidR="000A37E7">
        <w:rPr>
          <w:rFonts w:ascii="Calibri" w:hAnsi="Calibri" w:cs="Calibri"/>
          <w:color w:val="000000" w:themeColor="text1"/>
        </w:rPr>
        <w:t xml:space="preserve">also </w:t>
      </w:r>
      <w:r>
        <w:rPr>
          <w:rFonts w:ascii="Calibri" w:hAnsi="Calibri" w:cs="Calibri"/>
          <w:color w:val="000000" w:themeColor="text1"/>
        </w:rPr>
        <w:t xml:space="preserve">enable better coverage of </w:t>
      </w:r>
      <w:r w:rsidR="007F2596">
        <w:rPr>
          <w:rFonts w:ascii="Calibri" w:hAnsi="Calibri" w:cs="Calibri"/>
          <w:color w:val="000000" w:themeColor="text1"/>
        </w:rPr>
        <w:t>microbial standard</w:t>
      </w:r>
      <w:r>
        <w:rPr>
          <w:rFonts w:ascii="Calibri" w:hAnsi="Calibri" w:cs="Calibri"/>
          <w:color w:val="000000" w:themeColor="text1"/>
        </w:rPr>
        <w:t xml:space="preserve"> barcodes </w:t>
      </w:r>
      <w:r w:rsidR="007F2596">
        <w:rPr>
          <w:rFonts w:ascii="Calibri" w:hAnsi="Calibri" w:cs="Calibri"/>
          <w:color w:val="000000" w:themeColor="text1"/>
        </w:rPr>
        <w:t>as compared to metagenomics</w:t>
      </w:r>
      <w:r>
        <w:rPr>
          <w:rFonts w:ascii="Calibri" w:hAnsi="Calibri" w:cs="Calibri"/>
          <w:color w:val="000000" w:themeColor="text1"/>
        </w:rPr>
        <w:t xml:space="preserve">, which </w:t>
      </w:r>
      <w:r w:rsidR="006823DD">
        <w:rPr>
          <w:rFonts w:ascii="Calibri" w:hAnsi="Calibri" w:cs="Calibri"/>
          <w:color w:val="000000" w:themeColor="text1"/>
        </w:rPr>
        <w:t xml:space="preserve">should allow </w:t>
      </w:r>
      <w:r>
        <w:rPr>
          <w:rFonts w:ascii="Calibri" w:hAnsi="Calibri" w:cs="Calibri"/>
          <w:color w:val="000000" w:themeColor="text1"/>
        </w:rPr>
        <w:t>for more accurate taxonomic profiling</w:t>
      </w:r>
      <w:r w:rsidR="007F2596">
        <w:rPr>
          <w:rFonts w:ascii="Calibri" w:hAnsi="Calibri" w:cs="Calibri"/>
          <w:color w:val="000000" w:themeColor="text1"/>
        </w:rPr>
        <w:t xml:space="preserve"> of complex microbial communities.</w:t>
      </w:r>
    </w:p>
    <w:p w14:paraId="338A2A36" w14:textId="46D93EDB" w:rsidR="00896C79" w:rsidRDefault="0075059D" w:rsidP="0075059D">
      <w:pPr>
        <w:spacing w:line="360" w:lineRule="auto"/>
        <w:ind w:firstLine="576"/>
        <w:jc w:val="both"/>
      </w:pPr>
      <w:r>
        <w:t xml:space="preserve">Additionally, </w:t>
      </w:r>
      <w:r w:rsidR="007F2596">
        <w:t xml:space="preserve">the natural </w:t>
      </w:r>
      <w:r w:rsidR="00896C79">
        <w:t>enrichment</w:t>
      </w:r>
      <w:r w:rsidR="007F2596">
        <w:t xml:space="preserve"> in rRNA</w:t>
      </w:r>
      <w:r w:rsidR="00896C79">
        <w:t xml:space="preserve"> means that in theory a much lower sequencing depth is required </w:t>
      </w:r>
      <w:r>
        <w:t xml:space="preserve">to cover standard barcodes to the same </w:t>
      </w:r>
      <w:r w:rsidR="00D274ED">
        <w:t>extent</w:t>
      </w:r>
      <w:r>
        <w:t xml:space="preserve"> as with</w:t>
      </w:r>
      <w:r w:rsidR="007F2596">
        <w:t xml:space="preserve"> deep sequencing</w:t>
      </w:r>
      <w:r>
        <w:t xml:space="preserve"> metagenomics</w:t>
      </w:r>
      <w:r w:rsidR="00896C79">
        <w:t xml:space="preserve">. </w:t>
      </w:r>
      <w:commentRangeEnd w:id="4"/>
      <w:r w:rsidR="007F2596">
        <w:rPr>
          <w:rStyle w:val="CommentReference"/>
        </w:rPr>
        <w:commentReference w:id="4"/>
      </w:r>
      <w:r w:rsidR="00896C79">
        <w:t xml:space="preserve">This translates to reduced </w:t>
      </w:r>
      <w:r>
        <w:t xml:space="preserve">sequencing </w:t>
      </w:r>
      <w:r w:rsidR="00896C79">
        <w:t>costs</w:t>
      </w:r>
      <w:r w:rsidR="00CF4C17">
        <w:t xml:space="preserve"> for biomonitoring</w:t>
      </w:r>
      <w:r>
        <w:t>, which is desirable for stakeholders.</w:t>
      </w:r>
    </w:p>
    <w:p w14:paraId="04B9D089" w14:textId="139F5333" w:rsidR="0001701A" w:rsidRDefault="00EA11B7" w:rsidP="0001701A">
      <w:pPr>
        <w:spacing w:line="360" w:lineRule="auto"/>
        <w:ind w:firstLine="720"/>
        <w:jc w:val="both"/>
      </w:pPr>
      <w:r>
        <w:t xml:space="preserve">The use of RNA instead of DNA for taxonomic profiling has </w:t>
      </w:r>
      <w:r w:rsidR="003330BD">
        <w:t>an additional</w:t>
      </w:r>
      <w:r>
        <w:t xml:space="preserve"> </w:t>
      </w:r>
      <w:r w:rsidR="0049163C">
        <w:t xml:space="preserve">desirable </w:t>
      </w:r>
      <w:r>
        <w:t xml:space="preserve">advantage for biomonitoring. Total </w:t>
      </w:r>
      <w:r w:rsidR="00D62ED7">
        <w:t>RNA-Seq</w:t>
      </w:r>
      <w:r>
        <w:t xml:space="preserve"> can be used to identify the active part of a community </w:t>
      </w:r>
      <w:r>
        <w:rPr>
          <w:rStyle w:val="FootnoteReference"/>
        </w:rPr>
        <w:fldChar w:fldCharType="begin" w:fldLock="1"/>
      </w:r>
      <w:r w:rsidR="009E22BF">
        <w:instrText>ADDIN CSL_CITATION {"citationItems":[{"id":"ITEM-1","itemData":{"DOI":"10.1186/s40168-018-0453-0","ISSN":"20492618","abstract":"A majority of indoor residential microbes originate from humans, pets, and outdoor air and are not adapted to the built environment (BE). Consequently, a large portion of the microbes identified by DNA-based methods are either dead or metabolically inactive. Although many exceptions have been noted, the ribosomal RNA fraction of the sample is more likely to represent either viable or metabolically active cells. We examined methodological variations in sample processing using a defined, mock BE microbial community to better understand the scope of technique-based vs. biological-based differences in both ribosomal transcript (rRNA) and gene (DNA) sequence community analysis. Based on in vitro tests, a protocol was adopted for the analysis of the genetic and metabolic pool (DNA vs. rRNA) of air and surface microbiomes within a residential setting. We observed differences in DNA/RNA co-extraction efficiency for individual microbes, but overall, a greater recovery of rRNA using FastPrep (&gt; 50%). Samples stored with various preservation methods at − 80°C experienced a rapid decline in nucleic acid recovery starting within the first week, although post-extraction rRNA had no significant degradation when treated with RNAStable. We recommend that co-extraction samples be processed as quickly as possible after collection. The in vivo analysis revealed significant differences in the two components (genetic and metabolic pool) in terms of taxonomy, community structure, and microbial association networks. Rare taxa present in the genetic pool showed higher metabolic potential (RNA:DNA ratio), whereas commonly detected taxa of outdoor origins based on DNA sequencing, especially taxa of the Sphingomonadales order, were present in lower relative abundances in the viable community. Although methodological variations in sample preparations are high, large differences between the DNA and RNA fractions of the total microbial community demonstrate that direct examination of rRNA isolated from a residential BE microbiome has the potential to identify the more likely viable or active portion of the microbial community. In an environment that has primarily dead and metabolically inactive cells, we suggest that the rRNA fraction of BE samples is capable of providing a more ecologically relevant insight into the factors that drive indoor microbial community dynamics.","author":[{"dropping-particle":"","family":"Gomez-Silvan","given":"Cinta","non-dropping-particle":"","parse-names":false,"suffix":""},{"dropping-particle":"","family":"Leung","given":"Marcus H.Y.","non-dropping-particle":"","parse-names":false,"suffix":""},{"dropping-particle":"","family":"Grue","given":"Katherine A.","non-dropping-particle":"","parse-names":false,"suffix":""},{"dropping-particle":"","family":"Kaur","given":"Randeep","non-dropping-particle":"","parse-names":false,"suffix":""},{"dropping-particle":"","family":"Tong","given":"Xinzhao","non-dropping-particle":"","parse-names":false,"suffix":""},{"dropping-particle":"","family":"Lee","given":"Patrick K.H.","non-dropping-particle":"","parse-names":false,"suffix":""},{"dropping-particle":"","family":"Andersen","given":"Gary L.","non-dropping-particle":"","parse-names":false,"suffix":""}],"container-title":"Microbiome","id":"ITEM-1","issue":"1","issued":{"date-parts":[["2018"]]},"page":"1-16","publisher":"Microbiome","title":"A comparison of methods used to unveil the genetic and metabolic pool in the built environment","type":"article-journal","volume":"6"},"uris":["http://www.mendeley.com/documents/?uuid=cb3795f4-3215-40a9-b2b1-a58c91dd93f8"]},{"id":"ITEM-2","itemData":{"DOI":"10.1038/ismej.2015.30","ISSN":"17517370","abstract":"The high numbers and diversity of protists in soil systems have long been presumed, but their true diversity and community composition have remained largely concealed. Traditional cultivation-based methods miss a majority of taxa, whereas molecular barcoding approaches employing PCR introduce significant biases in reported community composition of soil protists. Here, we applied a metatranscriptomic approach to assess the protist community in 12 mineral and organic soil samples from different vegetation types and climatic zones using small subunit ribosomal RNA transcripts as marker. We detected a broad diversity of soil protists spanning across all known eukaryotic supergroups and revealed a strikingly different community composition than shown before. Protist communities differed strongly between sites, with Rhizaria and Amoebozoa dominating in forest and grassland soils, while Alveolata were most abundant in peat soils. The Amoebozoa were comprised of Tubulinea, followed with decreasing abundance by Discosea, Variosea and Mycetozoa. Transcripts of Oomycetes, Apicomplexa and Ichthyosporea suggest soil as reservoir of parasitic protist taxa. Further, Foraminifera and Choanoflagellida were ubiquitously detected, showing that these typically marine and freshwater protists are autochthonous members of the soil microbiota. To the best of our knowledge, this metatranscriptomic study provides the most comprehensive picture of active protist communities in soils to date, which is essential to target the ecological roles of protists in the complex soil system.","author":[{"dropping-particle":"","family":"Geisen","given":"Stefan","non-dropping-particle":"","parse-names":false,"suffix":""},{"dropping-particle":"","family":"Tveit","given":"Alexander T.","non-dropping-particle":"","parse-names":false,"suffix":""},{"dropping-particle":"","family":"Clark","given":"Ian M.","non-dropping-particle":"","parse-names":false,"suffix":""},{"dropping-particle":"","family":"Richter","given":"Andreas","non-dropping-particle":"","parse-names":false,"suffix":""},{"dropping-particle":"","family":"Svenning","given":"Mette M.","non-dropping-particle":"","parse-names":false,"suffix":""},{"dropping-particle":"","family":"Bonkowski","given":"Michael","non-dropping-particle":"","parse-names":false,"suffix":""},{"dropping-particle":"","family":"Urich","given":"Tim","non-dropping-particle":"","parse-names":false,"suffix":""}],"container-title":"ISME Journal","id":"ITEM-2","issue":"10","issued":{"date-parts":[["2015"]]},"page":"2178-2190","publisher":"Nature Publishing Group","title":"Metatranscriptomic census of active protists in soils","type":"article-journal","volume":"9"},"uris":["http://www.mendeley.com/documents/?uuid=acd8f8dc-022c-4af3-aa7c-ff6a39b11bda"]}],"mendeley":{"formattedCitation":"(Geisen et al., 2015; Gomez-Silvan et al., 2018)","plainTextFormattedCitation":"(Geisen et al., 2015; Gomez-Silvan et al., 2018)","previouslyFormattedCitation":"(Geisen et al., 2015; Gomez-Silvan et al., 2018)"},"properties":{"noteIndex":0},"schema":"https://github.com/citation-style-language/schema/raw/master/csl-citation.json"}</w:instrText>
      </w:r>
      <w:r>
        <w:rPr>
          <w:rStyle w:val="FootnoteReference"/>
        </w:rPr>
        <w:fldChar w:fldCharType="separate"/>
      </w:r>
      <w:r w:rsidR="000A37E7" w:rsidRPr="000A37E7">
        <w:rPr>
          <w:bCs/>
          <w:noProof/>
          <w:lang w:val="en-US"/>
        </w:rPr>
        <w:t>(Geisen et al., 2015; Gomez-Silvan et al., 2018)</w:t>
      </w:r>
      <w:r>
        <w:rPr>
          <w:rStyle w:val="FootnoteReference"/>
        </w:rPr>
        <w:fldChar w:fldCharType="end"/>
      </w:r>
      <w:r>
        <w:t xml:space="preserve">, based on the fact that the abundance of rRNA in a cell (as in the number of ribosomes) is an indicator for cell growth and activity </w:t>
      </w:r>
      <w:r>
        <w:rPr>
          <w:rStyle w:val="FootnoteReference"/>
        </w:rPr>
        <w:fldChar w:fldCharType="begin" w:fldLock="1"/>
      </w:r>
      <w:r>
        <w:instrText>ADDIN CSL_CITATION {"citationItems":[{"id":"ITEM-1","itemData":{"author":[{"dropping-particle":"","family":"Milo","given":"Ron","non-dropping-particle":"","parse-names":false,"suffix":""},{"dropping-particle":"","family":"Phillips","given":"Rob","non-dropping-particle":"","parse-names":false,"suffix":""}],"edition":"Draft","id":"ITEM-1","issued":{"date-parts":[["2015"]]},"number-of-pages":"188-192","publisher":"Garland Science,Taylor &amp; Francis Group","title":"CELL BIOLOGY by the numbers","type":"book"},"uris":["http://www.mendeley.com/documents/?uuid=1a6a5968-3e8d-4716-b069-252cdd12e66b"]}],"mendeley":{"formattedCitation":"(Milo and Phillips, 2015)","plainTextFormattedCitation":"(Milo and Phillips, 2015)","previouslyFormattedCitation":"(Milo and Phillips, 2015)"},"properties":{"noteIndex":0},"schema":"https://github.com/citation-style-language/schema/raw/master/csl-citation.json"}</w:instrText>
      </w:r>
      <w:r>
        <w:rPr>
          <w:rStyle w:val="FootnoteReference"/>
        </w:rPr>
        <w:fldChar w:fldCharType="separate"/>
      </w:r>
      <w:r w:rsidRPr="00612BB6">
        <w:rPr>
          <w:noProof/>
        </w:rPr>
        <w:t>(Milo and Phillips, 2015)</w:t>
      </w:r>
      <w:r>
        <w:rPr>
          <w:rStyle w:val="FootnoteReference"/>
        </w:rPr>
        <w:fldChar w:fldCharType="end"/>
      </w:r>
      <w:r>
        <w:t>. This signal contrasts with that from metagenomics, which targets the present community</w:t>
      </w:r>
      <w:r w:rsidR="007F2596">
        <w:t>,</w:t>
      </w:r>
      <w:r>
        <w:t xml:space="preserve"> including DNA of dead and/or inactive cells and extracellular DNA, which can make </w:t>
      </w:r>
      <w:r>
        <w:lastRenderedPageBreak/>
        <w:t xml:space="preserve">up more than 90% of microbial DNA datasets </w:t>
      </w:r>
      <w:r>
        <w:rPr>
          <w:rStyle w:val="FootnoteReference"/>
        </w:rPr>
        <w:fldChar w:fldCharType="begin" w:fldLock="1"/>
      </w:r>
      <w:r w:rsidR="003A1E4D">
        <w:instrText>ADDIN CSL_CITATION {"citationItems":[{"id":"ITEM-1","itemData":{"DOI":"10.1016/j.margen.2015.08.007","ISSN":"18747787","abstract":"In marine sediments, DNA occurs both inside and outside living organisms. DNA not enclosed in living cells may account for the largest fraction of total DNA, and include molecules locked within dead cells, organic and inorganic aggregates, adsorbed onto mineral matrices, and viral DNA. This DNA comprises genetic material released in situ from sediment microbial communities, as well as DNA of pelagic and terrestrial origin deposited to the seafloor. DNA not enclosed in living cells undermines the assumption of a direct link between the overall DNA pool and the local, currently living microbial assemblages, in terms of both microbial cell abundance and diversity. At the same time, the extracellular DNA may provide an integrated view of the biodiversity and ecological processes occurring on land, in marine water columns, and sediments themselves, thereby acting as an archive of genetic information which can be used to reconstruct past changes in source environments. In this review, we identify and discuss DNA pools in marine sediments, with special focus on DNA not enclosed in living cells, its origin, dynamics, and ecological and methodological implications. Achievements in deciphering the genetic information held within each DNA pool are presented along with still-standing challenges and major gaps in current knowledge.","author":[{"dropping-particle":"","family":"Torti","given":"Andrea","non-dropping-particle":"","parse-names":false,"suffix":""},{"dropping-particle":"","family":"Lever","given":"Mark Alexander","non-dropping-particle":"","parse-names":false,"suffix":""},{"dropping-particle":"","family":"Jørgensen","given":"Bo Barker","non-dropping-particle":"","parse-names":false,"suffix":""}],"container-title":"Marine Genomics","id":"ITEM-1","issued":{"date-parts":[["2015"]]},"page":"185-196","publisher":"The Authors","title":"Origin, dynamics, and implications of extracellular DNA pools in marine sediments","type":"article-journal","volume":"24"},"uris":["http://www.mendeley.com/documents/?uuid=ea7bc2c7-483c-4e3a-b896-e9e00b35a5a4"]},{"id":"ITEM-2","itemData":{"DOI":"10.1038/nmicrobiol.2016.242","ISSN":"20585276","abstract":"© 2016 Macmillan Publishers Limited, part of Springer Nature. All rights reserved. Extracellular DNA from dead microorganisms can persist in soil for weeks to years 1-3. Although it is implicitly assumed that the microbial DNA recovered from soil predominantly represents intact cells, it is unclear how extracellular DNA affects molecular analyses of microbial diversity. We examined a wide range of soils using viability PCR based on the photoreactive DNA-intercalating dye propidium monoazide 4. We found that, on average, 40% of both prokaryotic and fungal DNA was extracellular or from cells that were no longer intact. Extracellular DNA inflated the observed prokaryotic and fungal richness by up to 55% and caused significant misestimation of taxon relative abundances, including the relative abundances of taxa integral to key ecosystem processes. Extracellular DNA was not found in measurable amounts in all soils; it was more likely to be present in soils with low exchangeable base cation concentrations, and the effect of its removal on microbial community structure was more profound in high-pH soils. Together, these findings imply that this 'relic DNA' remaining in soil after cell death can obscure treatment effects, spatiotemporal patterns and relationships between microbial taxa and environmental conditions.","author":[{"dropping-particle":"","family":"Carini","given":"Paul","non-dropping-particle":"","parse-names":false,"suffix":""},{"dropping-particle":"","family":"Marsden","given":"Patrick J.","non-dropping-particle":"","parse-names":false,"suffix":""},{"dropping-particle":"","family":"Leff","given":"Jonathan W.","non-dropping-particle":"","parse-names":false,"suffix":""},{"dropping-particle":"","family":"Morgan","given":"Emily E.","non-dropping-particle":"","parse-names":false,"suffix":""},{"dropping-particle":"","family":"Strickland","given":"Michael S.","non-dropping-particle":"","parse-names":false,"suffix":""},{"dropping-particle":"","family":"Fierer","given":"Noah","non-dropping-particle":"","parse-names":false,"suffix":""}],"container-title":"Nature Microbiology","id":"ITEM-2","issue":"0","issued":{"date-parts":[["2016"]]},"page":"1-6","publisher":"Nature Publishing Group","title":"Relic DNA is abundant in soil and obscures estimates of soil microbial diversity","type":"article-journal","volume":"2"},"uris":["http://www.mendeley.com/documents/?uuid=6a955711-d2c8-4a9b-95e6-a490f8010066"]}],"mendeley":{"formattedCitation":"(Carini et al., 2016; Torti et al., 2015)","plainTextFormattedCitation":"(Carini et al., 2016; Torti et al., 2015)","previouslyFormattedCitation":"(Carini et al., 2016; Torti et al., 2015)"},"properties":{"noteIndex":0},"schema":"https://github.com/citation-style-language/schema/raw/master/csl-citation.json"}</w:instrText>
      </w:r>
      <w:r>
        <w:rPr>
          <w:rStyle w:val="FootnoteReference"/>
        </w:rPr>
        <w:fldChar w:fldCharType="separate"/>
      </w:r>
      <w:r w:rsidRPr="00EA11B7">
        <w:rPr>
          <w:noProof/>
        </w:rPr>
        <w:t>(Carini et al., 2016; Torti et al., 2015)</w:t>
      </w:r>
      <w:r>
        <w:rPr>
          <w:rStyle w:val="FootnoteReference"/>
        </w:rPr>
        <w:fldChar w:fldCharType="end"/>
      </w:r>
      <w:r>
        <w:t>.</w:t>
      </w:r>
      <w:r w:rsidR="00CF4C17">
        <w:t xml:space="preserve"> </w:t>
      </w:r>
      <w:r w:rsidR="004F3EB3">
        <w:t>Information about the active community is desirable for biomonitoring as it reflects the portion of the community that is interacting with the environment and therefore might better reflect environmental conditions.</w:t>
      </w:r>
    </w:p>
    <w:p w14:paraId="357BDA02" w14:textId="0675B2DA" w:rsidR="0001701A" w:rsidRDefault="0001701A" w:rsidP="0001701A">
      <w:pPr>
        <w:spacing w:line="360" w:lineRule="auto"/>
        <w:ind w:firstLine="720"/>
        <w:jc w:val="both"/>
      </w:pPr>
      <w:r>
        <w:t xml:space="preserve">Comparisons of metagenomics and total RNA-Seq have been carried out for environmental microbial communities </w:t>
      </w:r>
      <w:r>
        <w:fldChar w:fldCharType="begin" w:fldLock="1"/>
      </w:r>
      <w:r>
        <w:instrText>ADDIN CSL_CITATION {"citationItems":[{"id":"ITEM-1","itemData":{"DOI":"10.1038/ismej.2010.189","ISSN":"17517362","abstract":"As part of an ongoing survey of microbial community gene expression in the ocean, we sequenced and compared 38 Mbp of community transcriptomes and 157 Mbp of community genomes from four bacterioplankton samples, along a defined depth profile at Station ALOHA in North Pacific subtropical gyre (NPSG). Taxonomic analysis suggested that the samples were dominated by three taxa: Prochlorales, Consistiales and Cenarchaeales, which comprised 36-69% and 29-63% of the annotated sequences in the four DNA and four cDNA libraries, respectively. The relative abundance of these taxonomic groups was sometimes very different in the DNA and cDNA libraries, suggesting differential relative transcriptional activities per cell. For example, the 125 m sample genomic library was dominated by Pelagibacter (36% of sequence reads), which contributed fewer sequences to the community transcriptome (11%). Functional characterization of highly expressed genes suggested taxon-specific contributions to specific biogeochemical processes. Examples included Roseobacter relatives involved in aerobic anoxygenic phototrophy at 75 m, and an unexpected contribution of low abundance Crenarchaea to ammonia oxidation at 125 m. Read recruitment using reference microbial genomes indicated depth-specific partitioning of coexisting microbial populations, highlighted by a transcriptionally active high-light-like Prochlorococcus population in the bottom of the photic zone. Additionally, nutrient-uptake genes dominated Pelagibacter transcripts, with apparent enrichment for certain transporter types (for example, the C4-dicarboxylate transport system) over others (for example, phosphate transporters). In total, the data support the utility of coupled DNA and cDNA analyses for describing taxonomic and functional attributes of microbial communities in their natural habitats. © 2011 International Society for Microbial Ecology. All rights reserved.","author":[{"dropping-particle":"","family":"Shi","given":"Yanmei","non-dropping-particle":"","parse-names":false,"suffix":""},{"dropping-particle":"","family":"Tyson","given":"Gene W.","non-dropping-particle":"","parse-names":false,"suffix":""},{"dropping-particle":"","family":"Eppley","given":"John M.","non-dropping-particle":"","parse-names":false,"suffix":""},{"dropping-particle":"","family":"Delong","given":"Edward F.","non-dropping-particle":"","parse-names":false,"suffix":""}],"container-title":"ISME Journal","id":"ITEM-1","issue":"6","issued":{"date-parts":[["2011"]]},"page":"999-1013","publisher":"Nature Publishing Group","title":"Integrated metatranscriptomic and metagenomic analyses of stratified microbial assemblages in the open ocean","type":"article-journal","volume":"5"},"uris":["http://www.mendeley.com/documents/?uuid=15f23d35-35d5-4ffb-9db3-7bbefa803632"]},{"id":"ITEM-2","itemData":{"DOI":"10.1371/journal.pone.0038183","ISSN":"19326203","abstract":"The present study applied both metagenomic and metatranscriptomic approaches to characterize microbial structure and gene expression of an activated sludge community from a municipal wastewater treatment plant in Hong Kong. DNA and cDNA were sequenced by Illumina Hi-seq2000 at a depth of 2.4 Gbp. Taxonomic analysis by MG-RAST showed bacteria were dominant in both DNA and cDNA datasets. The taxonomic profile obtained by BLAST against SILVA SSUref database and annotation by MEGAN showed that activated sludge was dominated by Proteobacteria, Actinobacteria, Bacteroidetes, Firmicutes and Verrucomicrobia phyla in both DNA and cDNA datasets. Global gene expression annotation based on KEGG metabolism pathway displayed slight disagreement between the DNA and cDNA datasets. Further gene expression annotation focusing on nitrogen removal revealed that denitrification-related genes sequences dominated in both DNA and cDNA datasets, while nitrifying genes were also expressed in relative high levels. Specially, ammonia monooxygenase and hydroxylamine oxidase demonstrated the high cDNA/DNA ratios in the present study, indicating strong nitrification activity. Enzyme subunits gene sequences annotation discovered that subunits of ammonia monooxygenase (amoA, amoB, amoC) and hydroxylamine oxygenase had higher expression levels compared with subunits of the other enzymes genes. Taxonomic profiles of selected enzymes (ammonia monooxygenase and hydroxylamine oxygenase) showed that ammonia-oxidizing bacteria present mainly belonged to Nitrosomonas and Nitrosospira species and no ammonia-oxidizing Archaea sequences were detected in both DNA and cDNA datasets. © 2012 Yu, Zhang.","author":[{"dropping-particle":"","family":"Yu","given":"Ke","non-dropping-particle":"","parse-names":false,"suffix":""},{"dropping-particle":"","family":"Zhang","given":"Tong","non-dropping-particle":"","parse-names":false,"suffix":""}],"container-title":"PLoS ONE","id":"ITEM-2","issue":"5","issued":{"date-parts":[["2012"]]},"title":"Metagenomic and metatranscriptomic analysis of microbial community structure and gene expression of activated sludge","type":"article-journal","volume":"7"},"uris":["http://www.mendeley.com/documents/?uuid=3dc478fe-0b63-4e3b-8489-458614add37b"]}],"mendeley":{"formattedCitation":"(Shi et al., 2011; Yu and Zhang, 2012)","plainTextFormattedCitation":"(Shi et al., 2011; Yu and Zhang, 2012)","previouslyFormattedCitation":"(Shi et al., 2011; Yu and Zhang, 2012)"},"properties":{"noteIndex":0},"schema":"https://github.com/citation-style-language/schema/raw/master/csl-citation.json"}</w:instrText>
      </w:r>
      <w:r>
        <w:fldChar w:fldCharType="separate"/>
      </w:r>
      <w:r w:rsidRPr="0001701A">
        <w:rPr>
          <w:noProof/>
        </w:rPr>
        <w:t>(Shi et al., 2011; Yu and Zhang, 2012)</w:t>
      </w:r>
      <w:r>
        <w:fldChar w:fldCharType="end"/>
      </w:r>
      <w:r>
        <w:t xml:space="preserve"> and an arthropod mock community </w:t>
      </w:r>
      <w:r>
        <w:fldChar w:fldCharType="begin" w:fldLock="1"/>
      </w:r>
      <w:r w:rsidR="00DA1B58">
        <w:instrText>ADDIN CSL_CITATION {"citationItems":[{"id":"ITEM-1","itemData":{"DOI":"10.1080/24701394.2018.1455189","ISSN":"24701408","abstract":"Consensus on the optimal high-throughput sequencing (HTS) approach to examine biodiversity in mixed terrestrial arthropod samples has not been reached. Metatranscriptomics could increase the proportion of taxonomically informative mitochondrial reads in HTS outputs but has not been investigated for terrestrial arthropod samples. We compared the efficiency of 16S rRNA metabarcoding, metagenomics and metatranscriptomics for detecting species in a mixed terrestrial arthropod sample (pooled DNA/RNA from 38 taxa). 16S rRNA metabarcoding and nuclear rRNA-depleted metatranscriptomics had the highest detection rate with 97% of input species detected. Based on cytochrome c oxidase I, metagenomics had the highest detection rate with 82% of input species detected, but metatranscriptomics produced a larger proportion of reads matching (Sanger) reference sequences. Metatranscriptomics with nuclear rRNA depletion may offer advantages over metabarcoding through reducing the number of spurious operational taxonomic units while retaining high detection rates, and offers natural enrichment of mitochondrial sequences which may enable increased species detection rates compared with metagenomics.","author":[{"dropping-particle":"","family":"Wilson","given":"John-James","non-dropping-particle":"","parse-names":false,"suffix":""},{"dropping-particle":"","family":"Brandon-Mong","given":"Guo Jie","non-dropping-particle":"","parse-names":false,"suffix":""},{"dropping-particle":"","family":"Gan","given":"Han Ming","non-dropping-particle":"","parse-names":false,"suffix":""},{"dropping-particle":"","family":"Sing","given":"Kong Wah","non-dropping-particle":"","parse-names":false,"suffix":""}],"container-title":"Mitochondrial DNA Part A","id":"ITEM-1","issue":"1","issued":{"date-parts":[["2019"]]},"page":"60-67","publisher":"Informa UK Ltd.","title":"High-throughput terrestrial biodiversity assessments: mitochondrial metabarcoding, metagenomics or metatranscriptomics?","type":"article-journal","volume":"30"},"uris":["http://www.mendeley.com/documents/?uuid=216b183a-5f36-4135-8c0c-0d7b9d947a8b"]}],"mendeley":{"formattedCitation":"(Wilson et al., 2019)","plainTextFormattedCitation":"(Wilson et al., 2019)","previouslyFormattedCitation":"(Wilson et al., 2019)"},"properties":{"noteIndex":0},"schema":"https://github.com/citation-style-language/schema/raw/master/csl-citation.json"}</w:instrText>
      </w:r>
      <w:r>
        <w:fldChar w:fldCharType="separate"/>
      </w:r>
      <w:r w:rsidRPr="0001701A">
        <w:rPr>
          <w:noProof/>
        </w:rPr>
        <w:t>(Wilson et al., 2019)</w:t>
      </w:r>
      <w:r>
        <w:fldChar w:fldCharType="end"/>
      </w:r>
      <w:r>
        <w:t>, but to our knowledge</w:t>
      </w:r>
      <w:r w:rsidR="00D274ED">
        <w:t>,</w:t>
      </w:r>
      <w:r>
        <w:t xml:space="preserve"> </w:t>
      </w:r>
      <w:r w:rsidR="00A12593">
        <w:t>they</w:t>
      </w:r>
      <w:r>
        <w:t xml:space="preserve"> have not been compared in taxonomic profiling accuracy </w:t>
      </w:r>
      <w:r w:rsidR="00A12593">
        <w:t xml:space="preserve">by </w:t>
      </w:r>
      <w:r>
        <w:t>using a microbial mock community.</w:t>
      </w:r>
    </w:p>
    <w:p w14:paraId="1FAB231C" w14:textId="33863388" w:rsidR="00381EEA" w:rsidRDefault="00381EEA" w:rsidP="004F3EB3">
      <w:pPr>
        <w:spacing w:line="360" w:lineRule="auto"/>
        <w:jc w:val="both"/>
      </w:pPr>
    </w:p>
    <w:p w14:paraId="3E73AF97" w14:textId="12EA780A" w:rsidR="00D62ED7" w:rsidRDefault="00D62ED7" w:rsidP="004F3EB3">
      <w:pPr>
        <w:spacing w:line="360" w:lineRule="auto"/>
        <w:jc w:val="both"/>
      </w:pPr>
      <w:r>
        <w:t>PART 4: BENCHMARKING</w:t>
      </w:r>
    </w:p>
    <w:p w14:paraId="480BC869" w14:textId="6C5B115C" w:rsidR="00D62ED7" w:rsidRDefault="00D62ED7" w:rsidP="004F3EB3">
      <w:pPr>
        <w:spacing w:line="360" w:lineRule="auto"/>
        <w:jc w:val="both"/>
      </w:pPr>
      <w:r>
        <w:tab/>
        <w:t xml:space="preserve">In </w:t>
      </w:r>
      <w:r w:rsidR="00832935">
        <w:t xml:space="preserve">any </w:t>
      </w:r>
      <w:r>
        <w:t xml:space="preserve">sequencing approach, the processing of sequencing data has </w:t>
      </w:r>
      <w:r w:rsidR="00D274ED">
        <w:t xml:space="preserve">a </w:t>
      </w:r>
      <w:r>
        <w:t xml:space="preserve">high impact on the results. For </w:t>
      </w:r>
      <w:r w:rsidR="009E22BF">
        <w:t>metagenomics</w:t>
      </w:r>
      <w:r>
        <w:t xml:space="preserve"> and </w:t>
      </w:r>
      <w:r w:rsidR="009E22BF">
        <w:t xml:space="preserve">metatranscriptomics, processing steps include quality filtering, in silico </w:t>
      </w:r>
      <w:r w:rsidR="003D48E5">
        <w:t>filtering</w:t>
      </w:r>
      <w:r w:rsidR="009E22BF">
        <w:t xml:space="preserve"> of host DNA/RNA or rRNA, and read- or assembly-based profiling </w:t>
      </w:r>
      <w:r w:rsidR="009E22BF">
        <w:fldChar w:fldCharType="begin" w:fldLock="1"/>
      </w:r>
      <w:r w:rsidR="003D48E5">
        <w:instrText>ADDIN CSL_CITATION {"citationItems":[{"id":"ITEM-1","itemData":{"DOI":"10.1038/s41579-018-0029-9","ISBN":"4157901800","ISSN":"1740-1534","author":[{"dropping-particle":"","family":"Knight","given":"Rob","non-dropping-particle":"","parse-names":false,"suffix":""},{"dropping-particle":"","family":"Navas","given":"Jose","non-dropping-particle":"","parse-names":false,"suffix":""},{"dropping-particle":"","family":"Quinn","given":"Robert A","non-dropping-particle":"","parse-names":false,"suffix":""},{"dropping-particle":"","family":"Sanders","given":"Jon G","non-dropping-particle":"","parse-names":false,"suffix":""},{"dropping-particle":"","family":"Zhu","given":"Qiyun","non-dropping-particle":"","parse-names":false,"suffix":""}],"container-title":"Nature Reviews Microbiology","id":"ITEM-1","issued":{"date-parts":[["2018"]]},"publisher":"Springer US","title":"Best practices for analysing microbiomes","type":"article-journal"},"uris":["http://www.mendeley.com/documents/?uuid=b3fc8cae-d730-44df-a2f6-7d9f85cba60a"]},{"id":"ITEM-2","itemData":{"DOI":"10.1038/nbt.3935","ISSN":"15461696","PMID":"28898207","abstract":"Diverse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Biotechnology","id":"ITEM-2","issue":"9","issued":{"date-parts":[["2017"]]},"page":"833-844","title":"Shotgun metagenomics, from sampling to analysis","type":"article-journal","volume":"35"},"uris":["http://www.mendeley.com/documents/?uuid=129e7328-0ff5-4a4a-883f-e12061863c72"]}],"mendeley":{"formattedCitation":"(Knight et al., 2018; Quince et al., 2017)","plainTextFormattedCitation":"(Knight et al., 2018; Quince et al., 2017)","previouslyFormattedCitation":"(Knight et al., 2018; Quince et al., 2017)"},"properties":{"noteIndex":0},"schema":"https://github.com/citation-style-language/schema/raw/master/csl-citation.json"}</w:instrText>
      </w:r>
      <w:r w:rsidR="009E22BF">
        <w:fldChar w:fldCharType="separate"/>
      </w:r>
      <w:r w:rsidR="009E22BF" w:rsidRPr="009E22BF">
        <w:rPr>
          <w:noProof/>
        </w:rPr>
        <w:t>(Knight et al., 2018; Quince et al., 2017)</w:t>
      </w:r>
      <w:r w:rsidR="009E22BF">
        <w:fldChar w:fldCharType="end"/>
      </w:r>
      <w:r w:rsidR="003D48E5">
        <w:t xml:space="preserve">, although assembly-based profiling is recommended over read-based profiling </w:t>
      </w:r>
      <w:r w:rsidR="003D48E5">
        <w:fldChar w:fldCharType="begin" w:fldLock="1"/>
      </w:r>
      <w:r w:rsidR="00AA01B4">
        <w:instrText>ADDIN CSL_CITATION {"citationItems":[{"id":"ITEM-1","itemData":{"DOI":"10.1038/nbt.3935","ISSN":"15461696","PMID":"28898207","abstract":"Diverse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Biotechnology","id":"ITEM-1","issue":"9","issued":{"date-parts":[["2017"]]},"page":"833-844","title":"Shotgun metagenomics, from sampling to analysis","type":"article-journal","volume":"35"},"uris":["http://www.mendeley.com/documents/?uuid=129e7328-0ff5-4a4a-883f-e12061863c72"]},{"id":"ITEM-2","itemData":{"DOI":"10.1093/gigascience/giz096","ISBN":"0000000310","ISSN":"2047217X","abstract":"Background: Metatranscriptomics has been used widely for investigation and quantification of microbial communities' activity in response to external stimuli. By assessing the genes expressed, metatranscriptomics provides an understanding of the interactions between different major functional guilds and the environment. Here, we present a de novo assembly-based Comparative Metatranscriptomics Workflow (CoMW) implemented in a modular, reproducible structure. Metatranscriptomics typically uses short sequence reads, which can either be directly aligned to external reference databases (\"assembly-free approach\") or first assembled into contigs before alignment (\"assembly-based approach\"). We also compare CoMW (assembly-based implementation) with an assembly-free alternative workflow, using simulated and real-world metatranscriptomes from Arctic and temperate terrestrial environments. We evaluate their accuracy in precision and recall using generic and specialized hierarchical protein databases. Results: CoMW provided significantly fewer false-positive results, resulting in more precise identification and quantification of functional genes in metatranscriptomes. Using the comprehensive database M5nr, the assembly-based approach identified genes with only 0.6% false-positive results at thresholds ranging from inclusive to stringent compared with the assembly-free approach, which yielded up to 15% false-positive results. Using specialized databases (carbohydrate-active enzyme and nitrogen cycle), the assembly-based approach identified and quantified genes with 3-5 times fewer false-positive results. We also evaluated the impact of both approaches on real-world datasets. Conclusions: We present an open source de novo assembly-based CoMW. Our benchmarking findings support assembling short reads into contigs before alignment to a reference database because this provides higher precision and minimizes false-positive results.","author":[{"dropping-particle":"","family":"Anwar","given":"Muhammad Zohaib","non-dropping-particle":"","parse-names":false,"suffix":""},{"dropping-particle":"","family":"Lanzén","given":"Anders","non-dropping-particle":"","parse-names":false,"suffix":""},{"dropping-particle":"","family":"Bang-Andreasen","given":"Toke","non-dropping-particle":"","parse-names":false,"suffix":""},{"dropping-particle":"","family":"Jacobsen","given":"Carsten Suhr","non-dropping-particle":"","parse-names":false,"suffix":""}],"container-title":"GigaScience","id":"ITEM-2","issue":"8","issued":{"date-parts":[["2019"]]},"page":"1-10","publisher":"Oxford University Press","title":"To assemble or not to resemble-A validated Comparative Metatranscriptomics Workflow (CoMW)","type":"article-journal","volume":"8"},"uris":["http://www.mendeley.com/documents/?uuid=bc48a965-b99c-42ed-bbb7-c62a592973e3"]}],"mendeley":{"formattedCitation":"(Anwar et al., 2019; Quince et al., 2017)","plainTextFormattedCitation":"(Anwar et al., 2019; Quince et al., 2017)","previouslyFormattedCitation":"(Anwar et al., 2019; Quince et al., 2017)"},"properties":{"noteIndex":0},"schema":"https://github.com/citation-style-language/schema/raw/master/csl-citation.json"}</w:instrText>
      </w:r>
      <w:r w:rsidR="003D48E5">
        <w:fldChar w:fldCharType="separate"/>
      </w:r>
      <w:r w:rsidR="003D48E5" w:rsidRPr="003D48E5">
        <w:rPr>
          <w:noProof/>
        </w:rPr>
        <w:t>(Anwar et al., 2019; Quince et al., 2017)</w:t>
      </w:r>
      <w:r w:rsidR="003D48E5">
        <w:fldChar w:fldCharType="end"/>
      </w:r>
      <w:r w:rsidR="003D48E5">
        <w:t>. There is an enormous repertoire of processing tools available for each step, and new tools are constantly released. Therefore, benchmarking of available tools is important and frequently carried out</w:t>
      </w:r>
      <w:r w:rsidR="00AA01B4">
        <w:t xml:space="preserve">, which is thoroughly addressed elsewhere </w:t>
      </w:r>
      <w:r w:rsidR="00AA01B4">
        <w:fldChar w:fldCharType="begin" w:fldLock="1"/>
      </w:r>
      <w:r w:rsidR="0001701A">
        <w:instrText>ADDIN CSL_CITATION {"citationItems":[{"id":"ITEM-1","itemData":{"DOI":"10.1038/s41579-018-0029-9","ISBN":"4157901800","ISSN":"1740-1534","author":[{"dropping-particle":"","family":"Knight","given":"Rob","non-dropping-particle":"","parse-names":false,"suffix":""},{"dropping-particle":"","family":"Navas","given":"Jose","non-dropping-particle":"","parse-names":false,"suffix":""},{"dropping-particle":"","family":"Quinn","given":"Robert A","non-dropping-particle":"","parse-names":false,"suffix":""},{"dropping-particle":"","family":"Sanders","given":"Jon G","non-dropping-particle":"","parse-names":false,"suffix":""},{"dropping-particle":"","family":"Zhu","given":"Qiyun","non-dropping-particle":"","parse-names":false,"suffix":""}],"container-title":"Nature Reviews Microbiology","id":"ITEM-1","issued":{"date-parts":[["2018"]]},"publisher":"Springer US","title":"Best practices for analysing microbiomes","type":"article-journal"},"uris":["http://www.mendeley.com/documents/?uuid=b3fc8cae-d730-44df-a2f6-7d9f85cba60a"]},{"id":"ITEM-2","itemData":{"DOI":"10.1038/nbt.3935","ISSN":"15461696","PMID":"28898207","abstract":"Diverse microbial communities of bacteria, archaea, viruses and single-celled eukaryotes have crucial roles in the environment and in human health. However, microbes are frequently difficult to culture in the laboratory, which can confound cataloging of members and understanding of how communities function. High-throughput sequencing technologies and a suite of computational pipelines have been combined into shotgun metagenomics methods that have transformed microbiology. Still, computational approaches to overcome the challenges that affect both assembly-based and mapping-based metagenomic profiling, particularly of high-complexity samples or environments containing organisms with limited similarity to sequenced genomes, are needed. Understanding the functions and characterizing specific strains of these communities offers biotechnological promise in therapeutic discovery and innovative ways to synthesize products using microbial factories and can pinpoint the contributions of microorganisms to planetary, animal and human health.","author":[{"dropping-particle":"","family":"Quince","given":"Christopher","non-dropping-particle":"","parse-names":false,"suffix":""},{"dropping-particle":"","family":"Walker","given":"Alan W.","non-dropping-particle":"","parse-names":false,"suffix":""},{"dropping-particle":"","family":"Simpson","given":"Jared T.","non-dropping-particle":"","parse-names":false,"suffix":""},{"dropping-particle":"","family":"Loman","given":"Nicholas J.","non-dropping-particle":"","parse-names":false,"suffix":""},{"dropping-particle":"","family":"Segata","given":"Nicola","non-dropping-particle":"","parse-names":false,"suffix":""}],"container-title":"Nature Biotechnology","id":"ITEM-2","issue":"9","issued":{"date-parts":[["2017"]]},"page":"833-844","title":"Shotgun metagenomics, from sampling to analysis","type":"article-journal","volume":"35"},"uris":["http://www.mendeley.com/documents/?uuid=129e7328-0ff5-4a4a-883f-e12061863c72"]},{"id":"ITEM-3","itemData":{"DOI":"10.4137/BBI.S34610","ISSN":"11779322","abstract":"The human intestinal microbiome is a microbial ecosystem that expresses as many as 100 times more genes than the human host, thereby constituting an important component of the human holobiome, which contributes to multiple health and disease processes. As most commensal species are difficult or impossible to culture, genomic characterization of microbiome composition and function, under various environmental conditions, comprises a central tool in understanding its roles in health and disease. The first decade of microbiome research was mainly characterized by usage of DNA sequencing--based 16S rDNA and shotgun metagenome sequencing, allowing for the elucidation of microbial composition and genome structure. Technological advances in RNA-seq have recently provided us with an ability to gain insight into the genes that are actively expressed in complex bacterial communities, enabling the elucidation of the functional changes that dictate the microbiome functions at given contexts, its interactions with the host, and functional alterations that accompany the conversion of a healthy microbiome toward a disease-driving configuration. Here, we highlight some of the key metatranscriptomics strategies that are implemented to determine microbiota gene expression and its regulation and discuss the advantages and potential challenges associated with these approaches.","author":[{"dropping-particle":"","family":"Bashiardes","given":"Stavros","non-dropping-particle":"","parse-names":false,"suffix":""},{"dropping-particle":"","family":"Zilberman-Schapira","given":"Gili","non-dropping-particle":"","parse-names":false,"suffix":""},{"dropping-particle":"","family":"Elinav","given":"Eran","non-dropping-particle":"","parse-names":false,"suffix":""}],"container-title":"Bioinformatics and Biology Insights","id":"ITEM-3","issued":{"date-parts":[["2016"]]},"page":"19-25","title":"Use of metatranscriptomics in microbiome research","type":"article-journal","volume":"10"},"uris":["http://www.mendeley.com/documents/?uuid=97008a7a-83af-4b18-872b-4063fd6a5c8b"]},{"id":"ITEM-4","itemData":{"DOI":"10.3389/fgene.2019.00904","ISSN":"16648021","abstract":"Sequencing-based analyses of microbiomes have traditionally focused on addressing the question of community membership and profiling taxonomic abundance through amplicon sequencing of 16 rRNA genes. More recently, shotgun metagenomics, which involves the random sequencing of all genomic content of a microbiome, has dominated this arena due to advancements in sequencing technology throughput and capability to profile genes as well as microbiome membership. While these methods have revealed a great number of insights into a wide variety of microbiomes, both of these approaches only describe the presence of organisms or genes, and not whether they are active members of the microbiome. To obtain deeper insights into how a microbial community responds over time to their changing environmental conditions, microbiome scientists are beginning to employ large-scale metatranscriptomics approaches. Here, we present a comprehensive review on computational metatranscriptomics approaches to study microbial community transcriptomes. We review the major advancements in this burgeoning field, compare strengths and weaknesses to other microbiome analysis methods, list available tools and workflows, and describe use cases and limitations of this method. We envision that this field will continue to grow exponentially, as will the scope of projects (e.g. longitudinal studies of community transcriptional responses to perturbations over time) and the resulting data. This review will provide a list of options for computational analysis of these data and will highlight areas in need of development.","author":[{"dropping-particle":"","family":"Shakya","given":"Migun","non-dropping-particle":"","parse-names":false,"suffix":""},{"dropping-particle":"","family":"Lo","given":"Chien Chi","non-dropping-particle":"","parse-names":false,"suffix":""},{"dropping-particle":"","family":"Chain","given":"Patrick S.G.","non-dropping-particle":"","parse-names":false,"suffix":""}],"container-title":"Frontiers in Genetics","id":"ITEM-4","issue":"SEP","issued":{"date-parts":[["2019"]]},"page":"1-10","title":"Advances and challenges in metatranscriptomic analysis","type":"article-journal","volume":"10"},"uris":["http://www.mendeley.com/documents/?uuid=63126242-9845-41c2-a81d-a069771ab36b"]},{"id":"ITEM-5","itemData":{"DOI":"10.1186/s13059-017-1299-7","ISSN":"1474760X","abstract":"Background: One of the main challenges in metagenomics is the identification of microorganisms in clinical and environmental samples. While an extensive and heterogeneous set of computational tools is available to classify microorganisms using whole-genome shotgun sequencing data, comprehensive comparisons of these methods are limited. Results: In this study, we use the largest-to-date set of laboratory-generated and simulated controls across 846 species to evaluate the performance of 11 metagenomic classifiers. Tools were characterized on the basis of their ability to identify taxa at the genus, species, and strain levels, quantify relative abundances of taxa, and classify individual reads to the species level. Strikingly, the number of species identified by the 11 tools can differ by over three orders of magnitude on the same datasets. Various strategies can ameliorate taxonomic misclassification, including abundance filtering, ensemble approaches, and tool intersection. Nevertheless, these strategies were often insufficient to completely eliminate false positives from environmental samples, which are especially important where they concern medically relevant species. Overall, pairing tools with different classification strategies (k-mer, alignment, marker) can combine their respective advantages. Conclusions: This study provides positive and negative controls, titrated standards, and a guide for selecting tools for metagenomic analyses by comparing ranges of precision, accuracy, and recall. We show that proper experimental design and analysis parameters can reduce false positives, provide greater resolution of species in complex metagenomic samples, and improve the interpretation of results.","author":[{"dropping-particle":"","family":"McIntyre","given":"Alexa B.R.","non-dropping-particle":"","parse-names":false,"suffix":""},{"dropping-particle":"","family":"Ounit","given":"Rachid","non-dropping-particle":"","parse-names":false,"suffix":""},{"dropping-particle":"","family":"Afshinnekoo","given":"Ebrahim","non-dropping-particle":"","parse-names":false,"suffix":""},{"dropping-particle":"","family":"Prill","given":"Robert J.","non-dropping-particle":"","parse-names":false,"suffix":""},{"dropping-particle":"","family":"Hénaff","given":"Elizabeth","non-dropping-particle":"","parse-names":false,"suffix":""},{"dropping-particle":"","family":"Alexander","given":"Noah","non-dropping-particle":"","parse-names":false,"suffix":""},{"dropping-particle":"","family":"Minot","given":"Samuel S.","non-dropping-particle":"","parse-names":false,"suffix":""},{"dropping-particle":"","family":"Danko","given":"David","non-dropping-particle":"","parse-names":false,"suffix":""},{"dropping-particle":"","family":"Foox","given":"Jonathan","non-dropping-particle":"","parse-names":false,"suffix":""},{"dropping-particle":"","family":"Ahsanuddin","given":"Sofia","non-dropping-particle":"","parse-names":false,"suffix":""},{"dropping-particle":"","family":"Tighe","given":"Scott","non-dropping-particle":"","parse-names":false,"suffix":""},{"dropping-particle":"","family":"Hasan","given":"Nur A.","non-dropping-particle":"","parse-names":false,"suffix":""},{"dropping-particle":"","family":"Subramanian","given":"Poorani","non-dropping-particle":"","parse-names":false,"suffix":""},{"dropping-particle":"","family":"Moffat","given":"Kelly","non-dropping-particle":"","parse-names":false,"suffix":""},{"dropping-particle":"","family":"Levy","given":"Shawn","non-dropping-particle":"","parse-names":false,"suffix":""},{"dropping-particle":"","family":"Lonardi","given":"Stefano","non-dropping-particle":"","parse-names":false,"suffix":""},{"dropping-particle":"","family":"Greenfield","given":"Nick","non-dropping-particle":"","parse-names":false,"suffix":""},{"dropping-particle":"","family":"Colwell","given":"Rita R.","non-dropping-particle":"","parse-names":false,"suffix":""},{"dropping-particle":"","family":"Rosen","given":"Gail L.","non-dropping-particle":"","parse-names":false,"suffix":""},{"dropping-particle":"","family":"Mason","given":"Christopher E.","non-dropping-particle":"","parse-names":false,"suffix":""}],"container-title":"Genome Biology","id":"ITEM-5","issue":"1","issued":{"date-parts":[["2017"]]},"page":"1-19","publisher":"Genome Biology","title":"Comprehensive benchmarking and ensemble approaches for metagenomic classifiers","type":"article-journal","volume":"18"},"uris":["http://www.mendeley.com/documents/?uuid=a50ad12a-e52b-475a-b9af-9f8ceb3b5261"]},{"id":"ITEM-6","itemData":{"DOI":"10.1371/journal.pone.0169662","ISBN":"1111111111","ISSN":"19326203","PMID":"21641636","abstract":"With the constant improvement in cost-efficiency and quality of Next Generation Sequencing technologies, shotgun-sequencing approaches -such as metagenomics- have nowadays become the methods of choice for studying and classifying microorganisms from various habitats. The production of data has dramatically increased over the past years and processing and analysis steps are becoming more and more of a bottleneck. Limiting factors are partly the availability of computational resources, but mainly the bioinformatics expertise in establishing and applying appropriate processing and analysis pipelines. Fortunately, a large diversity of specialized software tools is nowadays available. Nevertheless, choosing the most appropriate methods for answering specific biological questions can be rather challenging, especially for non-bioinformaticians. In order to provide a comprehensive overview and guide for the microbiological scientific community, we assessed the most common and freely available metagenome assembly tools with respect to their output statistics, their sensitivity for low abundant community members and variability in resulting community profiles as well as their ease-of-use. In contrast to the highly anticipated \"Critical Assessment of Metagenomic Interpretation\" (CAMI) challenge, which uses general mock community-based assembler comparison we here tested assemblers on real Illumina metagenome sequencing data from natural communities of varying complexity sampled from forest soil and algal biofilms. Our observations clearly demonstrate that different assembly tools can prove optimal, depending on the sample type, available computational resources and, most importantly, the specific research goal. In addition, we present detailed descriptions of the underlying principles and pitfalls of publically available assembly tools from a microbiologist’s perspective, and provide guidance regarding the user-friendliness, sensitivity and reliability of the resulting phylogenetic profiles.","author":[{"dropping-particle":"","family":"Vollmers","given":"John","non-dropping-particle":"","parse-names":false,"suffix":""},{"dropping-particle":"","family":"Wiegand","given":"Sandra","non-dropping-particle":"","parse-names":false,"suffix":""},{"dropping-particle":"","family":"Kaster","given":"Anne Kristin","non-dropping-particle":"","parse-names":false,"suffix":""}],"container-title":"PLoS ONE","id":"ITEM-6","issue":"1","issued":{"date-parts":[["2017"]]},"number-of-pages":"1-31","title":"Comparing and evaluating metagenome assembly tools from a microbiologist's perspective - Not only size matters!","type":"book","volume":"12"},"uris":["http://www.mendeley.com/documents/?uuid=3fd09448-547f-4b29-ab70-607263be5e1f"]}],"mendeley":{"formattedCitation":"(Bashiardes et al., 2016; Knight et al., 2018; McIntyre et al., 2017; Quince et al., 2017; Shakya et al., 2019; Vollmers et al., 2017)","plainTextFormattedCitation":"(Bashiardes et al., 2016; Knight et al., 2018; McIntyre et al., 2017; Quince et al., 2017; Shakya et al., 2019; Vollmers et al., 2017)","previouslyFormattedCitation":"(Bashiardes et al., 2016; Knight et al., 2018; McIntyre et al., 2017; Quince et al., 2017; Shakya et al., 2019; Vollmers et al., 2017)"},"properties":{"noteIndex":0},"schema":"https://github.com/citation-style-language/schema/raw/master/csl-citation.json"}</w:instrText>
      </w:r>
      <w:r w:rsidR="00AA01B4">
        <w:fldChar w:fldCharType="separate"/>
      </w:r>
      <w:r w:rsidR="00AA01B4" w:rsidRPr="00AA01B4">
        <w:rPr>
          <w:noProof/>
        </w:rPr>
        <w:t>(Bashiardes et al., 2016; Knight et al., 2018; McIntyre et al., 2017; Quince et al., 2017; Shakya et al., 2019; Vollmers et al., 2017)</w:t>
      </w:r>
      <w:r w:rsidR="00AA01B4">
        <w:fldChar w:fldCharType="end"/>
      </w:r>
      <w:r w:rsidR="00AA01B4">
        <w:t>. However, to our knowledge, such benchmarking studies have not been performed for total RNA-Seq.</w:t>
      </w:r>
    </w:p>
    <w:p w14:paraId="024F0364" w14:textId="0979E3F8" w:rsidR="0049163C" w:rsidRDefault="0049163C" w:rsidP="004F3EB3">
      <w:pPr>
        <w:spacing w:line="360" w:lineRule="auto"/>
        <w:jc w:val="both"/>
      </w:pPr>
    </w:p>
    <w:p w14:paraId="242B5E03" w14:textId="57CCE2DE" w:rsidR="00832935" w:rsidRDefault="00832935" w:rsidP="004F3EB3">
      <w:pPr>
        <w:spacing w:line="360" w:lineRule="auto"/>
        <w:jc w:val="both"/>
      </w:pPr>
      <w:r>
        <w:t>PART 5: WHAT WE DO</w:t>
      </w:r>
    </w:p>
    <w:p w14:paraId="218911A9" w14:textId="644C326C" w:rsidR="00C22C51" w:rsidRDefault="00AE1909" w:rsidP="00C22C51">
      <w:pPr>
        <w:spacing w:line="360" w:lineRule="auto"/>
        <w:ind w:firstLine="720"/>
        <w:jc w:val="both"/>
      </w:pPr>
      <w:r>
        <w:t xml:space="preserve">In the present study, we </w:t>
      </w:r>
      <w:r w:rsidR="00E22E46">
        <w:t>target</w:t>
      </w:r>
      <w:r w:rsidR="00C22C51">
        <w:t xml:space="preserve"> the problem that we are in need for an </w:t>
      </w:r>
      <w:r w:rsidR="00F3585D">
        <w:t>accurate</w:t>
      </w:r>
      <w:r w:rsidR="00C22C51">
        <w:t xml:space="preserve"> taxonomic </w:t>
      </w:r>
      <w:r w:rsidR="00F3585D">
        <w:t>profiling approach for entire diverse microbial communities, yet don’t have the required sequencing depth to do so using metagenomics</w:t>
      </w:r>
      <w:r w:rsidR="00C22C51">
        <w:t>.</w:t>
      </w:r>
      <w:r w:rsidR="00F3585D">
        <w:t xml:space="preserve"> Sequencing depth is constantly improving, and sequencing is getting cheaper, but for now, high sequencing depths are still very expensive and often not affordable </w:t>
      </w:r>
      <w:r w:rsidR="0001701A">
        <w:t>to</w:t>
      </w:r>
      <w:r w:rsidR="00F3585D">
        <w:t xml:space="preserve"> stakeholders</w:t>
      </w:r>
      <w:r w:rsidR="00371749">
        <w:t xml:space="preserve"> for routine biomonitoring</w:t>
      </w:r>
      <w:r w:rsidR="00F3585D">
        <w:t>.</w:t>
      </w:r>
    </w:p>
    <w:p w14:paraId="046C5021" w14:textId="656EB4B8" w:rsidR="00137B30" w:rsidRDefault="00F3585D" w:rsidP="00575A73">
      <w:pPr>
        <w:spacing w:line="360" w:lineRule="auto"/>
        <w:ind w:firstLine="576"/>
        <w:jc w:val="both"/>
      </w:pPr>
      <w:r>
        <w:t>Therefore, w</w:t>
      </w:r>
      <w:r w:rsidR="00A819B8">
        <w:t xml:space="preserve">e were interested in </w:t>
      </w:r>
      <w:r w:rsidR="00137B30">
        <w:t xml:space="preserve">comparing </w:t>
      </w:r>
      <w:r w:rsidR="00A819B8">
        <w:t xml:space="preserve">the performance of metagenomics and total </w:t>
      </w:r>
      <w:r w:rsidR="00D62ED7">
        <w:t>RNA-Seq</w:t>
      </w:r>
      <w:r w:rsidR="00A819B8">
        <w:t xml:space="preserve"> for taxonomic profiling at a </w:t>
      </w:r>
      <w:r w:rsidR="00137B30">
        <w:t>moderate</w:t>
      </w:r>
      <w:r w:rsidR="00A819B8">
        <w:t xml:space="preserve"> sequencing depth.</w:t>
      </w:r>
      <w:r w:rsidR="00596CFB">
        <w:t xml:space="preserve"> We chose to compare these </w:t>
      </w:r>
      <w:r w:rsidR="00596CFB">
        <w:lastRenderedPageBreak/>
        <w:t xml:space="preserve">two approaches and to exclude DNA metabarcoding due to the </w:t>
      </w:r>
      <w:r w:rsidR="00137B30">
        <w:t>limitations</w:t>
      </w:r>
      <w:r w:rsidR="00596CFB">
        <w:t xml:space="preserve"> associated with the latter. </w:t>
      </w:r>
      <w:r w:rsidR="00A819B8">
        <w:t xml:space="preserve">Furthermore, we were interested in the impact of </w:t>
      </w:r>
      <w:r w:rsidR="00137B30">
        <w:t xml:space="preserve">common </w:t>
      </w:r>
      <w:r w:rsidR="00A819B8">
        <w:t xml:space="preserve">bioinformatic data processing </w:t>
      </w:r>
      <w:r w:rsidR="00137B30">
        <w:t>tools</w:t>
      </w:r>
      <w:r w:rsidR="00A819B8">
        <w:t xml:space="preserve"> on taxonomic profile</w:t>
      </w:r>
      <w:r w:rsidR="00137B30">
        <w:t>s</w:t>
      </w:r>
      <w:r w:rsidR="00A819B8">
        <w:t>.</w:t>
      </w:r>
    </w:p>
    <w:p w14:paraId="58DBB3A5" w14:textId="6AF15363" w:rsidR="00A819B8" w:rsidRDefault="00A819B8" w:rsidP="00575A73">
      <w:pPr>
        <w:spacing w:line="360" w:lineRule="auto"/>
        <w:ind w:firstLine="576"/>
        <w:jc w:val="both"/>
      </w:pPr>
      <w:r>
        <w:t xml:space="preserve">To </w:t>
      </w:r>
      <w:r w:rsidR="00137B30">
        <w:t>compare</w:t>
      </w:r>
      <w:r w:rsidR="00F3585D">
        <w:t xml:space="preserve"> </w:t>
      </w:r>
      <w:r w:rsidR="00137B30">
        <w:t xml:space="preserve">the </w:t>
      </w:r>
      <w:r>
        <w:t>performance</w:t>
      </w:r>
      <w:r w:rsidR="00137B30">
        <w:t>s of metagenomics and total RNA-Seq</w:t>
      </w:r>
      <w:r>
        <w:t xml:space="preserve"> and</w:t>
      </w:r>
      <w:r w:rsidR="00596CFB">
        <w:t xml:space="preserve"> </w:t>
      </w:r>
      <w:r w:rsidR="00137B30">
        <w:t xml:space="preserve">the </w:t>
      </w:r>
      <w:r w:rsidR="00AE1909">
        <w:t xml:space="preserve">impact of </w:t>
      </w:r>
      <w:r w:rsidR="00D274ED">
        <w:t>bioinformatics</w:t>
      </w:r>
      <w:r w:rsidR="00596CFB">
        <w:t xml:space="preserve"> </w:t>
      </w:r>
      <w:r w:rsidR="00137B30">
        <w:t>tools</w:t>
      </w:r>
      <w:r>
        <w:t>, w</w:t>
      </w:r>
      <w:r w:rsidR="0049163C">
        <w:t xml:space="preserve">e applied </w:t>
      </w:r>
      <w:r>
        <w:t xml:space="preserve">metagenomics and total </w:t>
      </w:r>
      <w:r w:rsidR="00D62ED7">
        <w:t>RNA-Seq</w:t>
      </w:r>
      <w:r>
        <w:t xml:space="preserve"> </w:t>
      </w:r>
      <w:r w:rsidR="0049163C">
        <w:t xml:space="preserve">to </w:t>
      </w:r>
      <w:r w:rsidR="00111265">
        <w:t xml:space="preserve">two sets of samples: 1) </w:t>
      </w:r>
      <w:r w:rsidR="0049163C">
        <w:t xml:space="preserve">a commercially available microbial mock community </w:t>
      </w:r>
      <w:r>
        <w:t xml:space="preserve">and </w:t>
      </w:r>
      <w:r w:rsidR="00111265">
        <w:t>2)</w:t>
      </w:r>
      <w:r w:rsidR="004850F6">
        <w:t xml:space="preserve"> a</w:t>
      </w:r>
      <w:r>
        <w:t xml:space="preserve"> fish tank water sample</w:t>
      </w:r>
      <w:r w:rsidR="00111265">
        <w:t>, which resembles environmental sampling</w:t>
      </w:r>
      <w:r>
        <w:t xml:space="preserve">. </w:t>
      </w:r>
      <w:r w:rsidR="00596CFB">
        <w:t>In addition, we</w:t>
      </w:r>
      <w:r>
        <w:t xml:space="preserve"> applied </w:t>
      </w:r>
      <w:r w:rsidRPr="00E22E46">
        <w:rPr>
          <w:highlight w:val="yellow"/>
        </w:rPr>
        <w:t xml:space="preserve">XXX </w:t>
      </w:r>
      <w:r w:rsidR="00111265" w:rsidRPr="00E22E46">
        <w:rPr>
          <w:highlight w:val="yellow"/>
        </w:rPr>
        <w:t xml:space="preserve">(IF WE IMPLEMENT ALL </w:t>
      </w:r>
      <w:r w:rsidR="00137B30">
        <w:rPr>
          <w:highlight w:val="yellow"/>
        </w:rPr>
        <w:t>TOOLS</w:t>
      </w:r>
      <w:r w:rsidR="00111265" w:rsidRPr="00E22E46">
        <w:rPr>
          <w:highlight w:val="yellow"/>
        </w:rPr>
        <w:t xml:space="preserve"> ON </w:t>
      </w:r>
      <w:r w:rsidR="00137B30">
        <w:rPr>
          <w:highlight w:val="yellow"/>
        </w:rPr>
        <w:t>MY</w:t>
      </w:r>
      <w:r w:rsidR="00111265" w:rsidRPr="00E22E46">
        <w:rPr>
          <w:highlight w:val="yellow"/>
        </w:rPr>
        <w:t xml:space="preserve"> LIST IT WILL BE 840</w:t>
      </w:r>
      <w:r w:rsidR="004850F6" w:rsidRPr="00E22E46">
        <w:rPr>
          <w:highlight w:val="yellow"/>
        </w:rPr>
        <w:t xml:space="preserve">!!! POSSIBLE </w:t>
      </w:r>
      <w:r w:rsidR="009250C3">
        <w:rPr>
          <w:highlight w:val="yellow"/>
        </w:rPr>
        <w:t>PIPELINES… MAYBE WE SHOULD REDUCE THAT</w:t>
      </w:r>
      <w:r w:rsidR="00111265" w:rsidRPr="00E22E46">
        <w:rPr>
          <w:highlight w:val="yellow"/>
        </w:rPr>
        <w:t>)</w:t>
      </w:r>
      <w:r w:rsidR="00111265">
        <w:t xml:space="preserve"> </w:t>
      </w:r>
      <w:r>
        <w:t xml:space="preserve">different bioinformatic </w:t>
      </w:r>
      <w:r w:rsidR="00F3585D">
        <w:t>pipelines</w:t>
      </w:r>
      <w:r>
        <w:t xml:space="preserve"> to both metagenomics and total </w:t>
      </w:r>
      <w:r w:rsidR="00D62ED7">
        <w:t>RNA-Seq</w:t>
      </w:r>
      <w:r>
        <w:t xml:space="preserve"> data</w:t>
      </w:r>
      <w:r w:rsidR="00111265">
        <w:t xml:space="preserve"> of both sample sets</w:t>
      </w:r>
      <w:r w:rsidR="009F6CC0">
        <w:t>.</w:t>
      </w:r>
    </w:p>
    <w:p w14:paraId="7A291390" w14:textId="251B2873" w:rsidR="0049163C" w:rsidRDefault="00A819B8" w:rsidP="00596CFB">
      <w:pPr>
        <w:spacing w:line="360" w:lineRule="auto"/>
        <w:ind w:firstLine="576"/>
        <w:jc w:val="both"/>
      </w:pPr>
      <w:r>
        <w:t>Using the known composition of the mock community, we</w:t>
      </w:r>
      <w:r w:rsidR="0049163C">
        <w:t xml:space="preserve"> </w:t>
      </w:r>
      <w:r w:rsidR="00AE1909">
        <w:t>evaluated</w:t>
      </w:r>
      <w:r w:rsidR="0049163C">
        <w:t xml:space="preserve"> the</w:t>
      </w:r>
      <w:r w:rsidR="00575A73">
        <w:t xml:space="preserve"> accuracy </w:t>
      </w:r>
      <w:r>
        <w:t>of</w:t>
      </w:r>
      <w:r w:rsidR="009F6CC0">
        <w:t xml:space="preserve"> the sequencing approaches and bioinformatic </w:t>
      </w:r>
      <w:r w:rsidR="00137B30">
        <w:t>pipelines</w:t>
      </w:r>
      <w:r>
        <w:t xml:space="preserve"> </w:t>
      </w:r>
      <w:r w:rsidR="009F6CC0">
        <w:t>in terms of</w:t>
      </w:r>
      <w:r w:rsidR="0049163C">
        <w:t xml:space="preserve"> taxa and abundance recovery. </w:t>
      </w:r>
      <w:r w:rsidR="00AE1909">
        <w:t>This evaluation allowed us to</w:t>
      </w:r>
      <w:r w:rsidR="00575A73">
        <w:t xml:space="preserve"> </w:t>
      </w:r>
      <w:r w:rsidR="00AE1909">
        <w:t>determine</w:t>
      </w:r>
      <w:r w:rsidR="00575A73">
        <w:t xml:space="preserve"> the most accurate taxonomic profiling </w:t>
      </w:r>
      <w:r w:rsidR="00F3585D">
        <w:t>workflow</w:t>
      </w:r>
      <w:r w:rsidR="00575A73">
        <w:t>, from sequencing to bioinformatical processing and analysis.</w:t>
      </w:r>
      <w:r w:rsidR="00596CFB">
        <w:t xml:space="preserve"> </w:t>
      </w:r>
      <w:r w:rsidR="00111265">
        <w:t>We also showed how the taxonomic profile of the fish tank sample differ</w:t>
      </w:r>
      <w:r w:rsidR="00596CFB">
        <w:t>ed</w:t>
      </w:r>
      <w:r w:rsidR="00111265">
        <w:t xml:space="preserve"> based on the applied sequencing approach</w:t>
      </w:r>
      <w:r w:rsidR="00AE1909">
        <w:t>es</w:t>
      </w:r>
      <w:r w:rsidR="00111265">
        <w:t xml:space="preserve"> and bioinformatic </w:t>
      </w:r>
      <w:r w:rsidR="00F3585D">
        <w:t>pipelines</w:t>
      </w:r>
      <w:r w:rsidR="00111265">
        <w:t>.</w:t>
      </w:r>
      <w:r w:rsidR="004850F6">
        <w:t xml:space="preserve"> Finally, we assessed which steps of the </w:t>
      </w:r>
      <w:r w:rsidR="00AE1909">
        <w:t>bioinformatic</w:t>
      </w:r>
      <w:r w:rsidR="00596CFB">
        <w:t xml:space="preserve"> </w:t>
      </w:r>
      <w:r w:rsidR="00AE1909">
        <w:t>pipelines</w:t>
      </w:r>
      <w:r w:rsidR="00596CFB">
        <w:t xml:space="preserve"> </w:t>
      </w:r>
      <w:r w:rsidR="004850F6">
        <w:t>result</w:t>
      </w:r>
      <w:r w:rsidR="00596CFB">
        <w:t>ed</w:t>
      </w:r>
      <w:r w:rsidR="004850F6">
        <w:t xml:space="preserve"> in significant differences in the taxonomic profile </w:t>
      </w:r>
      <w:r w:rsidR="00AE1909">
        <w:t xml:space="preserve">for both sample sets </w:t>
      </w:r>
      <w:r w:rsidR="004850F6">
        <w:t xml:space="preserve">and which </w:t>
      </w:r>
      <w:r w:rsidR="00AE1909">
        <w:t xml:space="preserve">steps </w:t>
      </w:r>
      <w:r w:rsidR="004850F6">
        <w:t>did not have a significant impact.</w:t>
      </w:r>
    </w:p>
    <w:p w14:paraId="1DEB7F1F" w14:textId="77777777" w:rsidR="00137B30" w:rsidRDefault="00137B30" w:rsidP="00596CFB">
      <w:pPr>
        <w:spacing w:line="360" w:lineRule="auto"/>
        <w:ind w:firstLine="576"/>
        <w:jc w:val="both"/>
      </w:pPr>
    </w:p>
    <w:p w14:paraId="48757EAE" w14:textId="4718DE4C" w:rsidR="00312A0C" w:rsidRDefault="00575A73" w:rsidP="00596CFB">
      <w:pPr>
        <w:spacing w:line="360" w:lineRule="auto"/>
        <w:jc w:val="both"/>
      </w:pPr>
      <w:r>
        <w:tab/>
      </w:r>
      <w:commentRangeStart w:id="5"/>
      <w:r w:rsidR="00C22C51">
        <w:t>We predict</w:t>
      </w:r>
      <w:r w:rsidR="00F3585D">
        <w:t>ed</w:t>
      </w:r>
      <w:r w:rsidR="00C22C51">
        <w:t xml:space="preserve"> that by using total RNA-Seq, we </w:t>
      </w:r>
      <w:r w:rsidR="00AE1909">
        <w:t>would</w:t>
      </w:r>
      <w:r w:rsidR="00C22C51">
        <w:t xml:space="preserve"> be able to accurately profile the entire microbial mock community at a </w:t>
      </w:r>
      <w:r w:rsidR="00137B30">
        <w:t>moderate</w:t>
      </w:r>
      <w:r w:rsidR="00C22C51">
        <w:t xml:space="preserve"> sequencing depth and that t</w:t>
      </w:r>
      <w:r w:rsidR="00AE1909">
        <w:t>his</w:t>
      </w:r>
      <w:r w:rsidR="00C22C51">
        <w:t xml:space="preserve"> approach </w:t>
      </w:r>
      <w:r w:rsidR="00AE1909">
        <w:t>would</w:t>
      </w:r>
      <w:r w:rsidR="00C22C51">
        <w:t xml:space="preserve"> outperform metagenomics. This would make total </w:t>
      </w:r>
      <w:r w:rsidR="00D62ED7">
        <w:t>RNA-Seq</w:t>
      </w:r>
      <w:r w:rsidR="00C22C51">
        <w:t xml:space="preserve"> attractive and affordable for </w:t>
      </w:r>
      <w:r w:rsidR="00C22C51" w:rsidRPr="00C4191A">
        <w:rPr>
          <w:highlight w:val="yellow"/>
        </w:rPr>
        <w:t>stakeholders</w:t>
      </w:r>
      <w:r w:rsidR="00596CFB">
        <w:t>. We also predict</w:t>
      </w:r>
      <w:r w:rsidR="00AE1909">
        <w:t>ed</w:t>
      </w:r>
      <w:r w:rsidR="00596CFB">
        <w:t xml:space="preserve"> that </w:t>
      </w:r>
      <w:r w:rsidR="00A26713">
        <w:t xml:space="preserve">significant differences </w:t>
      </w:r>
      <w:r w:rsidR="00AE1909">
        <w:t>would</w:t>
      </w:r>
      <w:r w:rsidR="00A26713">
        <w:t xml:space="preserve"> be observable for both the microbial mock community and the fish tank sample using different </w:t>
      </w:r>
      <w:r w:rsidR="00137B30">
        <w:t>bioinformatic pipelines</w:t>
      </w:r>
      <w:r w:rsidR="00A26713">
        <w:t>.</w:t>
      </w:r>
      <w:commentRangeEnd w:id="5"/>
      <w:r w:rsidR="00C22C51">
        <w:rPr>
          <w:rStyle w:val="CommentReference"/>
        </w:rPr>
        <w:commentReference w:id="5"/>
      </w:r>
    </w:p>
    <w:p w14:paraId="35275601" w14:textId="77777777" w:rsidR="00596CFB" w:rsidRDefault="00596CFB" w:rsidP="00596CFB">
      <w:pPr>
        <w:spacing w:line="360" w:lineRule="auto"/>
        <w:jc w:val="both"/>
      </w:pPr>
    </w:p>
    <w:p w14:paraId="53E0B9A3" w14:textId="544B99C7" w:rsidR="00312A0C" w:rsidRPr="00312A0C" w:rsidRDefault="00312A0C" w:rsidP="00C22C51">
      <w:pPr>
        <w:spacing w:line="360" w:lineRule="auto"/>
        <w:jc w:val="both"/>
      </w:pPr>
    </w:p>
    <w:p w14:paraId="6BF392BB" w14:textId="2F9BE7F4" w:rsidR="002C57A6" w:rsidRPr="002C57A6" w:rsidRDefault="002C57A6" w:rsidP="00746C95">
      <w:pPr>
        <w:spacing w:line="360" w:lineRule="auto"/>
        <w:jc w:val="both"/>
        <w:rPr>
          <w:rFonts w:ascii="Calibri" w:hAnsi="Calibri" w:cs="Calibri"/>
          <w:bCs/>
          <w:noProof/>
          <w:color w:val="000000" w:themeColor="text1"/>
          <w:lang w:val="en-US"/>
        </w:rPr>
      </w:pPr>
    </w:p>
    <w:p w14:paraId="0B1E52A3" w14:textId="77777777" w:rsidR="002C57A6" w:rsidRPr="002C57A6" w:rsidRDefault="002C57A6" w:rsidP="002C57A6">
      <w:pPr>
        <w:spacing w:line="360" w:lineRule="auto"/>
        <w:ind w:firstLine="720"/>
        <w:jc w:val="both"/>
        <w:rPr>
          <w:rFonts w:ascii="Calibri" w:hAnsi="Calibri" w:cs="Calibri"/>
          <w:color w:val="000000" w:themeColor="text1"/>
        </w:rPr>
      </w:pPr>
    </w:p>
    <w:p w14:paraId="73128279" w14:textId="58F5F50A" w:rsidR="00746C95" w:rsidRDefault="00746C95" w:rsidP="00746C95">
      <w:pPr>
        <w:spacing w:line="360" w:lineRule="auto"/>
        <w:ind w:firstLine="720"/>
        <w:jc w:val="both"/>
      </w:pPr>
      <w:r>
        <w:t xml:space="preserve">Side note: SSU genes </w:t>
      </w:r>
      <w:r w:rsidR="003A1E4D">
        <w:t xml:space="preserve">copies </w:t>
      </w:r>
      <w:r>
        <w:t xml:space="preserve">can </w:t>
      </w:r>
      <w:r w:rsidR="003A1E4D">
        <w:t>be</w:t>
      </w:r>
      <w:r>
        <w:t xml:space="preserve"> different </w:t>
      </w:r>
      <w:r w:rsidR="003A1E4D">
        <w:t xml:space="preserve">within species and organisms </w:t>
      </w:r>
      <w:r>
        <w:t xml:space="preserve">(papers </w:t>
      </w:r>
      <w:proofErr w:type="spellStart"/>
      <w:r>
        <w:t>roy</w:t>
      </w:r>
      <w:proofErr w:type="spellEnd"/>
      <w:r>
        <w:t xml:space="preserve"> </w:t>
      </w:r>
      <w:proofErr w:type="spellStart"/>
      <w:r>
        <w:t>danzmann</w:t>
      </w:r>
      <w:proofErr w:type="spellEnd"/>
      <w:r>
        <w:t xml:space="preserve"> QE), </w:t>
      </w:r>
      <w:r w:rsidR="003A1E4D">
        <w:t xml:space="preserve">that leads to different types of ribosomes in an organism which might cause </w:t>
      </w:r>
      <w:r w:rsidR="003A1E4D">
        <w:lastRenderedPageBreak/>
        <w:t>problems. But same problem exists for metabarcoding and metagenomics and is also never addressed so that should be fine</w:t>
      </w:r>
    </w:p>
    <w:p w14:paraId="458D8DEC" w14:textId="0D3ED66E" w:rsidR="003124FC" w:rsidRDefault="003124FC">
      <w:pPr>
        <w:rPr>
          <w:rFonts w:ascii="Calibri" w:hAnsi="Calibri" w:cs="Calibri"/>
        </w:rPr>
      </w:pPr>
      <w:r>
        <w:rPr>
          <w:rFonts w:ascii="Calibri" w:hAnsi="Calibri" w:cs="Calibri"/>
        </w:rPr>
        <w:br w:type="page"/>
      </w:r>
    </w:p>
    <w:p w14:paraId="12021101" w14:textId="77777777" w:rsidR="002E5158" w:rsidRDefault="003124FC">
      <w:r>
        <w:lastRenderedPageBreak/>
        <w:t>Methods:</w:t>
      </w:r>
    </w:p>
    <w:p w14:paraId="2F544220" w14:textId="4E798F94" w:rsidR="002E5158" w:rsidRDefault="002E5158"/>
    <w:p w14:paraId="28860552" w14:textId="249C336F" w:rsidR="002E5158" w:rsidRDefault="002E5158">
      <w:proofErr w:type="spellStart"/>
      <w:r>
        <w:t>Cutoff</w:t>
      </w:r>
      <w:proofErr w:type="spellEnd"/>
      <w:r>
        <w:t xml:space="preserve"> for BLAST </w:t>
      </w:r>
      <w:proofErr w:type="spellStart"/>
      <w:r>
        <w:t>evalue</w:t>
      </w:r>
      <w:proofErr w:type="spellEnd"/>
      <w:r>
        <w:t xml:space="preserve"> and for coverage from assemblers</w:t>
      </w:r>
    </w:p>
    <w:p w14:paraId="3AEA54E3" w14:textId="745300D8" w:rsidR="003124FC" w:rsidRDefault="003124FC">
      <w:r>
        <w:rPr>
          <w:noProof/>
        </w:rPr>
        <w:lastRenderedPageBreak/>
        <w:drawing>
          <wp:inline distT="0" distB="0" distL="0" distR="0" wp14:anchorId="426DFACD" wp14:editId="0D05C6EA">
            <wp:extent cx="5943600" cy="450341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ot project levels_v3.pdf"/>
                    <pic:cNvPicPr/>
                  </pic:nvPicPr>
                  <pic:blipFill>
                    <a:blip r:embed="rId10">
                      <a:extLst>
                        <a:ext uri="{28A0092B-C50C-407E-A947-70E740481C1C}">
                          <a14:useLocalDpi xmlns:a14="http://schemas.microsoft.com/office/drawing/2010/main" val="0"/>
                        </a:ext>
                      </a:extLst>
                    </a:blip>
                    <a:stretch>
                      <a:fillRect/>
                    </a:stretch>
                  </pic:blipFill>
                  <pic:spPr>
                    <a:xfrm>
                      <a:off x="0" y="0"/>
                      <a:ext cx="5957258" cy="4513767"/>
                    </a:xfrm>
                    <a:prstGeom prst="rect">
                      <a:avLst/>
                    </a:prstGeom>
                  </pic:spPr>
                </pic:pic>
              </a:graphicData>
            </a:graphic>
          </wp:inline>
        </w:drawing>
      </w:r>
      <w:r>
        <w:rPr>
          <w:noProof/>
        </w:rPr>
        <w:lastRenderedPageBreak/>
        <w:drawing>
          <wp:inline distT="0" distB="0" distL="0" distR="0" wp14:anchorId="43B6E937" wp14:editId="7853B637">
            <wp:extent cx="3738282" cy="5916246"/>
            <wp:effectExtent l="0" t="0" r="0" b="25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lot project workflow_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9579" cy="5918299"/>
                    </a:xfrm>
                    <a:prstGeom prst="rect">
                      <a:avLst/>
                    </a:prstGeom>
                  </pic:spPr>
                </pic:pic>
              </a:graphicData>
            </a:graphic>
          </wp:inline>
        </w:drawing>
      </w:r>
      <w:r>
        <w:br w:type="page"/>
      </w:r>
    </w:p>
    <w:p w14:paraId="714DC8C3" w14:textId="3D171E18" w:rsidR="00EE3DBD" w:rsidRDefault="00312A0C" w:rsidP="00EE3DBD">
      <w:r>
        <w:lastRenderedPageBreak/>
        <w:t>Dis</w:t>
      </w:r>
      <w:r w:rsidR="00177237">
        <w:t>c</w:t>
      </w:r>
      <w:r>
        <w:t>ussion:</w:t>
      </w:r>
    </w:p>
    <w:p w14:paraId="45DF5046" w14:textId="23176F83" w:rsidR="00312A0C" w:rsidRDefault="00312A0C" w:rsidP="00EE3DBD"/>
    <w:p w14:paraId="46C28B03" w14:textId="312EF2D3" w:rsidR="00177237" w:rsidRDefault="00177237" w:rsidP="00EE3DBD">
      <w:r>
        <w:t xml:space="preserve">Point out </w:t>
      </w:r>
      <w:r w:rsidR="004F3EB3">
        <w:t xml:space="preserve">that </w:t>
      </w:r>
      <w:r>
        <w:t>results are valid only for this specific sequencing depth</w:t>
      </w:r>
      <w:r w:rsidR="004F3EB3">
        <w:t>. I</w:t>
      </w:r>
      <w:r>
        <w:t xml:space="preserve">f </w:t>
      </w:r>
      <w:r w:rsidR="004F3EB3">
        <w:t>sequencing depth increased</w:t>
      </w:r>
      <w:r>
        <w:t xml:space="preserve">, </w:t>
      </w:r>
      <w:r w:rsidR="004F3EB3">
        <w:t>metagenomics</w:t>
      </w:r>
      <w:r>
        <w:t xml:space="preserve"> will become more effective</w:t>
      </w:r>
      <w:r w:rsidR="004F3EB3">
        <w:t>, but we don’t know to what degree/at what depth in relation to community complexity.</w:t>
      </w:r>
    </w:p>
    <w:p w14:paraId="45871D2C" w14:textId="77777777" w:rsidR="00177237" w:rsidRDefault="00177237" w:rsidP="00EE3DBD"/>
    <w:p w14:paraId="405AC29A" w14:textId="16E6887C" w:rsidR="00312A0C" w:rsidRDefault="00312A0C" w:rsidP="00EE3DBD">
      <w:r>
        <w:t>R</w:t>
      </w:r>
      <w:r w:rsidR="004F3EB3">
        <w:t>NA</w:t>
      </w:r>
      <w:r>
        <w:t xml:space="preserve"> hard to handle</w:t>
      </w:r>
      <w:r w:rsidR="004F3EB3">
        <w:t>, short half-life, not feasible for biomonitoring?</w:t>
      </w:r>
    </w:p>
    <w:p w14:paraId="2E400A0D" w14:textId="28393CB7" w:rsidR="00DE3419" w:rsidRDefault="00DE3419" w:rsidP="00EE3DBD"/>
    <w:p w14:paraId="36DB03EF" w14:textId="414BF80E" w:rsidR="00DE3419" w:rsidRDefault="004F3EB3" w:rsidP="00EE3DBD">
      <w:r>
        <w:t>T</w:t>
      </w:r>
      <w:r w:rsidR="00DE3419">
        <w:t>axonomy</w:t>
      </w:r>
      <w:r>
        <w:t>-</w:t>
      </w:r>
      <w:r w:rsidR="00DE3419">
        <w:t>free</w:t>
      </w:r>
      <w:r>
        <w:t xml:space="preserve"> biomonitoring</w:t>
      </w:r>
    </w:p>
    <w:p w14:paraId="08C5B112" w14:textId="2326B497" w:rsidR="00886040" w:rsidRDefault="00886040" w:rsidP="00EE3DBD"/>
    <w:p w14:paraId="1EEACF69" w14:textId="48F98A6E" w:rsidR="00886040" w:rsidRDefault="00886040" w:rsidP="00EE3DBD">
      <w:r>
        <w:t>Total RNA Seq</w:t>
      </w:r>
      <w:r w:rsidR="00DC1691">
        <w:t xml:space="preserve"> </w:t>
      </w:r>
      <w:r>
        <w:t>can be even further used for mRNA analysis</w:t>
      </w:r>
      <w:r w:rsidR="00DC1691">
        <w:t>, as previously already mentioned – two birds with one stone</w:t>
      </w:r>
    </w:p>
    <w:p w14:paraId="58013C61" w14:textId="77777777" w:rsidR="004F3EB3" w:rsidRDefault="004F3EB3" w:rsidP="00EE3DBD"/>
    <w:p w14:paraId="4E37389E" w14:textId="2840794D" w:rsidR="004F3EB3" w:rsidRDefault="004F3EB3" w:rsidP="004F3EB3">
      <w:pPr>
        <w:spacing w:line="360" w:lineRule="auto"/>
        <w:jc w:val="both"/>
      </w:pPr>
      <w:r>
        <w:t>Role of mRNA-Seq for taxonomic profiling</w:t>
      </w:r>
      <w:r w:rsidR="00DC1691">
        <w:t>?</w:t>
      </w:r>
      <w:r>
        <w:t xml:space="preserve"> (need to find REFS)</w:t>
      </w:r>
    </w:p>
    <w:p w14:paraId="033CCAA8" w14:textId="6EC6718C" w:rsidR="003A1E4D" w:rsidRDefault="003A1E4D">
      <w:r>
        <w:br w:type="page"/>
      </w:r>
    </w:p>
    <w:p w14:paraId="4644230C" w14:textId="5FE31DA8" w:rsidR="006F5086" w:rsidRPr="006F5086" w:rsidRDefault="003A1E4D" w:rsidP="006F5086">
      <w:pPr>
        <w:widowControl w:val="0"/>
        <w:autoSpaceDE w:val="0"/>
        <w:autoSpaceDN w:val="0"/>
        <w:adjustRightInd w:val="0"/>
        <w:ind w:left="480" w:hanging="480"/>
        <w:rPr>
          <w:rFonts w:ascii="Calibri" w:hAnsi="Calibri" w:cs="Calibri"/>
          <w:noProof/>
          <w:lang w:val="en-US"/>
        </w:rPr>
      </w:pPr>
      <w:r>
        <w:lastRenderedPageBreak/>
        <w:fldChar w:fldCharType="begin" w:fldLock="1"/>
      </w:r>
      <w:r>
        <w:instrText xml:space="preserve">ADDIN Mendeley Bibliography CSL_BIBLIOGRAPHY </w:instrText>
      </w:r>
      <w:r>
        <w:fldChar w:fldCharType="separate"/>
      </w:r>
      <w:r w:rsidR="006F5086" w:rsidRPr="006F5086">
        <w:rPr>
          <w:rFonts w:ascii="Calibri" w:hAnsi="Calibri" w:cs="Calibri"/>
          <w:noProof/>
          <w:lang w:val="en-US"/>
        </w:rPr>
        <w:t xml:space="preserve">Alberdi, A., Aizpurua, O., Gilbert, M. T. P., and Bohmann, K. (2018). Scrutinizing key steps for reliable metabarcoding of environmental samples. </w:t>
      </w:r>
      <w:r w:rsidR="006F5086" w:rsidRPr="006F5086">
        <w:rPr>
          <w:rFonts w:ascii="Calibri" w:hAnsi="Calibri" w:cs="Calibri"/>
          <w:i/>
          <w:iCs/>
          <w:noProof/>
          <w:lang w:val="en-US"/>
        </w:rPr>
        <w:t>Methods Ecol. Evol.</w:t>
      </w:r>
      <w:r w:rsidR="006F5086" w:rsidRPr="006F5086">
        <w:rPr>
          <w:rFonts w:ascii="Calibri" w:hAnsi="Calibri" w:cs="Calibri"/>
          <w:noProof/>
          <w:lang w:val="en-US"/>
        </w:rPr>
        <w:t xml:space="preserve"> 9, 134–147. doi:10.1111/2041-210X.12849.</w:t>
      </w:r>
    </w:p>
    <w:p w14:paraId="3F016AF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Anwar, M. Z., Lanzén, A., Bang-Andreasen, T., and Jacobsen, C. S. (2019). To assemble or not to resemble-A validated Comparative Metatranscriptomics Workflow (CoMW). </w:t>
      </w:r>
      <w:r w:rsidRPr="006F5086">
        <w:rPr>
          <w:rFonts w:ascii="Calibri" w:hAnsi="Calibri" w:cs="Calibri"/>
          <w:i/>
          <w:iCs/>
          <w:noProof/>
          <w:lang w:val="en-US"/>
        </w:rPr>
        <w:t>Gigascience</w:t>
      </w:r>
      <w:r w:rsidRPr="006F5086">
        <w:rPr>
          <w:rFonts w:ascii="Calibri" w:hAnsi="Calibri" w:cs="Calibri"/>
          <w:noProof/>
          <w:lang w:val="en-US"/>
        </w:rPr>
        <w:t xml:space="preserve"> 8, 1–10. doi:10.1093/gigascience/giz096.</w:t>
      </w:r>
    </w:p>
    <w:p w14:paraId="3472276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Arulandhu, A. J., Staats, M., Hagelaar, R., Voorhuijzen, M. M., Prins, T. W., Scholtens, I., et al. (2017). Development and validation of a multi-locus DNA metabarcoding method to identify endangered species in complex samples. </w:t>
      </w:r>
      <w:r w:rsidRPr="006F5086">
        <w:rPr>
          <w:rFonts w:ascii="Calibri" w:hAnsi="Calibri" w:cs="Calibri"/>
          <w:i/>
          <w:iCs/>
          <w:noProof/>
          <w:lang w:val="en-US"/>
        </w:rPr>
        <w:t>Gigascience</w:t>
      </w:r>
      <w:r w:rsidRPr="006F5086">
        <w:rPr>
          <w:rFonts w:ascii="Calibri" w:hAnsi="Calibri" w:cs="Calibri"/>
          <w:noProof/>
          <w:lang w:val="en-US"/>
        </w:rPr>
        <w:t xml:space="preserve"> 6, 1–18. doi:10.1093/gigascience/gix080.</w:t>
      </w:r>
    </w:p>
    <w:p w14:paraId="1A5E7CCD"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Bang-Andreasen, T., Anwar, M. Z., Lanzén, A., Kjøller, R., Rønn, R., Ekelund, F., et al. (2020). Total RNA sequencing reveals multilevel microbial community changes and functional responses to wood ash application in agricultural and forest soil. </w:t>
      </w:r>
      <w:r w:rsidRPr="006F5086">
        <w:rPr>
          <w:rFonts w:ascii="Calibri" w:hAnsi="Calibri" w:cs="Calibri"/>
          <w:i/>
          <w:iCs/>
          <w:noProof/>
          <w:lang w:val="en-US"/>
        </w:rPr>
        <w:t>FEMS Microbiol. Ecol.</w:t>
      </w:r>
      <w:r w:rsidRPr="006F5086">
        <w:rPr>
          <w:rFonts w:ascii="Calibri" w:hAnsi="Calibri" w:cs="Calibri"/>
          <w:noProof/>
          <w:lang w:val="en-US"/>
        </w:rPr>
        <w:t xml:space="preserve"> 96, 1–13. doi:10.1093/femsec/fiaa016.</w:t>
      </w:r>
    </w:p>
    <w:p w14:paraId="35E68AE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Bashiardes, S., Zilberman-Schapira, G., and Elinav, E. (2016). Use of metatranscriptomics in microbiome research. </w:t>
      </w:r>
      <w:r w:rsidRPr="006F5086">
        <w:rPr>
          <w:rFonts w:ascii="Calibri" w:hAnsi="Calibri" w:cs="Calibri"/>
          <w:i/>
          <w:iCs/>
          <w:noProof/>
          <w:lang w:val="en-US"/>
        </w:rPr>
        <w:t>Bioinform. Biol. Insights</w:t>
      </w:r>
      <w:r w:rsidRPr="006F5086">
        <w:rPr>
          <w:rFonts w:ascii="Calibri" w:hAnsi="Calibri" w:cs="Calibri"/>
          <w:noProof/>
          <w:lang w:val="en-US"/>
        </w:rPr>
        <w:t xml:space="preserve"> 10, 19–25. doi:10.4137/BBI.S34610.</w:t>
      </w:r>
    </w:p>
    <w:p w14:paraId="686BB63A"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Bellinger, E. G., and Sigee, D. C. (2015). </w:t>
      </w:r>
      <w:r w:rsidRPr="006F5086">
        <w:rPr>
          <w:rFonts w:ascii="Calibri" w:hAnsi="Calibri" w:cs="Calibri"/>
          <w:i/>
          <w:iCs/>
          <w:noProof/>
          <w:lang w:val="en-US"/>
        </w:rPr>
        <w:t>Freshwater Algae - Identification, Enumeration and Use as Bioindicators</w:t>
      </w:r>
      <w:r w:rsidRPr="006F5086">
        <w:rPr>
          <w:rFonts w:ascii="Calibri" w:hAnsi="Calibri" w:cs="Calibri"/>
          <w:noProof/>
          <w:lang w:val="en-US"/>
        </w:rPr>
        <w:t>. 2nd ed. Chichester, West Sussex: John Wiley &amp; Sons Ltd.</w:t>
      </w:r>
    </w:p>
    <w:p w14:paraId="073AC80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Carini, P., Marsden, P. J., Leff, J. W., Morgan, E. E., Strickland, M. S., and Fierer, N. (2016). Relic DNA is abundant in soil and obscures estimates of soil microbial diversity. </w:t>
      </w:r>
      <w:r w:rsidRPr="006F5086">
        <w:rPr>
          <w:rFonts w:ascii="Calibri" w:hAnsi="Calibri" w:cs="Calibri"/>
          <w:i/>
          <w:iCs/>
          <w:noProof/>
          <w:lang w:val="en-US"/>
        </w:rPr>
        <w:t>Nat. Microbiol.</w:t>
      </w:r>
      <w:r w:rsidRPr="006F5086">
        <w:rPr>
          <w:rFonts w:ascii="Calibri" w:hAnsi="Calibri" w:cs="Calibri"/>
          <w:noProof/>
          <w:lang w:val="en-US"/>
        </w:rPr>
        <w:t xml:space="preserve"> 2, 1–6. doi:10.1038/nmicrobiol.2016.242.</w:t>
      </w:r>
    </w:p>
    <w:p w14:paraId="7517AEA5"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Cordier, T., Lanzén, A., Apothéloz-Perret-Gentil, L., Stoeck, T., and Pawlowski, J. (2019). Embracing Environmental Genomics and Machine Learning for Routine Biomonitoring. </w:t>
      </w:r>
      <w:r w:rsidRPr="006F5086">
        <w:rPr>
          <w:rFonts w:ascii="Calibri" w:hAnsi="Calibri" w:cs="Calibri"/>
          <w:i/>
          <w:iCs/>
          <w:noProof/>
          <w:lang w:val="en-US"/>
        </w:rPr>
        <w:t>Trends Microbiol.</w:t>
      </w:r>
      <w:r w:rsidRPr="006F5086">
        <w:rPr>
          <w:rFonts w:ascii="Calibri" w:hAnsi="Calibri" w:cs="Calibri"/>
          <w:noProof/>
          <w:lang w:val="en-US"/>
        </w:rPr>
        <w:t xml:space="preserve"> 27, 387–397. doi:10.1016/j.tim.2018.10.012.</w:t>
      </w:r>
    </w:p>
    <w:p w14:paraId="2893D971"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Cordier, T., Sáez, L. A., Apotheloz-Perret-Gentil, L., Aylagas, E., Bohan, D. A., Bouchez, A., et al. (2020). Ecosystems Monitoring Powered by Environmental Genomics: A Review of Current Strategies with An Implementation Roadmap. </w:t>
      </w:r>
      <w:r w:rsidRPr="006F5086">
        <w:rPr>
          <w:rFonts w:ascii="Calibri" w:hAnsi="Calibri" w:cs="Calibri"/>
          <w:i/>
          <w:iCs/>
          <w:noProof/>
          <w:lang w:val="en-US"/>
        </w:rPr>
        <w:t>Preprints</w:t>
      </w:r>
      <w:r w:rsidRPr="006F5086">
        <w:rPr>
          <w:rFonts w:ascii="Calibri" w:hAnsi="Calibri" w:cs="Calibri"/>
          <w:noProof/>
          <w:lang w:val="en-US"/>
        </w:rPr>
        <w:t>. doi:10.20944/PREPRINTS202001.0278.V1.</w:t>
      </w:r>
    </w:p>
    <w:p w14:paraId="4B09944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Corse, E., Tougard, C., Archambaud-Suard, G., Agnèse, J. F., Messu Mandeng, F. D., Bilong Bilong, C. F., et al. (2019). One-locus-several-primers: A strategy to improve the taxonomic and haplotypic coverage in diet metabarcoding studies. </w:t>
      </w:r>
      <w:r w:rsidRPr="006F5086">
        <w:rPr>
          <w:rFonts w:ascii="Calibri" w:hAnsi="Calibri" w:cs="Calibri"/>
          <w:i/>
          <w:iCs/>
          <w:noProof/>
          <w:lang w:val="en-US"/>
        </w:rPr>
        <w:t>Ecol. Evol.</w:t>
      </w:r>
      <w:r w:rsidRPr="006F5086">
        <w:rPr>
          <w:rFonts w:ascii="Calibri" w:hAnsi="Calibri" w:cs="Calibri"/>
          <w:noProof/>
          <w:lang w:val="en-US"/>
        </w:rPr>
        <w:t xml:space="preserve"> 9, 4603–4620. doi:10.1002/ece3.5063.</w:t>
      </w:r>
    </w:p>
    <w:p w14:paraId="498B160E"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De Barba, M., Miquel, C., Boyer, F., Mercier, C., Rioux, D., Coissac, E., et al. (2014). DNA metabarcoding multiplexing and validation of data accuracy for diet assessment: Application to omnivorous diet. </w:t>
      </w:r>
      <w:r w:rsidRPr="006F5086">
        <w:rPr>
          <w:rFonts w:ascii="Calibri" w:hAnsi="Calibri" w:cs="Calibri"/>
          <w:i/>
          <w:iCs/>
          <w:noProof/>
          <w:lang w:val="en-US"/>
        </w:rPr>
        <w:t>Mol. Ecol. Resour.</w:t>
      </w:r>
      <w:r w:rsidRPr="006F5086">
        <w:rPr>
          <w:rFonts w:ascii="Calibri" w:hAnsi="Calibri" w:cs="Calibri"/>
          <w:noProof/>
          <w:lang w:val="en-US"/>
        </w:rPr>
        <w:t xml:space="preserve"> 14, 306–323. doi:10.1111/1755-0998.12188.</w:t>
      </w:r>
    </w:p>
    <w:p w14:paraId="77D9E6E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Dextrase, A. J., and Mandrak, N. E. (2006). Impacts of alien invasive species on freshwater fauna at risk in Canada. </w:t>
      </w:r>
      <w:r w:rsidRPr="006F5086">
        <w:rPr>
          <w:rFonts w:ascii="Calibri" w:hAnsi="Calibri" w:cs="Calibri"/>
          <w:i/>
          <w:iCs/>
          <w:noProof/>
          <w:lang w:val="en-US"/>
        </w:rPr>
        <w:t>Biol. Invasions</w:t>
      </w:r>
      <w:r w:rsidRPr="006F5086">
        <w:rPr>
          <w:rFonts w:ascii="Calibri" w:hAnsi="Calibri" w:cs="Calibri"/>
          <w:noProof/>
          <w:lang w:val="en-US"/>
        </w:rPr>
        <w:t xml:space="preserve"> 8, 13–24. doi:10.1007/s10530-005-0232-2.</w:t>
      </w:r>
    </w:p>
    <w:p w14:paraId="7D7B571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Dudgeon, D., Arthington, A. H., Gessner, M. O., Kawabata, Z. I., Knowler, D. J., Lévêque, C., et al. (2006). Freshwater biodiversity: Importance, threats, status and conservation challenges. </w:t>
      </w:r>
      <w:r w:rsidRPr="006F5086">
        <w:rPr>
          <w:rFonts w:ascii="Calibri" w:hAnsi="Calibri" w:cs="Calibri"/>
          <w:i/>
          <w:iCs/>
          <w:noProof/>
          <w:lang w:val="en-US"/>
        </w:rPr>
        <w:t>Biol. Rev. Camb. Philos. Soc.</w:t>
      </w:r>
      <w:r w:rsidRPr="006F5086">
        <w:rPr>
          <w:rFonts w:ascii="Calibri" w:hAnsi="Calibri" w:cs="Calibri"/>
          <w:noProof/>
          <w:lang w:val="en-US"/>
        </w:rPr>
        <w:t xml:space="preserve"> 81, 163–182. doi:10.1017/S1464793105006950.</w:t>
      </w:r>
    </w:p>
    <w:p w14:paraId="7FC9429A"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Elbrecht, V., and Leese, F. (2015). Can DNA-based ecosystem assessments quantify species abundance? Testing primer bias and biomass-sequence relationships with an innovative metabarcoding protocol. </w:t>
      </w:r>
      <w:r w:rsidRPr="006F5086">
        <w:rPr>
          <w:rFonts w:ascii="Calibri" w:hAnsi="Calibri" w:cs="Calibri"/>
          <w:i/>
          <w:iCs/>
          <w:noProof/>
          <w:lang w:val="en-US"/>
        </w:rPr>
        <w:t>PLoS One</w:t>
      </w:r>
      <w:r w:rsidRPr="006F5086">
        <w:rPr>
          <w:rFonts w:ascii="Calibri" w:hAnsi="Calibri" w:cs="Calibri"/>
          <w:noProof/>
          <w:lang w:val="en-US"/>
        </w:rPr>
        <w:t xml:space="preserve"> 10, 1–16. doi:10.1371/journal.pone.0130324.</w:t>
      </w:r>
    </w:p>
    <w:p w14:paraId="670D1D2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lastRenderedPageBreak/>
        <w:t xml:space="preserve">Elbrecht, V., Vamos, E. E., Meissner, K., Aroviita, J., and Leese, F. (2017). Assessing strengths and weaknesses of DNA metabarcoding-based macroinvertebrate identification for routine stream monitoring. </w:t>
      </w:r>
      <w:r w:rsidRPr="006F5086">
        <w:rPr>
          <w:rFonts w:ascii="Calibri" w:hAnsi="Calibri" w:cs="Calibri"/>
          <w:i/>
          <w:iCs/>
          <w:noProof/>
          <w:lang w:val="en-US"/>
        </w:rPr>
        <w:t>Methods Ecol. Evol.</w:t>
      </w:r>
      <w:r w:rsidRPr="006F5086">
        <w:rPr>
          <w:rFonts w:ascii="Calibri" w:hAnsi="Calibri" w:cs="Calibri"/>
          <w:noProof/>
          <w:lang w:val="en-US"/>
        </w:rPr>
        <w:t xml:space="preserve"> 8, 1265–1275. doi:10.1111/2041-210X.12789.</w:t>
      </w:r>
    </w:p>
    <w:p w14:paraId="7D237FA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Ferdous, Z. (2009). A Review : Potentiality of Zooplankton as Bioindicator. </w:t>
      </w:r>
      <w:r w:rsidRPr="006F5086">
        <w:rPr>
          <w:rFonts w:ascii="Calibri" w:hAnsi="Calibri" w:cs="Calibri"/>
          <w:i/>
          <w:iCs/>
          <w:noProof/>
          <w:lang w:val="en-US"/>
        </w:rPr>
        <w:t>Am. J. Appl. Sci.</w:t>
      </w:r>
      <w:r w:rsidRPr="006F5086">
        <w:rPr>
          <w:rFonts w:ascii="Calibri" w:hAnsi="Calibri" w:cs="Calibri"/>
          <w:noProof/>
          <w:lang w:val="en-US"/>
        </w:rPr>
        <w:t xml:space="preserve"> 6, 1815–1819. doi:10.3844/ajassp.2009.1815.1819.</w:t>
      </w:r>
    </w:p>
    <w:p w14:paraId="55E650B6"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Foissner, W., and Berger, H. (1996). A User-Friendly Guide to the Ciliates. </w:t>
      </w:r>
      <w:r w:rsidRPr="006F5086">
        <w:rPr>
          <w:rFonts w:ascii="Calibri" w:hAnsi="Calibri" w:cs="Calibri"/>
          <w:i/>
          <w:iCs/>
          <w:noProof/>
          <w:lang w:val="en-US"/>
        </w:rPr>
        <w:t>Freshw. Biol.</w:t>
      </w:r>
      <w:r w:rsidRPr="006F5086">
        <w:rPr>
          <w:rFonts w:ascii="Calibri" w:hAnsi="Calibri" w:cs="Calibri"/>
          <w:noProof/>
          <w:lang w:val="en-US"/>
        </w:rPr>
        <w:t xml:space="preserve"> 35, 375–482.</w:t>
      </w:r>
    </w:p>
    <w:p w14:paraId="7FB344E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Geisen, S., Tveit, A. T., Clark, I. M., Richter, A., Svenning, M. M., Bonkowski, M., et al. (2015). Metatranscriptomic census of active protists in soils. </w:t>
      </w:r>
      <w:r w:rsidRPr="006F5086">
        <w:rPr>
          <w:rFonts w:ascii="Calibri" w:hAnsi="Calibri" w:cs="Calibri"/>
          <w:i/>
          <w:iCs/>
          <w:noProof/>
          <w:lang w:val="en-US"/>
        </w:rPr>
        <w:t>ISME J.</w:t>
      </w:r>
      <w:r w:rsidRPr="006F5086">
        <w:rPr>
          <w:rFonts w:ascii="Calibri" w:hAnsi="Calibri" w:cs="Calibri"/>
          <w:noProof/>
          <w:lang w:val="en-US"/>
        </w:rPr>
        <w:t xml:space="preserve"> 9, 2178–2190. doi:10.1038/ismej.2015.30.</w:t>
      </w:r>
    </w:p>
    <w:p w14:paraId="1B68777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Gilbert, J. A., and Dupont, C. L. (2011). Microbial Metagenomics: Beyond the Genome. </w:t>
      </w:r>
      <w:r w:rsidRPr="006F5086">
        <w:rPr>
          <w:rFonts w:ascii="Calibri" w:hAnsi="Calibri" w:cs="Calibri"/>
          <w:i/>
          <w:iCs/>
          <w:noProof/>
          <w:lang w:val="en-US"/>
        </w:rPr>
        <w:t>Ann. Rev. Mar. Sci.</w:t>
      </w:r>
      <w:r w:rsidRPr="006F5086">
        <w:rPr>
          <w:rFonts w:ascii="Calibri" w:hAnsi="Calibri" w:cs="Calibri"/>
          <w:noProof/>
          <w:lang w:val="en-US"/>
        </w:rPr>
        <w:t xml:space="preserve"> 3, 347–371. doi:10.1146/annurev-marine-120709-142811.</w:t>
      </w:r>
    </w:p>
    <w:p w14:paraId="11BBE6C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Gomez-Silvan, C., Leung, M. H. Y., Grue, K. A., Kaur, R., Tong, X., Lee, P. K. H., et al. (2018). A comparison of methods used to unveil the genetic and metabolic pool in the built environment. </w:t>
      </w:r>
      <w:r w:rsidRPr="006F5086">
        <w:rPr>
          <w:rFonts w:ascii="Calibri" w:hAnsi="Calibri" w:cs="Calibri"/>
          <w:i/>
          <w:iCs/>
          <w:noProof/>
          <w:lang w:val="en-US"/>
        </w:rPr>
        <w:t>Microbiome</w:t>
      </w:r>
      <w:r w:rsidRPr="006F5086">
        <w:rPr>
          <w:rFonts w:ascii="Calibri" w:hAnsi="Calibri" w:cs="Calibri"/>
          <w:noProof/>
          <w:lang w:val="en-US"/>
        </w:rPr>
        <w:t xml:space="preserve"> 6, 1–16. doi:10.1186/s40168-018-0453-0.</w:t>
      </w:r>
    </w:p>
    <w:p w14:paraId="70910BE6"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Haury, J., Peltre, M.-C., Trémolières, M., Barbe, J., Thiébaut, G., Bernez, I., et al. (2006). A new method to assess water trophy and organic pollution – the Macrophyte Biological Index for Rivers (IBMR): its application to different types of river and pollution. </w:t>
      </w:r>
      <w:r w:rsidRPr="006F5086">
        <w:rPr>
          <w:rFonts w:ascii="Calibri" w:hAnsi="Calibri" w:cs="Calibri"/>
          <w:i/>
          <w:iCs/>
          <w:noProof/>
          <w:lang w:val="en-US"/>
        </w:rPr>
        <w:t>Hydrobiologia</w:t>
      </w:r>
      <w:r w:rsidRPr="006F5086">
        <w:rPr>
          <w:rFonts w:ascii="Calibri" w:hAnsi="Calibri" w:cs="Calibri"/>
          <w:noProof/>
          <w:lang w:val="en-US"/>
        </w:rPr>
        <w:t xml:space="preserve"> 570, 153–158. doi:10.1007/s10750-006-0175-3.</w:t>
      </w:r>
    </w:p>
    <w:p w14:paraId="07826BD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Jane, S. F., Wilcox, T. M., Mckelvey, K. S., Young, M. K., Schwartz, M. K., Lowe, W. H., et al. (2015). Distance, flow and PCR inhibition: EDNA dynamics in two headwater streams. </w:t>
      </w:r>
      <w:r w:rsidRPr="006F5086">
        <w:rPr>
          <w:rFonts w:ascii="Calibri" w:hAnsi="Calibri" w:cs="Calibri"/>
          <w:i/>
          <w:iCs/>
          <w:noProof/>
          <w:lang w:val="en-US"/>
        </w:rPr>
        <w:t>Mol. Ecol. Resour.</w:t>
      </w:r>
      <w:r w:rsidRPr="006F5086">
        <w:rPr>
          <w:rFonts w:ascii="Calibri" w:hAnsi="Calibri" w:cs="Calibri"/>
          <w:noProof/>
          <w:lang w:val="en-US"/>
        </w:rPr>
        <w:t xml:space="preserve"> 15, 216–227. doi:10.1111/1755-0998.12285.</w:t>
      </w:r>
    </w:p>
    <w:p w14:paraId="316F151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Jensen, K., Trepel, M., Merritt, D., and Rosenthal, G. (2006). Restoration ecology of river valleys. </w:t>
      </w:r>
      <w:r w:rsidRPr="006F5086">
        <w:rPr>
          <w:rFonts w:ascii="Calibri" w:hAnsi="Calibri" w:cs="Calibri"/>
          <w:i/>
          <w:iCs/>
          <w:noProof/>
          <w:lang w:val="en-US"/>
        </w:rPr>
        <w:t>Basic Appl. Ecol.</w:t>
      </w:r>
      <w:r w:rsidRPr="006F5086">
        <w:rPr>
          <w:rFonts w:ascii="Calibri" w:hAnsi="Calibri" w:cs="Calibri"/>
          <w:noProof/>
          <w:lang w:val="en-US"/>
        </w:rPr>
        <w:t xml:space="preserve"> 7, 383–387. doi:10.1016/j.baae.2006.05.008.</w:t>
      </w:r>
    </w:p>
    <w:p w14:paraId="0D89810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Jeppesen, E., Nõges, P., Davidson, T. A., Haberman, J., Nõges, T., Blank, K., et al. (2011). Zooplankton as indicators in lakes: A scientific-based plea for including zooplankton in the ecological quality assessment of lakes according to the European Water Framework Directive (WFD). </w:t>
      </w:r>
      <w:r w:rsidRPr="006F5086">
        <w:rPr>
          <w:rFonts w:ascii="Calibri" w:hAnsi="Calibri" w:cs="Calibri"/>
          <w:i/>
          <w:iCs/>
          <w:noProof/>
          <w:lang w:val="en-US"/>
        </w:rPr>
        <w:t>Hydrobiologia</w:t>
      </w:r>
      <w:r w:rsidRPr="006F5086">
        <w:rPr>
          <w:rFonts w:ascii="Calibri" w:hAnsi="Calibri" w:cs="Calibri"/>
          <w:noProof/>
          <w:lang w:val="en-US"/>
        </w:rPr>
        <w:t xml:space="preserve"> 676, 279–297. doi:10.1007/s10750-011-0831-0.</w:t>
      </w:r>
    </w:p>
    <w:p w14:paraId="6F27C9A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Karr, J. R. (1981). Assessment of Biotic Integrity Using Fish Communities. </w:t>
      </w:r>
      <w:r w:rsidRPr="006F5086">
        <w:rPr>
          <w:rFonts w:ascii="Calibri" w:hAnsi="Calibri" w:cs="Calibri"/>
          <w:i/>
          <w:iCs/>
          <w:noProof/>
          <w:lang w:val="en-US"/>
        </w:rPr>
        <w:t>Fisheries</w:t>
      </w:r>
      <w:r w:rsidRPr="006F5086">
        <w:rPr>
          <w:rFonts w:ascii="Calibri" w:hAnsi="Calibri" w:cs="Calibri"/>
          <w:noProof/>
          <w:lang w:val="en-US"/>
        </w:rPr>
        <w:t xml:space="preserve"> 6, 21–27. doi:10.1577/1548-8446(1981)006.</w:t>
      </w:r>
    </w:p>
    <w:p w14:paraId="6470CD6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Knight, R., Navas, J., Quinn, R. A., Sanders, J. G., and Zhu, Q. (2018). Best practices for analysing microbiomes. </w:t>
      </w:r>
      <w:r w:rsidRPr="006F5086">
        <w:rPr>
          <w:rFonts w:ascii="Calibri" w:hAnsi="Calibri" w:cs="Calibri"/>
          <w:i/>
          <w:iCs/>
          <w:noProof/>
          <w:lang w:val="en-US"/>
        </w:rPr>
        <w:t>Nat. Rev. Microbiol.</w:t>
      </w:r>
      <w:r w:rsidRPr="006F5086">
        <w:rPr>
          <w:rFonts w:ascii="Calibri" w:hAnsi="Calibri" w:cs="Calibri"/>
          <w:noProof/>
          <w:lang w:val="en-US"/>
        </w:rPr>
        <w:t xml:space="preserve"> doi:10.1038/s41579-018-0029-9.</w:t>
      </w:r>
    </w:p>
    <w:p w14:paraId="56850DC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Krehenwinkel, H., Wolf, M., Lim, J. Y., Rominger, A. J., Simison, W. B., and Gillespie, R. G. (2017). Estimating and mitigating amplification bias in qualitative and quantitative arthropod metabarcoding. </w:t>
      </w:r>
      <w:r w:rsidRPr="006F5086">
        <w:rPr>
          <w:rFonts w:ascii="Calibri" w:hAnsi="Calibri" w:cs="Calibri"/>
          <w:i/>
          <w:iCs/>
          <w:noProof/>
          <w:lang w:val="en-US"/>
        </w:rPr>
        <w:t>Sci. Rep.</w:t>
      </w:r>
      <w:r w:rsidRPr="006F5086">
        <w:rPr>
          <w:rFonts w:ascii="Calibri" w:hAnsi="Calibri" w:cs="Calibri"/>
          <w:noProof/>
          <w:lang w:val="en-US"/>
        </w:rPr>
        <w:t xml:space="preserve"> 7, 1–12. doi:10.1038/s41598-017-17333-x.</w:t>
      </w:r>
    </w:p>
    <w:p w14:paraId="496EAD4A"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Leese, F., Bouchez, A., Abarenkov, K., Altermatt, F., Borja, Á., Bruce, K., et al. (2018). Why We Need Sustainable Networks Bridging Countries, Disciplines, Cultures and Generations for Aquatic Biomonitoring 2.0: A Perspective Derived From the DNAqua-Net COST Action. </w:t>
      </w:r>
      <w:r w:rsidRPr="006F5086">
        <w:rPr>
          <w:rFonts w:ascii="Calibri" w:hAnsi="Calibri" w:cs="Calibri"/>
          <w:i/>
          <w:iCs/>
          <w:noProof/>
          <w:lang w:val="en-US"/>
        </w:rPr>
        <w:t>Adv. Ecol. Res.</w:t>
      </w:r>
      <w:r w:rsidRPr="006F5086">
        <w:rPr>
          <w:rFonts w:ascii="Calibri" w:hAnsi="Calibri" w:cs="Calibri"/>
          <w:noProof/>
          <w:lang w:val="en-US"/>
        </w:rPr>
        <w:t xml:space="preserve"> 58, 63–99. doi:10.1016/bs.aecr.2018.01.001.</w:t>
      </w:r>
    </w:p>
    <w:p w14:paraId="35FABE7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Li, F., and Guan, L. L. (2017). Metatranscriptomic profiling reveals linkages between the active rumen microbiome and feed efficiency in beef cattle. </w:t>
      </w:r>
      <w:r w:rsidRPr="006F5086">
        <w:rPr>
          <w:rFonts w:ascii="Calibri" w:hAnsi="Calibri" w:cs="Calibri"/>
          <w:i/>
          <w:iCs/>
          <w:noProof/>
          <w:lang w:val="en-US"/>
        </w:rPr>
        <w:t>Appl. Environ. Microbiol.</w:t>
      </w:r>
      <w:r w:rsidRPr="006F5086">
        <w:rPr>
          <w:rFonts w:ascii="Calibri" w:hAnsi="Calibri" w:cs="Calibri"/>
          <w:noProof/>
          <w:lang w:val="en-US"/>
        </w:rPr>
        <w:t xml:space="preserve"> 83, 1–16. doi:10.1128/AEM.00061-17.</w:t>
      </w:r>
    </w:p>
    <w:p w14:paraId="6F6A6346"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Logares, R., Sunagawa, S., Salazar, G., Cornejo-Castillo, F. M., Ferrera, I., Sarmento, H., et al. (2014). Metagenomic 16S rDNA Illumina tags are a powerful alternative to amplicon </w:t>
      </w:r>
      <w:r w:rsidRPr="006F5086">
        <w:rPr>
          <w:rFonts w:ascii="Calibri" w:hAnsi="Calibri" w:cs="Calibri"/>
          <w:noProof/>
          <w:lang w:val="en-US"/>
        </w:rPr>
        <w:lastRenderedPageBreak/>
        <w:t xml:space="preserve">sequencing to explore diversity and structure of microbial communities. </w:t>
      </w:r>
      <w:r w:rsidRPr="006F5086">
        <w:rPr>
          <w:rFonts w:ascii="Calibri" w:hAnsi="Calibri" w:cs="Calibri"/>
          <w:i/>
          <w:iCs/>
          <w:noProof/>
          <w:lang w:val="en-US"/>
        </w:rPr>
        <w:t>Environ. Microbiol.</w:t>
      </w:r>
      <w:r w:rsidRPr="006F5086">
        <w:rPr>
          <w:rFonts w:ascii="Calibri" w:hAnsi="Calibri" w:cs="Calibri"/>
          <w:noProof/>
          <w:lang w:val="en-US"/>
        </w:rPr>
        <w:t xml:space="preserve"> 16, 2659–2671. doi:10.1111/1462-2920.12250.</w:t>
      </w:r>
    </w:p>
    <w:p w14:paraId="5F6F788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Maaløe, O. (1979). “Regulation of the Protein-Synthesizing Machinery---Ribosomes, tRNA, Factors, and So On,” in </w:t>
      </w:r>
      <w:r w:rsidRPr="006F5086">
        <w:rPr>
          <w:rFonts w:ascii="Calibri" w:hAnsi="Calibri" w:cs="Calibri"/>
          <w:i/>
          <w:iCs/>
          <w:noProof/>
          <w:lang w:val="en-US"/>
        </w:rPr>
        <w:t>Biological Regulation and Development: Gene Expression</w:t>
      </w:r>
      <w:r w:rsidRPr="006F5086">
        <w:rPr>
          <w:rFonts w:ascii="Calibri" w:hAnsi="Calibri" w:cs="Calibri"/>
          <w:noProof/>
          <w:lang w:val="en-US"/>
        </w:rPr>
        <w:t>, ed. R. F. Goldberger (Boston, MA: Springer US), 487–542. doi:10.1007/978-1-4684-3417-0_12.</w:t>
      </w:r>
    </w:p>
    <w:p w14:paraId="526FB5D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Malmqvist, B., and Rundle, S. (2002). Threats to the running water ecosystems of the world. </w:t>
      </w:r>
      <w:r w:rsidRPr="006F5086">
        <w:rPr>
          <w:rFonts w:ascii="Calibri" w:hAnsi="Calibri" w:cs="Calibri"/>
          <w:i/>
          <w:iCs/>
          <w:noProof/>
          <w:lang w:val="en-US"/>
        </w:rPr>
        <w:t>Environ. Conserv.</w:t>
      </w:r>
      <w:r w:rsidRPr="006F5086">
        <w:rPr>
          <w:rFonts w:ascii="Calibri" w:hAnsi="Calibri" w:cs="Calibri"/>
          <w:noProof/>
          <w:lang w:val="en-US"/>
        </w:rPr>
        <w:t xml:space="preserve"> 29, 134–153. doi:10.1017/S0376892902000097.</w:t>
      </w:r>
    </w:p>
    <w:p w14:paraId="22A11C4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McArthur, J. V (2001). “Bacteria as Biomonitors,” in </w:t>
      </w:r>
      <w:r w:rsidRPr="006F5086">
        <w:rPr>
          <w:rFonts w:ascii="Calibri" w:hAnsi="Calibri" w:cs="Calibri"/>
          <w:i/>
          <w:iCs/>
          <w:noProof/>
          <w:lang w:val="en-US"/>
        </w:rPr>
        <w:t>Bioassessment and Management of North American Freshwater Wetlands</w:t>
      </w:r>
      <w:r w:rsidRPr="006F5086">
        <w:rPr>
          <w:rFonts w:ascii="Calibri" w:hAnsi="Calibri" w:cs="Calibri"/>
          <w:noProof/>
          <w:lang w:val="en-US"/>
        </w:rPr>
        <w:t>, eds. R. B. Rader, D. P. Batzer, and S. A. Wissinger (Chichester, West Sussex: John Wiley &amp; Sons), 249–261. doi:https://doi.org/10.1002/aqc.509.</w:t>
      </w:r>
    </w:p>
    <w:p w14:paraId="19C5C734"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McIntyre, A. B. R., Ounit, R., Afshinnekoo, E., Prill, R. J., Hénaff, E., Alexander, N., et al. (2017). Comprehensive benchmarking and ensemble approaches for metagenomic classifiers. </w:t>
      </w:r>
      <w:r w:rsidRPr="006F5086">
        <w:rPr>
          <w:rFonts w:ascii="Calibri" w:hAnsi="Calibri" w:cs="Calibri"/>
          <w:i/>
          <w:iCs/>
          <w:noProof/>
          <w:lang w:val="en-US"/>
        </w:rPr>
        <w:t>Genome Biol.</w:t>
      </w:r>
      <w:r w:rsidRPr="006F5086">
        <w:rPr>
          <w:rFonts w:ascii="Calibri" w:hAnsi="Calibri" w:cs="Calibri"/>
          <w:noProof/>
          <w:lang w:val="en-US"/>
        </w:rPr>
        <w:t xml:space="preserve"> 18, 1–19. doi:10.1186/s13059-017-1299-7.</w:t>
      </w:r>
    </w:p>
    <w:p w14:paraId="5377C45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Milo, R., and Phillips, R. (2015). </w:t>
      </w:r>
      <w:r w:rsidRPr="006F5086">
        <w:rPr>
          <w:rFonts w:ascii="Calibri" w:hAnsi="Calibri" w:cs="Calibri"/>
          <w:i/>
          <w:iCs/>
          <w:noProof/>
          <w:lang w:val="en-US"/>
        </w:rPr>
        <w:t>CELL BIOLOGY by the numbers</w:t>
      </w:r>
      <w:r w:rsidRPr="006F5086">
        <w:rPr>
          <w:rFonts w:ascii="Calibri" w:hAnsi="Calibri" w:cs="Calibri"/>
          <w:noProof/>
          <w:lang w:val="en-US"/>
        </w:rPr>
        <w:t>. Draft. Garland Science,Taylor &amp; Francis Group Available at: http://book.bionumbers.org/what-are-the-rates-of-cytoskeleton-assembly-and-disassembly/.</w:t>
      </w:r>
    </w:p>
    <w:p w14:paraId="34B4557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Nichols, R. V., Vollmers, C., Newsom, L. A., Wang, Y., Heintzman, P. D., Leighton, M., et al. (2018). Minimizing polymerase biases in metabarcoding. </w:t>
      </w:r>
      <w:r w:rsidRPr="006F5086">
        <w:rPr>
          <w:rFonts w:ascii="Calibri" w:hAnsi="Calibri" w:cs="Calibri"/>
          <w:i/>
          <w:iCs/>
          <w:noProof/>
          <w:lang w:val="en-US"/>
        </w:rPr>
        <w:t>Mol. Ecol. Resour.</w:t>
      </w:r>
      <w:r w:rsidRPr="006F5086">
        <w:rPr>
          <w:rFonts w:ascii="Calibri" w:hAnsi="Calibri" w:cs="Calibri"/>
          <w:noProof/>
          <w:lang w:val="en-US"/>
        </w:rPr>
        <w:t xml:space="preserve"> 18, 927–939. doi:10.1111/1755-0998.12895.</w:t>
      </w:r>
    </w:p>
    <w:p w14:paraId="0540570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Pawlowski, J., Audic, S., Adl, S., Bass, D., Belbahri, L., Berney, C., et al. (2012). CBOL Protist Working Group: Barcoding Eukaryotic Richness beyond the Animal, Plant, and Fungal Kingdoms. </w:t>
      </w:r>
      <w:r w:rsidRPr="006F5086">
        <w:rPr>
          <w:rFonts w:ascii="Calibri" w:hAnsi="Calibri" w:cs="Calibri"/>
          <w:i/>
          <w:iCs/>
          <w:noProof/>
          <w:lang w:val="en-US"/>
        </w:rPr>
        <w:t>PLoS Biol.</w:t>
      </w:r>
      <w:r w:rsidRPr="006F5086">
        <w:rPr>
          <w:rFonts w:ascii="Calibri" w:hAnsi="Calibri" w:cs="Calibri"/>
          <w:noProof/>
          <w:lang w:val="en-US"/>
        </w:rPr>
        <w:t xml:space="preserve"> 10, e1001419. doi:10.1371/journal.pbio.1001419.</w:t>
      </w:r>
    </w:p>
    <w:p w14:paraId="10569CD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Pawlowski, J., Lejzerowicz, F., Apotheloz-Perret-Gentil, L., Visco, J., and Esling, P. (2016). Protist metabarcoding and environmental biomonitoring: Time for change. </w:t>
      </w:r>
      <w:r w:rsidRPr="006F5086">
        <w:rPr>
          <w:rFonts w:ascii="Calibri" w:hAnsi="Calibri" w:cs="Calibri"/>
          <w:i/>
          <w:iCs/>
          <w:noProof/>
          <w:lang w:val="en-US"/>
        </w:rPr>
        <w:t>Eur. J. Protistol.</w:t>
      </w:r>
      <w:r w:rsidRPr="006F5086">
        <w:rPr>
          <w:rFonts w:ascii="Calibri" w:hAnsi="Calibri" w:cs="Calibri"/>
          <w:noProof/>
          <w:lang w:val="en-US"/>
        </w:rPr>
        <w:t xml:space="preserve"> 55, 12–25. doi:10.1016/j.ejop.2016.02.003.</w:t>
      </w:r>
    </w:p>
    <w:p w14:paraId="65CC28B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Payne, R. J. (2013). Seven reasons why protists make useful bioindicators. </w:t>
      </w:r>
      <w:r w:rsidRPr="006F5086">
        <w:rPr>
          <w:rFonts w:ascii="Calibri" w:hAnsi="Calibri" w:cs="Calibri"/>
          <w:i/>
          <w:iCs/>
          <w:noProof/>
          <w:lang w:val="en-US"/>
        </w:rPr>
        <w:t>Acta Protozool.</w:t>
      </w:r>
      <w:r w:rsidRPr="006F5086">
        <w:rPr>
          <w:rFonts w:ascii="Calibri" w:hAnsi="Calibri" w:cs="Calibri"/>
          <w:noProof/>
          <w:lang w:val="en-US"/>
        </w:rPr>
        <w:t xml:space="preserve"> 52, 105–113. doi:10.4467/16890027AP.13.0011.1108.</w:t>
      </w:r>
    </w:p>
    <w:p w14:paraId="6442E64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Piñol, J., San Andrés, V., Clare, E. L., Mir, G., and Symondson, W. O. C. (2014). A pragmatic approach to the analysis of diets of generalist predators: The use of next-generation sequencing with no blocking probes. </w:t>
      </w:r>
      <w:r w:rsidRPr="006F5086">
        <w:rPr>
          <w:rFonts w:ascii="Calibri" w:hAnsi="Calibri" w:cs="Calibri"/>
          <w:i/>
          <w:iCs/>
          <w:noProof/>
          <w:lang w:val="en-US"/>
        </w:rPr>
        <w:t>Mol. Ecol. Resour.</w:t>
      </w:r>
      <w:r w:rsidRPr="006F5086">
        <w:rPr>
          <w:rFonts w:ascii="Calibri" w:hAnsi="Calibri" w:cs="Calibri"/>
          <w:noProof/>
          <w:lang w:val="en-US"/>
        </w:rPr>
        <w:t xml:space="preserve"> 14, 18–26. doi:10.1111/1755-0998.12156.</w:t>
      </w:r>
    </w:p>
    <w:p w14:paraId="7589C813"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Piñol, J., Senar, M. A., and Symondson, W. O. C. (2019). The choice of universal primers and the characteristics of the species mixture determine when DNA metabarcoding can be quantitative. </w:t>
      </w:r>
      <w:r w:rsidRPr="006F5086">
        <w:rPr>
          <w:rFonts w:ascii="Calibri" w:hAnsi="Calibri" w:cs="Calibri"/>
          <w:i/>
          <w:iCs/>
          <w:noProof/>
          <w:lang w:val="en-US"/>
        </w:rPr>
        <w:t>Mol. Ecol.</w:t>
      </w:r>
      <w:r w:rsidRPr="006F5086">
        <w:rPr>
          <w:rFonts w:ascii="Calibri" w:hAnsi="Calibri" w:cs="Calibri"/>
          <w:noProof/>
          <w:lang w:val="en-US"/>
        </w:rPr>
        <w:t xml:space="preserve"> 28, 407–419. doi:10.1111/mec.14776.</w:t>
      </w:r>
    </w:p>
    <w:p w14:paraId="41CD7245"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Piper, A. M., Batovska, J., Cogan, N. O. I., Weiss, J., Cunningham, J. P., Rodoni, B. C., et al. (2019). Prospects and challenges of implementing DNA metabarcoding for high-throughput insect surveillance. </w:t>
      </w:r>
      <w:r w:rsidRPr="006F5086">
        <w:rPr>
          <w:rFonts w:ascii="Calibri" w:hAnsi="Calibri" w:cs="Calibri"/>
          <w:i/>
          <w:iCs/>
          <w:noProof/>
          <w:lang w:val="en-US"/>
        </w:rPr>
        <w:t>Gigascience</w:t>
      </w:r>
      <w:r w:rsidRPr="006F5086">
        <w:rPr>
          <w:rFonts w:ascii="Calibri" w:hAnsi="Calibri" w:cs="Calibri"/>
          <w:noProof/>
          <w:lang w:val="en-US"/>
        </w:rPr>
        <w:t xml:space="preserve"> 8, 1–22. doi:10.1093/gigascience/giz092.</w:t>
      </w:r>
    </w:p>
    <w:p w14:paraId="01A5942A"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Quince, C., Walker, A. W., Simpson, J. T., Loman, N. J., and Segata, N. (2017). Shotgun metagenomics, from sampling to analysis. </w:t>
      </w:r>
      <w:r w:rsidRPr="006F5086">
        <w:rPr>
          <w:rFonts w:ascii="Calibri" w:hAnsi="Calibri" w:cs="Calibri"/>
          <w:i/>
          <w:iCs/>
          <w:noProof/>
          <w:lang w:val="en-US"/>
        </w:rPr>
        <w:t>Nat. Biotechnol.</w:t>
      </w:r>
      <w:r w:rsidRPr="006F5086">
        <w:rPr>
          <w:rFonts w:ascii="Calibri" w:hAnsi="Calibri" w:cs="Calibri"/>
          <w:noProof/>
          <w:lang w:val="en-US"/>
        </w:rPr>
        <w:t xml:space="preserve"> 35, 833–844. doi:10.1038/nbt.3935.</w:t>
      </w:r>
    </w:p>
    <w:p w14:paraId="4831D39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Resh, V. H., and Unzicker, J. D. (1975). Water Quality Monitoring and Aquatic Organisms : The Importance of Species Identification. </w:t>
      </w:r>
      <w:r w:rsidRPr="006F5086">
        <w:rPr>
          <w:rFonts w:ascii="Calibri" w:hAnsi="Calibri" w:cs="Calibri"/>
          <w:i/>
          <w:iCs/>
          <w:noProof/>
          <w:lang w:val="en-US"/>
        </w:rPr>
        <w:t>Water Pollut. Control Fed.</w:t>
      </w:r>
      <w:r w:rsidRPr="006F5086">
        <w:rPr>
          <w:rFonts w:ascii="Calibri" w:hAnsi="Calibri" w:cs="Calibri"/>
          <w:noProof/>
          <w:lang w:val="en-US"/>
        </w:rPr>
        <w:t xml:space="preserve"> 47, 9–19.</w:t>
      </w:r>
    </w:p>
    <w:p w14:paraId="3A8F3AD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Shah, N., Tang, H., Doak, T. G., and Ye, Y. (2010). Comparing bacterial communities inferred </w:t>
      </w:r>
      <w:r w:rsidRPr="006F5086">
        <w:rPr>
          <w:rFonts w:ascii="Calibri" w:hAnsi="Calibri" w:cs="Calibri"/>
          <w:noProof/>
          <w:lang w:val="en-US"/>
        </w:rPr>
        <w:lastRenderedPageBreak/>
        <w:t xml:space="preserve">from 16S rRNA gene sequencing and shotgun metagenomics. </w:t>
      </w:r>
      <w:r w:rsidRPr="006F5086">
        <w:rPr>
          <w:rFonts w:ascii="Calibri" w:hAnsi="Calibri" w:cs="Calibri"/>
          <w:i/>
          <w:iCs/>
          <w:noProof/>
          <w:lang w:val="en-US"/>
        </w:rPr>
        <w:t>Pacific Symp. Biocomput. 2011</w:t>
      </w:r>
      <w:r w:rsidRPr="006F5086">
        <w:rPr>
          <w:rFonts w:ascii="Calibri" w:hAnsi="Calibri" w:cs="Calibri"/>
          <w:noProof/>
          <w:lang w:val="en-US"/>
        </w:rPr>
        <w:t>, 165–176.</w:t>
      </w:r>
    </w:p>
    <w:p w14:paraId="23D25B5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Shakya, M., Lo, C. C., and Chain, P. S. G. (2019). Advances and challenges in metatranscriptomic analysis. </w:t>
      </w:r>
      <w:r w:rsidRPr="006F5086">
        <w:rPr>
          <w:rFonts w:ascii="Calibri" w:hAnsi="Calibri" w:cs="Calibri"/>
          <w:i/>
          <w:iCs/>
          <w:noProof/>
          <w:lang w:val="en-US"/>
        </w:rPr>
        <w:t>Front. Genet.</w:t>
      </w:r>
      <w:r w:rsidRPr="006F5086">
        <w:rPr>
          <w:rFonts w:ascii="Calibri" w:hAnsi="Calibri" w:cs="Calibri"/>
          <w:noProof/>
          <w:lang w:val="en-US"/>
        </w:rPr>
        <w:t xml:space="preserve"> 10, 1–10. doi:10.3389/fgene.2019.00904.</w:t>
      </w:r>
    </w:p>
    <w:p w14:paraId="5807331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Shakya, M., Quince, C., Campbell, J. H., Yang, Z. K., Schadt, C. W., and Podar, M. (2013). Comparative metagenomic and rRNA microbial diversity characterization using archaeal and bacterial synthetic communities. </w:t>
      </w:r>
      <w:r w:rsidRPr="006F5086">
        <w:rPr>
          <w:rFonts w:ascii="Calibri" w:hAnsi="Calibri" w:cs="Calibri"/>
          <w:i/>
          <w:iCs/>
          <w:noProof/>
          <w:lang w:val="en-US"/>
        </w:rPr>
        <w:t>Environ. Microbiol.</w:t>
      </w:r>
      <w:r w:rsidRPr="006F5086">
        <w:rPr>
          <w:rFonts w:ascii="Calibri" w:hAnsi="Calibri" w:cs="Calibri"/>
          <w:noProof/>
          <w:lang w:val="en-US"/>
        </w:rPr>
        <w:t xml:space="preserve"> 15, 1882–1899. doi:10.1111/1462-2920.12086.</w:t>
      </w:r>
    </w:p>
    <w:p w14:paraId="2740817B"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Shi, Y., Tyson, G. W., Eppley, J. M., and Delong, E. F. (2011). Integrated metatranscriptomic and metagenomic analyses of stratified microbial assemblages in the open ocean. </w:t>
      </w:r>
      <w:r w:rsidRPr="006F5086">
        <w:rPr>
          <w:rFonts w:ascii="Calibri" w:hAnsi="Calibri" w:cs="Calibri"/>
          <w:i/>
          <w:iCs/>
          <w:noProof/>
          <w:lang w:val="en-US"/>
        </w:rPr>
        <w:t>ISME J.</w:t>
      </w:r>
      <w:r w:rsidRPr="006F5086">
        <w:rPr>
          <w:rFonts w:ascii="Calibri" w:hAnsi="Calibri" w:cs="Calibri"/>
          <w:noProof/>
          <w:lang w:val="en-US"/>
        </w:rPr>
        <w:t xml:space="preserve"> 5, 999–1013. doi:10.1038/ismej.2010.189.</w:t>
      </w:r>
    </w:p>
    <w:p w14:paraId="70B40A05"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Singer, G. A. C., Shekarriz, S., McCarthy, A., Fahner, N., and Hajibabaei, M. (2020). The utility of a metagenomics approach for marine biomonitoring. </w:t>
      </w:r>
      <w:r w:rsidRPr="006F5086">
        <w:rPr>
          <w:rFonts w:ascii="Calibri" w:hAnsi="Calibri" w:cs="Calibri"/>
          <w:i/>
          <w:iCs/>
          <w:noProof/>
          <w:lang w:val="en-US"/>
        </w:rPr>
        <w:t>bioRxiv</w:t>
      </w:r>
      <w:r w:rsidRPr="006F5086">
        <w:rPr>
          <w:rFonts w:ascii="Calibri" w:hAnsi="Calibri" w:cs="Calibri"/>
          <w:noProof/>
          <w:lang w:val="en-US"/>
        </w:rPr>
        <w:t>, 2020.03.16.993667. doi:10.1101/2020.03.16.993667.</w:t>
      </w:r>
    </w:p>
    <w:p w14:paraId="45F166D0"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Smith, M. B., Rocha, A. M., Smillie, C. S., Olesen, S. W., Paradis, C., Wu, L., et al. (2015). Natural Bacterial Communities Serve as Quantitative Geochemical Biosensors. </w:t>
      </w:r>
      <w:r w:rsidRPr="006F5086">
        <w:rPr>
          <w:rFonts w:ascii="Calibri" w:hAnsi="Calibri" w:cs="Calibri"/>
          <w:i/>
          <w:iCs/>
          <w:noProof/>
          <w:lang w:val="en-US"/>
        </w:rPr>
        <w:t>MBio</w:t>
      </w:r>
      <w:r w:rsidRPr="006F5086">
        <w:rPr>
          <w:rFonts w:ascii="Calibri" w:hAnsi="Calibri" w:cs="Calibri"/>
          <w:noProof/>
          <w:lang w:val="en-US"/>
        </w:rPr>
        <w:t xml:space="preserve"> 6, e00326-15. doi:10.1128/mBio.00326-15.</w:t>
      </w:r>
    </w:p>
    <w:p w14:paraId="5902234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Stat, M., Huggett, M. J., Bernasconi, R., Dibattista, J. D., Berry, T. E., Newman, S. J., et al. (2017). Ecosystem biomonitoring with eDNA: Metabarcoding across the tree of life in a tropical marine environment. </w:t>
      </w:r>
      <w:r w:rsidRPr="006F5086">
        <w:rPr>
          <w:rFonts w:ascii="Calibri" w:hAnsi="Calibri" w:cs="Calibri"/>
          <w:i/>
          <w:iCs/>
          <w:noProof/>
          <w:lang w:val="en-US"/>
        </w:rPr>
        <w:t>Sci. Rep.</w:t>
      </w:r>
      <w:r w:rsidRPr="006F5086">
        <w:rPr>
          <w:rFonts w:ascii="Calibri" w:hAnsi="Calibri" w:cs="Calibri"/>
          <w:noProof/>
          <w:lang w:val="en-US"/>
        </w:rPr>
        <w:t xml:space="preserve"> 7, 1–11. doi:10.1038/s41598-017-12501-5.</w:t>
      </w:r>
    </w:p>
    <w:p w14:paraId="42108CA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Stein, E. D., White, B. P., Mazor, R. D., Jackson, J. K., Battle, J. M., Miller, P. E., et al. (2014). Does DNA barcoding improve performance of traditional stream bioassessment metrics? </w:t>
      </w:r>
      <w:r w:rsidRPr="006F5086">
        <w:rPr>
          <w:rFonts w:ascii="Calibri" w:hAnsi="Calibri" w:cs="Calibri"/>
          <w:i/>
          <w:iCs/>
          <w:noProof/>
          <w:lang w:val="en-US"/>
        </w:rPr>
        <w:t>Freshw. Sci.</w:t>
      </w:r>
      <w:r w:rsidRPr="006F5086">
        <w:rPr>
          <w:rFonts w:ascii="Calibri" w:hAnsi="Calibri" w:cs="Calibri"/>
          <w:noProof/>
          <w:lang w:val="en-US"/>
        </w:rPr>
        <w:t xml:space="preserve"> 33, 302–311. doi:10.1086/674782.</w:t>
      </w:r>
    </w:p>
    <w:p w14:paraId="0FF1849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Stoeck, T., Kochems, R., Forster, D., Lejzerowicz, F., and Pawlowski, J. (2018). Metabarcoding of benthic ciliate communities shows high potential for environmental monitoring in salmon aquaculture. </w:t>
      </w:r>
      <w:r w:rsidRPr="006F5086">
        <w:rPr>
          <w:rFonts w:ascii="Calibri" w:hAnsi="Calibri" w:cs="Calibri"/>
          <w:i/>
          <w:iCs/>
          <w:noProof/>
          <w:lang w:val="en-US"/>
        </w:rPr>
        <w:t>Ecol. Indic.</w:t>
      </w:r>
      <w:r w:rsidRPr="006F5086">
        <w:rPr>
          <w:rFonts w:ascii="Calibri" w:hAnsi="Calibri" w:cs="Calibri"/>
          <w:noProof/>
          <w:lang w:val="en-US"/>
        </w:rPr>
        <w:t xml:space="preserve"> 85, 153–164. doi:10.1016/j.ecolind.2017.10.041.</w:t>
      </w:r>
    </w:p>
    <w:p w14:paraId="3F777F99"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Sweeney, B. W., Battle, J. M., Jackson, J. K., and Dapkey, T. (2011). Can DNA barcodes of stream macroinvertebrates improve descriptions of community structure and water quality? </w:t>
      </w:r>
      <w:r w:rsidRPr="006F5086">
        <w:rPr>
          <w:rFonts w:ascii="Calibri" w:hAnsi="Calibri" w:cs="Calibri"/>
          <w:i/>
          <w:iCs/>
          <w:noProof/>
          <w:lang w:val="en-US"/>
        </w:rPr>
        <w:t>J. North Am. Benthol. Soc.</w:t>
      </w:r>
      <w:r w:rsidRPr="006F5086">
        <w:rPr>
          <w:rFonts w:ascii="Calibri" w:hAnsi="Calibri" w:cs="Calibri"/>
          <w:noProof/>
          <w:lang w:val="en-US"/>
        </w:rPr>
        <w:t xml:space="preserve"> 30, 195–216. doi:10.1899/10-016.1.</w:t>
      </w:r>
    </w:p>
    <w:p w14:paraId="6666F103"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Swift, J. F., Lance, R. F., Guan, X., Britzke, E. R., Lindsay, D. L., and Edwards, C. E. (2018). Multifaceted DNA metabarcoding: Validation of a noninvasive, next-generation approach to studying bat populations. </w:t>
      </w:r>
      <w:r w:rsidRPr="006F5086">
        <w:rPr>
          <w:rFonts w:ascii="Calibri" w:hAnsi="Calibri" w:cs="Calibri"/>
          <w:i/>
          <w:iCs/>
          <w:noProof/>
          <w:lang w:val="en-US"/>
        </w:rPr>
        <w:t>Evol. Appl.</w:t>
      </w:r>
      <w:r w:rsidRPr="006F5086">
        <w:rPr>
          <w:rFonts w:ascii="Calibri" w:hAnsi="Calibri" w:cs="Calibri"/>
          <w:noProof/>
          <w:lang w:val="en-US"/>
        </w:rPr>
        <w:t xml:space="preserve"> 11, 1120–1138. doi:10.1111/eva.12644.</w:t>
      </w:r>
    </w:p>
    <w:p w14:paraId="1638F787"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Sze, M. A., and Schloss, P. D. (2019). The Impact of DNA Polymerase and Number of Rounds of Amplification in PCR on 16S rRNA Gene Sequence Data. </w:t>
      </w:r>
      <w:r w:rsidRPr="006F5086">
        <w:rPr>
          <w:rFonts w:ascii="Calibri" w:hAnsi="Calibri" w:cs="Calibri"/>
          <w:i/>
          <w:iCs/>
          <w:noProof/>
          <w:lang w:val="en-US"/>
        </w:rPr>
        <w:t>mSphere</w:t>
      </w:r>
      <w:r w:rsidRPr="006F5086">
        <w:rPr>
          <w:rFonts w:ascii="Calibri" w:hAnsi="Calibri" w:cs="Calibri"/>
          <w:noProof/>
          <w:lang w:val="en-US"/>
        </w:rPr>
        <w:t xml:space="preserve"> 4, e00163-19. doi:10.1128/msphere.00163-19.</w:t>
      </w:r>
    </w:p>
    <w:p w14:paraId="227CBE0D"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Taberlet, P., Coissac, E., Pompanon, F., Brochmann, C., and Willerslev, E. (2012). Towards next-generation biodiversity assessment using DNA metabarcoding. </w:t>
      </w:r>
      <w:r w:rsidRPr="006F5086">
        <w:rPr>
          <w:rFonts w:ascii="Calibri" w:hAnsi="Calibri" w:cs="Calibri"/>
          <w:i/>
          <w:iCs/>
          <w:noProof/>
          <w:lang w:val="en-US"/>
        </w:rPr>
        <w:t>Mol. Ecol.</w:t>
      </w:r>
      <w:r w:rsidRPr="006F5086">
        <w:rPr>
          <w:rFonts w:ascii="Calibri" w:hAnsi="Calibri" w:cs="Calibri"/>
          <w:noProof/>
          <w:lang w:val="en-US"/>
        </w:rPr>
        <w:t xml:space="preserve"> 21, 2045–2050. Available at: http://onlinelibrary.wiley.com/doi/10.1111/j.1365-294X.2012.05470.x/full%5Cnpapers2://publication/uuid/30F6E470-48F9-4C24-A3C1-6964EE26B34F.</w:t>
      </w:r>
    </w:p>
    <w:p w14:paraId="2693C18E"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Taberlet, P., Griffin, S., Goossens, B., Questiau, S., Manceau, V., Escaravage, N., et al. (1996). Reliable genotyping of samll samples with very low DNA quantities using PCR. </w:t>
      </w:r>
      <w:r w:rsidRPr="006F5086">
        <w:rPr>
          <w:rFonts w:ascii="Calibri" w:hAnsi="Calibri" w:cs="Calibri"/>
          <w:i/>
          <w:iCs/>
          <w:noProof/>
          <w:lang w:val="en-US"/>
        </w:rPr>
        <w:t>Nucleic Acid Res.</w:t>
      </w:r>
      <w:r w:rsidRPr="006F5086">
        <w:rPr>
          <w:rFonts w:ascii="Calibri" w:hAnsi="Calibri" w:cs="Calibri"/>
          <w:noProof/>
          <w:lang w:val="en-US"/>
        </w:rPr>
        <w:t xml:space="preserve"> 24, 3189–3194.</w:t>
      </w:r>
    </w:p>
    <w:p w14:paraId="0D752D58"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Torti, A., Lever, M. A., and Jørgensen, B. B. (2015). Origin, dynamics, and implications of </w:t>
      </w:r>
      <w:r w:rsidRPr="006F5086">
        <w:rPr>
          <w:rFonts w:ascii="Calibri" w:hAnsi="Calibri" w:cs="Calibri"/>
          <w:noProof/>
          <w:lang w:val="en-US"/>
        </w:rPr>
        <w:lastRenderedPageBreak/>
        <w:t xml:space="preserve">extracellular DNA pools in marine sediments. </w:t>
      </w:r>
      <w:r w:rsidRPr="006F5086">
        <w:rPr>
          <w:rFonts w:ascii="Calibri" w:hAnsi="Calibri" w:cs="Calibri"/>
          <w:i/>
          <w:iCs/>
          <w:noProof/>
          <w:lang w:val="en-US"/>
        </w:rPr>
        <w:t>Mar. Genomics</w:t>
      </w:r>
      <w:r w:rsidRPr="006F5086">
        <w:rPr>
          <w:rFonts w:ascii="Calibri" w:hAnsi="Calibri" w:cs="Calibri"/>
          <w:noProof/>
          <w:lang w:val="en-US"/>
        </w:rPr>
        <w:t xml:space="preserve"> 24, 185–196. doi:10.1016/j.margen.2015.08.007.</w:t>
      </w:r>
    </w:p>
    <w:p w14:paraId="63594AC1"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Urich, T., Lanzén, A., Qi, J., Huson, D. H., Schleper, C., and Schuster, S. C. (2008). Simultaneous assessment of soil microbial community structure and function through analysis of the meta-transcriptome. </w:t>
      </w:r>
      <w:r w:rsidRPr="006F5086">
        <w:rPr>
          <w:rFonts w:ascii="Calibri" w:hAnsi="Calibri" w:cs="Calibri"/>
          <w:i/>
          <w:iCs/>
          <w:noProof/>
          <w:lang w:val="en-US"/>
        </w:rPr>
        <w:t>PLoS One</w:t>
      </w:r>
      <w:r w:rsidRPr="006F5086">
        <w:rPr>
          <w:rFonts w:ascii="Calibri" w:hAnsi="Calibri" w:cs="Calibri"/>
          <w:noProof/>
          <w:lang w:val="en-US"/>
        </w:rPr>
        <w:t xml:space="preserve"> 3. doi:10.1371/journal.pone.0002527.</w:t>
      </w:r>
    </w:p>
    <w:p w14:paraId="7395BA62"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Vollmers, J., Wiegand, S., and Kaster, A. K. (2017). </w:t>
      </w:r>
      <w:r w:rsidRPr="006F5086">
        <w:rPr>
          <w:rFonts w:ascii="Calibri" w:hAnsi="Calibri" w:cs="Calibri"/>
          <w:i/>
          <w:iCs/>
          <w:noProof/>
          <w:lang w:val="en-US"/>
        </w:rPr>
        <w:t>Comparing and evaluating metagenome assembly tools from a microbiologist’s perspective - Not only size matters!</w:t>
      </w:r>
      <w:r w:rsidRPr="006F5086">
        <w:rPr>
          <w:rFonts w:ascii="Calibri" w:hAnsi="Calibri" w:cs="Calibri"/>
          <w:noProof/>
          <w:lang w:val="en-US"/>
        </w:rPr>
        <w:t xml:space="preserve"> doi:10.1371/journal.pone.0169662.</w:t>
      </w:r>
    </w:p>
    <w:p w14:paraId="521C2D7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Will, K. W., and Rubinoff, D. (2004). Myth of the molecule: DNA barcodes for species cannot replace morphology for identification and classification. </w:t>
      </w:r>
      <w:r w:rsidRPr="006F5086">
        <w:rPr>
          <w:rFonts w:ascii="Calibri" w:hAnsi="Calibri" w:cs="Calibri"/>
          <w:i/>
          <w:iCs/>
          <w:noProof/>
          <w:lang w:val="en-US"/>
        </w:rPr>
        <w:t>Cladistics</w:t>
      </w:r>
      <w:r w:rsidRPr="006F5086">
        <w:rPr>
          <w:rFonts w:ascii="Calibri" w:hAnsi="Calibri" w:cs="Calibri"/>
          <w:noProof/>
          <w:lang w:val="en-US"/>
        </w:rPr>
        <w:t xml:space="preserve"> 20, 47–55. doi:10.1111/j.1096-0031.2003.00008.x.</w:t>
      </w:r>
    </w:p>
    <w:p w14:paraId="1E0A508F"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Wilson, J.-J., Brandon-Mong, G. J., Gan, H. M., and Sing, K. W. (2019). High-throughput terrestrial biodiversity assessments: mitochondrial metabarcoding, metagenomics or metatranscriptomics? </w:t>
      </w:r>
      <w:r w:rsidRPr="006F5086">
        <w:rPr>
          <w:rFonts w:ascii="Calibri" w:hAnsi="Calibri" w:cs="Calibri"/>
          <w:i/>
          <w:iCs/>
          <w:noProof/>
          <w:lang w:val="en-US"/>
        </w:rPr>
        <w:t>Mitochondrial DNA Part A</w:t>
      </w:r>
      <w:r w:rsidRPr="006F5086">
        <w:rPr>
          <w:rFonts w:ascii="Calibri" w:hAnsi="Calibri" w:cs="Calibri"/>
          <w:noProof/>
          <w:lang w:val="en-US"/>
        </w:rPr>
        <w:t xml:space="preserve"> 30, 60–67. doi:10.1080/24701394.2018.1455189.</w:t>
      </w:r>
    </w:p>
    <w:p w14:paraId="0CC13540"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Wooley, J. C., Godzik, A., and Friedberg, I. (2010). A primer on metagenomics. </w:t>
      </w:r>
      <w:r w:rsidRPr="006F5086">
        <w:rPr>
          <w:rFonts w:ascii="Calibri" w:hAnsi="Calibri" w:cs="Calibri"/>
          <w:i/>
          <w:iCs/>
          <w:noProof/>
          <w:lang w:val="en-US"/>
        </w:rPr>
        <w:t>PLoS Comput. Biol.</w:t>
      </w:r>
      <w:r w:rsidRPr="006F5086">
        <w:rPr>
          <w:rFonts w:ascii="Calibri" w:hAnsi="Calibri" w:cs="Calibri"/>
          <w:noProof/>
          <w:lang w:val="en-US"/>
        </w:rPr>
        <w:t xml:space="preserve"> 6. doi:10.1371/journal.pcbi.1000667.</w:t>
      </w:r>
    </w:p>
    <w:p w14:paraId="6B248DAC"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Yilmaz, P., Kottmann, R., Field, D., Knight, R., Cole, J. R., Amaral-Zettler, L., et al. (2011). Minimum information about a marker gene sequence (MIMARKS) and minimum information about any (x) sequence (MIxS) specifications. </w:t>
      </w:r>
      <w:r w:rsidRPr="006F5086">
        <w:rPr>
          <w:rFonts w:ascii="Calibri" w:hAnsi="Calibri" w:cs="Calibri"/>
          <w:i/>
          <w:iCs/>
          <w:noProof/>
          <w:lang w:val="en-US"/>
        </w:rPr>
        <w:t>Nat. Biotechnol.</w:t>
      </w:r>
      <w:r w:rsidRPr="006F5086">
        <w:rPr>
          <w:rFonts w:ascii="Calibri" w:hAnsi="Calibri" w:cs="Calibri"/>
          <w:noProof/>
          <w:lang w:val="en-US"/>
        </w:rPr>
        <w:t xml:space="preserve"> 29, 415–420. doi:10.1038/nbt.1823.</w:t>
      </w:r>
    </w:p>
    <w:p w14:paraId="745BECE0" w14:textId="77777777" w:rsidR="006F5086" w:rsidRPr="006F5086" w:rsidRDefault="006F5086" w:rsidP="006F5086">
      <w:pPr>
        <w:widowControl w:val="0"/>
        <w:autoSpaceDE w:val="0"/>
        <w:autoSpaceDN w:val="0"/>
        <w:adjustRightInd w:val="0"/>
        <w:ind w:left="480" w:hanging="480"/>
        <w:rPr>
          <w:rFonts w:ascii="Calibri" w:hAnsi="Calibri" w:cs="Calibri"/>
          <w:noProof/>
          <w:lang w:val="en-US"/>
        </w:rPr>
      </w:pPr>
      <w:r w:rsidRPr="006F5086">
        <w:rPr>
          <w:rFonts w:ascii="Calibri" w:hAnsi="Calibri" w:cs="Calibri"/>
          <w:noProof/>
          <w:lang w:val="en-US"/>
        </w:rPr>
        <w:t xml:space="preserve">Yu, K., and Zhang, T. (2012). Metagenomic and metatranscriptomic analysis of microbial community structure and gene expression of activated sludge. </w:t>
      </w:r>
      <w:r w:rsidRPr="006F5086">
        <w:rPr>
          <w:rFonts w:ascii="Calibri" w:hAnsi="Calibri" w:cs="Calibri"/>
          <w:i/>
          <w:iCs/>
          <w:noProof/>
          <w:lang w:val="en-US"/>
        </w:rPr>
        <w:t>PLoS One</w:t>
      </w:r>
      <w:r w:rsidRPr="006F5086">
        <w:rPr>
          <w:rFonts w:ascii="Calibri" w:hAnsi="Calibri" w:cs="Calibri"/>
          <w:noProof/>
          <w:lang w:val="en-US"/>
        </w:rPr>
        <w:t xml:space="preserve"> 7. doi:10.1371/journal.pone.0038183.</w:t>
      </w:r>
    </w:p>
    <w:p w14:paraId="059B5513" w14:textId="77777777" w:rsidR="006F5086" w:rsidRPr="006F5086" w:rsidRDefault="006F5086" w:rsidP="006F5086">
      <w:pPr>
        <w:widowControl w:val="0"/>
        <w:autoSpaceDE w:val="0"/>
        <w:autoSpaceDN w:val="0"/>
        <w:adjustRightInd w:val="0"/>
        <w:ind w:left="480" w:hanging="480"/>
        <w:rPr>
          <w:rFonts w:ascii="Calibri" w:hAnsi="Calibri" w:cs="Calibri"/>
          <w:noProof/>
        </w:rPr>
      </w:pPr>
      <w:r w:rsidRPr="006F5086">
        <w:rPr>
          <w:rFonts w:ascii="Calibri" w:hAnsi="Calibri" w:cs="Calibri"/>
          <w:noProof/>
          <w:lang w:val="en-US"/>
        </w:rPr>
        <w:t xml:space="preserve">Zhang, G. K., Chain, F. J. J., Abbott, C. L., and Cristescu, M. E. (2018). Metabarcoding using multiplexed markers increases species detection in complex zooplankton communities. </w:t>
      </w:r>
      <w:r w:rsidRPr="006F5086">
        <w:rPr>
          <w:rFonts w:ascii="Calibri" w:hAnsi="Calibri" w:cs="Calibri"/>
          <w:i/>
          <w:iCs/>
          <w:noProof/>
          <w:lang w:val="en-US"/>
        </w:rPr>
        <w:t>Evol. Appl.</w:t>
      </w:r>
      <w:r w:rsidRPr="006F5086">
        <w:rPr>
          <w:rFonts w:ascii="Calibri" w:hAnsi="Calibri" w:cs="Calibri"/>
          <w:noProof/>
          <w:lang w:val="en-US"/>
        </w:rPr>
        <w:t xml:space="preserve"> 11, 1901–1914. doi:10.1111/eva.12694.</w:t>
      </w:r>
    </w:p>
    <w:p w14:paraId="4DFEFDCC" w14:textId="331B6B95" w:rsidR="004F3EB3" w:rsidRDefault="003A1E4D" w:rsidP="006F5086">
      <w:pPr>
        <w:widowControl w:val="0"/>
        <w:autoSpaceDE w:val="0"/>
        <w:autoSpaceDN w:val="0"/>
        <w:adjustRightInd w:val="0"/>
        <w:ind w:left="480" w:hanging="480"/>
      </w:pPr>
      <w:r>
        <w:fldChar w:fldCharType="end"/>
      </w:r>
    </w:p>
    <w:sectPr w:rsidR="004F3EB3" w:rsidSect="0054700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opher Hempel" w:date="2020-05-25T19:23:00Z" w:initials="CH">
    <w:p w14:paraId="658DA1F3" w14:textId="5312EB4E" w:rsidR="006939CC" w:rsidRDefault="006939CC">
      <w:pPr>
        <w:pStyle w:val="CommentText"/>
      </w:pPr>
      <w:r>
        <w:rPr>
          <w:rStyle w:val="CommentReference"/>
        </w:rPr>
        <w:annotationRef/>
      </w:r>
      <w:r>
        <w:t>The introduction is very detailed, in particular regarding freshwater biomonitoring and metabarcoding. Depending on how detailed it should be, it can also be much shortened, to an extend where these topics only make up two condensed paragraphs (as in the AAC funding application).</w:t>
      </w:r>
    </w:p>
  </w:comment>
  <w:comment w:id="1" w:author="Christopher Hempel" w:date="2020-05-28T09:16:00Z" w:initials="CH">
    <w:p w14:paraId="19AB1A7A" w14:textId="3D55571E" w:rsidR="006939CC" w:rsidRDefault="006939CC">
      <w:pPr>
        <w:pStyle w:val="CommentText"/>
      </w:pPr>
      <w:r>
        <w:rPr>
          <w:rStyle w:val="CommentReference"/>
        </w:rPr>
        <w:annotationRef/>
      </w:r>
      <w:proofErr w:type="spellStart"/>
      <w:r>
        <w:t>Veeeeeeeeery</w:t>
      </w:r>
      <w:proofErr w:type="spellEnd"/>
      <w:r>
        <w:t xml:space="preserve"> long given that I don’t use metabarcoding. Should that be shortened? Also, keeping Mehrdad’s comment in mind, I might shoot my own foot here: I talk a lot about metabarcoding and how bad it is, yet don’t compare my presented approach to it. Might be very criticized by reviewers. What to do?</w:t>
      </w:r>
    </w:p>
  </w:comment>
  <w:comment w:id="2" w:author="Christopher Hempel" w:date="2020-05-28T09:14:00Z" w:initials="CH">
    <w:p w14:paraId="360BE48E" w14:textId="177DEF2D" w:rsidR="006939CC" w:rsidRDefault="006939CC">
      <w:pPr>
        <w:pStyle w:val="CommentText"/>
      </w:pPr>
      <w:r>
        <w:rPr>
          <w:rStyle w:val="CommentReference"/>
        </w:rPr>
        <w:annotationRef/>
      </w:r>
      <w:r>
        <w:t>Could be removed</w:t>
      </w:r>
    </w:p>
  </w:comment>
  <w:comment w:id="3" w:author="Christopher Hempel" w:date="2020-05-26T21:39:00Z" w:initials="CH">
    <w:p w14:paraId="557B4B38" w14:textId="19DA1D3A" w:rsidR="006939CC" w:rsidRDefault="006939CC">
      <w:pPr>
        <w:pStyle w:val="CommentText"/>
      </w:pPr>
      <w:r>
        <w:rPr>
          <w:rStyle w:val="CommentReference"/>
        </w:rPr>
        <w:annotationRef/>
      </w:r>
      <w:r>
        <w:t>Before I talk about metatranscriptomics, should I mention that metabarcoding can also be applied to RNA samples?</w:t>
      </w:r>
    </w:p>
  </w:comment>
  <w:comment w:id="4" w:author="Christopher Hempel" w:date="2020-05-29T15:15:00Z" w:initials="CH">
    <w:p w14:paraId="79FA3FC4" w14:textId="515B814D" w:rsidR="007F2596" w:rsidRDefault="007F2596">
      <w:pPr>
        <w:pStyle w:val="CommentText"/>
      </w:pPr>
      <w:r>
        <w:rPr>
          <w:rStyle w:val="CommentReference"/>
        </w:rPr>
        <w:annotationRef/>
      </w:r>
      <w:r>
        <w:t>Redundant?</w:t>
      </w:r>
    </w:p>
  </w:comment>
  <w:comment w:id="5" w:author="Christopher Hempel" w:date="2020-05-27T19:55:00Z" w:initials="CH">
    <w:p w14:paraId="3E62A6D6" w14:textId="0A6F8CA9" w:rsidR="006939CC" w:rsidRDefault="006939CC" w:rsidP="00C22C51">
      <w:pPr>
        <w:pStyle w:val="CommentText"/>
      </w:pPr>
      <w:r>
        <w:rPr>
          <w:rStyle w:val="CommentReference"/>
        </w:rPr>
        <w:annotationRef/>
      </w:r>
      <w:r>
        <w:rPr>
          <w:rStyle w:val="CommentReference"/>
        </w:rPr>
        <w:annotationRef/>
      </w:r>
      <w:r>
        <w:t xml:space="preserve">Both predictions are actually </w:t>
      </w:r>
      <w:r w:rsidR="00137B30">
        <w:t>obvious</w:t>
      </w:r>
      <w:r>
        <w:t xml:space="preserve"> because it’s clear that metagenomics will perform bad at </w:t>
      </w:r>
      <w:r w:rsidR="00137B30">
        <w:t>moderate</w:t>
      </w:r>
      <w:r>
        <w:t xml:space="preserve"> sequencing depth and that </w:t>
      </w:r>
      <w:r w:rsidR="00137B30">
        <w:t>pipelines</w:t>
      </w:r>
      <w:r>
        <w:t xml:space="preserve"> can make a huge difference, especially </w:t>
      </w:r>
      <w:proofErr w:type="spellStart"/>
      <w:r w:rsidR="00137B30">
        <w:t>deoending</w:t>
      </w:r>
      <w:proofErr w:type="spellEnd"/>
      <w:r w:rsidR="00137B30">
        <w:t xml:space="preserve"> on the</w:t>
      </w:r>
      <w:r>
        <w:t xml:space="preserve"> reference </w:t>
      </w:r>
      <w:proofErr w:type="spellStart"/>
      <w:r>
        <w:t>db</w:t>
      </w:r>
      <w:proofErr w:type="spellEnd"/>
      <w:r>
        <w:t xml:space="preserve"> is used. Maybe removing this paragraph?</w:t>
      </w:r>
    </w:p>
    <w:p w14:paraId="7FBF6A61" w14:textId="69A735AF" w:rsidR="006939CC" w:rsidRDefault="006939C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8DA1F3" w15:done="0"/>
  <w15:commentEx w15:paraId="19AB1A7A" w15:done="0"/>
  <w15:commentEx w15:paraId="360BE48E" w15:done="0"/>
  <w15:commentEx w15:paraId="557B4B38" w15:done="0"/>
  <w15:commentEx w15:paraId="79FA3FC4" w15:done="0"/>
  <w15:commentEx w15:paraId="7FBF6A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99AC" w16cex:dateUtc="2020-05-25T23:23:00Z"/>
  <w16cex:commentExtensible w16cex:durableId="227A0001" w16cex:dateUtc="2020-05-28T13:16:00Z"/>
  <w16cex:commentExtensible w16cex:durableId="2279FF73" w16cex:dateUtc="2020-05-28T13:14:00Z"/>
  <w16cex:commentExtensible w16cex:durableId="22780B18" w16cex:dateUtc="2020-05-27T01:39:00Z"/>
  <w16cex:commentExtensible w16cex:durableId="227BA597" w16cex:dateUtc="2020-05-29T19:15:00Z"/>
  <w16cex:commentExtensible w16cex:durableId="2279444B" w16cex:dateUtc="2020-05-27T23: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8DA1F3" w16cid:durableId="227699AC"/>
  <w16cid:commentId w16cid:paraId="19AB1A7A" w16cid:durableId="227A0001"/>
  <w16cid:commentId w16cid:paraId="360BE48E" w16cid:durableId="2279FF73"/>
  <w16cid:commentId w16cid:paraId="557B4B38" w16cid:durableId="22780B18"/>
  <w16cid:commentId w16cid:paraId="79FA3FC4" w16cid:durableId="227BA597"/>
  <w16cid:commentId w16cid:paraId="7FBF6A61" w16cid:durableId="227944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B73B35"/>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401D88"/>
    <w:multiLevelType w:val="hybridMultilevel"/>
    <w:tmpl w:val="97F4E0C6"/>
    <w:lvl w:ilvl="0" w:tplc="3AB2501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9942AE"/>
    <w:multiLevelType w:val="hybridMultilevel"/>
    <w:tmpl w:val="0D084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F143E"/>
    <w:multiLevelType w:val="hybridMultilevel"/>
    <w:tmpl w:val="7AC2ED26"/>
    <w:lvl w:ilvl="0" w:tplc="0C2410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Hempel">
    <w15:presenceInfo w15:providerId="Windows Live" w15:userId="be5ea5624116c9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00"/>
    <w:rsid w:val="0001701A"/>
    <w:rsid w:val="000A37E7"/>
    <w:rsid w:val="000A70BC"/>
    <w:rsid w:val="000B1C95"/>
    <w:rsid w:val="000F1848"/>
    <w:rsid w:val="000F5FFB"/>
    <w:rsid w:val="00111265"/>
    <w:rsid w:val="00137B30"/>
    <w:rsid w:val="00154801"/>
    <w:rsid w:val="00177237"/>
    <w:rsid w:val="001A2ECC"/>
    <w:rsid w:val="001B4483"/>
    <w:rsid w:val="001D29BE"/>
    <w:rsid w:val="001F532F"/>
    <w:rsid w:val="001F6427"/>
    <w:rsid w:val="00222941"/>
    <w:rsid w:val="00242225"/>
    <w:rsid w:val="002C18E7"/>
    <w:rsid w:val="002C57A6"/>
    <w:rsid w:val="002D1DC2"/>
    <w:rsid w:val="002E5158"/>
    <w:rsid w:val="003124FC"/>
    <w:rsid w:val="00312A0C"/>
    <w:rsid w:val="003330BD"/>
    <w:rsid w:val="00371749"/>
    <w:rsid w:val="00381EEA"/>
    <w:rsid w:val="003A1E4D"/>
    <w:rsid w:val="003D48E5"/>
    <w:rsid w:val="004229F1"/>
    <w:rsid w:val="004850F6"/>
    <w:rsid w:val="00487CC7"/>
    <w:rsid w:val="0049163C"/>
    <w:rsid w:val="00492EC2"/>
    <w:rsid w:val="004B1D38"/>
    <w:rsid w:val="004D5825"/>
    <w:rsid w:val="004F3EB3"/>
    <w:rsid w:val="00510DF6"/>
    <w:rsid w:val="00547004"/>
    <w:rsid w:val="00575A73"/>
    <w:rsid w:val="00586671"/>
    <w:rsid w:val="00587316"/>
    <w:rsid w:val="00596CFB"/>
    <w:rsid w:val="005A3700"/>
    <w:rsid w:val="005D113D"/>
    <w:rsid w:val="00612BB6"/>
    <w:rsid w:val="00645104"/>
    <w:rsid w:val="006823DD"/>
    <w:rsid w:val="006939CC"/>
    <w:rsid w:val="006A12D3"/>
    <w:rsid w:val="006A3798"/>
    <w:rsid w:val="006E74D5"/>
    <w:rsid w:val="006F5086"/>
    <w:rsid w:val="00745C9E"/>
    <w:rsid w:val="00745D52"/>
    <w:rsid w:val="00746C95"/>
    <w:rsid w:val="0075059D"/>
    <w:rsid w:val="0075149C"/>
    <w:rsid w:val="0078231D"/>
    <w:rsid w:val="00795AE9"/>
    <w:rsid w:val="007B7DE4"/>
    <w:rsid w:val="007F079D"/>
    <w:rsid w:val="007F2596"/>
    <w:rsid w:val="00832935"/>
    <w:rsid w:val="00853528"/>
    <w:rsid w:val="008639DE"/>
    <w:rsid w:val="00872E56"/>
    <w:rsid w:val="00886040"/>
    <w:rsid w:val="00896C79"/>
    <w:rsid w:val="008A49D6"/>
    <w:rsid w:val="008A75A7"/>
    <w:rsid w:val="008A7FDD"/>
    <w:rsid w:val="009065F5"/>
    <w:rsid w:val="009250C3"/>
    <w:rsid w:val="00942F26"/>
    <w:rsid w:val="0095217A"/>
    <w:rsid w:val="00987EBB"/>
    <w:rsid w:val="009A387B"/>
    <w:rsid w:val="009E22BF"/>
    <w:rsid w:val="009E28E9"/>
    <w:rsid w:val="009F6CC0"/>
    <w:rsid w:val="00A12593"/>
    <w:rsid w:val="00A26713"/>
    <w:rsid w:val="00A35E1D"/>
    <w:rsid w:val="00A57A05"/>
    <w:rsid w:val="00A62F5A"/>
    <w:rsid w:val="00A819B8"/>
    <w:rsid w:val="00A96A61"/>
    <w:rsid w:val="00AA01B4"/>
    <w:rsid w:val="00AB2BD4"/>
    <w:rsid w:val="00AD7C3E"/>
    <w:rsid w:val="00AE1909"/>
    <w:rsid w:val="00AF3351"/>
    <w:rsid w:val="00B12813"/>
    <w:rsid w:val="00BA3733"/>
    <w:rsid w:val="00BA4B64"/>
    <w:rsid w:val="00BD071E"/>
    <w:rsid w:val="00C07C77"/>
    <w:rsid w:val="00C13917"/>
    <w:rsid w:val="00C22C51"/>
    <w:rsid w:val="00C41629"/>
    <w:rsid w:val="00C91A73"/>
    <w:rsid w:val="00CC2460"/>
    <w:rsid w:val="00CD27BB"/>
    <w:rsid w:val="00CD7325"/>
    <w:rsid w:val="00CF4C17"/>
    <w:rsid w:val="00D274ED"/>
    <w:rsid w:val="00D62ED7"/>
    <w:rsid w:val="00D91FF8"/>
    <w:rsid w:val="00DA1B58"/>
    <w:rsid w:val="00DC1691"/>
    <w:rsid w:val="00DE3419"/>
    <w:rsid w:val="00E117B4"/>
    <w:rsid w:val="00E22E46"/>
    <w:rsid w:val="00E56109"/>
    <w:rsid w:val="00E64213"/>
    <w:rsid w:val="00EA11B7"/>
    <w:rsid w:val="00EB444C"/>
    <w:rsid w:val="00ED072D"/>
    <w:rsid w:val="00EE3DBD"/>
    <w:rsid w:val="00EE5B9B"/>
    <w:rsid w:val="00EF34EF"/>
    <w:rsid w:val="00F16EFF"/>
    <w:rsid w:val="00F3585D"/>
    <w:rsid w:val="00F62332"/>
    <w:rsid w:val="00F638A3"/>
    <w:rsid w:val="00F80F6A"/>
    <w:rsid w:val="00F92731"/>
    <w:rsid w:val="00FC2B78"/>
    <w:rsid w:val="00FC4770"/>
    <w:rsid w:val="00FC60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12ECA"/>
  <w15:chartTrackingRefBased/>
  <w15:docId w15:val="{89A695D8-3FF1-524D-9E97-7D7D3C57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700"/>
    <w:pPr>
      <w:ind w:left="720"/>
      <w:contextualSpacing/>
    </w:pPr>
  </w:style>
  <w:style w:type="character" w:styleId="FootnoteReference">
    <w:name w:val="footnote reference"/>
    <w:basedOn w:val="DefaultParagraphFont"/>
    <w:uiPriority w:val="99"/>
    <w:semiHidden/>
    <w:unhideWhenUsed/>
    <w:rsid w:val="00EE3DBD"/>
    <w:rPr>
      <w:vertAlign w:val="superscript"/>
    </w:rPr>
  </w:style>
  <w:style w:type="character" w:styleId="CommentReference">
    <w:name w:val="annotation reference"/>
    <w:basedOn w:val="DefaultParagraphFont"/>
    <w:uiPriority w:val="99"/>
    <w:semiHidden/>
    <w:unhideWhenUsed/>
    <w:rsid w:val="00C07C77"/>
    <w:rPr>
      <w:sz w:val="16"/>
      <w:szCs w:val="16"/>
    </w:rPr>
  </w:style>
  <w:style w:type="paragraph" w:styleId="CommentText">
    <w:name w:val="annotation text"/>
    <w:basedOn w:val="Normal"/>
    <w:link w:val="CommentTextChar"/>
    <w:uiPriority w:val="99"/>
    <w:semiHidden/>
    <w:unhideWhenUsed/>
    <w:rsid w:val="00C07C77"/>
    <w:rPr>
      <w:sz w:val="20"/>
      <w:szCs w:val="20"/>
    </w:rPr>
  </w:style>
  <w:style w:type="character" w:customStyle="1" w:styleId="CommentTextChar">
    <w:name w:val="Comment Text Char"/>
    <w:basedOn w:val="DefaultParagraphFont"/>
    <w:link w:val="CommentText"/>
    <w:uiPriority w:val="99"/>
    <w:semiHidden/>
    <w:rsid w:val="00C07C77"/>
    <w:rPr>
      <w:sz w:val="20"/>
      <w:szCs w:val="20"/>
    </w:rPr>
  </w:style>
  <w:style w:type="paragraph" w:styleId="CommentSubject">
    <w:name w:val="annotation subject"/>
    <w:basedOn w:val="CommentText"/>
    <w:next w:val="CommentText"/>
    <w:link w:val="CommentSubjectChar"/>
    <w:uiPriority w:val="99"/>
    <w:semiHidden/>
    <w:unhideWhenUsed/>
    <w:rsid w:val="00C07C77"/>
    <w:rPr>
      <w:b/>
      <w:bCs/>
    </w:rPr>
  </w:style>
  <w:style w:type="character" w:customStyle="1" w:styleId="CommentSubjectChar">
    <w:name w:val="Comment Subject Char"/>
    <w:basedOn w:val="CommentTextChar"/>
    <w:link w:val="CommentSubject"/>
    <w:uiPriority w:val="99"/>
    <w:semiHidden/>
    <w:rsid w:val="00C07C77"/>
    <w:rPr>
      <w:b/>
      <w:bCs/>
      <w:sz w:val="20"/>
      <w:szCs w:val="20"/>
    </w:rPr>
  </w:style>
  <w:style w:type="paragraph" w:styleId="BalloonText">
    <w:name w:val="Balloon Text"/>
    <w:basedOn w:val="Normal"/>
    <w:link w:val="BalloonTextChar"/>
    <w:uiPriority w:val="99"/>
    <w:semiHidden/>
    <w:unhideWhenUsed/>
    <w:rsid w:val="00C07C7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07C7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8E6089-776E-254D-96D0-693106ADC8B2}">
  <we:reference id="wa200001011" version="1.1.0.0" store="en-001" storeType="OMEX"/>
  <we:alternateReferences>
    <we:reference id="wa200001011" version="1.1.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18-E82C-BD49-B60D-118CFB97A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40446</Words>
  <Characters>230543</Characters>
  <Application>Microsoft Office Word</Application>
  <DocSecurity>0</DocSecurity>
  <Lines>1921</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Hempel</dc:creator>
  <cp:keywords/>
  <dc:description/>
  <cp:lastModifiedBy>Christopher Hempel</cp:lastModifiedBy>
  <cp:revision>2</cp:revision>
  <dcterms:created xsi:type="dcterms:W3CDTF">2020-06-05T17:24:00Z</dcterms:created>
  <dcterms:modified xsi:type="dcterms:W3CDTF">2020-06-05T17:24:00Z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http://csl.mendeley.com/styles/475061911/MyStyle-2</vt:lpwstr>
  </property>
  <property fmtid="{D5CDD505-2E9C-101B-9397-08002B2CF9AE}" pid="5" name="Mendeley Recent Style Name 1_1">
    <vt:lpwstr>American Sociological Association - Christopher Hempel</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http://www.zotero.org/styles/frontiers-in-environmental-science</vt:lpwstr>
  </property>
  <property fmtid="{D5CDD505-2E9C-101B-9397-08002B2CF9AE}" pid="11" name="Mendeley Recent Style Name 4_1">
    <vt:lpwstr>Frontiers in Environmental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http://www.zotero.org/styles/natur-und-landschaft</vt:lpwstr>
  </property>
  <property fmtid="{D5CDD505-2E9C-101B-9397-08002B2CF9AE}" pid="19" name="Mendeley Recent Style Name 8_1">
    <vt:lpwstr>Natur und Landschaft (German)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acc1628f-4383-3766-b9d4-d7f2b9b2d836</vt:lpwstr>
  </property>
  <property fmtid="{D5CDD505-2E9C-101B-9397-08002B2CF9AE}" pid="24" name="Mendeley Citation Style_1">
    <vt:lpwstr>http://www.zotero.org/styles/frontiers-in-environmental-science</vt:lpwstr>
  </property>
  <property fmtid="{D5CDD505-2E9C-101B-9397-08002B2CF9AE}" pid="25" name="grammarly_documentId">
    <vt:lpwstr>documentId_8864</vt:lpwstr>
  </property>
</Properties>
</file>