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51.png" ContentType="image/png"/>
  <Override PartName="/word/media/rId60.png" ContentType="image/png"/>
  <Override PartName="/word/media/rId56.png" ContentType="image/png"/>
  <Override PartName="/word/media/rId4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Ghana</w:t>
      </w:r>
      <w:r>
        <w:t xml:space="preserve"> </w:t>
      </w:r>
      <w:r>
        <w:t xml:space="preserve">BINs</w:t>
      </w:r>
      <w:r>
        <w:t xml:space="preserve"> </w:t>
      </w:r>
      <w:r>
        <w:t xml:space="preserve">draft</w:t>
      </w:r>
      <w:r>
        <w:t xml:space="preserve"> </w:t>
      </w:r>
      <w:r>
        <w:t xml:space="preserve">manuscript</w:t>
      </w:r>
    </w:p>
    <w:p>
      <w:pPr>
        <w:pStyle w:val="Date"/>
      </w:pPr>
      <w:r>
        <w:t xml:space="preserve">Oct</w:t>
      </w:r>
      <w:r>
        <w:t xml:space="preserve"> </w:t>
      </w:r>
      <w:r>
        <w:t xml:space="preserve">17,</w:t>
      </w:r>
      <w:r>
        <w:t xml:space="preserve"> </w:t>
      </w:r>
      <w:r>
        <w:t xml:space="preserve">2023</w:t>
      </w:r>
    </w:p>
    <w:bookmarkStart w:id="20" w:name="section"/>
    <w:p>
      <w:pPr>
        <w:pStyle w:val="Heading2"/>
      </w:pPr>
    </w:p>
    <w:bookmarkEnd w:id="20"/>
    <w:bookmarkStart w:id="21" w:name="abstract"/>
    <w:p>
      <w:pPr>
        <w:pStyle w:val="Heading1"/>
      </w:pPr>
      <w:r>
        <w:t xml:space="preserve">Abstract</w:t>
      </w:r>
    </w:p>
    <w:bookmarkEnd w:id="21"/>
    <w:bookmarkStart w:id="31" w:name="introduction"/>
    <w:p>
      <w:pPr>
        <w:pStyle w:val="Heading1"/>
      </w:pPr>
      <w:r>
        <w:t xml:space="preserve">Introduction</w:t>
      </w:r>
    </w:p>
    <w:bookmarkStart w:id="25" w:name="X158010acac46c485803c1f6266724fc7f22add3"/>
    <w:p>
      <w:pPr>
        <w:pStyle w:val="Heading2"/>
      </w:pPr>
      <w:r>
        <w:t xml:space="preserve">General statements on the issues of biodiversity-discovery in the tropics</w:t>
      </w:r>
    </w:p>
    <w:bookmarkStart w:id="22" w:name="theres-lots-of-it"/>
    <w:p>
      <w:pPr>
        <w:pStyle w:val="Heading3"/>
      </w:pPr>
      <w:r>
        <w:t xml:space="preserve">There’s lots of it</w:t>
      </w:r>
    </w:p>
    <w:p>
      <w:pPr>
        <w:pStyle w:val="FirstParagraph"/>
      </w:pPr>
      <w:r>
        <w:t xml:space="preserve">Like, loads. But the worst part is most of it is completely undescribed, basically unknown.</w:t>
      </w:r>
    </w:p>
    <w:p>
      <w:pPr>
        <w:pStyle w:val="BodyText"/>
      </w:pPr>
      <w:r>
        <w:t xml:space="preserve">There have been many estimates of global arthropod richness, for example an article from the 2018 Annual Review of Entomology</w:t>
      </w:r>
      <w:r>
        <w:t xml:space="preserve"> </w:t>
      </w:r>
      <w:r>
        <w:t xml:space="preserve">(Stork 2018)</w:t>
      </w:r>
      <w:r>
        <w:t xml:space="preserve"> </w:t>
      </w:r>
      <w:r>
        <w:t xml:space="preserve">estimated 7 million species of terrestrial arthropods, with only 1 million of them formally named. Under this estimate, only 20% of insect species had been identified. The global dry biomass of this immense richness of insects is estimated at 300 million metric tons</w:t>
      </w:r>
      <w:r>
        <w:t xml:space="preserve"> </w:t>
      </w:r>
      <w:r>
        <w:t xml:space="preserve">(Rosenberg et al. 2023)</w:t>
      </w:r>
      <w:r>
        <w:t xml:space="preserve">, a similar mass to the combined biomass of humanity and its livestock.</w:t>
      </w:r>
    </w:p>
    <w:bookmarkEnd w:id="22"/>
    <w:bookmarkStart w:id="23" w:name="a-lot-of-its-under-threat"/>
    <w:p>
      <w:pPr>
        <w:pStyle w:val="Heading3"/>
      </w:pPr>
      <w:r>
        <w:t xml:space="preserve">A lot of it’s under threat</w:t>
      </w:r>
    </w:p>
    <w:p>
      <w:pPr>
        <w:pStyle w:val="FirstParagraph"/>
      </w:pPr>
      <w:r>
        <w:t xml:space="preserve">The tropics are going through some things: climate change, widespread land-use change, introduced species, pollution, nitrification. The negative impacts of these threats can act synergistically, but with uneven impacts even for closely-related taxa</w:t>
      </w:r>
      <w:r>
        <w:t xml:space="preserve"> </w:t>
      </w:r>
      <w:r>
        <w:t xml:space="preserve">(Williamson et al. 2022)</w:t>
      </w:r>
      <w:r>
        <w:t xml:space="preserve">. The impacts of these changes are better-understood for more heavily-studied taxa such as vertebrates</w:t>
      </w:r>
      <w:r>
        <w:t xml:space="preserve"> </w:t>
      </w:r>
      <w:r>
        <w:t xml:space="preserve">(Wagner et al. 2021)</w:t>
      </w:r>
      <w:r>
        <w:t xml:space="preserve">. Low levels of baseline data and high per-taxa effort of identifying any observed taxa make estimates of insect declines very difficult. As a result, the few studies on insect declines tend to be clustered in relatively species-poor, wealthy western regions such as Europe and North America</w:t>
      </w:r>
      <w:r>
        <w:t xml:space="preserve"> </w:t>
      </w:r>
      <w:r>
        <w:t xml:space="preserve">(Blüthgen et al. 2023)</w:t>
      </w:r>
    </w:p>
    <w:bookmarkEnd w:id="23"/>
    <w:bookmarkStart w:id="24" w:name="Xadabc91f01eb4fc495e93badfd8d37ebd9ecb6f"/>
    <w:p>
      <w:pPr>
        <w:pStyle w:val="Heading3"/>
      </w:pPr>
      <w:r>
        <w:t xml:space="preserve">Formally describing any of it takes fucking ages</w:t>
      </w:r>
    </w:p>
    <w:p>
      <w:pPr>
        <w:pStyle w:val="FirstParagraph"/>
      </w:pPr>
      <w:r>
        <w:t xml:space="preserve">While collection of arthropod samples is laborious, the huge number of specimens that can be collected has long been an issue</w:t>
      </w:r>
      <w:r>
        <w:t xml:space="preserve"> </w:t>
      </w:r>
      <w:r>
        <w:t xml:space="preserve">(Gotelli 2004)</w:t>
      </w:r>
      <w:r>
        <w:t xml:space="preserve">, as a bottleneck is then hit with processing and identifying each individual arthropod .</w:t>
      </w:r>
    </w:p>
    <w:p>
      <w:pPr>
        <w:pStyle w:val="BodyText"/>
      </w:pPr>
      <w:r>
        <w:t xml:space="preserve">It’s worthwhile, but doing so is a long and meticulous job, would be nice if we could lend a helping-hand somehow.</w:t>
      </w:r>
    </w:p>
    <w:bookmarkEnd w:id="24"/>
    <w:bookmarkEnd w:id="25"/>
    <w:bookmarkStart w:id="28" w:name="dna-barcoding-can-be-helpful-for-this"/>
    <w:p>
      <w:pPr>
        <w:pStyle w:val="Heading2"/>
      </w:pPr>
      <w:r>
        <w:t xml:space="preserve">DNA barcoding can be helpful for this</w:t>
      </w:r>
    </w:p>
    <w:bookmarkStart w:id="26" w:name="brief-description-of-dna-barcoding"/>
    <w:p>
      <w:pPr>
        <w:pStyle w:val="Heading3"/>
      </w:pPr>
      <w:r>
        <w:t xml:space="preserve">Brief description of DNA barcoding</w:t>
      </w:r>
    </w:p>
    <w:p>
      <w:pPr>
        <w:pStyle w:val="FirstParagraph"/>
      </w:pPr>
      <w:r>
        <w:t xml:space="preserve">If you make a database of DNA sequences from things you’ve identified, you can compare unknown sequences to that database and infer what they probably came from.</w:t>
      </w:r>
    </w:p>
    <w:bookmarkEnd w:id="26"/>
    <w:bookmarkStart w:id="27" w:name="X1de7528062ac325995a457113542222e4d1348e"/>
    <w:p>
      <w:pPr>
        <w:pStyle w:val="Heading3"/>
      </w:pPr>
      <w:r>
        <w:t xml:space="preserve">The BIN system: what it is</w:t>
      </w:r>
      <w:r>
        <w:t xml:space="preserve"> </w:t>
      </w:r>
      <w:r>
        <w:rPr>
          <w:bCs/>
          <w:b/>
        </w:rPr>
        <w:t xml:space="preserve">and what it fucking isn’t</w:t>
      </w:r>
    </w:p>
    <w:p>
      <w:pPr>
        <w:pStyle w:val="FirstParagraph"/>
      </w:pPr>
      <w:r>
        <w:t xml:space="preserve">While DNA barcodes are invaluable when comparing unknown samples to a reference database of sequences from known-species, they can have an additional purpose: cataloguing unknown samples themselves. In addition to providing a publicly-available repository of DNA barcodes with associated metadata, the Barcode of Life Database (BOLD)</w:t>
      </w:r>
      <w:r>
        <w:t xml:space="preserve"> </w:t>
      </w:r>
      <w:r>
        <w:t xml:space="preserve">(Ratnasingham and Hebert 2007)</w:t>
      </w:r>
      <w:r>
        <w:t xml:space="preserve"> </w:t>
      </w:r>
      <w:r>
        <w:t xml:space="preserve">assigns a unique identifier to sequences uploaded to it, known as a Barcode Index Number or</w:t>
      </w:r>
      <w:r>
        <w:t xml:space="preserve"> </w:t>
      </w:r>
      <w:r>
        <w:t xml:space="preserve">‘</w:t>
      </w:r>
      <w:r>
        <w:t xml:space="preserve">BIN</w:t>
      </w:r>
      <w:r>
        <w:t xml:space="preserve">’</w:t>
      </w:r>
      <w:r>
        <w:t xml:space="preserve"> </w:t>
      </w:r>
      <w:r>
        <w:t xml:space="preserve">(Ratnasingham and Hebert 2013)</w:t>
      </w:r>
      <w:r>
        <w:t xml:space="preserve">. BINs are clusters of similar DNA sequences, and so can act as a species-proxy when a species has yet to be formally described. While possessing a formal taxonomic description and binomial name remains the gold-standard for taxa delimitation, knowing that two samples have different (or identical) BINs can be of great value for ecological study, and sampling that generates novel BINs can highlight geographic and taxonomic areas of biodiversity that are deserving of increased attention. Uploading samples to BOLD’s BIN system provides a useful resource for further study, by allowing future researchers to match their sample to a previous record, with taxonomic, geographic and temporal metadata attached.</w:t>
      </w:r>
    </w:p>
    <w:p>
      <w:pPr>
        <w:pStyle w:val="BodyText"/>
      </w:pPr>
      <w:r>
        <w:t xml:space="preserve">While some researchers have used BINs as proxies for species (CITE), or even as a major strand of evidence when describing new species outright</w:t>
      </w:r>
      <w:r>
        <w:t xml:space="preserve"> </w:t>
      </w:r>
      <w:r>
        <w:t xml:space="preserve">(Sharkey et al. 2021)</w:t>
      </w:r>
      <w:r>
        <w:t xml:space="preserve">, this remains controversial at best</w:t>
      </w:r>
      <w:r>
        <w:t xml:space="preserve"> </w:t>
      </w:r>
      <w:r>
        <w:t xml:space="preserve">(Meier et al. 2022)</w:t>
      </w:r>
      <w:r>
        <w:t xml:space="preserve"> </w:t>
      </w:r>
      <w:r>
        <w:t xml:space="preserve">due to the inherent limitations of using a single gene and unreproducible algorithm to delineate taxonomy. We here view BINs as Operational Taxonomic Units (OTUs): a valuable tool in biology and ecology where samples are classified into clusters based on shared or diverging traits.</w:t>
      </w:r>
    </w:p>
    <w:p>
      <w:pPr>
        <w:pStyle w:val="BodyText"/>
      </w:pPr>
      <w:r>
        <w:t xml:space="preserve">In this form, BINs have been used to analyse ecological phenomena in the tropics</w:t>
      </w:r>
      <w:r>
        <w:t xml:space="preserve"> </w:t>
      </w:r>
      <w:r>
        <w:t xml:space="preserve">(Ashfaq et al. 2018; Bukowski et al. 2022; D’Souza and Hebert 2018; deWaard et al. 2019)</w:t>
      </w:r>
      <w:r>
        <w:t xml:space="preserve">, while simultaneously providing what is frequently the first scientific record of previously unknown taxa.</w:t>
      </w:r>
    </w:p>
    <w:bookmarkEnd w:id="27"/>
    <w:bookmarkEnd w:id="28"/>
    <w:bookmarkStart w:id="29" w:name="ghana-and-africa-more-generally"/>
    <w:p>
      <w:pPr>
        <w:pStyle w:val="Heading2"/>
      </w:pPr>
      <w:r>
        <w:t xml:space="preserve">Ghana, and Africa more generally</w:t>
      </w:r>
    </w:p>
    <w:p>
      <w:pPr>
        <w:pStyle w:val="FirstParagraph"/>
      </w:pPr>
      <w:r>
        <w:t xml:space="preserve">West African forests are designated as a biodiversity hotspot [IN FAIRNESS IT’S WEST AFRICAN FORESTS that are designated, dunno if our sites exactly qualify…]: a region with a high level of biodiversity, that is threatened by human actions (CITE). This issue is compounded by the relatively low proportion of the area’s species yet to be formally described; hampering ecological study, estimates of species distribution, extinction and more.</w:t>
      </w:r>
    </w:p>
    <w:p>
      <w:pPr>
        <w:pStyle w:val="BodyText"/>
      </w:pPr>
      <w:r>
        <w:t xml:space="preserve">In this article we describe a high-intensity arthropod-sampling campaign in Ghana, capturing (insert number of samples here), and then generating a database of BINs from the material. We analyse the data to show rates of taxonomic discovery by trapping effort, and the geographic distribution of BINs detected in this dataset. This data is publicly available for use by the scientific community.</w:t>
      </w:r>
    </w:p>
    <w:bookmarkEnd w:id="29"/>
    <w:bookmarkStart w:id="30" w:name="closing-paragraph"/>
    <w:p>
      <w:pPr>
        <w:pStyle w:val="Heading2"/>
      </w:pPr>
      <w:r>
        <w:t xml:space="preserve">Closing paragraph</w:t>
      </w:r>
    </w:p>
    <w:p>
      <w:pPr>
        <w:pStyle w:val="FirstParagraph"/>
      </w:pPr>
      <w:r>
        <w:rPr>
          <w:iCs/>
          <w:i/>
        </w:rPr>
        <w:t xml:space="preserve">(Nice summary goes here)</w:t>
      </w:r>
    </w:p>
    <w:bookmarkEnd w:id="30"/>
    <w:bookmarkEnd w:id="31"/>
    <w:bookmarkStart w:id="39" w:name="methods"/>
    <w:p>
      <w:pPr>
        <w:pStyle w:val="Heading1"/>
      </w:pPr>
      <w:r>
        <w:t xml:space="preserve">Methods</w:t>
      </w:r>
    </w:p>
    <w:bookmarkStart w:id="32" w:name="field-sites"/>
    <w:p>
      <w:pPr>
        <w:pStyle w:val="Heading2"/>
      </w:pPr>
      <w:r>
        <w:t xml:space="preserve">Field sites</w:t>
      </w:r>
    </w:p>
    <w:p>
      <w:pPr>
        <w:pStyle w:val="FirstParagraph"/>
      </w:pPr>
      <w:r>
        <w:t xml:space="preserve">Working at two villages in the Volta region of Ghana (Abutia Amegame and Mafi Agorve) we intensely collected arthropod samples during monthly visits February 2019-March 2020, and then April 2021-June 2021 (pandemic happened)(Check the full sampling dates with Talya, these are the</w:t>
      </w:r>
      <w:r>
        <w:t xml:space="preserve"> </w:t>
      </w:r>
      <w:r>
        <w:rPr>
          <w:u w:val="single"/>
        </w:rPr>
        <w:t xml:space="preserve">unique sampling months</w:t>
      </w:r>
      <w:r>
        <w:t xml:space="preserve"> </w:t>
      </w:r>
      <w:r>
        <w:t xml:space="preserve">in our dataset but they might not all have been created equal).</w:t>
      </w:r>
    </w:p>
    <w:bookmarkEnd w:id="32"/>
    <w:bookmarkStart w:id="33" w:name="sampling"/>
    <w:p>
      <w:pPr>
        <w:pStyle w:val="Heading2"/>
      </w:pPr>
      <w:r>
        <w:t xml:space="preserve">Sampling</w:t>
      </w:r>
    </w:p>
    <w:p>
      <w:pPr>
        <w:pStyle w:val="FirstParagraph"/>
      </w:pPr>
      <w:r>
        <w:t xml:space="preserve">At each site, for every visit,</w:t>
      </w:r>
      <w:r>
        <w:t xml:space="preserve"> </w:t>
      </w:r>
      <w:r>
        <w:rPr>
          <w:iCs/>
          <w:i/>
        </w:rPr>
        <w:t xml:space="preserve">x</w:t>
      </w:r>
      <w:r>
        <w:t xml:space="preserve"> </w:t>
      </w:r>
      <w:r>
        <w:t xml:space="preserve">transects were set up, with</w:t>
      </w:r>
      <w:r>
        <w:t xml:space="preserve"> </w:t>
      </w:r>
      <w:r>
        <w:rPr>
          <w:iCs/>
          <w:i/>
        </w:rPr>
        <w:t xml:space="preserve">w</w:t>
      </w:r>
      <w:r>
        <w:t xml:space="preserve"> </w:t>
      </w:r>
      <w:r>
        <w:t xml:space="preserve">malaise traps,</w:t>
      </w:r>
      <w:r>
        <w:t xml:space="preserve"> </w:t>
      </w:r>
      <w:r>
        <w:rPr>
          <w:iCs/>
          <w:i/>
        </w:rPr>
        <w:t xml:space="preserve">x</w:t>
      </w:r>
      <w:r>
        <w:t xml:space="preserve"> </w:t>
      </w:r>
      <w:r>
        <w:t xml:space="preserve">CDC traps,</w:t>
      </w:r>
      <w:r>
        <w:t xml:space="preserve"> </w:t>
      </w:r>
      <w:r>
        <w:rPr>
          <w:iCs/>
          <w:i/>
        </w:rPr>
        <w:t xml:space="preserve">y</w:t>
      </w:r>
      <w:r>
        <w:t xml:space="preserve"> </w:t>
      </w:r>
      <w:r>
        <w:t xml:space="preserve">yellow pan traps and</w:t>
      </w:r>
      <w:r>
        <w:t xml:space="preserve"> </w:t>
      </w:r>
      <w:r>
        <w:rPr>
          <w:iCs/>
          <w:i/>
        </w:rPr>
        <w:t xml:space="preserve">z</w:t>
      </w:r>
      <w:r>
        <w:t xml:space="preserve"> </w:t>
      </w:r>
      <w:r>
        <w:t xml:space="preserve">heath traps per transect. Traps were left for approximately 24 hours, apart from malaise traps, whose bottles were exchanged approximately every 6 hours within the 24-hour period.</w:t>
      </w:r>
    </w:p>
    <w:bookmarkEnd w:id="33"/>
    <w:bookmarkStart w:id="34" w:name="dna-barcoding"/>
    <w:p>
      <w:pPr>
        <w:pStyle w:val="Heading2"/>
      </w:pPr>
      <w:r>
        <w:t xml:space="preserve">DNA barcoding</w:t>
      </w:r>
    </w:p>
    <w:p>
      <w:pPr>
        <w:numPr>
          <w:ilvl w:val="0"/>
          <w:numId w:val="1001"/>
        </w:numPr>
        <w:pStyle w:val="Compact"/>
      </w:pPr>
      <w:r>
        <w:t xml:space="preserve">Sample sorting, shipment, timeframes etc</w:t>
      </w:r>
    </w:p>
    <w:p>
      <w:pPr>
        <w:numPr>
          <w:ilvl w:val="0"/>
          <w:numId w:val="1001"/>
        </w:numPr>
        <w:pStyle w:val="Compact"/>
      </w:pPr>
      <w:r>
        <w:t xml:space="preserve">Samples were DNA barcoded at the Canadian Centre for DNA Barcoding (CCDB), using their standard protocol of photographing each specimen, before performing a non-destructive DNA extraction, PCR using the CO1</w:t>
      </w:r>
      <w:r>
        <w:t xml:space="preserve"> </w:t>
      </w:r>
      <w:r>
        <w:t xml:space="preserve">‘</w:t>
      </w:r>
      <w:r>
        <w:t xml:space="preserve">Folmer</w:t>
      </w:r>
      <w:r>
        <w:t xml:space="preserve">’</w:t>
      </w:r>
      <w:r>
        <w:t xml:space="preserve"> </w:t>
      </w:r>
      <w:r>
        <w:t xml:space="preserve">region</w:t>
      </w:r>
      <w:r>
        <w:t xml:space="preserve"> </w:t>
      </w:r>
      <w:r>
        <w:t xml:space="preserve">(Folmer et al. 1994)</w:t>
      </w:r>
      <w:r>
        <w:t xml:space="preserve">, and sequencing on a PacBio Sequel. Through the BOLD data-management platform</w:t>
      </w:r>
      <w:r>
        <w:t xml:space="preserve"> </w:t>
      </w:r>
      <w:r>
        <w:t xml:space="preserve">(Ratnasingham and Hebert 2007)</w:t>
      </w:r>
      <w:r>
        <w:t xml:space="preserve">, samples were assigned provisional taxonomy and a BIN</w:t>
      </w:r>
      <w:r>
        <w:t xml:space="preserve"> </w:t>
      </w:r>
      <w:r>
        <w:t xml:space="preserve">(Ratnasingham and Hebert 2013)</w:t>
      </w:r>
      <w:r>
        <w:t xml:space="preserve">.</w:t>
      </w:r>
    </w:p>
    <w:bookmarkEnd w:id="34"/>
    <w:bookmarkStart w:id="38" w:name="data-analyses"/>
    <w:p>
      <w:pPr>
        <w:pStyle w:val="Heading2"/>
      </w:pPr>
      <w:r>
        <w:t xml:space="preserve">Data analyses</w:t>
      </w:r>
    </w:p>
    <w:p>
      <w:pPr>
        <w:pStyle w:val="FirstParagraph"/>
      </w:pPr>
      <w:r>
        <w:t xml:space="preserve">Our data was downloaded from BOLD on 14 September 2023, and BOLD was queried for information on the publicly available BINs that matched BINs in our dataset.</w:t>
      </w:r>
    </w:p>
    <w:p>
      <w:pPr>
        <w:pStyle w:val="BodyText"/>
      </w:pPr>
      <w:r>
        <w:t xml:space="preserve">Using the iNEXT</w:t>
      </w:r>
      <w:r>
        <w:t xml:space="preserve"> </w:t>
      </w:r>
      <w:r>
        <w:t xml:space="preserve">(Chao et al. 2014)</w:t>
      </w:r>
      <w:r>
        <w:t xml:space="preserve"> </w:t>
      </w:r>
      <w:r>
        <w:t xml:space="preserve">R package, sampling completeness was calculated for each taxonomic order and trap type used; using the rate of BIN-accumulation to estimate the sampling effort required before all potential BINs in the landscape that would be captured by a given trap-type were obtained. Calculations only took place for combinations of taxonomic order and trap-type where at least 20 BINs were detected. I.e. calculations would not have taken place for spiders and malaise traps, if only 19 spider BINs were detected in malaise traps.</w:t>
      </w:r>
    </w:p>
    <w:bookmarkStart w:id="35" w:name="nmds"/>
    <w:p>
      <w:pPr>
        <w:pStyle w:val="Heading3"/>
      </w:pPr>
      <w:r>
        <w:t xml:space="preserve">NMDS</w:t>
      </w:r>
    </w:p>
    <w:p>
      <w:pPr>
        <w:pStyle w:val="FirstParagraph"/>
      </w:pPr>
      <w:r>
        <w:t xml:space="preserve">A series of non-metric multidimensional scaling (NMDS) analyses were ran for the dataset using the</w:t>
      </w:r>
      <w:r>
        <w:t xml:space="preserve"> </w:t>
      </w:r>
      <w:r>
        <w:t xml:space="preserve">‘</w:t>
      </w:r>
      <w:r>
        <w:t xml:space="preserve">vegan</w:t>
      </w:r>
      <w:r>
        <w:t xml:space="preserve">’</w:t>
      </w:r>
      <w:r>
        <w:t xml:space="preserve"> </w:t>
      </w:r>
      <w:r>
        <w:t xml:space="preserve">R package</w:t>
      </w:r>
      <w:r>
        <w:t xml:space="preserve"> </w:t>
      </w:r>
      <w:r>
        <w:t xml:space="preserve">(Oksanen et al. 2022)</w:t>
      </w:r>
      <w:r>
        <w:t xml:space="preserve">. Taxonomic groups were only included in the dataset if they contained a minimum of 10 samples (i.e. a taxonomic order would only be included in the order-level NMDS if the dataset contained 10 or more samples of that order). CDC traps were excluded from this analysis due to the low number of BINs obtained from them.</w:t>
      </w:r>
    </w:p>
    <w:p>
      <w:pPr>
        <w:pStyle w:val="BodyText"/>
      </w:pPr>
      <w:r>
        <w:t xml:space="preserve">To analyse the extent of potential differences between the communities included in the NMDS analyses, we also ran a Permutational Multivariate Analysis of Variance Using Distance Matrices, using bray-curtis dissimilarity, using the vegan R package, and the betadispersion of the communities in each trap was calculated.</w:t>
      </w:r>
    </w:p>
    <w:bookmarkEnd w:id="35"/>
    <w:bookmarkStart w:id="36" w:name="geographic-analyses."/>
    <w:p>
      <w:pPr>
        <w:pStyle w:val="Heading3"/>
      </w:pPr>
      <w:r>
        <w:t xml:space="preserve">Geographic analyses.</w:t>
      </w:r>
    </w:p>
    <w:p>
      <w:pPr>
        <w:pStyle w:val="FirstParagraph"/>
      </w:pPr>
      <w:r>
        <w:t xml:space="preserve">We queried BOLD for the available metadata all BINs in our dataset that already had public matches from other studies.The resulting dataset was used to identify countries and continents which shared many BINs with our dataset, and the taxonomic composition of those BINs. The 20 countries with the highest numbers of public BINs matching BINs in our dataset were queried between 18 September 2023 and 20 September 2023, to show areas where similar communities have been detected. This is more likely to represent geographic biases in sampling than similarities in the arthropod communities themselves.</w:t>
      </w:r>
    </w:p>
    <w:bookmarkEnd w:id="36"/>
    <w:bookmarkStart w:id="37" w:name="closing-sentence"/>
    <w:p>
      <w:pPr>
        <w:pStyle w:val="Heading3"/>
      </w:pPr>
      <w:r>
        <w:t xml:space="preserve">Closing sentence</w:t>
      </w:r>
    </w:p>
    <w:p>
      <w:pPr>
        <w:pStyle w:val="FirstParagraph"/>
      </w:pPr>
      <w:r>
        <w:t xml:space="preserve">All analyses took place using R</w:t>
      </w:r>
      <w:r>
        <w:t xml:space="preserve"> </w:t>
      </w:r>
      <w:r>
        <w:t xml:space="preserve">(R Core Team 2023)</w:t>
      </w:r>
      <w:r>
        <w:t xml:space="preserve">. All code for this manuscript is available at https://github.com/hemprichbennett/ghana_bins.</w:t>
      </w:r>
    </w:p>
    <w:bookmarkEnd w:id="37"/>
    <w:bookmarkEnd w:id="38"/>
    <w:bookmarkEnd w:id="39"/>
    <w:bookmarkStart w:id="69" w:name="results"/>
    <w:p>
      <w:pPr>
        <w:pStyle w:val="Heading1"/>
      </w:pPr>
      <w:r>
        <w:t xml:space="preserve">Results</w:t>
      </w:r>
    </w:p>
    <w:bookmarkStart w:id="41" w:name="basic-summary-statistics."/>
    <w:p>
      <w:pPr>
        <w:pStyle w:val="Heading2"/>
      </w:pPr>
      <w:r>
        <w:t xml:space="preserve">Basic summary statistics.</w:t>
      </w:r>
    </w:p>
    <w:p>
      <w:pPr>
        <w:pStyle w:val="FirstParagraph"/>
      </w:pPr>
      <w:r>
        <w:t xml:space="preserve">We detected 7,569 unique BINs across the 63,411 samples sequenced as of 14 September 2023 (see</w:t>
      </w:r>
      <w:r>
        <w:t xml:space="preserve"> </w:t>
      </w:r>
      <w:hyperlink w:anchor="tbl-per-traptype-summary">
        <w:r>
          <w:rPr>
            <w:rStyle w:val="Hyperlink"/>
          </w:rPr>
          <w:t xml:space="preserve">Table 1</w:t>
        </w:r>
      </w:hyperlink>
      <w:r>
        <w:t xml:space="preserve">). For the 13 most abundant taxonomic orders, the average estimated sampling completeness was 54.9%.</w:t>
      </w:r>
    </w:p>
    <w:bookmarkStart w:id="40" w:name="tbl-per-traptype-summary"/>
    <w:p>
      <w:pPr>
        <w:pStyle w:val="TableCaption"/>
      </w:pPr>
      <w:r>
        <w:t xml:space="preserve">Table 1: The number of samples and BINs sequenced for each trap type used</w:t>
      </w:r>
    </w:p>
    <w:tbl>
      <w:tblPr>
        <w:tblStyle w:val="Table"/>
        <w:tblW w:type="auto" w:w="0"/>
        <w:tblLook w:firstRow="1" w:lastRow="0" w:firstColumn="0" w:lastColumn="0" w:noHBand="0" w:noVBand="0" w:val="0020"/>
        <w:jc w:val="start"/>
        <w:tblCaption w:val="Table 1: The number of samples and BINs sequenced for each trap type used"/>
      </w:tblPr>
      <w:tblGrid>
        <w:gridCol w:w="2640"/>
        <w:gridCol w:w="2640"/>
        <w:gridCol w:w="2640"/>
      </w:tblGrid>
      <w:tr>
        <w:trPr>
          <w:tblHeader w:val="true"/>
        </w:trPr>
        <w:tc>
          <w:tcPr/>
          <w:p>
            <w:pPr>
              <w:pStyle w:val="Compact"/>
              <w:jc w:val="left"/>
            </w:pPr>
            <w:r>
              <w:t xml:space="preserve">type</w:t>
            </w:r>
          </w:p>
        </w:tc>
        <w:tc>
          <w:tcPr/>
          <w:p>
            <w:pPr>
              <w:pStyle w:val="Compact"/>
              <w:jc w:val="right"/>
            </w:pPr>
            <w:r>
              <w:t xml:space="preserve">Number of samples</w:t>
            </w:r>
          </w:p>
        </w:tc>
        <w:tc>
          <w:tcPr/>
          <w:p>
            <w:pPr>
              <w:pStyle w:val="Compact"/>
              <w:jc w:val="right"/>
            </w:pPr>
            <w:r>
              <w:t xml:space="preserve">Number of BINs</w:t>
            </w:r>
          </w:p>
        </w:tc>
      </w:tr>
      <w:tr>
        <w:tc>
          <w:tcPr/>
          <w:p>
            <w:pPr>
              <w:pStyle w:val="Compact"/>
              <w:jc w:val="left"/>
            </w:pPr>
            <w:r>
              <w:t xml:space="preserve">Cdc</w:t>
            </w:r>
          </w:p>
        </w:tc>
        <w:tc>
          <w:tcPr/>
          <w:p>
            <w:pPr>
              <w:pStyle w:val="Compact"/>
              <w:jc w:val="right"/>
            </w:pPr>
            <w:r>
              <w:t xml:space="preserve">3,035</w:t>
            </w:r>
          </w:p>
        </w:tc>
        <w:tc>
          <w:tcPr/>
          <w:p>
            <w:pPr>
              <w:pStyle w:val="Compact"/>
              <w:jc w:val="right"/>
            </w:pPr>
            <w:r>
              <w:t xml:space="preserve">16</w:t>
            </w:r>
          </w:p>
        </w:tc>
      </w:tr>
      <w:tr>
        <w:tc>
          <w:tcPr/>
          <w:p>
            <w:pPr>
              <w:pStyle w:val="Compact"/>
              <w:jc w:val="left"/>
            </w:pPr>
            <w:r>
              <w:t xml:space="preserve">Heath</w:t>
            </w:r>
          </w:p>
        </w:tc>
        <w:tc>
          <w:tcPr/>
          <w:p>
            <w:pPr>
              <w:pStyle w:val="Compact"/>
              <w:jc w:val="right"/>
            </w:pPr>
            <w:r>
              <w:t xml:space="preserve">41,278</w:t>
            </w:r>
          </w:p>
        </w:tc>
        <w:tc>
          <w:tcPr/>
          <w:p>
            <w:pPr>
              <w:pStyle w:val="Compact"/>
              <w:jc w:val="right"/>
            </w:pPr>
            <w:r>
              <w:t xml:space="preserve">5,066</w:t>
            </w:r>
          </w:p>
        </w:tc>
      </w:tr>
      <w:tr>
        <w:tc>
          <w:tcPr/>
          <w:p>
            <w:pPr>
              <w:pStyle w:val="Compact"/>
              <w:jc w:val="left"/>
            </w:pPr>
            <w:r>
              <w:t xml:space="preserve">Malaise</w:t>
            </w:r>
          </w:p>
        </w:tc>
        <w:tc>
          <w:tcPr/>
          <w:p>
            <w:pPr>
              <w:pStyle w:val="Compact"/>
              <w:jc w:val="right"/>
            </w:pPr>
            <w:r>
              <w:t xml:space="preserve">8,582</w:t>
            </w:r>
          </w:p>
        </w:tc>
        <w:tc>
          <w:tcPr/>
          <w:p>
            <w:pPr>
              <w:pStyle w:val="Compact"/>
              <w:jc w:val="right"/>
            </w:pPr>
            <w:r>
              <w:t xml:space="preserve">2,550</w:t>
            </w:r>
          </w:p>
        </w:tc>
      </w:tr>
      <w:tr>
        <w:tc>
          <w:tcPr/>
          <w:p>
            <w:pPr>
              <w:pStyle w:val="Compact"/>
              <w:jc w:val="left"/>
            </w:pPr>
            <w:r>
              <w:t xml:space="preserve">Pitfall</w:t>
            </w:r>
          </w:p>
        </w:tc>
        <w:tc>
          <w:tcPr/>
          <w:p>
            <w:pPr>
              <w:pStyle w:val="Compact"/>
              <w:jc w:val="right"/>
            </w:pPr>
            <w:r>
              <w:t xml:space="preserve">5,239</w:t>
            </w:r>
          </w:p>
        </w:tc>
        <w:tc>
          <w:tcPr/>
          <w:p>
            <w:pPr>
              <w:pStyle w:val="Compact"/>
              <w:jc w:val="right"/>
            </w:pPr>
            <w:r>
              <w:t xml:space="preserve">668</w:t>
            </w:r>
          </w:p>
        </w:tc>
      </w:tr>
      <w:tr>
        <w:tc>
          <w:tcPr/>
          <w:p>
            <w:pPr>
              <w:pStyle w:val="Compact"/>
              <w:jc w:val="left"/>
            </w:pPr>
            <w:r>
              <w:t xml:space="preserve">Yellow Pan</w:t>
            </w:r>
          </w:p>
        </w:tc>
        <w:tc>
          <w:tcPr/>
          <w:p>
            <w:pPr>
              <w:pStyle w:val="Compact"/>
              <w:jc w:val="right"/>
            </w:pPr>
            <w:r>
              <w:t xml:space="preserve">4,568</w:t>
            </w:r>
          </w:p>
        </w:tc>
        <w:tc>
          <w:tcPr/>
          <w:p>
            <w:pPr>
              <w:pStyle w:val="Compact"/>
              <w:jc w:val="right"/>
            </w:pPr>
            <w:r>
              <w:t xml:space="preserve">1,009</w:t>
            </w:r>
          </w:p>
        </w:tc>
      </w:tr>
    </w:tbl>
    <w:bookmarkEnd w:id="40"/>
    <w:p>
      <w:pPr>
        <w:pStyle w:val="BodyText"/>
      </w:pPr>
      <w:r>
        <w:t xml:space="preserve">Of the 200 most-abundant BINs in our dataset, 78 were already publicly available, 72 had already been sequenced but no other representatives of that BIN were publicly available on BOLD, and 50 BINs were unique to our project.</w:t>
      </w:r>
    </w:p>
    <w:bookmarkEnd w:id="41"/>
    <w:bookmarkStart w:id="65" w:name="trap-types"/>
    <w:p>
      <w:pPr>
        <w:pStyle w:val="Heading2"/>
      </w:pPr>
      <w:r>
        <w:t xml:space="preserve">Trap types</w:t>
      </w:r>
    </w:p>
    <w:bookmarkStart w:id="46" w:name="trap-types-and-novel-bins"/>
    <w:p>
      <w:pPr>
        <w:pStyle w:val="Heading3"/>
      </w:pPr>
      <w:r>
        <w:t xml:space="preserve">Trap types and novel BINs</w:t>
      </w:r>
    </w:p>
    <w:p>
      <w:pPr>
        <w:pStyle w:val="FirstParagraph"/>
      </w:pPr>
      <w:r>
        <w:t xml:space="preserve">Heath traps provided the majority of samples barcoded (</w:t>
      </w:r>
      <w:hyperlink w:anchor="tbl-per-traptype-summary">
        <w:r>
          <w:rPr>
            <w:rStyle w:val="Hyperlink"/>
          </w:rPr>
          <w:t xml:space="preserve">Table 1</w:t>
        </w:r>
      </w:hyperlink>
      <w:r>
        <w:t xml:space="preserve">), and also provided the majority of novel BINs in our analysis</w:t>
      </w:r>
      <w:r>
        <w:t xml:space="preserve"> </w:t>
      </w:r>
      <w:hyperlink w:anchor="fig-bin_availability">
        <w:r>
          <w:rPr>
            <w:rStyle w:val="Hyperlink"/>
          </w:rPr>
          <w:t xml:space="preserve">Figure 1</w:t>
        </w:r>
      </w:hyperlink>
      <w:r>
        <w:t xml:space="preserve">.</w:t>
      </w:r>
    </w:p>
    <w:tbl>
      <w:tblPr>
        <w:tblStyle w:val="Table"/>
        <w:tblW w:type="pct" w:w="5000"/>
        <w:tblLook w:firstRow="0" w:lastRow="0" w:firstColumn="0" w:lastColumn="0" w:noHBand="0" w:noVBand="0" w:val="0000"/>
        <w:jc w:val="start"/>
      </w:tblPr>
      <w:tblGrid>
        <w:gridCol w:w="7920"/>
      </w:tblGrid>
      <w:tr>
        <w:tc>
          <w:tcPr/>
          <w:bookmarkStart w:id="45" w:name="fig-bin_availability"/>
          <w:p>
            <w:pPr>
              <w:jc w:val="center"/>
            </w:pPr>
            <w:r>
              <w:drawing>
                <wp:inline>
                  <wp:extent cx="3810000" cy="2540000"/>
                  <wp:effectExtent b="0" l="0" r="0" t="0"/>
                  <wp:docPr descr="" title="" id="43" name="Picture"/>
                  <a:graphic>
                    <a:graphicData uri="http://schemas.openxmlformats.org/drawingml/2006/picture">
                      <pic:pic>
                        <pic:nvPicPr>
                          <pic:cNvPr descr="../figures/trap_bin_availability.jpeg" id="44"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Public availability of BINs detected, by trap-type</w:t>
            </w:r>
          </w:p>
          <w:bookmarkEnd w:id="45"/>
        </w:tc>
      </w:tr>
    </w:tbl>
    <w:bookmarkEnd w:id="46"/>
    <w:bookmarkStart w:id="55" w:name="bin-accumulation"/>
    <w:p>
      <w:pPr>
        <w:pStyle w:val="Heading3"/>
      </w:pPr>
      <w:r>
        <w:t xml:space="preserve">BIN accumulation</w:t>
      </w:r>
    </w:p>
    <w:p>
      <w:pPr>
        <w:pStyle w:val="FirstParagraph"/>
      </w:pPr>
      <w:r>
        <w:t xml:space="preserve">No trap types or taxonomic orders approached completeness (</w:t>
      </w:r>
      <w:hyperlink w:anchor="fig-type1">
        <w:r>
          <w:rPr>
            <w:rStyle w:val="Hyperlink"/>
          </w:rPr>
          <w:t xml:space="preserve">Figure 2</w:t>
        </w:r>
      </w:hyperlink>
      <w:r>
        <w:t xml:space="preserve"> </w:t>
      </w:r>
      <w:r>
        <w:t xml:space="preserve">and</w:t>
      </w:r>
      <w:r>
        <w:t xml:space="preserve"> </w:t>
      </w:r>
      <w:hyperlink w:anchor="fig-type2">
        <w:r>
          <w:rPr>
            <w:rStyle w:val="Hyperlink"/>
          </w:rPr>
          <w:t xml:space="preserve">Figure 3</w:t>
        </w:r>
      </w:hyperlink>
      <w:r>
        <w:t xml:space="preserve">).</w:t>
      </w:r>
    </w:p>
    <w:tbl>
      <w:tblPr>
        <w:tblStyle w:val="Table"/>
        <w:tblW w:type="pct" w:w="5000"/>
        <w:tblLook w:firstRow="0" w:lastRow="0" w:firstColumn="0" w:lastColumn="0" w:noHBand="0" w:noVBand="0" w:val="0000"/>
        <w:jc w:val="start"/>
      </w:tblPr>
      <w:tblGrid>
        <w:gridCol w:w="7920"/>
      </w:tblGrid>
      <w:tr>
        <w:tc>
          <w:tcPr/>
          <w:bookmarkStart w:id="50" w:name="fig-type1"/>
          <w:p>
            <w:pPr>
              <w:jc w:val="center"/>
            </w:pPr>
            <w:r>
              <w:drawing>
                <wp:inline>
                  <wp:extent cx="3452799" cy="7199999"/>
                  <wp:effectExtent b="0" l="0" r="0" t="0"/>
                  <wp:docPr descr="" title="" id="48" name="Picture"/>
                  <a:graphic>
                    <a:graphicData uri="http://schemas.openxmlformats.org/drawingml/2006/picture">
                      <pic:pic>
                        <pic:nvPicPr>
                          <pic:cNvPr descr="../figures/inext_plots/type1_inext_plot.png" id="49" name="Picture"/>
                          <pic:cNvPicPr>
                            <a:picLocks noChangeArrowheads="1" noChangeAspect="1"/>
                          </pic:cNvPicPr>
                        </pic:nvPicPr>
                        <pic:blipFill>
                          <a:blip r:embed="rId47"/>
                          <a:stretch>
                            <a:fillRect/>
                          </a:stretch>
                        </pic:blipFill>
                        <pic:spPr bwMode="auto">
                          <a:xfrm>
                            <a:off x="0" y="0"/>
                            <a:ext cx="3452799" cy="71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Type 1 iNEXT plot</w:t>
            </w:r>
          </w:p>
          <w:bookmarkEnd w:id="50"/>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54" w:name="fig-type2"/>
          <w:p>
            <w:pPr>
              <w:jc w:val="center"/>
            </w:pPr>
            <w:r>
              <w:drawing>
                <wp:inline>
                  <wp:extent cx="3452799" cy="7199999"/>
                  <wp:effectExtent b="0" l="0" r="0" t="0"/>
                  <wp:docPr descr="" title="" id="52" name="Picture"/>
                  <a:graphic>
                    <a:graphicData uri="http://schemas.openxmlformats.org/drawingml/2006/picture">
                      <pic:pic>
                        <pic:nvPicPr>
                          <pic:cNvPr descr="../figures/inext_plots/type2_inext_plot.png" id="53" name="Picture"/>
                          <pic:cNvPicPr>
                            <a:picLocks noChangeArrowheads="1" noChangeAspect="1"/>
                          </pic:cNvPicPr>
                        </pic:nvPicPr>
                        <pic:blipFill>
                          <a:blip r:embed="rId51"/>
                          <a:stretch>
                            <a:fillRect/>
                          </a:stretch>
                        </pic:blipFill>
                        <pic:spPr bwMode="auto">
                          <a:xfrm>
                            <a:off x="0" y="0"/>
                            <a:ext cx="3452799" cy="71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Type 2 iNEXT plot</w:t>
            </w:r>
          </w:p>
          <w:bookmarkEnd w:id="54"/>
        </w:tc>
      </w:tr>
    </w:tbl>
    <w:bookmarkEnd w:id="55"/>
    <w:bookmarkStart w:id="64" w:name="nmds-1"/>
    <w:p>
      <w:pPr>
        <w:pStyle w:val="Heading3"/>
      </w:pPr>
      <w:r>
        <w:t xml:space="preserve">NMDS</w:t>
      </w:r>
    </w:p>
    <w:p>
      <w:pPr>
        <w:pStyle w:val="FirstParagraph"/>
      </w:pPr>
      <w:r>
        <w:t xml:space="preserve">NMDS ordinations for both taxonomic Order and Family showed some overlap between the trap types (</w:t>
      </w:r>
      <w:hyperlink w:anchor="fig-order-nmds">
        <w:r>
          <w:rPr>
            <w:rStyle w:val="Hyperlink"/>
          </w:rPr>
          <w:t xml:space="preserve">Figure 4</w:t>
        </w:r>
      </w:hyperlink>
      <w:r>
        <w:t xml:space="preserve"> </w:t>
      </w:r>
      <w:r>
        <w:t xml:space="preserve">and</w:t>
      </w:r>
      <w:r>
        <w:t xml:space="preserve"> </w:t>
      </w:r>
      <w:hyperlink w:anchor="fig-family-nmds">
        <w:r>
          <w:rPr>
            <w:rStyle w:val="Hyperlink"/>
          </w:rPr>
          <w:t xml:space="preserve">Figure 5</w:t>
        </w:r>
      </w:hyperlink>
      <w:r>
        <w:t xml:space="preserve">). The Permutational Multivariate Analysis of Variance test showed a significant difference between trap types at both the order level (p =9.999</w:t>
      </w:r>
      <w:r>
        <w:t xml:space="preserve">^{-5}) and family level (p = 9.999</w:t>
      </w:r>
      <w:r>
        <w:t xml:space="preserve">^{-5}). However betadispersion was significant for both the order (p = 2.3136</w:t>
      </w:r>
      <w:r>
        <w:t xml:space="preserve">^{-34}) and family (p = 3.3501</w:t>
      </w:r>
      <w:r>
        <w:t xml:space="preserve">^{-21}) analyses.</w:t>
      </w:r>
      <w:r>
        <w:t xml:space="preserve"> </w:t>
      </w:r>
      <w:r>
        <w:rPr>
          <w:iCs/>
          <w:i/>
        </w:rPr>
        <w:t xml:space="preserve">(I’ll tidy those numbers up later, just not sure how to do it yet)</w:t>
      </w:r>
    </w:p>
    <w:tbl>
      <w:tblPr>
        <w:tblStyle w:val="Table"/>
        <w:tblW w:type="pct" w:w="5000"/>
        <w:tblLook w:firstRow="0" w:lastRow="0" w:firstColumn="0" w:lastColumn="0" w:noHBand="0" w:noVBand="0" w:val="0000"/>
        <w:jc w:val="start"/>
      </w:tblPr>
      <w:tblGrid>
        <w:gridCol w:w="7920"/>
      </w:tblGrid>
      <w:tr>
        <w:tc>
          <w:tcPr/>
          <w:bookmarkStart w:id="59" w:name="fig-order-nmds"/>
          <w:p>
            <w:pPr>
              <w:jc w:val="center"/>
            </w:pPr>
            <w:r>
              <w:drawing>
                <wp:inline>
                  <wp:extent cx="4107216" cy="7199999"/>
                  <wp:effectExtent b="0" l="0" r="0" t="0"/>
                  <wp:docPr descr="" title="" id="57" name="Picture"/>
                  <a:graphic>
                    <a:graphicData uri="http://schemas.openxmlformats.org/drawingml/2006/picture">
                      <pic:pic>
                        <pic:nvPicPr>
                          <pic:cNvPr descr="../figures/nmds/order_nmds.png" id="58" name="Picture"/>
                          <pic:cNvPicPr>
                            <a:picLocks noChangeArrowheads="1" noChangeAspect="1"/>
                          </pic:cNvPicPr>
                        </pic:nvPicPr>
                        <pic:blipFill>
                          <a:blip r:embed="rId56"/>
                          <a:stretch>
                            <a:fillRect/>
                          </a:stretch>
                        </pic:blipFill>
                        <pic:spPr bwMode="auto">
                          <a:xfrm>
                            <a:off x="0" y="0"/>
                            <a:ext cx="4107216" cy="71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Order-level NMDS plot</w:t>
            </w:r>
          </w:p>
          <w:bookmarkEnd w:id="59"/>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63" w:name="fig-family-nmds"/>
          <w:p>
            <w:pPr>
              <w:jc w:val="center"/>
            </w:pPr>
            <w:r>
              <w:drawing>
                <wp:inline>
                  <wp:extent cx="4107216" cy="7199999"/>
                  <wp:effectExtent b="0" l="0" r="0" t="0"/>
                  <wp:docPr descr="" title="" id="61" name="Picture"/>
                  <a:graphic>
                    <a:graphicData uri="http://schemas.openxmlformats.org/drawingml/2006/picture">
                      <pic:pic>
                        <pic:nvPicPr>
                          <pic:cNvPr descr="../figures/nmds/family_nmds.png" id="62" name="Picture"/>
                          <pic:cNvPicPr>
                            <a:picLocks noChangeArrowheads="1" noChangeAspect="1"/>
                          </pic:cNvPicPr>
                        </pic:nvPicPr>
                        <pic:blipFill>
                          <a:blip r:embed="rId60"/>
                          <a:stretch>
                            <a:fillRect/>
                          </a:stretch>
                        </pic:blipFill>
                        <pic:spPr bwMode="auto">
                          <a:xfrm>
                            <a:off x="0" y="0"/>
                            <a:ext cx="4107216" cy="71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Family-level NMDS plot</w:t>
            </w:r>
          </w:p>
          <w:bookmarkEnd w:id="63"/>
        </w:tc>
      </w:tr>
    </w:tbl>
    <w:bookmarkEnd w:id="64"/>
    <w:bookmarkEnd w:id="65"/>
    <w:bookmarkStart w:id="68" w:name="geographic-analyses"/>
    <w:p>
      <w:pPr>
        <w:pStyle w:val="Heading2"/>
      </w:pPr>
      <w:r>
        <w:t xml:space="preserve">Geographic analyses</w:t>
      </w:r>
    </w:p>
    <w:p>
      <w:pPr>
        <w:pStyle w:val="FirstParagraph"/>
      </w:pPr>
      <w:r>
        <w:t xml:space="preserve">There were 1,846 distinct BINs in our project which are also found publicly on BOLD. Those BINs are found across 170 countries in 7 geographic regions, as shown in</w:t>
      </w:r>
      <w:r>
        <w:t xml:space="preserve"> </w:t>
      </w:r>
      <w:hyperlink w:anchor="tbl-geographic_matches">
        <w:r>
          <w:rPr>
            <w:rStyle w:val="Hyperlink"/>
          </w:rPr>
          <w:t xml:space="preserve">Table 2</w:t>
        </w:r>
      </w:hyperlink>
      <w:r>
        <w:t xml:space="preserve">:</w:t>
      </w:r>
    </w:p>
    <w:bookmarkStart w:id="66" w:name="tbl-geographic_matches"/>
    <w:p>
      <w:pPr>
        <w:pStyle w:val="TableCaption"/>
      </w:pPr>
      <w:r>
        <w:t xml:space="preserve">Table 2: The number of BINs found in our dataset that have been found in each major geographic region.</w:t>
      </w:r>
    </w:p>
    <w:tbl>
      <w:tblPr>
        <w:tblStyle w:val="Table"/>
        <w:tblW w:type="pct" w:w="5000"/>
        <w:tblLook w:firstRow="1" w:lastRow="0" w:firstColumn="0" w:lastColumn="0" w:noHBand="0" w:noVBand="0" w:val="0020"/>
        <w:jc w:val="start"/>
        <w:tblCaption w:val="Table 2: The number of BINs found in our dataset that have been found in each major geographic region."/>
      </w:tblPr>
      <w:tblGrid>
        <w:gridCol w:w="863"/>
        <w:gridCol w:w="1015"/>
        <w:gridCol w:w="1116"/>
        <w:gridCol w:w="1320"/>
        <w:gridCol w:w="1370"/>
        <w:gridCol w:w="710"/>
        <w:gridCol w:w="558"/>
        <w:gridCol w:w="964"/>
      </w:tblGrid>
      <w:tr>
        <w:trPr>
          <w:tblHeader w:val="true"/>
        </w:trPr>
        <w:tc>
          <w:tcPr/>
          <w:p>
            <w:pPr>
              <w:pStyle w:val="Compact"/>
              <w:jc w:val="left"/>
            </w:pPr>
            <w:r>
              <w:t xml:space="preserve">Order name</w:t>
            </w:r>
          </w:p>
        </w:tc>
        <w:tc>
          <w:tcPr/>
          <w:p>
            <w:pPr>
              <w:pStyle w:val="Compact"/>
              <w:jc w:val="right"/>
            </w:pPr>
            <w:r>
              <w:t xml:space="preserve">East Asia &amp; Pacific</w:t>
            </w:r>
          </w:p>
        </w:tc>
        <w:tc>
          <w:tcPr/>
          <w:p>
            <w:pPr>
              <w:pStyle w:val="Compact"/>
              <w:jc w:val="right"/>
            </w:pPr>
            <w:r>
              <w:t xml:space="preserve">Europe &amp; Central Asia</w:t>
            </w:r>
          </w:p>
        </w:tc>
        <w:tc>
          <w:tcPr/>
          <w:p>
            <w:pPr>
              <w:pStyle w:val="Compact"/>
              <w:jc w:val="right"/>
            </w:pPr>
            <w:r>
              <w:t xml:space="preserve">Latin America &amp; Caribbean</w:t>
            </w:r>
          </w:p>
        </w:tc>
        <w:tc>
          <w:tcPr/>
          <w:p>
            <w:pPr>
              <w:pStyle w:val="Compact"/>
              <w:jc w:val="right"/>
            </w:pPr>
            <w:r>
              <w:t xml:space="preserve">Middle East &amp; North Africa</w:t>
            </w:r>
          </w:p>
        </w:tc>
        <w:tc>
          <w:tcPr/>
          <w:p>
            <w:pPr>
              <w:pStyle w:val="Compact"/>
              <w:jc w:val="right"/>
            </w:pPr>
            <w:r>
              <w:t xml:space="preserve">North America</w:t>
            </w:r>
          </w:p>
        </w:tc>
        <w:tc>
          <w:tcPr/>
          <w:p>
            <w:pPr>
              <w:pStyle w:val="Compact"/>
              <w:jc w:val="right"/>
            </w:pPr>
            <w:r>
              <w:t xml:space="preserve">South Asia</w:t>
            </w:r>
          </w:p>
        </w:tc>
        <w:tc>
          <w:tcPr/>
          <w:p>
            <w:pPr>
              <w:pStyle w:val="Compact"/>
              <w:jc w:val="right"/>
            </w:pPr>
            <w:r>
              <w:t xml:space="preserve">Sub-Saharan Africa</w:t>
            </w:r>
          </w:p>
        </w:tc>
      </w:tr>
      <w:tr>
        <w:tc>
          <w:tcPr/>
          <w:p>
            <w:pPr>
              <w:pStyle w:val="Compact"/>
              <w:jc w:val="left"/>
            </w:pPr>
            <w:r>
              <w:t xml:space="preserve">Araneae</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9</w:t>
            </w:r>
          </w:p>
        </w:tc>
      </w:tr>
      <w:tr>
        <w:tc>
          <w:tcPr/>
          <w:p>
            <w:pPr>
              <w:pStyle w:val="Compact"/>
              <w:jc w:val="left"/>
            </w:pPr>
            <w:r>
              <w:t xml:space="preserve">Blattodea</w:t>
            </w:r>
          </w:p>
        </w:tc>
        <w:tc>
          <w:tcPr/>
          <w:p>
            <w:pPr>
              <w:pStyle w:val="Compact"/>
              <w:jc w:val="right"/>
            </w:pPr>
            <w:r>
              <w:t xml:space="preserve">0</w:t>
            </w:r>
          </w:p>
        </w:tc>
        <w:tc>
          <w:tcPr/>
          <w:p>
            <w:pPr>
              <w:pStyle w:val="Compact"/>
              <w:jc w:val="right"/>
            </w:pPr>
            <w:r>
              <w:t xml:space="preserve">0</w:t>
            </w:r>
          </w:p>
        </w:tc>
        <w:tc>
          <w:tcPr/>
          <w:p>
            <w:pPr>
              <w:pStyle w:val="Compact"/>
              <w:jc w:val="right"/>
            </w:pPr>
            <w:r>
              <w:t xml:space="preserve">1</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6</w:t>
            </w:r>
          </w:p>
        </w:tc>
      </w:tr>
      <w:tr>
        <w:tc>
          <w:tcPr/>
          <w:p>
            <w:pPr>
              <w:pStyle w:val="Compact"/>
              <w:jc w:val="left"/>
            </w:pPr>
            <w:r>
              <w:t xml:space="preserve">Coleoptera</w:t>
            </w:r>
          </w:p>
        </w:tc>
        <w:tc>
          <w:tcPr/>
          <w:p>
            <w:pPr>
              <w:pStyle w:val="Compact"/>
              <w:jc w:val="right"/>
            </w:pPr>
            <w:r>
              <w:t xml:space="preserve">20</w:t>
            </w:r>
          </w:p>
        </w:tc>
        <w:tc>
          <w:tcPr/>
          <w:p>
            <w:pPr>
              <w:pStyle w:val="Compact"/>
              <w:jc w:val="right"/>
            </w:pPr>
            <w:r>
              <w:t xml:space="preserve">14</w:t>
            </w:r>
          </w:p>
        </w:tc>
        <w:tc>
          <w:tcPr/>
          <w:p>
            <w:pPr>
              <w:pStyle w:val="Compact"/>
              <w:jc w:val="right"/>
            </w:pPr>
            <w:r>
              <w:t xml:space="preserve">13</w:t>
            </w:r>
          </w:p>
        </w:tc>
        <w:tc>
          <w:tcPr/>
          <w:p>
            <w:pPr>
              <w:pStyle w:val="Compact"/>
              <w:jc w:val="right"/>
            </w:pPr>
            <w:r>
              <w:t xml:space="preserve">10</w:t>
            </w:r>
          </w:p>
        </w:tc>
        <w:tc>
          <w:tcPr/>
          <w:p>
            <w:pPr>
              <w:pStyle w:val="Compact"/>
              <w:jc w:val="right"/>
            </w:pPr>
            <w:r>
              <w:t xml:space="preserve">14</w:t>
            </w:r>
          </w:p>
        </w:tc>
        <w:tc>
          <w:tcPr/>
          <w:p>
            <w:pPr>
              <w:pStyle w:val="Compact"/>
              <w:jc w:val="right"/>
            </w:pPr>
            <w:r>
              <w:t xml:space="preserve">28</w:t>
            </w:r>
          </w:p>
        </w:tc>
        <w:tc>
          <w:tcPr/>
          <w:p>
            <w:pPr>
              <w:pStyle w:val="Compact"/>
              <w:jc w:val="right"/>
            </w:pPr>
            <w:r>
              <w:t xml:space="preserve">136</w:t>
            </w:r>
          </w:p>
        </w:tc>
      </w:tr>
      <w:tr>
        <w:tc>
          <w:tcPr/>
          <w:p>
            <w:pPr>
              <w:pStyle w:val="Compact"/>
              <w:jc w:val="left"/>
            </w:pPr>
            <w:r>
              <w:t xml:space="preserve">Diptera</w:t>
            </w:r>
          </w:p>
        </w:tc>
        <w:tc>
          <w:tcPr/>
          <w:p>
            <w:pPr>
              <w:pStyle w:val="Compact"/>
              <w:jc w:val="right"/>
            </w:pPr>
            <w:r>
              <w:t xml:space="preserve">62</w:t>
            </w:r>
          </w:p>
        </w:tc>
        <w:tc>
          <w:tcPr/>
          <w:p>
            <w:pPr>
              <w:pStyle w:val="Compact"/>
              <w:jc w:val="right"/>
            </w:pPr>
            <w:r>
              <w:t xml:space="preserve">19</w:t>
            </w:r>
          </w:p>
        </w:tc>
        <w:tc>
          <w:tcPr/>
          <w:p>
            <w:pPr>
              <w:pStyle w:val="Compact"/>
              <w:jc w:val="right"/>
            </w:pPr>
            <w:r>
              <w:t xml:space="preserve">33</w:t>
            </w:r>
          </w:p>
        </w:tc>
        <w:tc>
          <w:tcPr/>
          <w:p>
            <w:pPr>
              <w:pStyle w:val="Compact"/>
              <w:jc w:val="right"/>
            </w:pPr>
            <w:r>
              <w:t xml:space="preserve">87</w:t>
            </w:r>
          </w:p>
        </w:tc>
        <w:tc>
          <w:tcPr/>
          <w:p>
            <w:pPr>
              <w:pStyle w:val="Compact"/>
              <w:jc w:val="right"/>
            </w:pPr>
            <w:r>
              <w:t xml:space="preserve">24</w:t>
            </w:r>
          </w:p>
        </w:tc>
        <w:tc>
          <w:tcPr/>
          <w:p>
            <w:pPr>
              <w:pStyle w:val="Compact"/>
              <w:jc w:val="right"/>
            </w:pPr>
            <w:r>
              <w:t xml:space="preserve">85</w:t>
            </w:r>
          </w:p>
        </w:tc>
        <w:tc>
          <w:tcPr/>
          <w:p>
            <w:pPr>
              <w:pStyle w:val="Compact"/>
              <w:jc w:val="right"/>
            </w:pPr>
            <w:r>
              <w:t xml:space="preserve">604</w:t>
            </w:r>
          </w:p>
        </w:tc>
      </w:tr>
      <w:tr>
        <w:tc>
          <w:tcPr/>
          <w:p>
            <w:pPr>
              <w:pStyle w:val="Compact"/>
              <w:jc w:val="left"/>
            </w:pPr>
            <w:r>
              <w:t xml:space="preserve">Entomobryomorpha</w:t>
            </w:r>
          </w:p>
        </w:tc>
        <w:tc>
          <w:tcPr/>
          <w:p>
            <w:pPr>
              <w:pStyle w:val="Compact"/>
              <w:jc w:val="right"/>
            </w:pPr>
            <w:r>
              <w:t xml:space="preserve">3</w:t>
            </w:r>
          </w:p>
        </w:tc>
        <w:tc>
          <w:tcPr/>
          <w:p>
            <w:pPr>
              <w:pStyle w:val="Compact"/>
              <w:jc w:val="right"/>
            </w:pPr>
            <w:r>
              <w:t xml:space="preserve">0</w:t>
            </w:r>
          </w:p>
        </w:tc>
        <w:tc>
          <w:tcPr/>
          <w:p>
            <w:pPr>
              <w:pStyle w:val="Compact"/>
              <w:jc w:val="right"/>
            </w:pPr>
            <w:r>
              <w:t xml:space="preserve">3</w:t>
            </w:r>
          </w:p>
        </w:tc>
        <w:tc>
          <w:tcPr/>
          <w:p>
            <w:pPr>
              <w:pStyle w:val="Compact"/>
              <w:jc w:val="right"/>
            </w:pPr>
            <w:r>
              <w:t xml:space="preserve">2</w:t>
            </w:r>
          </w:p>
        </w:tc>
        <w:tc>
          <w:tcPr/>
          <w:p>
            <w:pPr>
              <w:pStyle w:val="Compact"/>
              <w:jc w:val="right"/>
            </w:pPr>
            <w:r>
              <w:t xml:space="preserve">0</w:t>
            </w:r>
          </w:p>
        </w:tc>
        <w:tc>
          <w:tcPr/>
          <w:p>
            <w:pPr>
              <w:pStyle w:val="Compact"/>
              <w:jc w:val="right"/>
            </w:pPr>
            <w:r>
              <w:t xml:space="preserve">2</w:t>
            </w:r>
          </w:p>
        </w:tc>
        <w:tc>
          <w:tcPr/>
          <w:p>
            <w:pPr>
              <w:pStyle w:val="Compact"/>
              <w:jc w:val="right"/>
            </w:pPr>
            <w:r>
              <w:t xml:space="preserve">2</w:t>
            </w:r>
          </w:p>
        </w:tc>
      </w:tr>
      <w:tr>
        <w:tc>
          <w:tcPr/>
          <w:p>
            <w:pPr>
              <w:pStyle w:val="Compact"/>
              <w:jc w:val="left"/>
            </w:pPr>
            <w:r>
              <w:t xml:space="preserve">Ephemeroptera</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w:t>
            </w:r>
          </w:p>
        </w:tc>
        <w:tc>
          <w:tcPr/>
          <w:p>
            <w:pPr>
              <w:pStyle w:val="Compact"/>
              <w:jc w:val="right"/>
            </w:pPr>
            <w:r>
              <w:t xml:space="preserve">0</w:t>
            </w:r>
          </w:p>
        </w:tc>
        <w:tc>
          <w:tcPr/>
          <w:p>
            <w:pPr>
              <w:pStyle w:val="Compact"/>
              <w:jc w:val="right"/>
            </w:pPr>
            <w:r>
              <w:t xml:space="preserve">0</w:t>
            </w:r>
          </w:p>
        </w:tc>
        <w:tc>
          <w:tcPr/>
          <w:p>
            <w:pPr>
              <w:pStyle w:val="Compact"/>
              <w:jc w:val="right"/>
            </w:pPr>
            <w:r>
              <w:t xml:space="preserve">1</w:t>
            </w:r>
          </w:p>
        </w:tc>
      </w:tr>
      <w:tr>
        <w:tc>
          <w:tcPr/>
          <w:p>
            <w:pPr>
              <w:pStyle w:val="Compact"/>
              <w:jc w:val="left"/>
            </w:pPr>
            <w:r>
              <w:t xml:space="preserve">Hemiptera</w:t>
            </w:r>
          </w:p>
        </w:tc>
        <w:tc>
          <w:tcPr/>
          <w:p>
            <w:pPr>
              <w:pStyle w:val="Compact"/>
              <w:jc w:val="right"/>
            </w:pPr>
            <w:r>
              <w:t xml:space="preserve">37</w:t>
            </w:r>
          </w:p>
        </w:tc>
        <w:tc>
          <w:tcPr/>
          <w:p>
            <w:pPr>
              <w:pStyle w:val="Compact"/>
              <w:jc w:val="right"/>
            </w:pPr>
            <w:r>
              <w:t xml:space="preserve">21</w:t>
            </w:r>
          </w:p>
        </w:tc>
        <w:tc>
          <w:tcPr/>
          <w:p>
            <w:pPr>
              <w:pStyle w:val="Compact"/>
              <w:jc w:val="right"/>
            </w:pPr>
            <w:r>
              <w:t xml:space="preserve">23</w:t>
            </w:r>
          </w:p>
        </w:tc>
        <w:tc>
          <w:tcPr/>
          <w:p>
            <w:pPr>
              <w:pStyle w:val="Compact"/>
              <w:jc w:val="right"/>
            </w:pPr>
            <w:r>
              <w:t xml:space="preserve">36</w:t>
            </w:r>
          </w:p>
        </w:tc>
        <w:tc>
          <w:tcPr/>
          <w:p>
            <w:pPr>
              <w:pStyle w:val="Compact"/>
              <w:jc w:val="right"/>
            </w:pPr>
            <w:r>
              <w:t xml:space="preserve">22</w:t>
            </w:r>
          </w:p>
        </w:tc>
        <w:tc>
          <w:tcPr/>
          <w:p>
            <w:pPr>
              <w:pStyle w:val="Compact"/>
              <w:jc w:val="right"/>
            </w:pPr>
            <w:r>
              <w:t xml:space="preserve">46</w:t>
            </w:r>
          </w:p>
        </w:tc>
        <w:tc>
          <w:tcPr/>
          <w:p>
            <w:pPr>
              <w:pStyle w:val="Compact"/>
              <w:jc w:val="right"/>
            </w:pPr>
            <w:r>
              <w:t xml:space="preserve">201</w:t>
            </w:r>
          </w:p>
        </w:tc>
      </w:tr>
      <w:tr>
        <w:tc>
          <w:tcPr/>
          <w:p>
            <w:pPr>
              <w:pStyle w:val="Compact"/>
              <w:jc w:val="left"/>
            </w:pPr>
            <w:r>
              <w:t xml:space="preserve">Hymenoptera</w:t>
            </w:r>
          </w:p>
        </w:tc>
        <w:tc>
          <w:tcPr/>
          <w:p>
            <w:pPr>
              <w:pStyle w:val="Compact"/>
              <w:jc w:val="right"/>
            </w:pPr>
            <w:r>
              <w:t xml:space="preserve">19</w:t>
            </w:r>
          </w:p>
        </w:tc>
        <w:tc>
          <w:tcPr/>
          <w:p>
            <w:pPr>
              <w:pStyle w:val="Compact"/>
              <w:jc w:val="right"/>
            </w:pPr>
            <w:r>
              <w:t xml:space="preserve">13</w:t>
            </w:r>
          </w:p>
        </w:tc>
        <w:tc>
          <w:tcPr/>
          <w:p>
            <w:pPr>
              <w:pStyle w:val="Compact"/>
              <w:jc w:val="right"/>
            </w:pPr>
            <w:r>
              <w:t xml:space="preserve">16</w:t>
            </w:r>
          </w:p>
        </w:tc>
        <w:tc>
          <w:tcPr/>
          <w:p>
            <w:pPr>
              <w:pStyle w:val="Compact"/>
              <w:jc w:val="right"/>
            </w:pPr>
            <w:r>
              <w:t xml:space="preserve">32</w:t>
            </w:r>
          </w:p>
        </w:tc>
        <w:tc>
          <w:tcPr/>
          <w:p>
            <w:pPr>
              <w:pStyle w:val="Compact"/>
              <w:jc w:val="right"/>
            </w:pPr>
            <w:r>
              <w:t xml:space="preserve">12</w:t>
            </w:r>
          </w:p>
        </w:tc>
        <w:tc>
          <w:tcPr/>
          <w:p>
            <w:pPr>
              <w:pStyle w:val="Compact"/>
              <w:jc w:val="right"/>
            </w:pPr>
            <w:r>
              <w:t xml:space="preserve">17</w:t>
            </w:r>
          </w:p>
        </w:tc>
        <w:tc>
          <w:tcPr/>
          <w:p>
            <w:pPr>
              <w:pStyle w:val="Compact"/>
              <w:jc w:val="right"/>
            </w:pPr>
            <w:r>
              <w:t xml:space="preserve">242</w:t>
            </w:r>
          </w:p>
        </w:tc>
      </w:tr>
      <w:tr>
        <w:tc>
          <w:tcPr/>
          <w:p>
            <w:pPr>
              <w:pStyle w:val="Compact"/>
              <w:jc w:val="left"/>
            </w:pPr>
            <w:r>
              <w:t xml:space="preserve">Lepidoptera</w:t>
            </w:r>
          </w:p>
        </w:tc>
        <w:tc>
          <w:tcPr/>
          <w:p>
            <w:pPr>
              <w:pStyle w:val="Compact"/>
              <w:jc w:val="right"/>
            </w:pPr>
            <w:r>
              <w:t xml:space="preserve">48</w:t>
            </w:r>
          </w:p>
        </w:tc>
        <w:tc>
          <w:tcPr/>
          <w:p>
            <w:pPr>
              <w:pStyle w:val="Compact"/>
              <w:jc w:val="right"/>
            </w:pPr>
            <w:r>
              <w:t xml:space="preserve">44</w:t>
            </w:r>
          </w:p>
        </w:tc>
        <w:tc>
          <w:tcPr/>
          <w:p>
            <w:pPr>
              <w:pStyle w:val="Compact"/>
              <w:jc w:val="right"/>
            </w:pPr>
            <w:r>
              <w:t xml:space="preserve">19</w:t>
            </w:r>
          </w:p>
        </w:tc>
        <w:tc>
          <w:tcPr/>
          <w:p>
            <w:pPr>
              <w:pStyle w:val="Compact"/>
              <w:jc w:val="right"/>
            </w:pPr>
            <w:r>
              <w:t xml:space="preserve">53</w:t>
            </w:r>
          </w:p>
        </w:tc>
        <w:tc>
          <w:tcPr/>
          <w:p>
            <w:pPr>
              <w:pStyle w:val="Compact"/>
              <w:jc w:val="right"/>
            </w:pPr>
            <w:r>
              <w:t xml:space="preserve">24</w:t>
            </w:r>
          </w:p>
        </w:tc>
        <w:tc>
          <w:tcPr/>
          <w:p>
            <w:pPr>
              <w:pStyle w:val="Compact"/>
              <w:jc w:val="right"/>
            </w:pPr>
            <w:r>
              <w:t xml:space="preserve">47</w:t>
            </w:r>
          </w:p>
        </w:tc>
        <w:tc>
          <w:tcPr/>
          <w:p>
            <w:pPr>
              <w:pStyle w:val="Compact"/>
              <w:jc w:val="right"/>
            </w:pPr>
            <w:r>
              <w:t xml:space="preserve">452</w:t>
            </w:r>
          </w:p>
        </w:tc>
      </w:tr>
      <w:tr>
        <w:tc>
          <w:tcPr/>
          <w:p>
            <w:pPr>
              <w:pStyle w:val="Compact"/>
              <w:jc w:val="left"/>
            </w:pPr>
            <w:r>
              <w:t xml:space="preserve">Mantodea</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w:t>
            </w:r>
          </w:p>
        </w:tc>
      </w:tr>
      <w:tr>
        <w:tc>
          <w:tcPr/>
          <w:p>
            <w:pPr>
              <w:pStyle w:val="Compact"/>
              <w:jc w:val="left"/>
            </w:pPr>
            <w:r>
              <w:t xml:space="preserve">Mesostigmata</w:t>
            </w:r>
          </w:p>
        </w:tc>
        <w:tc>
          <w:tcPr/>
          <w:p>
            <w:pPr>
              <w:pStyle w:val="Compact"/>
              <w:jc w:val="right"/>
            </w:pPr>
            <w:r>
              <w:t xml:space="preserve">0</w:t>
            </w:r>
          </w:p>
        </w:tc>
        <w:tc>
          <w:tcPr/>
          <w:p>
            <w:pPr>
              <w:pStyle w:val="Compact"/>
              <w:jc w:val="right"/>
            </w:pPr>
            <w:r>
              <w:t xml:space="preserve">0</w:t>
            </w:r>
          </w:p>
        </w:tc>
        <w:tc>
          <w:tcPr/>
          <w:p>
            <w:pPr>
              <w:pStyle w:val="Compact"/>
              <w:jc w:val="right"/>
            </w:pPr>
            <w:r>
              <w:t xml:space="preserve">1</w:t>
            </w:r>
          </w:p>
        </w:tc>
        <w:tc>
          <w:tcPr/>
          <w:p>
            <w:pPr>
              <w:pStyle w:val="Compact"/>
              <w:jc w:val="right"/>
            </w:pPr>
            <w:r>
              <w:t xml:space="preserve">0</w:t>
            </w:r>
          </w:p>
        </w:tc>
        <w:tc>
          <w:tcPr/>
          <w:p>
            <w:pPr>
              <w:pStyle w:val="Compact"/>
              <w:jc w:val="right"/>
            </w:pPr>
            <w:r>
              <w:t xml:space="preserve">1</w:t>
            </w:r>
          </w:p>
        </w:tc>
        <w:tc>
          <w:tcPr/>
          <w:p>
            <w:pPr>
              <w:pStyle w:val="Compact"/>
              <w:jc w:val="right"/>
            </w:pPr>
            <w:r>
              <w:t xml:space="preserve">0</w:t>
            </w:r>
          </w:p>
        </w:tc>
        <w:tc>
          <w:tcPr/>
          <w:p>
            <w:pPr>
              <w:pStyle w:val="Compact"/>
              <w:jc w:val="right"/>
            </w:pPr>
            <w:r>
              <w:t xml:space="preserve">1</w:t>
            </w:r>
          </w:p>
        </w:tc>
      </w:tr>
      <w:tr>
        <w:tc>
          <w:tcPr/>
          <w:p>
            <w:pPr>
              <w:pStyle w:val="Compact"/>
              <w:jc w:val="left"/>
            </w:pPr>
            <w:r>
              <w:t xml:space="preserve">Neuroptera</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w:t>
            </w:r>
          </w:p>
        </w:tc>
      </w:tr>
      <w:tr>
        <w:tc>
          <w:tcPr/>
          <w:p>
            <w:pPr>
              <w:pStyle w:val="Compact"/>
              <w:jc w:val="left"/>
            </w:pPr>
            <w:r>
              <w:t xml:space="preserve">Odonata</w:t>
            </w:r>
          </w:p>
        </w:tc>
        <w:tc>
          <w:tcPr/>
          <w:p>
            <w:pPr>
              <w:pStyle w:val="Compact"/>
              <w:jc w:val="right"/>
            </w:pPr>
            <w:r>
              <w:t xml:space="preserve">1</w:t>
            </w:r>
          </w:p>
        </w:tc>
        <w:tc>
          <w:tcPr/>
          <w:p>
            <w:pPr>
              <w:pStyle w:val="Compact"/>
              <w:jc w:val="right"/>
            </w:pPr>
            <w:r>
              <w:t xml:space="preserve">0</w:t>
            </w:r>
          </w:p>
        </w:tc>
        <w:tc>
          <w:tcPr/>
          <w:p>
            <w:pPr>
              <w:pStyle w:val="Compact"/>
              <w:jc w:val="right"/>
            </w:pPr>
            <w:r>
              <w:t xml:space="preserve">1</w:t>
            </w:r>
          </w:p>
        </w:tc>
        <w:tc>
          <w:tcPr/>
          <w:p>
            <w:pPr>
              <w:pStyle w:val="Compact"/>
              <w:jc w:val="right"/>
            </w:pPr>
            <w:r>
              <w:t xml:space="preserve">0</w:t>
            </w:r>
          </w:p>
        </w:tc>
        <w:tc>
          <w:tcPr/>
          <w:p>
            <w:pPr>
              <w:pStyle w:val="Compact"/>
              <w:jc w:val="right"/>
            </w:pPr>
            <w:r>
              <w:t xml:space="preserve">1</w:t>
            </w:r>
          </w:p>
        </w:tc>
        <w:tc>
          <w:tcPr/>
          <w:p>
            <w:pPr>
              <w:pStyle w:val="Compact"/>
              <w:jc w:val="right"/>
            </w:pPr>
            <w:r>
              <w:t xml:space="preserve">1</w:t>
            </w:r>
          </w:p>
        </w:tc>
        <w:tc>
          <w:tcPr/>
          <w:p>
            <w:pPr>
              <w:pStyle w:val="Compact"/>
              <w:jc w:val="right"/>
            </w:pPr>
            <w:r>
              <w:t xml:space="preserve">2</w:t>
            </w:r>
          </w:p>
        </w:tc>
      </w:tr>
      <w:tr>
        <w:tc>
          <w:tcPr/>
          <w:p>
            <w:pPr>
              <w:pStyle w:val="Compact"/>
              <w:jc w:val="left"/>
            </w:pPr>
            <w:r>
              <w:t xml:space="preserve">Orthoptera</w:t>
            </w:r>
          </w:p>
        </w:tc>
        <w:tc>
          <w:tcPr/>
          <w:p>
            <w:pPr>
              <w:pStyle w:val="Compact"/>
              <w:jc w:val="right"/>
            </w:pPr>
            <w:r>
              <w:t xml:space="preserve">2</w:t>
            </w:r>
          </w:p>
        </w:tc>
        <w:tc>
          <w:tcPr/>
          <w:p>
            <w:pPr>
              <w:pStyle w:val="Compact"/>
              <w:jc w:val="right"/>
            </w:pPr>
            <w:r>
              <w:t xml:space="preserve">2</w:t>
            </w:r>
          </w:p>
        </w:tc>
        <w:tc>
          <w:tcPr/>
          <w:p>
            <w:pPr>
              <w:pStyle w:val="Compact"/>
              <w:jc w:val="right"/>
            </w:pPr>
            <w:r>
              <w:t xml:space="preserve">0</w:t>
            </w:r>
          </w:p>
        </w:tc>
        <w:tc>
          <w:tcPr/>
          <w:p>
            <w:pPr>
              <w:pStyle w:val="Compact"/>
              <w:jc w:val="right"/>
            </w:pPr>
            <w:r>
              <w:t xml:space="preserve">6</w:t>
            </w:r>
          </w:p>
        </w:tc>
        <w:tc>
          <w:tcPr/>
          <w:p>
            <w:pPr>
              <w:pStyle w:val="Compact"/>
              <w:jc w:val="right"/>
            </w:pPr>
            <w:r>
              <w:t xml:space="preserve">1</w:t>
            </w:r>
          </w:p>
        </w:tc>
        <w:tc>
          <w:tcPr/>
          <w:p>
            <w:pPr>
              <w:pStyle w:val="Compact"/>
              <w:jc w:val="right"/>
            </w:pPr>
            <w:r>
              <w:t xml:space="preserve">3</w:t>
            </w:r>
          </w:p>
        </w:tc>
        <w:tc>
          <w:tcPr/>
          <w:p>
            <w:pPr>
              <w:pStyle w:val="Compact"/>
              <w:jc w:val="right"/>
            </w:pPr>
            <w:r>
              <w:t xml:space="preserve">27</w:t>
            </w:r>
          </w:p>
        </w:tc>
      </w:tr>
      <w:tr>
        <w:tc>
          <w:tcPr/>
          <w:p>
            <w:pPr>
              <w:pStyle w:val="Compact"/>
              <w:jc w:val="left"/>
            </w:pPr>
            <w:r>
              <w:t xml:space="preserve">Poduromorpha</w:t>
            </w:r>
          </w:p>
        </w:tc>
        <w:tc>
          <w:tcPr/>
          <w:p>
            <w:pPr>
              <w:pStyle w:val="Compact"/>
              <w:jc w:val="right"/>
            </w:pPr>
            <w:r>
              <w:t xml:space="preserve">1</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r>
      <w:tr>
        <w:tc>
          <w:tcPr/>
          <w:p>
            <w:pPr>
              <w:pStyle w:val="Compact"/>
              <w:jc w:val="left"/>
            </w:pPr>
            <w:r>
              <w:t xml:space="preserve">Psocodea</w:t>
            </w:r>
          </w:p>
        </w:tc>
        <w:tc>
          <w:tcPr/>
          <w:p>
            <w:pPr>
              <w:pStyle w:val="Compact"/>
              <w:jc w:val="right"/>
            </w:pPr>
            <w:r>
              <w:t xml:space="preserve">4</w:t>
            </w:r>
          </w:p>
        </w:tc>
        <w:tc>
          <w:tcPr/>
          <w:p>
            <w:pPr>
              <w:pStyle w:val="Compact"/>
              <w:jc w:val="right"/>
            </w:pPr>
            <w:r>
              <w:t xml:space="preserve">0</w:t>
            </w:r>
          </w:p>
        </w:tc>
        <w:tc>
          <w:tcPr/>
          <w:p>
            <w:pPr>
              <w:pStyle w:val="Compact"/>
              <w:jc w:val="right"/>
            </w:pPr>
            <w:r>
              <w:t xml:space="preserve">9</w:t>
            </w:r>
          </w:p>
        </w:tc>
        <w:tc>
          <w:tcPr/>
          <w:p>
            <w:pPr>
              <w:pStyle w:val="Compact"/>
              <w:jc w:val="right"/>
            </w:pPr>
            <w:r>
              <w:t xml:space="preserve">2</w:t>
            </w:r>
          </w:p>
        </w:tc>
        <w:tc>
          <w:tcPr/>
          <w:p>
            <w:pPr>
              <w:pStyle w:val="Compact"/>
              <w:jc w:val="right"/>
            </w:pPr>
            <w:r>
              <w:t xml:space="preserve">3</w:t>
            </w:r>
          </w:p>
        </w:tc>
        <w:tc>
          <w:tcPr/>
          <w:p>
            <w:pPr>
              <w:pStyle w:val="Compact"/>
              <w:jc w:val="right"/>
            </w:pPr>
            <w:r>
              <w:t xml:space="preserve">5</w:t>
            </w:r>
          </w:p>
        </w:tc>
        <w:tc>
          <w:tcPr/>
          <w:p>
            <w:pPr>
              <w:pStyle w:val="Compact"/>
              <w:jc w:val="right"/>
            </w:pPr>
            <w:r>
              <w:t xml:space="preserve">15</w:t>
            </w:r>
          </w:p>
        </w:tc>
      </w:tr>
      <w:tr>
        <w:tc>
          <w:tcPr/>
          <w:p>
            <w:pPr>
              <w:pStyle w:val="Compact"/>
              <w:jc w:val="left"/>
            </w:pPr>
            <w:r>
              <w:t xml:space="preserve">Thysanoptera</w:t>
            </w:r>
          </w:p>
        </w:tc>
        <w:tc>
          <w:tcPr/>
          <w:p>
            <w:pPr>
              <w:pStyle w:val="Compact"/>
              <w:jc w:val="right"/>
            </w:pPr>
            <w:r>
              <w:t xml:space="preserve">2</w:t>
            </w:r>
          </w:p>
        </w:tc>
        <w:tc>
          <w:tcPr/>
          <w:p>
            <w:pPr>
              <w:pStyle w:val="Compact"/>
              <w:jc w:val="right"/>
            </w:pPr>
            <w:r>
              <w:t xml:space="preserve">0</w:t>
            </w:r>
          </w:p>
        </w:tc>
        <w:tc>
          <w:tcPr/>
          <w:p>
            <w:pPr>
              <w:pStyle w:val="Compact"/>
              <w:jc w:val="right"/>
            </w:pPr>
            <w:r>
              <w:t xml:space="preserve">0</w:t>
            </w:r>
          </w:p>
        </w:tc>
        <w:tc>
          <w:tcPr/>
          <w:p>
            <w:pPr>
              <w:pStyle w:val="Compact"/>
              <w:jc w:val="right"/>
            </w:pPr>
            <w:r>
              <w:t xml:space="preserve">1</w:t>
            </w:r>
          </w:p>
        </w:tc>
        <w:tc>
          <w:tcPr/>
          <w:p>
            <w:pPr>
              <w:pStyle w:val="Compact"/>
              <w:jc w:val="right"/>
            </w:pPr>
            <w:r>
              <w:t xml:space="preserve">0</w:t>
            </w:r>
          </w:p>
        </w:tc>
        <w:tc>
          <w:tcPr/>
          <w:p>
            <w:pPr>
              <w:pStyle w:val="Compact"/>
              <w:jc w:val="right"/>
            </w:pPr>
            <w:r>
              <w:t xml:space="preserve">3</w:t>
            </w:r>
          </w:p>
        </w:tc>
        <w:tc>
          <w:tcPr/>
          <w:p>
            <w:pPr>
              <w:pStyle w:val="Compact"/>
              <w:jc w:val="right"/>
            </w:pPr>
            <w:r>
              <w:t xml:space="preserve">9</w:t>
            </w:r>
          </w:p>
        </w:tc>
      </w:tr>
      <w:tr>
        <w:tc>
          <w:tcPr/>
          <w:p>
            <w:pPr>
              <w:pStyle w:val="Compact"/>
              <w:jc w:val="left"/>
            </w:pPr>
            <w:r>
              <w:t xml:space="preserve">Trichoptera</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9</w:t>
            </w:r>
          </w:p>
        </w:tc>
      </w:tr>
    </w:tbl>
    <w:bookmarkEnd w:id="66"/>
    <w:p>
      <w:pPr>
        <w:pStyle w:val="BodyText"/>
      </w:pPr>
      <w:r>
        <w:t xml:space="preserve">With that in mind,</w:t>
      </w:r>
      <w:r>
        <w:t xml:space="preserve"> </w:t>
      </w:r>
      <w:hyperlink w:anchor="tbl-top_countries">
        <w:r>
          <w:rPr>
            <w:rStyle w:val="Hyperlink"/>
          </w:rPr>
          <w:t xml:space="preserve">Table 3</w:t>
        </w:r>
      </w:hyperlink>
      <w:r>
        <w:t xml:space="preserve"> </w:t>
      </w:r>
      <w:r>
        <w:t xml:space="preserve">is a breakdown of the public BINs in common with our project, from the 20 countries which had the most BINs in common with our project:</w:t>
      </w:r>
    </w:p>
    <w:bookmarkStart w:id="67" w:name="tbl-top_countries"/>
    <w:p>
      <w:pPr>
        <w:pStyle w:val="TableCaption"/>
      </w:pPr>
      <w:r>
        <w:t xml:space="preserve">Table 3: The top 20 countries in terms of sharing BINs with our project</w:t>
      </w:r>
    </w:p>
    <w:tbl>
      <w:tblPr>
        <w:tblStyle w:val="Table"/>
        <w:tblW w:type="auto" w:w="0"/>
        <w:tblLook w:firstRow="1" w:lastRow="0" w:firstColumn="0" w:lastColumn="0" w:noHBand="0" w:noVBand="0" w:val="0020"/>
        <w:jc w:val="start"/>
        <w:tblCaption w:val="Table 3: The top 20 countries in terms of sharing BINs with our project"/>
      </w:tblPr>
      <w:tblGrid>
        <w:gridCol w:w="2640"/>
        <w:gridCol w:w="2640"/>
        <w:gridCol w:w="2640"/>
      </w:tblGrid>
      <w:tr>
        <w:trPr>
          <w:tblHeader w:val="true"/>
        </w:trPr>
        <w:tc>
          <w:tcPr/>
          <w:p>
            <w:pPr>
              <w:pStyle w:val="Compact"/>
              <w:jc w:val="left"/>
            </w:pPr>
            <w:r>
              <w:t xml:space="preserve">Ranking</w:t>
            </w:r>
          </w:p>
        </w:tc>
        <w:tc>
          <w:tcPr/>
          <w:p>
            <w:pPr>
              <w:pStyle w:val="Compact"/>
              <w:jc w:val="left"/>
            </w:pPr>
            <w:r>
              <w:t xml:space="preserve">Country</w:t>
            </w:r>
          </w:p>
        </w:tc>
        <w:tc>
          <w:tcPr/>
          <w:p>
            <w:pPr>
              <w:pStyle w:val="Compact"/>
              <w:jc w:val="right"/>
            </w:pPr>
            <w:r>
              <w:t xml:space="preserve">Number of shared BINs</w:t>
            </w:r>
          </w:p>
        </w:tc>
      </w:tr>
      <w:tr>
        <w:tc>
          <w:tcPr/>
          <w:p>
            <w:pPr>
              <w:pStyle w:val="Compact"/>
              <w:jc w:val="left"/>
            </w:pPr>
            <w:r>
              <w:t xml:space="preserve">1</w:t>
            </w:r>
          </w:p>
        </w:tc>
        <w:tc>
          <w:tcPr/>
          <w:p>
            <w:pPr>
              <w:pStyle w:val="Compact"/>
              <w:jc w:val="left"/>
            </w:pPr>
            <w:r>
              <w:t xml:space="preserve">South Africa</w:t>
            </w:r>
          </w:p>
        </w:tc>
        <w:tc>
          <w:tcPr/>
          <w:p>
            <w:pPr>
              <w:pStyle w:val="Compact"/>
              <w:jc w:val="right"/>
            </w:pPr>
            <w:r>
              <w:t xml:space="preserve">995</w:t>
            </w:r>
          </w:p>
        </w:tc>
      </w:tr>
      <w:tr>
        <w:tc>
          <w:tcPr/>
          <w:p>
            <w:pPr>
              <w:pStyle w:val="Compact"/>
              <w:jc w:val="left"/>
            </w:pPr>
            <w:r>
              <w:t xml:space="preserve">2</w:t>
            </w:r>
          </w:p>
        </w:tc>
        <w:tc>
          <w:tcPr/>
          <w:p>
            <w:pPr>
              <w:pStyle w:val="Compact"/>
              <w:jc w:val="left"/>
            </w:pPr>
            <w:r>
              <w:t xml:space="preserve">Gabon</w:t>
            </w:r>
          </w:p>
        </w:tc>
        <w:tc>
          <w:tcPr/>
          <w:p>
            <w:pPr>
              <w:pStyle w:val="Compact"/>
              <w:jc w:val="right"/>
            </w:pPr>
            <w:r>
              <w:t xml:space="preserve">551</w:t>
            </w:r>
          </w:p>
        </w:tc>
      </w:tr>
      <w:tr>
        <w:tc>
          <w:tcPr/>
          <w:p>
            <w:pPr>
              <w:pStyle w:val="Compact"/>
              <w:jc w:val="left"/>
            </w:pPr>
            <w:r>
              <w:t xml:space="preserve">3</w:t>
            </w:r>
          </w:p>
        </w:tc>
        <w:tc>
          <w:tcPr/>
          <w:p>
            <w:pPr>
              <w:pStyle w:val="Compact"/>
              <w:jc w:val="left"/>
            </w:pPr>
            <w:r>
              <w:t xml:space="preserve">Kenya</w:t>
            </w:r>
          </w:p>
        </w:tc>
        <w:tc>
          <w:tcPr/>
          <w:p>
            <w:pPr>
              <w:pStyle w:val="Compact"/>
              <w:jc w:val="right"/>
            </w:pPr>
            <w:r>
              <w:t xml:space="preserve">402</w:t>
            </w:r>
          </w:p>
        </w:tc>
      </w:tr>
      <w:tr>
        <w:tc>
          <w:tcPr/>
          <w:p>
            <w:pPr>
              <w:pStyle w:val="Compact"/>
              <w:jc w:val="left"/>
            </w:pPr>
            <w:r>
              <w:t xml:space="preserve">4</w:t>
            </w:r>
          </w:p>
        </w:tc>
        <w:tc>
          <w:tcPr/>
          <w:p>
            <w:pPr>
              <w:pStyle w:val="Compact"/>
              <w:jc w:val="left"/>
            </w:pPr>
            <w:r>
              <w:t xml:space="preserve">Pakistan</w:t>
            </w:r>
          </w:p>
        </w:tc>
        <w:tc>
          <w:tcPr/>
          <w:p>
            <w:pPr>
              <w:pStyle w:val="Compact"/>
              <w:jc w:val="right"/>
            </w:pPr>
            <w:r>
              <w:t xml:space="preserve">170</w:t>
            </w:r>
          </w:p>
        </w:tc>
      </w:tr>
      <w:tr>
        <w:tc>
          <w:tcPr/>
          <w:p>
            <w:pPr>
              <w:pStyle w:val="Compact"/>
              <w:jc w:val="left"/>
            </w:pPr>
            <w:r>
              <w:t xml:space="preserve">5</w:t>
            </w:r>
          </w:p>
        </w:tc>
        <w:tc>
          <w:tcPr/>
          <w:p>
            <w:pPr>
              <w:pStyle w:val="Compact"/>
              <w:jc w:val="left"/>
            </w:pPr>
            <w:r>
              <w:t xml:space="preserve">Nigeria</w:t>
            </w:r>
          </w:p>
        </w:tc>
        <w:tc>
          <w:tcPr/>
          <w:p>
            <w:pPr>
              <w:pStyle w:val="Compact"/>
              <w:jc w:val="right"/>
            </w:pPr>
            <w:r>
              <w:t xml:space="preserve">158</w:t>
            </w:r>
          </w:p>
        </w:tc>
      </w:tr>
      <w:tr>
        <w:tc>
          <w:tcPr/>
          <w:p>
            <w:pPr>
              <w:pStyle w:val="Compact"/>
              <w:jc w:val="left"/>
            </w:pPr>
            <w:r>
              <w:t xml:space="preserve">6</w:t>
            </w:r>
          </w:p>
        </w:tc>
        <w:tc>
          <w:tcPr/>
          <w:p>
            <w:pPr>
              <w:pStyle w:val="Compact"/>
              <w:jc w:val="left"/>
            </w:pPr>
            <w:r>
              <w:t xml:space="preserve">Egypt</w:t>
            </w:r>
          </w:p>
        </w:tc>
        <w:tc>
          <w:tcPr/>
          <w:p>
            <w:pPr>
              <w:pStyle w:val="Compact"/>
              <w:jc w:val="right"/>
            </w:pPr>
            <w:r>
              <w:t xml:space="preserve">139</w:t>
            </w:r>
          </w:p>
        </w:tc>
      </w:tr>
      <w:tr>
        <w:tc>
          <w:tcPr/>
          <w:p>
            <w:pPr>
              <w:pStyle w:val="Compact"/>
              <w:jc w:val="left"/>
            </w:pPr>
            <w:r>
              <w:t xml:space="preserve">7</w:t>
            </w:r>
          </w:p>
        </w:tc>
        <w:tc>
          <w:tcPr/>
          <w:p>
            <w:pPr>
              <w:pStyle w:val="Compact"/>
              <w:jc w:val="left"/>
            </w:pPr>
            <w:r>
              <w:t xml:space="preserve">Ghana</w:t>
            </w:r>
          </w:p>
        </w:tc>
        <w:tc>
          <w:tcPr/>
          <w:p>
            <w:pPr>
              <w:pStyle w:val="Compact"/>
              <w:jc w:val="right"/>
            </w:pPr>
            <w:r>
              <w:t xml:space="preserve">137</w:t>
            </w:r>
          </w:p>
        </w:tc>
      </w:tr>
      <w:tr>
        <w:tc>
          <w:tcPr/>
          <w:p>
            <w:pPr>
              <w:pStyle w:val="Compact"/>
              <w:jc w:val="left"/>
            </w:pPr>
            <w:r>
              <w:t xml:space="preserve">8</w:t>
            </w:r>
          </w:p>
        </w:tc>
        <w:tc>
          <w:tcPr/>
          <w:p>
            <w:pPr>
              <w:pStyle w:val="Compact"/>
              <w:jc w:val="left"/>
            </w:pPr>
            <w:r>
              <w:t xml:space="preserve">Australia</w:t>
            </w:r>
          </w:p>
        </w:tc>
        <w:tc>
          <w:tcPr/>
          <w:p>
            <w:pPr>
              <w:pStyle w:val="Compact"/>
              <w:jc w:val="right"/>
            </w:pPr>
            <w:r>
              <w:t xml:space="preserve">129</w:t>
            </w:r>
          </w:p>
        </w:tc>
      </w:tr>
      <w:tr>
        <w:tc>
          <w:tcPr/>
          <w:p>
            <w:pPr>
              <w:pStyle w:val="Compact"/>
              <w:jc w:val="left"/>
            </w:pPr>
            <w:r>
              <w:t xml:space="preserve">9</w:t>
            </w:r>
          </w:p>
        </w:tc>
        <w:tc>
          <w:tcPr/>
          <w:p>
            <w:pPr>
              <w:pStyle w:val="Compact"/>
              <w:jc w:val="left"/>
            </w:pPr>
            <w:r>
              <w:t xml:space="preserve">Madagascar</w:t>
            </w:r>
          </w:p>
        </w:tc>
        <w:tc>
          <w:tcPr/>
          <w:p>
            <w:pPr>
              <w:pStyle w:val="Compact"/>
              <w:jc w:val="right"/>
            </w:pPr>
            <w:r>
              <w:t xml:space="preserve">122</w:t>
            </w:r>
          </w:p>
        </w:tc>
      </w:tr>
      <w:tr>
        <w:tc>
          <w:tcPr/>
          <w:p>
            <w:pPr>
              <w:pStyle w:val="Compact"/>
              <w:jc w:val="left"/>
            </w:pPr>
            <w:r>
              <w:t xml:space="preserve">10</w:t>
            </w:r>
          </w:p>
        </w:tc>
        <w:tc>
          <w:tcPr/>
          <w:p>
            <w:pPr>
              <w:pStyle w:val="Compact"/>
              <w:jc w:val="left"/>
            </w:pPr>
            <w:r>
              <w:t xml:space="preserve">Bangladesh</w:t>
            </w:r>
          </w:p>
        </w:tc>
        <w:tc>
          <w:tcPr/>
          <w:p>
            <w:pPr>
              <w:pStyle w:val="Compact"/>
              <w:jc w:val="right"/>
            </w:pPr>
            <w:r>
              <w:t xml:space="preserve">111</w:t>
            </w:r>
          </w:p>
        </w:tc>
      </w:tr>
      <w:tr>
        <w:tc>
          <w:tcPr/>
          <w:p>
            <w:pPr>
              <w:pStyle w:val="Compact"/>
              <w:jc w:val="left"/>
            </w:pPr>
            <w:r>
              <w:t xml:space="preserve">11</w:t>
            </w:r>
          </w:p>
        </w:tc>
        <w:tc>
          <w:tcPr/>
          <w:p>
            <w:pPr>
              <w:pStyle w:val="Compact"/>
              <w:jc w:val="left"/>
            </w:pPr>
            <w:r>
              <w:t xml:space="preserve">Cameroon</w:t>
            </w:r>
          </w:p>
        </w:tc>
        <w:tc>
          <w:tcPr/>
          <w:p>
            <w:pPr>
              <w:pStyle w:val="Compact"/>
              <w:jc w:val="right"/>
            </w:pPr>
            <w:r>
              <w:t xml:space="preserve">105</w:t>
            </w:r>
          </w:p>
        </w:tc>
      </w:tr>
      <w:tr>
        <w:tc>
          <w:tcPr/>
          <w:p>
            <w:pPr>
              <w:pStyle w:val="Compact"/>
              <w:jc w:val="left"/>
            </w:pPr>
            <w:r>
              <w:t xml:space="preserve">12</w:t>
            </w:r>
          </w:p>
        </w:tc>
        <w:tc>
          <w:tcPr/>
          <w:p>
            <w:pPr>
              <w:pStyle w:val="Compact"/>
              <w:jc w:val="left"/>
            </w:pPr>
            <w:r>
              <w:t xml:space="preserve">Saudi Arabia</w:t>
            </w:r>
          </w:p>
        </w:tc>
        <w:tc>
          <w:tcPr/>
          <w:p>
            <w:pPr>
              <w:pStyle w:val="Compact"/>
              <w:jc w:val="right"/>
            </w:pPr>
            <w:r>
              <w:t xml:space="preserve">92</w:t>
            </w:r>
          </w:p>
        </w:tc>
      </w:tr>
      <w:tr>
        <w:tc>
          <w:tcPr/>
          <w:p>
            <w:pPr>
              <w:pStyle w:val="Compact"/>
              <w:jc w:val="left"/>
            </w:pPr>
            <w:r>
              <w:t xml:space="preserve">13</w:t>
            </w:r>
          </w:p>
        </w:tc>
        <w:tc>
          <w:tcPr/>
          <w:p>
            <w:pPr>
              <w:pStyle w:val="Compact"/>
              <w:jc w:val="left"/>
            </w:pPr>
            <w:r>
              <w:t xml:space="preserve">United States</w:t>
            </w:r>
          </w:p>
        </w:tc>
        <w:tc>
          <w:tcPr/>
          <w:p>
            <w:pPr>
              <w:pStyle w:val="Compact"/>
              <w:jc w:val="right"/>
            </w:pPr>
            <w:r>
              <w:t xml:space="preserve">90</w:t>
            </w:r>
          </w:p>
        </w:tc>
      </w:tr>
      <w:tr>
        <w:tc>
          <w:tcPr/>
          <w:p>
            <w:pPr>
              <w:pStyle w:val="Compact"/>
              <w:jc w:val="left"/>
            </w:pPr>
            <w:r>
              <w:t xml:space="preserve">14</w:t>
            </w:r>
          </w:p>
        </w:tc>
        <w:tc>
          <w:tcPr/>
          <w:p>
            <w:pPr>
              <w:pStyle w:val="Compact"/>
              <w:jc w:val="left"/>
            </w:pPr>
            <w:r>
              <w:t xml:space="preserve">Costa Rica</w:t>
            </w:r>
          </w:p>
        </w:tc>
        <w:tc>
          <w:tcPr/>
          <w:p>
            <w:pPr>
              <w:pStyle w:val="Compact"/>
              <w:jc w:val="right"/>
            </w:pPr>
            <w:r>
              <w:t xml:space="preserve">86</w:t>
            </w:r>
          </w:p>
        </w:tc>
      </w:tr>
      <w:tr>
        <w:tc>
          <w:tcPr/>
          <w:p>
            <w:pPr>
              <w:pStyle w:val="Compact"/>
              <w:jc w:val="left"/>
            </w:pPr>
            <w:r>
              <w:t xml:space="preserve">15</w:t>
            </w:r>
          </w:p>
        </w:tc>
        <w:tc>
          <w:tcPr/>
          <w:p>
            <w:pPr>
              <w:pStyle w:val="Compact"/>
              <w:jc w:val="left"/>
            </w:pPr>
            <w:r>
              <w:t xml:space="preserve">India</w:t>
            </w:r>
          </w:p>
        </w:tc>
        <w:tc>
          <w:tcPr/>
          <w:p>
            <w:pPr>
              <w:pStyle w:val="Compact"/>
              <w:jc w:val="right"/>
            </w:pPr>
            <w:r>
              <w:t xml:space="preserve">84</w:t>
            </w:r>
          </w:p>
        </w:tc>
      </w:tr>
      <w:tr>
        <w:tc>
          <w:tcPr/>
          <w:p>
            <w:pPr>
              <w:pStyle w:val="Compact"/>
              <w:jc w:val="left"/>
            </w:pPr>
            <w:r>
              <w:t xml:space="preserve">16</w:t>
            </w:r>
          </w:p>
        </w:tc>
        <w:tc>
          <w:tcPr/>
          <w:p>
            <w:pPr>
              <w:pStyle w:val="Compact"/>
              <w:jc w:val="left"/>
            </w:pPr>
            <w:r>
              <w:t xml:space="preserve">Tanzania</w:t>
            </w:r>
          </w:p>
        </w:tc>
        <w:tc>
          <w:tcPr/>
          <w:p>
            <w:pPr>
              <w:pStyle w:val="Compact"/>
              <w:jc w:val="right"/>
            </w:pPr>
            <w:r>
              <w:t xml:space="preserve">79</w:t>
            </w:r>
          </w:p>
        </w:tc>
      </w:tr>
      <w:tr>
        <w:tc>
          <w:tcPr/>
          <w:p>
            <w:pPr>
              <w:pStyle w:val="Compact"/>
              <w:jc w:val="left"/>
            </w:pPr>
            <w:r>
              <w:t xml:space="preserve">17</w:t>
            </w:r>
          </w:p>
        </w:tc>
        <w:tc>
          <w:tcPr/>
          <w:p>
            <w:pPr>
              <w:pStyle w:val="Compact"/>
              <w:jc w:val="left"/>
            </w:pPr>
            <w:r>
              <w:t xml:space="preserve">Malaysia</w:t>
            </w:r>
          </w:p>
        </w:tc>
        <w:tc>
          <w:tcPr/>
          <w:p>
            <w:pPr>
              <w:pStyle w:val="Compact"/>
              <w:jc w:val="right"/>
            </w:pPr>
            <w:r>
              <w:t xml:space="preserve">76</w:t>
            </w:r>
          </w:p>
        </w:tc>
      </w:tr>
      <w:tr>
        <w:tc>
          <w:tcPr/>
          <w:p>
            <w:pPr>
              <w:pStyle w:val="Compact"/>
              <w:jc w:val="left"/>
            </w:pPr>
            <w:r>
              <w:t xml:space="preserve">18</w:t>
            </w:r>
          </w:p>
        </w:tc>
        <w:tc>
          <w:tcPr/>
          <w:p>
            <w:pPr>
              <w:pStyle w:val="Compact"/>
              <w:jc w:val="left"/>
            </w:pPr>
            <w:r>
              <w:t xml:space="preserve">Ethiopia</w:t>
            </w:r>
          </w:p>
        </w:tc>
        <w:tc>
          <w:tcPr/>
          <w:p>
            <w:pPr>
              <w:pStyle w:val="Compact"/>
              <w:jc w:val="right"/>
            </w:pPr>
            <w:r>
              <w:t xml:space="preserve">58</w:t>
            </w:r>
          </w:p>
        </w:tc>
      </w:tr>
      <w:tr>
        <w:tc>
          <w:tcPr/>
          <w:p>
            <w:pPr>
              <w:pStyle w:val="Compact"/>
              <w:jc w:val="left"/>
            </w:pPr>
            <w:r>
              <w:t xml:space="preserve">19</w:t>
            </w:r>
          </w:p>
        </w:tc>
        <w:tc>
          <w:tcPr/>
          <w:p>
            <w:pPr>
              <w:pStyle w:val="Compact"/>
              <w:jc w:val="left"/>
            </w:pPr>
            <w:r>
              <w:t xml:space="preserve">Indonesia</w:t>
            </w:r>
          </w:p>
        </w:tc>
        <w:tc>
          <w:tcPr/>
          <w:p>
            <w:pPr>
              <w:pStyle w:val="Compact"/>
              <w:jc w:val="right"/>
            </w:pPr>
            <w:r>
              <w:t xml:space="preserve">58</w:t>
            </w:r>
          </w:p>
        </w:tc>
      </w:tr>
      <w:tr>
        <w:tc>
          <w:tcPr/>
          <w:p>
            <w:pPr>
              <w:pStyle w:val="Compact"/>
              <w:jc w:val="left"/>
            </w:pPr>
            <w:r>
              <w:t xml:space="preserve">20</w:t>
            </w:r>
          </w:p>
        </w:tc>
        <w:tc>
          <w:tcPr/>
          <w:p>
            <w:pPr>
              <w:pStyle w:val="Compact"/>
              <w:jc w:val="left"/>
            </w:pPr>
            <w:r>
              <w:t xml:space="preserve">China</w:t>
            </w:r>
          </w:p>
        </w:tc>
        <w:tc>
          <w:tcPr/>
          <w:p>
            <w:pPr>
              <w:pStyle w:val="Compact"/>
              <w:jc w:val="right"/>
            </w:pPr>
            <w:r>
              <w:t xml:space="preserve">56</w:t>
            </w:r>
          </w:p>
        </w:tc>
      </w:tr>
    </w:tbl>
    <w:bookmarkEnd w:id="67"/>
    <w:p>
      <w:pPr>
        <w:pStyle w:val="BodyText"/>
      </w:pPr>
      <w:r>
        <w:t xml:space="preserve">It’s encouraging to see that several African countries are in the top 20, but noteworthy that Ghana is at number 7 and there are few representatives of nearby countries. Some of that will be due to varying habitat types, but it highlights just how undersampled West Africa currently is. A lot of these common BINs are also likely to be cosmopolitan/invasive taxa, rather than species only native to Ghana and the nearby area.</w:t>
      </w:r>
    </w:p>
    <w:bookmarkEnd w:id="68"/>
    <w:bookmarkEnd w:id="69"/>
    <w:bookmarkStart w:id="70" w:name="discussion"/>
    <w:p>
      <w:pPr>
        <w:pStyle w:val="Heading1"/>
      </w:pPr>
      <w:r>
        <w:t xml:space="preserve">Discussion</w:t>
      </w:r>
    </w:p>
    <w:bookmarkEnd w:id="70"/>
    <w:bookmarkStart w:id="71" w:name="conclusion"/>
    <w:p>
      <w:pPr>
        <w:pStyle w:val="Heading1"/>
      </w:pPr>
      <w:r>
        <w:t xml:space="preserve">Conclusion</w:t>
      </w:r>
    </w:p>
    <w:bookmarkEnd w:id="71"/>
    <w:bookmarkStart w:id="72" w:name="supporting-information"/>
    <w:p>
      <w:pPr>
        <w:pStyle w:val="Heading1"/>
      </w:pPr>
      <w:r>
        <w:t xml:space="preserve">Supporting information</w:t>
      </w:r>
    </w:p>
    <w:bookmarkEnd w:id="72"/>
    <w:bookmarkStart w:id="73" w:name="acknowledgements"/>
    <w:p>
      <w:pPr>
        <w:pStyle w:val="Heading1"/>
      </w:pPr>
      <w:r>
        <w:t xml:space="preserve">Acknowledgements</w:t>
      </w:r>
    </w:p>
    <w:p>
      <w:pPr>
        <w:pStyle w:val="FirstParagraph"/>
      </w:pPr>
      <w:r>
        <w:t xml:space="preserve">All authors are members of the Target Malaria Not-for-Profit Research Consortium (www.targetmalaria.org), which is supported by a grant from the Bill &amp; Melinda Gates Foundation and Open Philanthropy.</w:t>
      </w:r>
    </w:p>
    <w:bookmarkEnd w:id="73"/>
    <w:bookmarkStart w:id="111" w:name="references"/>
    <w:p>
      <w:pPr>
        <w:pStyle w:val="Heading1"/>
      </w:pPr>
      <w:r>
        <w:t xml:space="preserve">References</w:t>
      </w:r>
    </w:p>
    <w:bookmarkStart w:id="110" w:name="refs"/>
    <w:bookmarkStart w:id="75" w:name="Xa1449e438c27c7886010a28ed996e62fdbeea00"/>
    <w:p>
      <w:pPr>
        <w:pStyle w:val="Bibliography"/>
      </w:pPr>
      <w:r>
        <w:t xml:space="preserve">Ashfaq, Muhammad, Jamal S. M. Sabir, Hosam O. El-Ansary, Kate Perez, Valerie Levesque-Beaudin, Arif M. Khan, Akhtar Rasool, Carlene Gallant, Joseph Addesi, and Paul D. N. Hebert. 2018.</w:t>
      </w:r>
      <w:r>
        <w:t xml:space="preserve"> </w:t>
      </w:r>
      <w:r>
        <w:t xml:space="preserve">“Insect Diversity in the</w:t>
      </w:r>
      <w:r>
        <w:t xml:space="preserve"> </w:t>
      </w:r>
      <w:r>
        <w:t xml:space="preserve">Saharo-Arabian</w:t>
      </w:r>
      <w:r>
        <w:t xml:space="preserve"> </w:t>
      </w:r>
      <w:r>
        <w:t xml:space="preserve">Region:</w:t>
      </w:r>
      <w:r>
        <w:t xml:space="preserve"> </w:t>
      </w:r>
      <w:r>
        <w:t xml:space="preserve">Revealing</w:t>
      </w:r>
      <w:r>
        <w:t xml:space="preserve"> </w:t>
      </w:r>
      <w:r>
        <w:t xml:space="preserve">a Little-Studied Fauna by</w:t>
      </w:r>
      <w:r>
        <w:t xml:space="preserve"> </w:t>
      </w:r>
      <w:r>
        <w:t xml:space="preserve">DNA</w:t>
      </w:r>
      <w:r>
        <w:t xml:space="preserve"> </w:t>
      </w:r>
      <w:r>
        <w:t xml:space="preserve">Barcoding.”</w:t>
      </w:r>
      <w:r>
        <w:t xml:space="preserve"> </w:t>
      </w:r>
      <w:r>
        <w:t xml:space="preserve">Edited by Bernd Schierwater.</w:t>
      </w:r>
      <w:r>
        <w:t xml:space="preserve"> </w:t>
      </w:r>
      <w:r>
        <w:rPr>
          <w:iCs/>
          <w:i/>
        </w:rPr>
        <w:t xml:space="preserve">PLOS ONE</w:t>
      </w:r>
      <w:r>
        <w:t xml:space="preserve"> </w:t>
      </w:r>
      <w:r>
        <w:t xml:space="preserve">13 (7): e0199965.</w:t>
      </w:r>
      <w:r>
        <w:t xml:space="preserve"> </w:t>
      </w:r>
      <w:hyperlink r:id="rId74">
        <w:r>
          <w:rPr>
            <w:rStyle w:val="Hyperlink"/>
          </w:rPr>
          <w:t xml:space="preserve">https://doi.org/10.1371/journal.pone.0199965</w:t>
        </w:r>
      </w:hyperlink>
      <w:r>
        <w:t xml:space="preserve">.</w:t>
      </w:r>
    </w:p>
    <w:bookmarkEnd w:id="75"/>
    <w:bookmarkStart w:id="77" w:name="X45f0bb3a31ddcd6ed37e8a2f8260087c50fd68d"/>
    <w:p>
      <w:pPr>
        <w:pStyle w:val="Bibliography"/>
      </w:pPr>
      <w:r>
        <w:t xml:space="preserve">Blüthgen, Nico, Lynn V. Dicks, Matthew L. Forister, Charlotte L. Outhwaite, and Eleanor M. Slade. 2023.</w:t>
      </w:r>
      <w:r>
        <w:t xml:space="preserve"> </w:t>
      </w:r>
      <w:r>
        <w:t xml:space="preserve">“Insect Declines in the</w:t>
      </w:r>
      <w:r>
        <w:t xml:space="preserve"> </w:t>
      </w:r>
      <w:r>
        <w:t xml:space="preserve">Anthropocene</w:t>
      </w:r>
      <w:r>
        <w:t xml:space="preserve">.”</w:t>
      </w:r>
      <w:r>
        <w:t xml:space="preserve"> </w:t>
      </w:r>
      <w:r>
        <w:rPr>
          <w:iCs/>
          <w:i/>
        </w:rPr>
        <w:t xml:space="preserve">Nature Reviews Earth &amp; Environment</w:t>
      </w:r>
      <w:r>
        <w:t xml:space="preserve">, September.</w:t>
      </w:r>
      <w:r>
        <w:t xml:space="preserve"> </w:t>
      </w:r>
      <w:hyperlink r:id="rId76">
        <w:r>
          <w:rPr>
            <w:rStyle w:val="Hyperlink"/>
          </w:rPr>
          <w:t xml:space="preserve">https://doi.org/10.1038/s43017-023-00478-x</w:t>
        </w:r>
      </w:hyperlink>
      <w:r>
        <w:t xml:space="preserve">.</w:t>
      </w:r>
    </w:p>
    <w:bookmarkEnd w:id="77"/>
    <w:bookmarkStart w:id="79" w:name="ref-bukowskiDNABarcodesReveal2022"/>
    <w:p>
      <w:pPr>
        <w:pStyle w:val="Bibliography"/>
      </w:pPr>
      <w:r>
        <w:t xml:space="preserve">Bukowski, Belén, Sujeevan Ratnasingham, Priscila E. Hanisch, Paul D. N. Hebert, Kate Perez, Jeremy deWaard, Pablo L. Tubaro, and Darío A. Lijtmaer. 2022.</w:t>
      </w:r>
      <w:r>
        <w:t xml:space="preserve"> </w:t>
      </w:r>
      <w:r>
        <w:t xml:space="preserve">“</w:t>
      </w:r>
      <w:r>
        <w:t xml:space="preserve">DNA</w:t>
      </w:r>
      <w:r>
        <w:t xml:space="preserve"> </w:t>
      </w:r>
      <w:r>
        <w:t xml:space="preserve">Barcodes Reveal Striking Arthropod Diversity and Unveil Seasonal Patterns of Variation in the Southern</w:t>
      </w:r>
      <w:r>
        <w:t xml:space="preserve"> </w:t>
      </w:r>
      <w:r>
        <w:t xml:space="preserve">Atlantic Forest</w:t>
      </w:r>
      <w:r>
        <w:t xml:space="preserve">.”</w:t>
      </w:r>
      <w:r>
        <w:t xml:space="preserve"> </w:t>
      </w:r>
      <w:r>
        <w:t xml:space="preserve">Edited by Janice L. Bossart.</w:t>
      </w:r>
      <w:r>
        <w:t xml:space="preserve"> </w:t>
      </w:r>
      <w:r>
        <w:rPr>
          <w:iCs/>
          <w:i/>
        </w:rPr>
        <w:t xml:space="preserve">PLOS ONE</w:t>
      </w:r>
      <w:r>
        <w:t xml:space="preserve"> </w:t>
      </w:r>
      <w:r>
        <w:t xml:space="preserve">17 (4): e0267390.</w:t>
      </w:r>
      <w:r>
        <w:t xml:space="preserve"> </w:t>
      </w:r>
      <w:hyperlink r:id="rId78">
        <w:r>
          <w:rPr>
            <w:rStyle w:val="Hyperlink"/>
          </w:rPr>
          <w:t xml:space="preserve">https://doi.org/10.1371/journal.pone.0267390</w:t>
        </w:r>
      </w:hyperlink>
      <w:r>
        <w:t xml:space="preserve">.</w:t>
      </w:r>
    </w:p>
    <w:bookmarkEnd w:id="79"/>
    <w:bookmarkStart w:id="81" w:name="ref-chaoRarefactionExtrapolationHill2014"/>
    <w:p>
      <w:pPr>
        <w:pStyle w:val="Bibliography"/>
      </w:pPr>
      <w:r>
        <w:t xml:space="preserve">Chao, Anne, Nicholas J. Gotelli, T. C. Hsieh, Elizabeth L. Sander, K. H. Ma, Robert K. Colwell, and Aaron M. Ellison. 2014.</w:t>
      </w:r>
      <w:r>
        <w:t xml:space="preserve"> </w:t>
      </w:r>
      <w:r>
        <w:t xml:space="preserve">“Rarefaction and Extrapolation with</w:t>
      </w:r>
      <w:r>
        <w:t xml:space="preserve"> </w:t>
      </w:r>
      <w:r>
        <w:t xml:space="preserve">Hill</w:t>
      </w:r>
      <w:r>
        <w:t xml:space="preserve"> </w:t>
      </w:r>
      <w:r>
        <w:t xml:space="preserve">Numbers: A Framework for Sampling and Estimation in Species Diversity Studies.”</w:t>
      </w:r>
      <w:r>
        <w:t xml:space="preserve"> </w:t>
      </w:r>
      <w:r>
        <w:rPr>
          <w:iCs/>
          <w:i/>
        </w:rPr>
        <w:t xml:space="preserve">Ecological Monographs</w:t>
      </w:r>
      <w:r>
        <w:t xml:space="preserve"> </w:t>
      </w:r>
      <w:r>
        <w:t xml:space="preserve">84 (1): 45–67.</w:t>
      </w:r>
      <w:r>
        <w:t xml:space="preserve"> </w:t>
      </w:r>
      <w:hyperlink r:id="rId80">
        <w:r>
          <w:rPr>
            <w:rStyle w:val="Hyperlink"/>
          </w:rPr>
          <w:t xml:space="preserve">https://doi.org/10.1890/13-0133.1</w:t>
        </w:r>
      </w:hyperlink>
      <w:r>
        <w:t xml:space="preserve">.</w:t>
      </w:r>
    </w:p>
    <w:bookmarkEnd w:id="81"/>
    <w:bookmarkStart w:id="83" w:name="ref-dsouzaStableBaselinesTemporal2018"/>
    <w:p>
      <w:pPr>
        <w:pStyle w:val="Bibliography"/>
      </w:pPr>
      <w:r>
        <w:t xml:space="preserve">D’Souza, Michelle L., and Paul D. N. Hebert. 2018.</w:t>
      </w:r>
      <w:r>
        <w:t xml:space="preserve"> </w:t>
      </w:r>
      <w:r>
        <w:t xml:space="preserve">“Stable Baselines of Temporal Turnover Underlie High Beta Diversity in Tropical Arthropod Communities.”</w:t>
      </w:r>
      <w:r>
        <w:t xml:space="preserve"> </w:t>
      </w:r>
      <w:r>
        <w:rPr>
          <w:iCs/>
          <w:i/>
        </w:rPr>
        <w:t xml:space="preserve">Molecular Ecology</w:t>
      </w:r>
      <w:r>
        <w:t xml:space="preserve"> </w:t>
      </w:r>
      <w:r>
        <w:t xml:space="preserve">27 (10): 2447–60.</w:t>
      </w:r>
      <w:r>
        <w:t xml:space="preserve"> </w:t>
      </w:r>
      <w:hyperlink r:id="rId82">
        <w:r>
          <w:rPr>
            <w:rStyle w:val="Hyperlink"/>
          </w:rPr>
          <w:t xml:space="preserve">https://doi.org/10.1111/mec.14693</w:t>
        </w:r>
      </w:hyperlink>
      <w:r>
        <w:t xml:space="preserve">.</w:t>
      </w:r>
    </w:p>
    <w:bookmarkEnd w:id="83"/>
    <w:bookmarkStart w:id="85" w:name="X4671a8599047fd1a42cffeb26622664a5738bb7"/>
    <w:p>
      <w:pPr>
        <w:pStyle w:val="Bibliography"/>
      </w:pPr>
      <w:r>
        <w:t xml:space="preserve">deWaard, Jeremy R., Valerie Levesque-Beaudin, Stephanie L. deWaard, Natalia V. Ivanova, Jaclyn T. A. McKeown, Renee Miskie, Suresh Naik, et al. 2019.</w:t>
      </w:r>
      <w:r>
        <w:t xml:space="preserve"> </w:t>
      </w:r>
      <w:r>
        <w:t xml:space="preserve">“Expedited Assessment of Terrestrial Arthropod Diversity by Coupling</w:t>
      </w:r>
      <w:r>
        <w:t xml:space="preserve"> </w:t>
      </w:r>
      <w:r>
        <w:t xml:space="preserve">Malaise</w:t>
      </w:r>
      <w:r>
        <w:t xml:space="preserve"> </w:t>
      </w:r>
      <w:r>
        <w:t xml:space="preserve">Traps with</w:t>
      </w:r>
      <w:r>
        <w:t xml:space="preserve"> </w:t>
      </w:r>
      <w:r>
        <w:t xml:space="preserve">DNA</w:t>
      </w:r>
      <w:r>
        <w:t xml:space="preserve"> </w:t>
      </w:r>
      <w:r>
        <w:t xml:space="preserve">Barcoding.”</w:t>
      </w:r>
      <w:r>
        <w:t xml:space="preserve"> </w:t>
      </w:r>
      <w:r>
        <w:t xml:space="preserve">Edited by John James Wilson.</w:t>
      </w:r>
      <w:r>
        <w:t xml:space="preserve"> </w:t>
      </w:r>
      <w:r>
        <w:rPr>
          <w:iCs/>
          <w:i/>
        </w:rPr>
        <w:t xml:space="preserve">Genome</w:t>
      </w:r>
      <w:r>
        <w:t xml:space="preserve"> </w:t>
      </w:r>
      <w:r>
        <w:t xml:space="preserve">62 (3): 85–95.</w:t>
      </w:r>
      <w:r>
        <w:t xml:space="preserve"> </w:t>
      </w:r>
      <w:hyperlink r:id="rId84">
        <w:r>
          <w:rPr>
            <w:rStyle w:val="Hyperlink"/>
          </w:rPr>
          <w:t xml:space="preserve">https://doi.org/10.1139/gen-2018-0093</w:t>
        </w:r>
      </w:hyperlink>
      <w:r>
        <w:t xml:space="preserve">.</w:t>
      </w:r>
    </w:p>
    <w:bookmarkEnd w:id="85"/>
    <w:bookmarkStart w:id="87" w:name="ref-folmerDNAPrimersAmplification1994"/>
    <w:p>
      <w:pPr>
        <w:pStyle w:val="Bibliography"/>
      </w:pPr>
      <w:r>
        <w:t xml:space="preserve">Folmer, O., M. Black, W. Hoeh, R. Lutz, and R. Vrijenhoek. 1994.</w:t>
      </w:r>
      <w:r>
        <w:t xml:space="preserve"> </w:t>
      </w:r>
      <w:r>
        <w:t xml:space="preserve">“</w:t>
      </w:r>
      <w:r>
        <w:t xml:space="preserve">DNA</w:t>
      </w:r>
      <w:r>
        <w:t xml:space="preserve"> </w:t>
      </w:r>
      <w:r>
        <w:t xml:space="preserve">Primers for Amplification of Mitochondrial Cytochrome c Oxidase Subunit 1 from Diverse Metazoan Invertebrates.”</w:t>
      </w:r>
      <w:r>
        <w:t xml:space="preserve"> </w:t>
      </w:r>
      <w:r>
        <w:rPr>
          <w:iCs/>
          <w:i/>
        </w:rPr>
        <w:t xml:space="preserve">Molecular Marine Biology and Biotechnology</w:t>
      </w:r>
      <w:r>
        <w:t xml:space="preserve">, no. 5.</w:t>
      </w:r>
      <w:r>
        <w:t xml:space="preserve"> </w:t>
      </w:r>
      <w:hyperlink r:id="rId86">
        <w:r>
          <w:rPr>
            <w:rStyle w:val="Hyperlink"/>
          </w:rPr>
          <w:t xml:space="preserve">http://www.vliz.be/en/imis?refid=64543</w:t>
        </w:r>
      </w:hyperlink>
      <w:r>
        <w:t xml:space="preserve">.</w:t>
      </w:r>
    </w:p>
    <w:bookmarkEnd w:id="87"/>
    <w:bookmarkStart w:id="89" w:name="ref-gotelliTaxonomicWishList2004"/>
    <w:p>
      <w:pPr>
        <w:pStyle w:val="Bibliography"/>
      </w:pPr>
      <w:r>
        <w:t xml:space="preserve">Gotelli, Nicholas J. 2004.</w:t>
      </w:r>
      <w:r>
        <w:t xml:space="preserve"> </w:t>
      </w:r>
      <w:r>
        <w:t xml:space="preserve">“A Taxonomic Wish</w:t>
      </w:r>
      <w:r>
        <w:t xml:space="preserve">list for Community Ecology.”</w:t>
      </w:r>
      <w:r>
        <w:t xml:space="preserve"> </w:t>
      </w:r>
      <w:r>
        <w:t xml:space="preserve">Edited by H. C. J. Godfray and S. Knapp.</w:t>
      </w:r>
      <w:r>
        <w:t xml:space="preserve"> </w:t>
      </w:r>
      <w:r>
        <w:rPr>
          <w:iCs/>
          <w:i/>
        </w:rPr>
        <w:t xml:space="preserve">Philosophical Transactions of the Royal Society of London. Series B: Biological Sciences</w:t>
      </w:r>
      <w:r>
        <w:t xml:space="preserve"> </w:t>
      </w:r>
      <w:r>
        <w:t xml:space="preserve">359 (1444): 585–97.</w:t>
      </w:r>
      <w:r>
        <w:t xml:space="preserve"> </w:t>
      </w:r>
      <w:hyperlink r:id="rId88">
        <w:r>
          <w:rPr>
            <w:rStyle w:val="Hyperlink"/>
          </w:rPr>
          <w:t xml:space="preserve">https://doi.org/10.1098/rstb.2003.1443</w:t>
        </w:r>
      </w:hyperlink>
      <w:r>
        <w:t xml:space="preserve">.</w:t>
      </w:r>
    </w:p>
    <w:bookmarkEnd w:id="89"/>
    <w:bookmarkStart w:id="91" w:name="ref-meierReAnalysisData2022"/>
    <w:p>
      <w:pPr>
        <w:pStyle w:val="Bibliography"/>
      </w:pPr>
      <w:r>
        <w:t xml:space="preserve">Meier, Rudolf, Bonnie B. Blaimer, Eliana Buenaventura, Emily Hartop, Thomas Von Rintelen, Amrita Srivathsan, and Darren Yeo. 2022.</w:t>
      </w:r>
      <w:r>
        <w:t xml:space="preserve"> </w:t>
      </w:r>
      <w:r>
        <w:t xml:space="preserve">“A Re-Analysis of the Data in</w:t>
      </w:r>
      <w:r>
        <w:t xml:space="preserve"> </w:t>
      </w:r>
      <w:r>
        <w:t xml:space="preserve">Sharkey</w:t>
      </w:r>
      <w:r>
        <w:t xml:space="preserve"> </w:t>
      </w:r>
      <w:r>
        <w:t xml:space="preserve">Et Al.’s (2021) Minimalist Revision Reveals That</w:t>
      </w:r>
      <w:r>
        <w:t xml:space="preserve"> </w:t>
      </w:r>
      <w:r>
        <w:t xml:space="preserve">BINs</w:t>
      </w:r>
      <w:r>
        <w:t xml:space="preserve"> </w:t>
      </w:r>
      <w:r>
        <w:t xml:space="preserve">Do Not Deserve Names, but</w:t>
      </w:r>
      <w:r>
        <w:t xml:space="preserve"> </w:t>
      </w:r>
      <w:r>
        <w:t xml:space="preserve">BOLD Systems</w:t>
      </w:r>
      <w:r>
        <w:t xml:space="preserve"> </w:t>
      </w:r>
      <w:r>
        <w:t xml:space="preserve">Needs a Stronger Commitment to Open Science.”</w:t>
      </w:r>
      <w:r>
        <w:t xml:space="preserve"> </w:t>
      </w:r>
      <w:r>
        <w:rPr>
          <w:iCs/>
          <w:i/>
        </w:rPr>
        <w:t xml:space="preserve">Cladistics</w:t>
      </w:r>
      <w:r>
        <w:t xml:space="preserve"> </w:t>
      </w:r>
      <w:r>
        <w:t xml:space="preserve">38 (2): 264–75.</w:t>
      </w:r>
      <w:r>
        <w:t xml:space="preserve"> </w:t>
      </w:r>
      <w:hyperlink r:id="rId90">
        <w:r>
          <w:rPr>
            <w:rStyle w:val="Hyperlink"/>
          </w:rPr>
          <w:t xml:space="preserve">https://doi.org/10.1111/cla.12489</w:t>
        </w:r>
      </w:hyperlink>
      <w:r>
        <w:t xml:space="preserve">.</w:t>
      </w:r>
    </w:p>
    <w:bookmarkEnd w:id="91"/>
    <w:bookmarkStart w:id="93" w:name="ref-oksanenVeganCommunityEcology2022"/>
    <w:p>
      <w:pPr>
        <w:pStyle w:val="Bibliography"/>
      </w:pPr>
      <w:r>
        <w:t xml:space="preserve">Oksanen, Jari, Gavin L. Simpson, F. Guillaume Blanchet, Roeland Kindt, Pierre Legendre, Peter R. Minchin, R. B. O’Hara, et al. 2022.</w:t>
      </w:r>
      <w:r>
        <w:t xml:space="preserve"> </w:t>
      </w:r>
      <w:r>
        <w:rPr>
          <w:iCs/>
          <w:i/>
        </w:rPr>
        <w:t xml:space="preserve">Vegan:</w:t>
      </w:r>
      <w:r>
        <w:rPr>
          <w:iCs/>
          <w:i/>
        </w:rPr>
        <w:t xml:space="preserve"> </w:t>
      </w:r>
      <w:r>
        <w:rPr>
          <w:iCs/>
          <w:i/>
        </w:rPr>
        <w:t xml:space="preserve">Community</w:t>
      </w:r>
      <w:r>
        <w:rPr>
          <w:iCs/>
          <w:i/>
        </w:rPr>
        <w:t xml:space="preserve"> </w:t>
      </w:r>
      <w:r>
        <w:rPr>
          <w:iCs/>
          <w:i/>
        </w:rPr>
        <w:t xml:space="preserve">Ecology Package</w:t>
      </w:r>
      <w:r>
        <w:t xml:space="preserve">. Manual.</w:t>
      </w:r>
      <w:r>
        <w:t xml:space="preserve"> </w:t>
      </w:r>
      <w:hyperlink r:id="rId92">
        <w:r>
          <w:rPr>
            <w:rStyle w:val="Hyperlink"/>
          </w:rPr>
          <w:t xml:space="preserve">https://CRAN.R-project.org/package=vegan</w:t>
        </w:r>
      </w:hyperlink>
      <w:r>
        <w:t xml:space="preserve">.</w:t>
      </w:r>
    </w:p>
    <w:bookmarkEnd w:id="93"/>
    <w:bookmarkStart w:id="95" w:name="X9908c3c11d2ce7c45992bd046a78b3587daa4e5"/>
    <w:p>
      <w:pPr>
        <w:pStyle w:val="Bibliography"/>
      </w:pPr>
      <w:r>
        <w:t xml:space="preserve">R Core Team. 2023.</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Manual.</w:t>
      </w:r>
      <w:r>
        <w:t xml:space="preserve"> </w:t>
      </w:r>
      <w:r>
        <w:t xml:space="preserve">Vienna, Austria</w:t>
      </w:r>
      <w:r>
        <w:t xml:space="preserve">:</w:t>
      </w:r>
      <w:r>
        <w:t xml:space="preserve"> </w:t>
      </w:r>
      <w:r>
        <w:t xml:space="preserve">R Foundation for Statistical Computing</w:t>
      </w:r>
      <w:r>
        <w:t xml:space="preserve">.</w:t>
      </w:r>
      <w:r>
        <w:t xml:space="preserve"> </w:t>
      </w:r>
      <w:hyperlink r:id="rId94">
        <w:r>
          <w:rPr>
            <w:rStyle w:val="Hyperlink"/>
          </w:rPr>
          <w:t xml:space="preserve">https://www.R-project.org/</w:t>
        </w:r>
      </w:hyperlink>
      <w:r>
        <w:t xml:space="preserve">.</w:t>
      </w:r>
    </w:p>
    <w:bookmarkEnd w:id="95"/>
    <w:bookmarkStart w:id="97" w:name="ref-ratnasinghamBoldBarcodeLife2007"/>
    <w:p>
      <w:pPr>
        <w:pStyle w:val="Bibliography"/>
      </w:pPr>
      <w:r>
        <w:t xml:space="preserve">Ratnasingham, Sujeevan, and Paul D. N. Hebert. 2007.</w:t>
      </w:r>
      <w:r>
        <w:t xml:space="preserve"> </w:t>
      </w:r>
      <w:r>
        <w:t xml:space="preserve">“Bold:</w:t>
      </w:r>
      <w:r>
        <w:t xml:space="preserve"> </w:t>
      </w:r>
      <w:r>
        <w:t xml:space="preserve">The Barcode</w:t>
      </w:r>
      <w:r>
        <w:t xml:space="preserve"> </w:t>
      </w:r>
      <w:r>
        <w:t xml:space="preserve">of</w:t>
      </w:r>
      <w:r>
        <w:t xml:space="preserve"> </w:t>
      </w:r>
      <w:r>
        <w:t xml:space="preserve">Life Data System</w:t>
      </w:r>
      <w:r>
        <w:t xml:space="preserve"> </w:t>
      </w:r>
      <w:r>
        <w:t xml:space="preserve">(</w:t>
      </w:r>
      <w:r>
        <w:t xml:space="preserve">http://www.barcodinglife.org)</w:t>
      </w:r>
      <w:r>
        <w:t xml:space="preserve">.”</w:t>
      </w:r>
      <w:r>
        <w:t xml:space="preserve"> </w:t>
      </w:r>
      <w:r>
        <w:rPr>
          <w:iCs/>
          <w:i/>
        </w:rPr>
        <w:t xml:space="preserve">Molecular Ecology Notes</w:t>
      </w:r>
      <w:r>
        <w:t xml:space="preserve"> </w:t>
      </w:r>
      <w:r>
        <w:t xml:space="preserve">7 (3): 355–64.</w:t>
      </w:r>
      <w:r>
        <w:t xml:space="preserve"> </w:t>
      </w:r>
      <w:hyperlink r:id="rId96">
        <w:r>
          <w:rPr>
            <w:rStyle w:val="Hyperlink"/>
          </w:rPr>
          <w:t xml:space="preserve">https://doi.org/10.1111/j.1471-8286.2007.01678.x</w:t>
        </w:r>
      </w:hyperlink>
      <w:r>
        <w:t xml:space="preserve">.</w:t>
      </w:r>
    </w:p>
    <w:bookmarkEnd w:id="97"/>
    <w:bookmarkStart w:id="99" w:name="ref-ratnasinghamDNABasedRegistryAll2013"/>
    <w:p>
      <w:pPr>
        <w:pStyle w:val="Bibliography"/>
      </w:pPr>
      <w:r>
        <w:t xml:space="preserve">———. 2013.</w:t>
      </w:r>
      <w:r>
        <w:t xml:space="preserve"> </w:t>
      </w:r>
      <w:r>
        <w:t xml:space="preserve">“A</w:t>
      </w:r>
      <w:r>
        <w:t xml:space="preserve"> </w:t>
      </w:r>
      <w:r>
        <w:t xml:space="preserve">DNA-Based Registry</w:t>
      </w:r>
      <w:r>
        <w:t xml:space="preserve"> </w:t>
      </w:r>
      <w:r>
        <w:t xml:space="preserve">for</w:t>
      </w:r>
      <w:r>
        <w:t xml:space="preserve"> </w:t>
      </w:r>
      <w:r>
        <w:t xml:space="preserve">All Animal Species</w:t>
      </w:r>
      <w:r>
        <w:t xml:space="preserve">:</w:t>
      </w:r>
      <w:r>
        <w:t xml:space="preserve"> </w:t>
      </w:r>
      <w:r>
        <w:t xml:space="preserve">The Barcode Index Number</w:t>
      </w:r>
      <w:r>
        <w:t xml:space="preserve"> </w:t>
      </w:r>
      <w:r>
        <w:t xml:space="preserve">(</w:t>
      </w:r>
      <w:r>
        <w:t xml:space="preserve">BIN</w:t>
      </w:r>
      <w:r>
        <w:t xml:space="preserve">)</w:t>
      </w:r>
      <w:r>
        <w:t xml:space="preserve"> </w:t>
      </w:r>
      <w:r>
        <w:t xml:space="preserve">System</w:t>
      </w:r>
      <w:r>
        <w:t xml:space="preserve">.”</w:t>
      </w:r>
      <w:r>
        <w:t xml:space="preserve"> </w:t>
      </w:r>
      <w:r>
        <w:rPr>
          <w:iCs/>
          <w:i/>
        </w:rPr>
        <w:t xml:space="preserve">PLOS ONE</w:t>
      </w:r>
      <w:r>
        <w:t xml:space="preserve"> </w:t>
      </w:r>
      <w:r>
        <w:t xml:space="preserve">8 (7): e66213.</w:t>
      </w:r>
      <w:r>
        <w:t xml:space="preserve"> </w:t>
      </w:r>
      <w:hyperlink r:id="rId98">
        <w:r>
          <w:rPr>
            <w:rStyle w:val="Hyperlink"/>
          </w:rPr>
          <w:t xml:space="preserve">https://doi.org/10.1371/journal.pone.0066213</w:t>
        </w:r>
      </w:hyperlink>
      <w:r>
        <w:t xml:space="preserve">.</w:t>
      </w:r>
    </w:p>
    <w:bookmarkEnd w:id="99"/>
    <w:bookmarkStart w:id="101" w:name="ref-rosenbergGlobalBiomassNumber2023"/>
    <w:p>
      <w:pPr>
        <w:pStyle w:val="Bibliography"/>
      </w:pPr>
      <w:r>
        <w:t xml:space="preserve">Rosenberg, Yuval, Yinon M. Bar-On, Amir Fromm, Meital Ostikar, Aviv Shoshany, Omer Giz, and Ron Milo. 2023.</w:t>
      </w:r>
      <w:r>
        <w:t xml:space="preserve"> </w:t>
      </w:r>
      <w:r>
        <w:t xml:space="preserve">“The Global Biomass and Number of Terrestrial Arthropods.”</w:t>
      </w:r>
      <w:r>
        <w:t xml:space="preserve"> </w:t>
      </w:r>
      <w:r>
        <w:rPr>
          <w:iCs/>
          <w:i/>
        </w:rPr>
        <w:t xml:space="preserve">Science Advances</w:t>
      </w:r>
      <w:r>
        <w:t xml:space="preserve"> </w:t>
      </w:r>
      <w:r>
        <w:t xml:space="preserve">9 (5): eabq4049.</w:t>
      </w:r>
      <w:r>
        <w:t xml:space="preserve"> </w:t>
      </w:r>
      <w:hyperlink r:id="rId100">
        <w:r>
          <w:rPr>
            <w:rStyle w:val="Hyperlink"/>
          </w:rPr>
          <w:t xml:space="preserve">https://doi.org/10.1126/sciadv.abq4049</w:t>
        </w:r>
      </w:hyperlink>
      <w:r>
        <w:t xml:space="preserve">.</w:t>
      </w:r>
    </w:p>
    <w:bookmarkEnd w:id="101"/>
    <w:bookmarkStart w:id="103" w:name="X5c6e8e6856848eac883559fec215404b116d9a2"/>
    <w:p>
      <w:pPr>
        <w:pStyle w:val="Bibliography"/>
      </w:pPr>
      <w:r>
        <w:t xml:space="preserve">Sharkey, Michael J., Daniel H. Janzen, Winnie Hallwachs, Eric G. Chapman, M. Alex Smith, Tanya Dapkey, Allison Brown, et al. 2021.</w:t>
      </w:r>
      <w:r>
        <w:t xml:space="preserve"> </w:t>
      </w:r>
      <w:r>
        <w:t xml:space="preserve">“Minimalist Revision and Description of 403 New Species in 11 Subfamilies of</w:t>
      </w:r>
      <w:r>
        <w:t xml:space="preserve"> </w:t>
      </w:r>
      <w:r>
        <w:t xml:space="preserve">Costa Rican</w:t>
      </w:r>
      <w:r>
        <w:t xml:space="preserve"> </w:t>
      </w:r>
      <w:r>
        <w:t xml:space="preserve">Braconid Parasitoid Wasps, Including Host Records for 219 Species.”</w:t>
      </w:r>
      <w:r>
        <w:t xml:space="preserve"> </w:t>
      </w:r>
      <w:r>
        <w:rPr>
          <w:iCs/>
          <w:i/>
        </w:rPr>
        <w:t xml:space="preserve">ZooKeys</w:t>
      </w:r>
      <w:r>
        <w:t xml:space="preserve"> </w:t>
      </w:r>
      <w:r>
        <w:t xml:space="preserve">1013 (February): 1–665.</w:t>
      </w:r>
      <w:r>
        <w:t xml:space="preserve"> </w:t>
      </w:r>
      <w:hyperlink r:id="rId102">
        <w:r>
          <w:rPr>
            <w:rStyle w:val="Hyperlink"/>
          </w:rPr>
          <w:t xml:space="preserve">https://doi.org/10.3897/zookeys.1013.55600</w:t>
        </w:r>
      </w:hyperlink>
      <w:r>
        <w:t xml:space="preserve">.</w:t>
      </w:r>
    </w:p>
    <w:bookmarkEnd w:id="103"/>
    <w:bookmarkStart w:id="105" w:name="ref-storkHowManySpecies2018"/>
    <w:p>
      <w:pPr>
        <w:pStyle w:val="Bibliography"/>
      </w:pPr>
      <w:r>
        <w:t xml:space="preserve">Stork, Nigel E. 2018.</w:t>
      </w:r>
      <w:r>
        <w:t xml:space="preserve"> </w:t>
      </w:r>
      <w:r>
        <w:t xml:space="preserve">“How</w:t>
      </w:r>
      <w:r>
        <w:t xml:space="preserve"> </w:t>
      </w:r>
      <w:r>
        <w:t xml:space="preserve">Many Species</w:t>
      </w:r>
      <w:r>
        <w:t xml:space="preserve"> </w:t>
      </w:r>
      <w:r>
        <w:t xml:space="preserve">of</w:t>
      </w:r>
      <w:r>
        <w:t xml:space="preserve"> </w:t>
      </w:r>
      <w:r>
        <w:t xml:space="preserve">Insects</w:t>
      </w:r>
      <w:r>
        <w:t xml:space="preserve"> </w:t>
      </w:r>
      <w:r>
        <w:t xml:space="preserve">and</w:t>
      </w:r>
      <w:r>
        <w:t xml:space="preserve"> </w:t>
      </w:r>
      <w:r>
        <w:t xml:space="preserve">Other Terrestrial Arthropods Are There</w:t>
      </w:r>
      <w:r>
        <w:t xml:space="preserve"> </w:t>
      </w:r>
      <w:r>
        <w:t xml:space="preserve">on</w:t>
      </w:r>
      <w:r>
        <w:t xml:space="preserve"> </w:t>
      </w:r>
      <w:r>
        <w:t xml:space="preserve">Earth</w:t>
      </w:r>
      <w:r>
        <w:t xml:space="preserve">?”</w:t>
      </w:r>
      <w:r>
        <w:t xml:space="preserve"> </w:t>
      </w:r>
      <w:r>
        <w:rPr>
          <w:iCs/>
          <w:i/>
        </w:rPr>
        <w:t xml:space="preserve">Annual Review of Entomology</w:t>
      </w:r>
      <w:r>
        <w:t xml:space="preserve"> </w:t>
      </w:r>
      <w:r>
        <w:t xml:space="preserve">63 (1): 31–45.</w:t>
      </w:r>
      <w:r>
        <w:t xml:space="preserve"> </w:t>
      </w:r>
      <w:hyperlink r:id="rId104">
        <w:r>
          <w:rPr>
            <w:rStyle w:val="Hyperlink"/>
          </w:rPr>
          <w:t xml:space="preserve">https://doi.org/10.1146/annurev-ento-020117-043348</w:t>
        </w:r>
      </w:hyperlink>
      <w:r>
        <w:t xml:space="preserve">.</w:t>
      </w:r>
    </w:p>
    <w:bookmarkEnd w:id="105"/>
    <w:bookmarkStart w:id="107" w:name="ref-wagnerInsectDeclineAnthropocene2021"/>
    <w:p>
      <w:pPr>
        <w:pStyle w:val="Bibliography"/>
      </w:pPr>
      <w:r>
        <w:t xml:space="preserve">Wagner, David L., Eliza M. Grames, Matthew L. Forister, May R. Berenbaum, and David Stopak. 2021.</w:t>
      </w:r>
      <w:r>
        <w:t xml:space="preserve"> </w:t>
      </w:r>
      <w:r>
        <w:t xml:space="preserve">“Insect Decline in the</w:t>
      </w:r>
      <w:r>
        <w:t xml:space="preserve"> </w:t>
      </w:r>
      <w:r>
        <w:t xml:space="preserve">Anthropocene</w:t>
      </w:r>
      <w:r>
        <w:t xml:space="preserve">:</w:t>
      </w:r>
      <w:r>
        <w:t xml:space="preserve"> </w:t>
      </w:r>
      <w:r>
        <w:t xml:space="preserve">Death</w:t>
      </w:r>
      <w:r>
        <w:t xml:space="preserve"> </w:t>
      </w:r>
      <w:r>
        <w:t xml:space="preserve">by a Thousand Cuts.”</w:t>
      </w:r>
      <w:r>
        <w:t xml:space="preserve"> </w:t>
      </w:r>
      <w:r>
        <w:rPr>
          <w:iCs/>
          <w:i/>
        </w:rPr>
        <w:t xml:space="preserve">Proceedings of the National Academy of Sciences</w:t>
      </w:r>
      <w:r>
        <w:t xml:space="preserve"> </w:t>
      </w:r>
      <w:r>
        <w:t xml:space="preserve">118 (2): e2023989118.</w:t>
      </w:r>
      <w:r>
        <w:t xml:space="preserve"> </w:t>
      </w:r>
      <w:hyperlink r:id="rId106">
        <w:r>
          <w:rPr>
            <w:rStyle w:val="Hyperlink"/>
          </w:rPr>
          <w:t xml:space="preserve">https://doi.org/10.1073/pnas.2023989118</w:t>
        </w:r>
      </w:hyperlink>
      <w:r>
        <w:t xml:space="preserve">.</w:t>
      </w:r>
    </w:p>
    <w:bookmarkEnd w:id="107"/>
    <w:bookmarkStart w:id="109" w:name="ref-williamsonLocalScaleTemperature2022"/>
    <w:p>
      <w:pPr>
        <w:pStyle w:val="Bibliography"/>
      </w:pPr>
      <w:r>
        <w:t xml:space="preserve">Williamson, Joseph, Enoch Teh, Tommaso Jucker, Matilda Brindle, Emma Bush, Arthur Y. C. Chung, Jonathan Parrett, Owen T. Lewis, Stephen J. Rossiter, and Eleanor M. Slade. 2022.</w:t>
      </w:r>
      <w:r>
        <w:t xml:space="preserve"> </w:t>
      </w:r>
      <w:r>
        <w:t xml:space="preserve">“Local-Scale Temperature Gradients Driven by Human Disturbance Shape the Physiological and Morphological Traits of Dung Beetle Communities in a</w:t>
      </w:r>
      <w:r>
        <w:t xml:space="preserve"> </w:t>
      </w:r>
      <w:r>
        <w:t xml:space="preserve">Bornean</w:t>
      </w:r>
      <w:r>
        <w:t xml:space="preserve"> </w:t>
      </w:r>
      <w:r>
        <w:t xml:space="preserve">Oil Palm</w:t>
      </w:r>
      <w:r>
        <w:t xml:space="preserve">forest Mosaic.”</w:t>
      </w:r>
      <w:r>
        <w:t xml:space="preserve"> </w:t>
      </w:r>
      <w:r>
        <w:rPr>
          <w:iCs/>
          <w:i/>
        </w:rPr>
        <w:t xml:space="preserve">Functional Ecology</w:t>
      </w:r>
      <w:r>
        <w:t xml:space="preserve">, May, 1365–2435.14062.</w:t>
      </w:r>
      <w:r>
        <w:t xml:space="preserve"> </w:t>
      </w:r>
      <w:hyperlink r:id="rId108">
        <w:r>
          <w:rPr>
            <w:rStyle w:val="Hyperlink"/>
          </w:rPr>
          <w:t xml:space="preserve">https://doi.org/10.1111/1365-2435.14062</w:t>
        </w:r>
      </w:hyperlink>
      <w:r>
        <w:t xml:space="preserve">.</w:t>
      </w:r>
    </w:p>
    <w:bookmarkEnd w:id="109"/>
    <w:bookmarkEnd w:id="110"/>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60" Target="media/rId60.png" /><Relationship Type="http://schemas.openxmlformats.org/officeDocument/2006/relationships/image" Id="rId56" Target="media/rId56.png" /><Relationship Type="http://schemas.openxmlformats.org/officeDocument/2006/relationships/image" Id="rId42" Target="media/rId42.jpg" /><Relationship Type="http://schemas.openxmlformats.org/officeDocument/2006/relationships/hyperlink" Id="rId86" Target="http://www.vliz.be/en/imis?refid=64543" TargetMode="External" /><Relationship Type="http://schemas.openxmlformats.org/officeDocument/2006/relationships/hyperlink" Id="rId92" Target="https://CRAN.R-project.org/package=vegan" TargetMode="External" /><Relationship Type="http://schemas.openxmlformats.org/officeDocument/2006/relationships/hyperlink" Id="rId76" Target="https://doi.org/10.1038/s43017-023-00478-x" TargetMode="External" /><Relationship Type="http://schemas.openxmlformats.org/officeDocument/2006/relationships/hyperlink" Id="rId106" Target="https://doi.org/10.1073/pnas.2023989118" TargetMode="External" /><Relationship Type="http://schemas.openxmlformats.org/officeDocument/2006/relationships/hyperlink" Id="rId88" Target="https://doi.org/10.1098/rstb.2003.1443" TargetMode="External" /><Relationship Type="http://schemas.openxmlformats.org/officeDocument/2006/relationships/hyperlink" Id="rId108" Target="https://doi.org/10.1111/1365-2435.14062" TargetMode="External" /><Relationship Type="http://schemas.openxmlformats.org/officeDocument/2006/relationships/hyperlink" Id="rId90" Target="https://doi.org/10.1111/cla.12489" TargetMode="External" /><Relationship Type="http://schemas.openxmlformats.org/officeDocument/2006/relationships/hyperlink" Id="rId96" Target="https://doi.org/10.1111/j.1471-8286.2007.01678.x" TargetMode="External" /><Relationship Type="http://schemas.openxmlformats.org/officeDocument/2006/relationships/hyperlink" Id="rId82" Target="https://doi.org/10.1111/mec.14693" TargetMode="External" /><Relationship Type="http://schemas.openxmlformats.org/officeDocument/2006/relationships/hyperlink" Id="rId100" Target="https://doi.org/10.1126/sciadv.abq4049" TargetMode="External" /><Relationship Type="http://schemas.openxmlformats.org/officeDocument/2006/relationships/hyperlink" Id="rId84" Target="https://doi.org/10.1139/gen-2018-0093" TargetMode="External" /><Relationship Type="http://schemas.openxmlformats.org/officeDocument/2006/relationships/hyperlink" Id="rId104" Target="https://doi.org/10.1146/annurev-ento-020117-043348" TargetMode="External" /><Relationship Type="http://schemas.openxmlformats.org/officeDocument/2006/relationships/hyperlink" Id="rId98" Target="https://doi.org/10.1371/journal.pone.0066213" TargetMode="External" /><Relationship Type="http://schemas.openxmlformats.org/officeDocument/2006/relationships/hyperlink" Id="rId74" Target="https://doi.org/10.1371/journal.pone.0199965" TargetMode="External" /><Relationship Type="http://schemas.openxmlformats.org/officeDocument/2006/relationships/hyperlink" Id="rId78" Target="https://doi.org/10.1371/journal.pone.0267390" TargetMode="External" /><Relationship Type="http://schemas.openxmlformats.org/officeDocument/2006/relationships/hyperlink" Id="rId80" Target="https://doi.org/10.1890/13-0133.1" TargetMode="External" /><Relationship Type="http://schemas.openxmlformats.org/officeDocument/2006/relationships/hyperlink" Id="rId102" Target="https://doi.org/10.3897/zookeys.1013.55600" TargetMode="External" /><Relationship Type="http://schemas.openxmlformats.org/officeDocument/2006/relationships/hyperlink" Id="rId94"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86" Target="http://www.vliz.be/en/imis?refid=64543" TargetMode="External" /><Relationship Type="http://schemas.openxmlformats.org/officeDocument/2006/relationships/hyperlink" Id="rId92" Target="https://CRAN.R-project.org/package=vegan" TargetMode="External" /><Relationship Type="http://schemas.openxmlformats.org/officeDocument/2006/relationships/hyperlink" Id="rId76" Target="https://doi.org/10.1038/s43017-023-00478-x" TargetMode="External" /><Relationship Type="http://schemas.openxmlformats.org/officeDocument/2006/relationships/hyperlink" Id="rId106" Target="https://doi.org/10.1073/pnas.2023989118" TargetMode="External" /><Relationship Type="http://schemas.openxmlformats.org/officeDocument/2006/relationships/hyperlink" Id="rId88" Target="https://doi.org/10.1098/rstb.2003.1443" TargetMode="External" /><Relationship Type="http://schemas.openxmlformats.org/officeDocument/2006/relationships/hyperlink" Id="rId108" Target="https://doi.org/10.1111/1365-2435.14062" TargetMode="External" /><Relationship Type="http://schemas.openxmlformats.org/officeDocument/2006/relationships/hyperlink" Id="rId90" Target="https://doi.org/10.1111/cla.12489" TargetMode="External" /><Relationship Type="http://schemas.openxmlformats.org/officeDocument/2006/relationships/hyperlink" Id="rId96" Target="https://doi.org/10.1111/j.1471-8286.2007.01678.x" TargetMode="External" /><Relationship Type="http://schemas.openxmlformats.org/officeDocument/2006/relationships/hyperlink" Id="rId82" Target="https://doi.org/10.1111/mec.14693" TargetMode="External" /><Relationship Type="http://schemas.openxmlformats.org/officeDocument/2006/relationships/hyperlink" Id="rId100" Target="https://doi.org/10.1126/sciadv.abq4049" TargetMode="External" /><Relationship Type="http://schemas.openxmlformats.org/officeDocument/2006/relationships/hyperlink" Id="rId84" Target="https://doi.org/10.1139/gen-2018-0093" TargetMode="External" /><Relationship Type="http://schemas.openxmlformats.org/officeDocument/2006/relationships/hyperlink" Id="rId104" Target="https://doi.org/10.1146/annurev-ento-020117-043348" TargetMode="External" /><Relationship Type="http://schemas.openxmlformats.org/officeDocument/2006/relationships/hyperlink" Id="rId98" Target="https://doi.org/10.1371/journal.pone.0066213" TargetMode="External" /><Relationship Type="http://schemas.openxmlformats.org/officeDocument/2006/relationships/hyperlink" Id="rId74" Target="https://doi.org/10.1371/journal.pone.0199965" TargetMode="External" /><Relationship Type="http://schemas.openxmlformats.org/officeDocument/2006/relationships/hyperlink" Id="rId78" Target="https://doi.org/10.1371/journal.pone.0267390" TargetMode="External" /><Relationship Type="http://schemas.openxmlformats.org/officeDocument/2006/relationships/hyperlink" Id="rId80" Target="https://doi.org/10.1890/13-0133.1" TargetMode="External" /><Relationship Type="http://schemas.openxmlformats.org/officeDocument/2006/relationships/hyperlink" Id="rId102" Target="https://doi.org/10.3897/zookeys.1013.55600" TargetMode="External" /><Relationship Type="http://schemas.openxmlformats.org/officeDocument/2006/relationships/hyperlink" Id="rId94"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Ghana BINs draft manuscript</dc:title>
  <dc:creator/>
  <cp:keywords/>
  <dcterms:created xsi:type="dcterms:W3CDTF">2023-10-17T14:34:48Z</dcterms:created>
  <dcterms:modified xsi:type="dcterms:W3CDTF">2023-10-17T14:34:48Z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date">
    <vt:lpwstr>Oct 17, 2023</vt:lpwstr>
  </property>
  <property fmtid="{D5CDD505-2E9C-101B-9397-08002B2CF9AE}" pid="9" name="date-format">
    <vt:lpwstr>medium</vt:lpwstr>
  </property>
  <property fmtid="{D5CDD505-2E9C-101B-9397-08002B2CF9AE}" pid="10" name="editor">
    <vt:lpwstr>visual</vt:lpwstr>
  </property>
  <property fmtid="{D5CDD505-2E9C-101B-9397-08002B2CF9AE}" pid="11" name="execute">
    <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oc-title">
    <vt:lpwstr>Table of contents</vt:lpwstr>
  </property>
</Properties>
</file>