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b/>
          <w:color w:val="1F3864"/>
          <w:sz w:val="48"/>
        </w:rPr>
        <w:t>Azure OpenAI Content Filter Brief</w:t>
      </w:r>
    </w:p>
    <w:p>
      <w:pPr>
        <w:spacing w:after="200"/>
      </w:pPr>
      <w:r>
        <w:rPr>
          <w:color w:val="2E74B5"/>
          <w:sz w:val="26"/>
        </w:rPr>
        <w:t>pacEHR AI service: what we need, where, and why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3"/>
        <w:gridCol w:w="4873"/>
      </w:tblGrid>
      <w:tr>
        <w:tc>
          <w:tcPr>
            <w:tcW w:type="dxa" w:w="1928"/>
            <w:shd w:val="clear" w:color="auto" w:fill="DEEB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20"/>
              </w:rPr>
              <w:t>Prepared by</w:t>
            </w:r>
          </w:p>
        </w:tc>
        <w:tc>
          <w:tcPr>
            <w:tcW w:type="dxa" w:w="748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Hem Singh, pacEHR AI development team</w:t>
            </w:r>
          </w:p>
        </w:tc>
      </w:tr>
      <w:tr>
        <w:tc>
          <w:tcPr>
            <w:tcW w:type="dxa" w:w="1928"/>
            <w:shd w:val="clear" w:color="auto" w:fill="DEEB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20"/>
              </w:rPr>
              <w:t>Date</w:t>
            </w:r>
          </w:p>
        </w:tc>
        <w:tc>
          <w:tcPr>
            <w:tcW w:type="dxa" w:w="748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15 October 2026</w:t>
            </w:r>
          </w:p>
        </w:tc>
      </w:tr>
      <w:tr>
        <w:tc>
          <w:tcPr>
            <w:tcW w:type="dxa" w:w="1928"/>
            <w:shd w:val="clear" w:color="auto" w:fill="DEEB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20"/>
              </w:rPr>
              <w:t>Request</w:t>
            </w:r>
          </w:p>
        </w:tc>
        <w:tc>
          <w:tcPr>
            <w:tcW w:type="dxa" w:w="748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One custom content filter, </w:t>
            </w:r>
            <w:r>
              <w:rPr>
                <w:rFonts w:ascii="Consolas" w:hAnsi="Consolas"/>
                <w:color w:val="1F3864"/>
                <w:sz w:val="20"/>
              </w:rPr>
              <w:t>pacehr-clinical-extraction</w:t>
            </w:r>
            <w:r>
              <w:rPr>
                <w:sz w:val="20"/>
              </w:rPr>
              <w:t>, on each environment's Azure OpenAI resource</w:t>
            </w:r>
          </w:p>
        </w:tc>
      </w:tr>
      <w:tr>
        <w:tc>
          <w:tcPr>
            <w:tcW w:type="dxa" w:w="1928"/>
            <w:shd w:val="clear" w:color="auto" w:fill="DEEB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20"/>
              </w:rPr>
              <w:t>Effort</w:t>
            </w:r>
          </w:p>
        </w:tc>
        <w:tc>
          <w:tcPr>
            <w:tcW w:type="dxa" w:w="748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About 15 minutes per environment</w:t>
            </w:r>
          </w:p>
        </w:tc>
      </w:tr>
    </w:tbl>
    <w:p>
      <w:pPr>
        <w:spacing w:after="40"/>
      </w:pPr>
    </w:p>
    <w:p>
      <w:pPr>
        <w:pStyle w:val="Heading1"/>
      </w:pPr>
      <w:r>
        <w:t>1.  Summary</w:t>
      </w:r>
    </w:p>
    <w:p>
      <w:pPr>
        <w:spacing w:after="120"/>
      </w:pPr>
      <w:r>
        <w:t xml:space="preserve">We need a custom content filter (RAI policy) named </w:t>
      </w:r>
      <w:r>
        <w:rPr>
          <w:rFonts w:ascii="Consolas" w:hAnsi="Consolas"/>
          <w:color w:val="1F3864"/>
        </w:rPr>
        <w:t>pacehr-clinical-extraction</w:t>
      </w:r>
      <w:r>
        <w:t xml:space="preserve"> on each environment's Azure OpenAI resource. The filter is </w:t>
      </w:r>
      <w:r>
        <w:rPr>
          <w:b/>
        </w:rPr>
        <w:t>not attached to any deployment</w:t>
      </w:r>
      <w:r>
        <w:t xml:space="preserve">. The pacEHR AI service selects it on each of its own requests with the </w:t>
      </w:r>
      <w:r>
        <w:rPr>
          <w:rFonts w:ascii="Consolas" w:hAnsi="Consolas"/>
          <w:color w:val="1F3864"/>
        </w:rPr>
        <w:t>x-policy-id</w:t>
      </w:r>
      <w:r>
        <w:t xml:space="preserve"> header, so other applications using the same GPT-4.1 deployment are not affected.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22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w-it-wor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1: Where the custom filter applies</w:t>
      </w:r>
    </w:p>
    <w:p>
      <w:pPr>
        <w:pStyle w:val="Heading1"/>
      </w:pPr>
      <w:r>
        <w:t>2.  Why it's needed</w:t>
      </w:r>
    </w:p>
    <w:p>
      <w:pPr>
        <w:spacing w:after="120"/>
      </w:pPr>
      <w:r>
        <w:t xml:space="preserve">The pacEHR AI service sends clinical notes to GPT-4.1 to extract structured fields. Azure's default filter blocks input rated </w:t>
      </w:r>
      <w:r>
        <w:rPr>
          <w:b/>
        </w:rPr>
        <w:t>Medium</w:t>
      </w:r>
      <w:r>
        <w:t xml:space="preserve"> or above for self-harm, violence, sexual content or hate. Routine clinical wording reaches that level, for example “Hx of suicidal ideation, denies current SI/HI”, “laceration from assault” and “sexual history: …”. With the default filter, Azure would refuse these notes and the extraction would fail for legitimate patient records.</w:t>
      </w:r>
    </w:p>
    <w:p>
      <w:pPr>
        <w:pStyle w:val="Heading1"/>
      </w:pPr>
      <w:r>
        <w:t>3.  What it adds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3175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Benefit</w:t>
            </w:r>
          </w:p>
        </w:tc>
        <w:tc>
          <w:tcPr>
            <w:tcW w:type="dxa" w:w="6236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How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Clinical notes are processed without false refusals</w:t>
            </w:r>
          </w:p>
        </w:tc>
        <w:tc>
          <w:tcPr>
            <w:tcW w:type="dxa" w:w="62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The four harm categories are set to annotate only on input, so clinical wording is let through and still logged with a severity rating.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Safety on the model's answer is kept</w:t>
            </w:r>
          </w:p>
        </w:tc>
        <w:tc>
          <w:tcPr>
            <w:tcW w:type="dxa" w:w="62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The output filter still blocks anything rated </w:t>
            </w:r>
            <w:r>
              <w:rPr>
                <w:b/>
                <w:sz w:val="20"/>
              </w:rPr>
              <w:t>High</w:t>
            </w:r>
            <w:r>
              <w:rPr>
                <w:sz w:val="20"/>
              </w:rPr>
              <w:t xml:space="preserve"> for harm.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Protection against prompt injection</w:t>
            </w:r>
          </w:p>
        </w:tc>
        <w:tc>
          <w:tcPr>
            <w:tcW w:type="dxa" w:w="62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Prompt Shields for jailbreak attacks stays </w:t>
            </w:r>
            <w:r>
              <w:rPr>
                <w:b/>
                <w:sz w:val="20"/>
              </w:rPr>
              <w:t>blocking</w:t>
            </w:r>
            <w:r>
              <w:rPr>
                <w:sz w:val="20"/>
              </w:rPr>
              <w:t>. Our service also runs its own injection scanner and note-length limit before any request reaches Azure.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No impact on other applications</w:t>
            </w:r>
          </w:p>
        </w:tc>
        <w:tc>
          <w:tcPr>
            <w:tcW w:type="dxa" w:w="62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The filter is selected per request, not attached to the deployment, so the deployment's current filter and every other caller stay unchanged.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Fails safe</w:t>
            </w:r>
          </w:p>
        </w:tc>
        <w:tc>
          <w:tcPr>
            <w:tcW w:type="dxa" w:w="62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If the filter is missing or renamed, Azure rejects the request (</w:t>
            </w:r>
            <w:r>
              <w:rPr>
                <w:rFonts w:ascii="Consolas" w:hAnsi="Consolas"/>
                <w:color w:val="1F3864"/>
                <w:sz w:val="20"/>
              </w:rPr>
              <w:t>InvalidContentFilterPolicy</w:t>
            </w:r>
            <w:r>
              <w:rPr>
                <w:sz w:val="20"/>
              </w:rPr>
              <w:t>). It never silently falls back to a different filter.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Controlled rollout</w:t>
            </w:r>
          </w:p>
        </w:tc>
        <w:tc>
          <w:tcPr>
            <w:tcW w:type="dxa" w:w="62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Our service only starts using the filter in an environment after you confirm it exists there. It can be switched off on our side without any Azure change.</w:t>
            </w:r>
          </w:p>
        </w:tc>
      </w:tr>
    </w:tbl>
    <w:p>
      <w:pPr>
        <w:spacing w:after="40"/>
      </w:pPr>
    </w:p>
    <w:p>
      <w:pPr>
        <w:pStyle w:val="Heading1"/>
      </w:pPr>
      <w:r>
        <w:t>4.  Key details</w:t>
      </w:r>
    </w:p>
    <w:p>
      <w:pPr>
        <w:spacing w:after="120"/>
      </w:pPr>
      <w:r>
        <w:t>For reference in change requests and tickets.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2948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463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Filter name (exact, case-sensitive)</w:t>
            </w:r>
          </w:p>
        </w:tc>
        <w:tc>
          <w:tcPr>
            <w:tcW w:type="dxa" w:w="64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864"/>
                <w:sz w:val="20"/>
              </w:rPr>
              <w:t>pacehr-clinical-extraction</w:t>
            </w:r>
          </w:p>
        </w:tc>
      </w:tr>
      <w:tr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Resource type</w:t>
            </w:r>
          </w:p>
        </w:tc>
        <w:tc>
          <w:tcPr>
            <w:tcW w:type="dxa" w:w="64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Content filter (RAI policy) on the Azure OpenAI resource: </w:t>
            </w:r>
            <w:r>
              <w:rPr>
                <w:rFonts w:ascii="Consolas" w:hAnsi="Consolas"/>
                <w:color w:val="1F3864"/>
                <w:sz w:val="20"/>
              </w:rPr>
              <w:t>Microsoft.CognitiveServices/accounts/raiPolicies</w:t>
            </w:r>
          </w:p>
        </w:tc>
      </w:tr>
      <w:tr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Base policy</w:t>
            </w:r>
          </w:p>
        </w:tc>
        <w:tc>
          <w:tcPr>
            <w:tcW w:type="dxa" w:w="64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864"/>
                <w:sz w:val="20"/>
              </w:rPr>
              <w:t>Microsoft.Default</w:t>
            </w:r>
          </w:p>
        </w:tc>
      </w:tr>
      <w:tr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Where it is managed</w:t>
            </w:r>
          </w:p>
        </w:tc>
        <w:tc>
          <w:tcPr>
            <w:tcW w:type="dxa" w:w="64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Foundry (classic) portal → Guardrails + controls → Content filters, or the raiPolicies REST API (version 2024-10-01)</w:t>
            </w:r>
          </w:p>
        </w:tc>
      </w:tr>
      <w:tr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Attached to a deployment</w:t>
            </w:r>
          </w:p>
        </w:tc>
        <w:tc>
          <w:tcPr>
            <w:tcW w:type="dxa" w:w="64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No.</w:t>
            </w:r>
            <w:r>
              <w:rPr>
                <w:sz w:val="20"/>
              </w:rPr>
              <w:t xml:space="preserve"> Leave the deployment's current filter unchanged</w:t>
            </w:r>
          </w:p>
        </w:tc>
      </w:tr>
      <w:tr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How our service selects it</w:t>
            </w:r>
          </w:p>
        </w:tc>
        <w:tc>
          <w:tcPr>
            <w:tcW w:type="dxa" w:w="64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Request header </w:t>
            </w:r>
            <w:r>
              <w:rPr>
                <w:rFonts w:ascii="Consolas" w:hAnsi="Consolas"/>
                <w:color w:val="1F3864"/>
                <w:sz w:val="20"/>
              </w:rPr>
              <w:t>x-policy-id: pacehr-clinical-extraction</w:t>
            </w:r>
            <w:r>
              <w:rPr>
                <w:sz w:val="20"/>
              </w:rPr>
              <w:t xml:space="preserve"> on every call</w:t>
            </w:r>
          </w:p>
        </w:tc>
      </w:tr>
      <w:tr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Model deployment used</w:t>
            </w:r>
          </w:p>
        </w:tc>
        <w:tc>
          <w:tcPr>
            <w:tcW w:type="dxa" w:w="64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GPT-4.1. Deployment type must be </w:t>
            </w:r>
            <w:r>
              <w:rPr>
                <w:rFonts w:ascii="Consolas" w:hAnsi="Consolas"/>
                <w:color w:val="1F3864"/>
                <w:sz w:val="20"/>
              </w:rPr>
              <w:t>Standard</w:t>
            </w:r>
            <w:r>
              <w:rPr>
                <w:sz w:val="20"/>
              </w:rPr>
              <w:t xml:space="preserve"> or </w:t>
            </w:r>
            <w:r>
              <w:rPr>
                <w:rFonts w:ascii="Consolas" w:hAnsi="Consolas"/>
                <w:color w:val="1F3864"/>
                <w:sz w:val="20"/>
              </w:rPr>
              <w:t>DataZoneStandard</w:t>
            </w:r>
            <w:r>
              <w:rPr>
                <w:sz w:val="20"/>
              </w:rPr>
              <w:t xml:space="preserve"> (US). Please tell us if it is a Global type</w:t>
            </w:r>
          </w:p>
        </w:tc>
      </w:tr>
      <w:tr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Role needed to create it</w:t>
            </w:r>
          </w:p>
        </w:tc>
        <w:tc>
          <w:tcPr>
            <w:tcW w:type="dxa" w:w="64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Cognitive Services Contributor, Contributor or Owner on the resource</w:t>
            </w:r>
          </w:p>
        </w:tc>
      </w:tr>
      <w:tr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Error if the filter is missing</w:t>
            </w:r>
          </w:p>
        </w:tc>
        <w:tc>
          <w:tcPr>
            <w:tcW w:type="dxa" w:w="64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HTTP 400 </w:t>
            </w:r>
            <w:r>
              <w:rPr>
                <w:rFonts w:ascii="Consolas" w:hAnsi="Consolas"/>
                <w:color w:val="1F3864"/>
                <w:sz w:val="20"/>
              </w:rPr>
              <w:t>InvalidContentFilterPolicy</w:t>
            </w:r>
          </w:p>
        </w:tc>
      </w:tr>
    </w:tbl>
    <w:p>
      <w:pPr>
        <w:spacing w:after="40"/>
      </w:pPr>
    </w:p>
    <w:p>
      <w:pPr>
        <w:pStyle w:val="Heading1"/>
      </w:pPr>
      <w:r>
        <w:t>5.  Filter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175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Filter</w:t>
            </w:r>
          </w:p>
        </w:tc>
        <w:tc>
          <w:tcPr>
            <w:tcW w:type="dxa" w:w="1928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Applies to</w:t>
            </w:r>
          </w:p>
        </w:tc>
        <w:tc>
          <w:tcPr>
            <w:tcW w:type="dxa" w:w="4309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Setting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Violence, Hate, Sexual, Self-harm</w:t>
            </w:r>
          </w:p>
        </w:tc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Input (prompt)</w:t>
            </w:r>
          </w:p>
        </w:tc>
        <w:tc>
          <w:tcPr>
            <w:tcW w:type="dxa" w:w="43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Annotate only.</w:t>
            </w:r>
            <w:r>
              <w:rPr>
                <w:sz w:val="20"/>
              </w:rPr>
              <w:t xml:space="preserve"> If that isn't available on your subscription, use threshold High, blocking, and let us know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Violence, Hate, Sexual, Self-harm</w:t>
            </w:r>
          </w:p>
        </w:tc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Output (completion)</w:t>
            </w:r>
          </w:p>
        </w:tc>
        <w:tc>
          <w:tcPr>
            <w:tcW w:type="dxa" w:w="43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Threshold </w:t>
            </w:r>
            <w:r>
              <w:rPr>
                <w:b/>
                <w:sz w:val="20"/>
              </w:rPr>
              <w:t>High</w:t>
            </w:r>
            <w:r>
              <w:rPr>
                <w:sz w:val="20"/>
              </w:rPr>
              <w:t>, blocking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Prompt Shields: jailbreak attacks</w:t>
            </w:r>
          </w:p>
        </w:tc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Input</w:t>
            </w:r>
          </w:p>
        </w:tc>
        <w:tc>
          <w:tcPr>
            <w:tcW w:type="dxa" w:w="43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Annotate and block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Prompt Shields: indirect attacks</w:t>
            </w:r>
          </w:p>
        </w:tc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Input</w:t>
            </w:r>
          </w:p>
        </w:tc>
        <w:tc>
          <w:tcPr>
            <w:tcW w:type="dxa" w:w="43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Off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Protected material: text and code</w:t>
            </w:r>
          </w:p>
        </w:tc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Output</w:t>
            </w:r>
          </w:p>
        </w:tc>
        <w:tc>
          <w:tcPr>
            <w:tcW w:type="dxa" w:w="43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Annotate only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Groundedness, PII (preview)</w:t>
            </w:r>
          </w:p>
        </w:tc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Output</w:t>
            </w:r>
          </w:p>
        </w:tc>
        <w:tc>
          <w:tcPr>
            <w:tcW w:type="dxa" w:w="43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Off (the answer is meant to contain patient details)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Blocklists, including the built-in Profanity list</w:t>
            </w:r>
          </w:p>
        </w:tc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Input and output</w:t>
            </w:r>
          </w:p>
        </w:tc>
        <w:tc>
          <w:tcPr>
            <w:tcW w:type="dxa" w:w="43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Off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Streaming mode</w:t>
            </w:r>
          </w:p>
        </w:tc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Output</w:t>
            </w:r>
          </w:p>
        </w:tc>
        <w:tc>
          <w:tcPr>
            <w:tcW w:type="dxa" w:w="43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0"/>
              </w:rPr>
              <w:t>Default (our service doesn't stream)</w:t>
            </w:r>
          </w:p>
        </w:tc>
      </w:tr>
    </w:tbl>
    <w:p>
      <w:pPr>
        <w:spacing w:after="40"/>
      </w:pPr>
    </w:p>
    <w:p>
      <w:pPr>
        <w:pStyle w:val="Heading1"/>
      </w:pPr>
      <w:r>
        <w:t>6.  Environments and resources</w:t>
      </w:r>
    </w:p>
    <w:p>
      <w:pPr>
        <w:spacing w:after="120"/>
      </w:pPr>
      <w:r>
        <w:t>Please confirm or fill in the blanks, and tick each environment once the filter exists.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134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2494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Azure OpenAI resource</w:t>
            </w:r>
          </w:p>
        </w:tc>
        <w:tc>
          <w:tcPr>
            <w:tcW w:type="dxa" w:w="1587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Resource group</w:t>
            </w:r>
          </w:p>
        </w:tc>
        <w:tc>
          <w:tcPr>
            <w:tcW w:type="dxa" w:w="1587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GPT-4.1 deployment</w:t>
            </w:r>
          </w:p>
        </w:tc>
        <w:tc>
          <w:tcPr>
            <w:tcW w:type="dxa" w:w="1474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Deployment type</w:t>
            </w:r>
          </w:p>
        </w:tc>
        <w:tc>
          <w:tcPr>
            <w:tcW w:type="dxa" w:w="1134"/>
            <w:shd w:val="clear" w:color="auto" w:fill="1F3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Filter created</w:t>
            </w:r>
          </w:p>
        </w:tc>
      </w:tr>
      <w:tr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Dev</w:t>
            </w:r>
          </w:p>
        </w:tc>
        <w:tc>
          <w:tcPr>
            <w:tcW w:type="dxa" w:w="24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864"/>
                <w:sz w:val="18"/>
              </w:rPr>
              <w:t>oai-3pillar-dev-eus2</w:t>
            </w:r>
          </w:p>
        </w:tc>
        <w:tc>
          <w:tcPr>
            <w:tcW w:type="dxa" w:w="158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58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4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QA</w:t>
            </w:r>
          </w:p>
        </w:tc>
        <w:tc>
          <w:tcPr>
            <w:tcW w:type="dxa" w:w="24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864"/>
                <w:sz w:val="18"/>
              </w:rPr>
              <w:t>thesnfist-q-eastus2-oai</w:t>
            </w:r>
            <w:r>
              <w:rPr>
                <w:sz w:val="18"/>
              </w:rPr>
              <w:t xml:space="preserve"> (to confirm)</w:t>
            </w:r>
          </w:p>
        </w:tc>
        <w:tc>
          <w:tcPr>
            <w:tcW w:type="dxa" w:w="158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58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4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UAT</w:t>
            </w:r>
          </w:p>
        </w:tc>
        <w:tc>
          <w:tcPr>
            <w:tcW w:type="dxa" w:w="24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58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58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4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Preprod</w:t>
            </w:r>
          </w:p>
        </w:tc>
        <w:tc>
          <w:tcPr>
            <w:tcW w:type="dxa" w:w="24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58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58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4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Prod</w:t>
            </w:r>
          </w:p>
        </w:tc>
        <w:tc>
          <w:tcPr>
            <w:tcW w:type="dxa" w:w="24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58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58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4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11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</w:tr>
    </w:tbl>
    <w:p>
      <w:pPr>
        <w:spacing w:after="40"/>
      </w:pPr>
    </w:p>
    <w:p>
      <w:pPr>
        <w:pStyle w:val="Heading1"/>
      </w:pPr>
      <w:r>
        <w:t>7.  Rollout and coordination</w:t>
      </w:r>
    </w:p>
    <w:p>
      <w:pPr>
        <w:pStyle w:val="ListBullet"/>
        <w:spacing w:after="60"/>
      </w:pPr>
      <w:r>
        <w:rPr>
          <w:b/>
        </w:rPr>
        <w:t>One environment at a time, dev first.</w:t>
      </w:r>
      <w:r>
        <w:t xml:space="preserve"> After each one, we switch our service to the filter and run our test set of made-up clinical notes, then confirm before you move to the next environment.</w:t>
      </w:r>
    </w:p>
    <w:p>
      <w:pPr>
        <w:pStyle w:val="ListBullet"/>
        <w:spacing w:after="60"/>
      </w:pPr>
      <w:r>
        <w:rPr>
          <w:b/>
        </w:rPr>
        <w:t>Tell us before changing, renaming or removing the filter.</w:t>
      </w:r>
      <w:r>
        <w:t xml:space="preserve"> We switch our setting off first, because every request names the filter.</w:t>
      </w:r>
    </w:p>
    <w:p>
      <w:pPr>
        <w:pStyle w:val="ListBullet"/>
        <w:spacing w:after="60"/>
      </w:pPr>
      <w:r>
        <w:t>Leave unchanged: the filter attached to the GPT-4.1 deployment, custom blocklists (none), and Purview prompt capture (off).</w:t>
      </w:r>
    </w:p>
    <w:p>
      <w:pPr>
        <w:pStyle w:val="ListBullet"/>
        <w:spacing w:after="60"/>
      </w:pPr>
      <w:r>
        <w:t xml:space="preserve">If Defender for Cloud AI threat protection is ever enabled, keep </w:t>
      </w:r>
      <w:r>
        <w:rPr>
          <w:b/>
        </w:rPr>
        <w:t>prompt evidence off</w:t>
      </w:r>
      <w:r>
        <w:t>, because it copies note text into alerts.</w:t>
      </w:r>
    </w:p>
    <w:p>
      <w:pPr>
        <w:pStyle w:val="ListBullet"/>
        <w:spacing w:after="60"/>
      </w:pPr>
      <w:r>
        <w:t>Use only made-up text in portal “Try it out” pages. Never paste real patient data.</w:t>
      </w:r>
    </w:p>
    <w:p>
      <w:pPr>
        <w:spacing w:after="120"/>
      </w:pPr>
    </w:p>
    <w:p>
      <w:pPr>
        <w:spacing w:after="120"/>
      </w:pPr>
      <w:r>
        <w:rPr>
          <w:color w:val="595959"/>
          <w:sz w:val="20"/>
        </w:rPr>
        <w:t>A detailed step-by-step guide (portal and Azure CLI) is available on request. Contact: Hem Singh, pacEHR AI development team.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Page </w:t>
    </w:r>
    <w:r>
      <w:rPr>
        <w:color w:val="595959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95959"/>
        <w:sz w:val="17"/>
      </w:rPr>
      <w:t xml:space="preserve"> of </w:t>
    </w:r>
    <w:r>
      <w:rPr>
        <w:color w:val="595959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Page </w:t>
    </w:r>
    <w:r>
      <w:rPr>
        <w:color w:val="595959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95959"/>
        <w:sz w:val="17"/>
      </w:rPr>
      <w:t xml:space="preserve"> of </w:t>
    </w:r>
    <w:r>
      <w:rPr>
        <w:color w:val="595959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7"/>
      </w:rPr>
      <w:t>pacEHR AI  |  Azure OpenAI Content Filter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OpenAI Content Filter Brief</dc:title>
  <dc:subject/>
  <dc:creator>Hem Singh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