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b/>
          <w:color w:val="1F3864"/>
          <w:sz w:val="52"/>
        </w:rPr>
        <w:t>Azure OpenAI Content Filter Setup</w:t>
      </w:r>
    </w:p>
    <w:p>
      <w:pPr>
        <w:spacing w:after="200"/>
      </w:pPr>
      <w:r>
        <w:rPr>
          <w:color w:val="2E74B5"/>
          <w:sz w:val="26"/>
        </w:rPr>
        <w:t>pacEHR AI service: a request for your Azure administrator</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c>
          <w:tcPr>
            <w:tcW w:type="dxa" w:w="2381"/>
            <w:shd w:val="clear" w:color="auto" w:fill="DEEBF7"/>
            <w:tcMar>
              <w:top w:w="80" w:type="dxa"/>
              <w:bottom w:w="80" w:type="dxa"/>
              <w:start w:w="120" w:type="dxa"/>
              <w:end w:w="120" w:type="dxa"/>
            </w:tcMar>
          </w:tcPr>
          <w:p>
            <w:pPr>
              <w:spacing w:after="0"/>
            </w:pPr>
            <w:r>
              <w:rPr>
                <w:b/>
                <w:color w:val="1F3864"/>
                <w:sz w:val="20"/>
              </w:rPr>
              <w:t>Prepared by</w:t>
            </w:r>
          </w:p>
        </w:tc>
        <w:tc>
          <w:tcPr>
            <w:tcW w:type="dxa" w:w="7030"/>
            <w:tcMar>
              <w:top w:w="80" w:type="dxa"/>
              <w:bottom w:w="80" w:type="dxa"/>
              <w:start w:w="120" w:type="dxa"/>
              <w:end w:w="120" w:type="dxa"/>
            </w:tcMar>
          </w:tcPr>
          <w:p>
            <w:pPr>
              <w:spacing w:after="0"/>
            </w:pPr>
            <w:r>
              <w:rPr>
                <w:sz w:val="20"/>
              </w:rPr>
              <w:t>Hem Singh, pacEHR AI development team</w:t>
            </w:r>
          </w:p>
        </w:tc>
      </w:tr>
      <w:tr>
        <w:tc>
          <w:tcPr>
            <w:tcW w:type="dxa" w:w="2381"/>
            <w:shd w:val="clear" w:color="auto" w:fill="DEEBF7"/>
            <w:tcMar>
              <w:top w:w="80" w:type="dxa"/>
              <w:bottom w:w="80" w:type="dxa"/>
              <w:start w:w="120" w:type="dxa"/>
              <w:end w:w="120" w:type="dxa"/>
            </w:tcMar>
          </w:tcPr>
          <w:p>
            <w:pPr>
              <w:spacing w:after="0"/>
            </w:pPr>
            <w:r>
              <w:rPr>
                <w:b/>
                <w:color w:val="1F3864"/>
                <w:sz w:val="20"/>
              </w:rPr>
              <w:t>Date</w:t>
            </w:r>
          </w:p>
        </w:tc>
        <w:tc>
          <w:tcPr>
            <w:tcW w:type="dxa" w:w="7030"/>
            <w:tcMar>
              <w:top w:w="80" w:type="dxa"/>
              <w:bottom w:w="80" w:type="dxa"/>
              <w:start w:w="120" w:type="dxa"/>
              <w:end w:w="120" w:type="dxa"/>
            </w:tcMar>
          </w:tcPr>
          <w:p>
            <w:pPr>
              <w:spacing w:after="0"/>
            </w:pPr>
            <w:r>
              <w:rPr>
                <w:sz w:val="20"/>
              </w:rPr>
              <w:t>14 October 2026</w:t>
            </w:r>
          </w:p>
        </w:tc>
      </w:tr>
      <w:tr>
        <w:tc>
          <w:tcPr>
            <w:tcW w:type="dxa" w:w="2381"/>
            <w:shd w:val="clear" w:color="auto" w:fill="DEEBF7"/>
            <w:tcMar>
              <w:top w:w="80" w:type="dxa"/>
              <w:bottom w:w="80" w:type="dxa"/>
              <w:start w:w="120" w:type="dxa"/>
              <w:end w:w="120" w:type="dxa"/>
            </w:tcMar>
          </w:tcPr>
          <w:p>
            <w:pPr>
              <w:spacing w:after="0"/>
            </w:pPr>
            <w:r>
              <w:rPr>
                <w:b/>
                <w:color w:val="1F3864"/>
                <w:sz w:val="20"/>
              </w:rPr>
              <w:t>Time needed</w:t>
            </w:r>
          </w:p>
        </w:tc>
        <w:tc>
          <w:tcPr>
            <w:tcW w:type="dxa" w:w="7030"/>
            <w:tcMar>
              <w:top w:w="80" w:type="dxa"/>
              <w:bottom w:w="80" w:type="dxa"/>
              <w:start w:w="120" w:type="dxa"/>
              <w:end w:w="120" w:type="dxa"/>
            </w:tcMar>
          </w:tcPr>
          <w:p>
            <w:pPr>
              <w:spacing w:after="0"/>
            </w:pPr>
            <w:r>
              <w:rPr>
                <w:sz w:val="20"/>
              </w:rPr>
              <w:t>About 15 minutes per environment</w:t>
            </w:r>
          </w:p>
        </w:tc>
      </w:tr>
      <w:tr>
        <w:tc>
          <w:tcPr>
            <w:tcW w:type="dxa" w:w="2381"/>
            <w:shd w:val="clear" w:color="auto" w:fill="DEEBF7"/>
            <w:tcMar>
              <w:top w:w="80" w:type="dxa"/>
              <w:bottom w:w="80" w:type="dxa"/>
              <w:start w:w="120" w:type="dxa"/>
              <w:end w:w="120" w:type="dxa"/>
            </w:tcMar>
          </w:tcPr>
          <w:p>
            <w:pPr>
              <w:spacing w:after="0"/>
            </w:pPr>
            <w:r>
              <w:rPr>
                <w:b/>
                <w:color w:val="1F3864"/>
                <w:sz w:val="20"/>
              </w:rPr>
              <w:t>Permission needed</w:t>
            </w:r>
          </w:p>
        </w:tc>
        <w:tc>
          <w:tcPr>
            <w:tcW w:type="dxa" w:w="7030"/>
            <w:tcMar>
              <w:top w:w="80" w:type="dxa"/>
              <w:bottom w:w="80" w:type="dxa"/>
              <w:start w:w="120" w:type="dxa"/>
              <w:end w:w="120" w:type="dxa"/>
            </w:tcMar>
          </w:tcPr>
          <w:p>
            <w:pPr>
              <w:spacing w:after="0"/>
            </w:pPr>
            <w:r>
              <w:rPr>
                <w:sz w:val="20"/>
              </w:rPr>
              <w:t>Cognitive Services Contributor (or Contributor, or Owner) on the Azure OpenAI resource</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DEEBF7"/>
            <w:tcBorders>
              <w:top w:val="nil"/>
              <w:bottom w:val="nil"/>
              <w:right w:val="nil"/>
              <w:left w:val="single" w:sz="36" w:color="2E74B5"/>
            </w:tcBorders>
            <w:tcMar>
              <w:top w:w="120" w:type="dxa"/>
              <w:bottom w:w="120" w:type="dxa"/>
              <w:start w:w="200" w:type="dxa"/>
              <w:end w:w="160" w:type="dxa"/>
            </w:tcMar>
          </w:tcPr>
          <w:p>
            <w:pPr>
              <w:spacing w:after="60"/>
            </w:pPr>
            <w:r>
              <w:rPr>
                <w:b/>
                <w:color w:val="1F3864"/>
              </w:rPr>
              <w:t>At a glance: what we need from you</w:t>
            </w:r>
          </w:p>
          <w:p>
            <w:pPr>
              <w:spacing w:after="40"/>
            </w:pPr>
            <w:r>
              <w:rPr>
                <w:b/>
              </w:rPr>
              <w:t>1.</w:t>
            </w:r>
            <w:r>
              <w:t xml:space="preserve">  Create one content filter named </w:t>
            </w:r>
            <w:r>
              <w:rPr>
                <w:rFonts w:ascii="Consolas" w:hAnsi="Consolas"/>
                <w:color w:val="1F3864"/>
              </w:rPr>
              <w:t>pacehr-clinical-extraction</w:t>
            </w:r>
            <w:r>
              <w:t xml:space="preserve"> on each environment's Azure OpenAI resource, starting with dev. </w:t>
            </w:r>
            <w:r>
              <w:rPr>
                <w:b/>
              </w:rPr>
              <w:t>(Section 3)</w:t>
            </w:r>
          </w:p>
          <w:p>
            <w:pPr>
              <w:spacing w:after="40"/>
            </w:pPr>
            <w:r>
              <w:rPr>
                <w:b/>
              </w:rPr>
              <w:t>2.</w:t>
            </w:r>
            <w:r>
              <w:t xml:space="preserve">  Check one setting (read only): the GPT-4.1 deployment type. </w:t>
            </w:r>
            <w:r>
              <w:rPr>
                <w:b/>
              </w:rPr>
              <w:t>(Section 4)</w:t>
            </w:r>
          </w:p>
          <w:p>
            <w:pPr>
              <w:spacing w:after="40"/>
            </w:pPr>
            <w:r>
              <w:rPr>
                <w:b/>
              </w:rPr>
              <w:t>3.</w:t>
            </w:r>
            <w:r>
              <w:t xml:space="preserve">  Leave a short list of settings unchanged. </w:t>
            </w:r>
            <w:r>
              <w:rPr>
                <w:b/>
              </w:rPr>
              <w:t>(Section 5)</w:t>
            </w:r>
          </w:p>
          <w:p>
            <w:pPr>
              <w:spacing w:after="40"/>
            </w:pPr>
            <w:r>
              <w:rPr>
                <w:b/>
              </w:rPr>
              <w:t>4.</w:t>
            </w:r>
            <w:r>
              <w:t xml:space="preserve">  Send us the confirmation table, and wait for our test result before moving to the next environment. </w:t>
            </w:r>
            <w:r>
              <w:rPr>
                <w:b/>
              </w:rPr>
              <w:t>(Section 6)</w:t>
            </w:r>
          </w:p>
        </w:tc>
      </w:tr>
    </w:tbl>
    <w:p>
      <w:pPr>
        <w:spacing w:after="40"/>
      </w:pPr>
    </w:p>
    <w:p>
      <w:pPr>
        <w:pStyle w:val="Heading1"/>
      </w:pPr>
      <w:r>
        <w:t>1.  Why this is needed</w:t>
      </w:r>
    </w:p>
    <w:p>
      <w:pPr>
        <w:spacing w:after="120"/>
      </w:pPr>
      <w:r>
        <w:t xml:space="preserve">The pacEHR AI service sends clinical notes to Azure OpenAI, which extracts structured fields from them. Azure's </w:t>
      </w:r>
      <w:r>
        <w:rPr>
          <w:b/>
        </w:rPr>
        <w:t>default</w:t>
      </w:r>
      <w:r>
        <w:t xml:space="preserve"> content filter blocks any text it rates as </w:t>
      </w:r>
      <w:r>
        <w:rPr>
          <w:b/>
        </w:rPr>
        <w:t>Medium</w:t>
      </w:r>
      <w:r>
        <w:t xml:space="preserve"> or above for self-harm, violence, sexual content or hate.</w:t>
      </w:r>
    </w:p>
    <w:p>
      <w:pPr>
        <w:spacing w:after="120"/>
      </w:pPr>
      <w:r>
        <w:t>Ordinary clinical notes reach that level, for example:</w:t>
      </w:r>
    </w:p>
    <w:p>
      <w:pPr>
        <w:pStyle w:val="ListBullet"/>
        <w:spacing w:after="60"/>
      </w:pPr>
      <w:r>
        <w:t>“Hx of suicidal ideation, denies current SI/HI”</w:t>
      </w:r>
    </w:p>
    <w:p>
      <w:pPr>
        <w:pStyle w:val="ListBullet"/>
        <w:spacing w:after="60"/>
      </w:pPr>
      <w:r>
        <w:t>“Laceration from assault”</w:t>
      </w:r>
    </w:p>
    <w:p>
      <w:pPr>
        <w:pStyle w:val="ListBullet"/>
        <w:spacing w:after="60"/>
      </w:pPr>
      <w:r>
        <w:t>“Sexual history: …”</w:t>
      </w:r>
    </w:p>
    <w:p>
      <w:pPr>
        <w:spacing w:after="80"/>
      </w:pPr>
      <w:r>
        <w:t xml:space="preserve">With the default filter, Azure would refuse these notes. We are asking for </w:t>
      </w:r>
      <w:r>
        <w:rPr>
          <w:b/>
        </w:rPr>
        <w:t>one custom content filter</w:t>
      </w:r>
      <w:r>
        <w:t xml:space="preserve"> with the same name and settings on each environment's Azure OpenAI resource. It does three things:</w:t>
      </w:r>
    </w:p>
    <w:p>
      <w:pPr>
        <w:pStyle w:val="ListBullet"/>
        <w:spacing w:after="60"/>
      </w:pPr>
      <w:r>
        <w:rPr>
          <w:b/>
        </w:rPr>
        <w:t>lets clinical wording through</w:t>
      </w:r>
      <w:r>
        <w:t xml:space="preserve"> on the way in;</w:t>
      </w:r>
    </w:p>
    <w:p>
      <w:pPr>
        <w:pStyle w:val="ListBullet"/>
        <w:spacing w:after="60"/>
      </w:pPr>
      <w:r>
        <w:t xml:space="preserve">still </w:t>
      </w:r>
      <w:r>
        <w:rPr>
          <w:b/>
        </w:rPr>
        <w:t>blocks anything rated High</w:t>
      </w:r>
      <w:r>
        <w:t xml:space="preserve"> in the model's answer;</w:t>
      </w:r>
    </w:p>
    <w:p>
      <w:pPr>
        <w:pStyle w:val="ListBullet"/>
        <w:spacing w:after="60"/>
      </w:pPr>
      <w:r>
        <w:t xml:space="preserve">keeps Microsoft's </w:t>
      </w:r>
      <w:r>
        <w:rPr>
          <w:b/>
        </w:rPr>
        <w:t>jailbreak detection (Prompt Shields) blocking</w:t>
      </w:r>
      <w:r>
        <w:t>.</w:t>
      </w:r>
    </w:p>
    <w:p>
      <w:pPr>
        <w:spacing w:after="120"/>
      </w:pPr>
    </w:p>
    <w:p>
      <w:pPr>
        <w:keepNext/>
        <w:jc w:val="center"/>
      </w:pPr>
      <w:r>
        <w:drawing>
          <wp:inline xmlns:a="http://schemas.openxmlformats.org/drawingml/2006/main" xmlns:pic="http://schemas.openxmlformats.org/drawingml/2006/picture">
            <wp:extent cx="5940000" cy="2227500"/>
            <wp:docPr id="1" name="Picture 1"/>
            <wp:cNvGraphicFramePr>
              <a:graphicFrameLocks noChangeAspect="1"/>
            </wp:cNvGraphicFramePr>
            <a:graphic>
              <a:graphicData uri="http://schemas.openxmlformats.org/drawingml/2006/picture">
                <pic:pic>
                  <pic:nvPicPr>
                    <pic:cNvPr id="0" name="01-how-it-works.png"/>
                    <pic:cNvPicPr/>
                  </pic:nvPicPr>
                  <pic:blipFill>
                    <a:blip r:embed="rId12"/>
                    <a:stretch>
                      <a:fillRect/>
                    </a:stretch>
                  </pic:blipFill>
                  <pic:spPr>
                    <a:xfrm>
                      <a:off x="0" y="0"/>
                      <a:ext cx="5940000" cy="2227500"/>
                    </a:xfrm>
                    <a:prstGeom prst="rect"/>
                  </pic:spPr>
                </pic:pic>
              </a:graphicData>
            </a:graphic>
          </wp:inline>
        </w:drawing>
      </w:r>
    </w:p>
    <w:p>
      <w:pPr>
        <w:spacing w:after="200"/>
        <w:jc w:val="center"/>
      </w:pPr>
      <w:r>
        <w:rPr>
          <w:i/>
          <w:color w:val="595959"/>
          <w:sz w:val="18"/>
        </w:rPr>
        <w:t>Figure 1: Where the custom filter sits in each request</w:t>
      </w:r>
    </w:p>
    <w:tbl>
      <w:tblPr>
        <w:tblW w:type="auto" w:w="0"/>
        <w:jc w:val="center"/>
        <w:tblLook w:firstColumn="1" w:firstRow="1" w:lastColumn="0" w:lastRow="0" w:noHBand="0" w:noVBand="1" w:val="04A0"/>
      </w:tblPr>
      <w:tblGrid>
        <w:gridCol w:w="9746"/>
      </w:tblGrid>
      <w:tr>
        <w:tc>
          <w:tcPr>
            <w:tcW w:type="dxa" w:w="9746"/>
            <w:shd w:val="clear" w:color="auto" w:fill="E2EFDA"/>
            <w:tcBorders>
              <w:top w:val="nil"/>
              <w:bottom w:val="nil"/>
              <w:right w:val="nil"/>
              <w:left w:val="single" w:sz="36" w:color="548235"/>
            </w:tcBorders>
            <w:tcMar>
              <w:top w:w="120" w:type="dxa"/>
              <w:bottom w:w="120" w:type="dxa"/>
              <w:start w:w="200" w:type="dxa"/>
              <w:end w:w="160" w:type="dxa"/>
            </w:tcMar>
          </w:tcPr>
          <w:p>
            <w:pPr>
              <w:spacing w:after="60"/>
            </w:pPr>
            <w:r>
              <w:rPr>
                <w:b/>
                <w:color w:val="375623"/>
              </w:rPr>
              <w:t>The filter does not need to be attached to any deployment</w:t>
            </w:r>
          </w:p>
          <w:p>
            <w:pPr>
              <w:spacing w:after="40"/>
            </w:pPr>
            <w:r>
              <w:t xml:space="preserve">Our service names the filter on every request (using the </w:t>
            </w:r>
            <w:r>
              <w:rPr>
                <w:rFonts w:ascii="Consolas" w:hAnsi="Consolas"/>
                <w:color w:val="1F3864"/>
              </w:rPr>
              <w:t>x-policy-id</w:t>
            </w:r>
            <w:r>
              <w:t xml:space="preserve"> request header). The deployment's current filter stays as it is, so any other application using the same deployment is not affected.</w:t>
            </w:r>
          </w:p>
        </w:tc>
      </w:tr>
    </w:tbl>
    <w:p>
      <w:pPr>
        <w:spacing w:after="40"/>
      </w:pPr>
    </w:p>
    <w:p>
      <w:pPr>
        <w:pStyle w:val="Heading1"/>
      </w:pPr>
      <w:r>
        <w:t>2.  Before you start</w:t>
      </w:r>
    </w:p>
    <w:p>
      <w:pPr>
        <w:pStyle w:val="Heading2"/>
      </w:pPr>
      <w:r>
        <w:t>Environments</w:t>
      </w:r>
    </w:p>
    <w:p>
      <w:pPr>
        <w:spacing w:after="120"/>
      </w:pPr>
      <w:r>
        <w:t xml:space="preserve">Please create the filter on each of these Azure OpenAI resources, </w:t>
      </w:r>
      <w:r>
        <w:rPr>
          <w:b/>
        </w:rPr>
        <w:t>one environment at a time, dev first</w:t>
      </w:r>
      <w:r>
        <w:t>. Please fill in or correct anything marked “to be confirmed”.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rPr>
          <w:tblHeader w:val="true"/>
        </w:trPr>
        <w:tc>
          <w:tcPr>
            <w:tcW w:type="dxa" w:w="1701"/>
            <w:shd w:val="clear" w:color="auto" w:fill="1F3864"/>
            <w:tcMar>
              <w:top w:w="80" w:type="dxa"/>
              <w:bottom w:w="80" w:type="dxa"/>
              <w:start w:w="120" w:type="dxa"/>
              <w:end w:w="120" w:type="dxa"/>
            </w:tcMar>
          </w:tcPr>
          <w:p>
            <w:pPr>
              <w:spacing w:after="0"/>
            </w:pPr>
            <w:r>
              <w:rPr>
                <w:b/>
                <w:color w:val="FFFFFF"/>
                <w:sz w:val="20"/>
              </w:rPr>
              <w:t>Environment</w:t>
            </w:r>
          </w:p>
        </w:tc>
        <w:tc>
          <w:tcPr>
            <w:tcW w:type="dxa" w:w="4309"/>
            <w:shd w:val="clear" w:color="auto" w:fill="1F3864"/>
            <w:tcMar>
              <w:top w:w="80" w:type="dxa"/>
              <w:bottom w:w="80" w:type="dxa"/>
              <w:start w:w="120" w:type="dxa"/>
              <w:end w:w="120" w:type="dxa"/>
            </w:tcMar>
          </w:tcPr>
          <w:p>
            <w:pPr>
              <w:spacing w:after="0"/>
            </w:pPr>
            <w:r>
              <w:rPr>
                <w:b/>
                <w:color w:val="FFFFFF"/>
                <w:sz w:val="20"/>
              </w:rPr>
              <w:t>Azure OpenAI resource</w:t>
            </w:r>
          </w:p>
        </w:tc>
        <w:tc>
          <w:tcPr>
            <w:tcW w:type="dxa" w:w="3402"/>
            <w:shd w:val="clear" w:color="auto" w:fill="1F3864"/>
            <w:tcMar>
              <w:top w:w="80" w:type="dxa"/>
              <w:bottom w:w="80" w:type="dxa"/>
              <w:start w:w="120" w:type="dxa"/>
              <w:end w:w="120" w:type="dxa"/>
            </w:tcMar>
          </w:tcPr>
          <w:p>
            <w:pPr>
              <w:spacing w:after="0"/>
            </w:pPr>
            <w:r>
              <w:rPr>
                <w:b/>
                <w:color w:val="FFFFFF"/>
                <w:sz w:val="20"/>
              </w:rPr>
              <w:t>Resource group</w:t>
            </w:r>
          </w:p>
        </w:tc>
      </w:tr>
      <w:tr>
        <w:tc>
          <w:tcPr>
            <w:tcW w:type="dxa" w:w="1701"/>
            <w:tcMar>
              <w:top w:w="80" w:type="dxa"/>
              <w:bottom w:w="80" w:type="dxa"/>
              <w:start w:w="120" w:type="dxa"/>
              <w:end w:w="120" w:type="dxa"/>
            </w:tcMar>
            <w:vAlign w:val="center"/>
          </w:tcPr>
          <w:p>
            <w:pPr>
              <w:spacing w:after="0" w:line="240" w:lineRule="auto"/>
            </w:pPr>
            <w:r>
              <w:rPr>
                <w:sz w:val="20"/>
              </w:rPr>
              <w:t>Dev</w:t>
            </w:r>
          </w:p>
        </w:tc>
        <w:tc>
          <w:tcPr>
            <w:tcW w:type="dxa" w:w="4309"/>
            <w:tcMar>
              <w:top w:w="80" w:type="dxa"/>
              <w:bottom w:w="80" w:type="dxa"/>
              <w:start w:w="120" w:type="dxa"/>
              <w:end w:w="120" w:type="dxa"/>
            </w:tcMar>
            <w:vAlign w:val="center"/>
          </w:tcPr>
          <w:p>
            <w:pPr>
              <w:spacing w:after="0" w:line="240" w:lineRule="auto"/>
            </w:pPr>
            <w:r>
              <w:rPr>
                <w:rFonts w:ascii="Consolas" w:hAnsi="Consolas"/>
                <w:color w:val="1F3864"/>
                <w:sz w:val="20"/>
              </w:rPr>
              <w:t>oai-3pillar-dev-eus2</w:t>
            </w:r>
          </w:p>
        </w:tc>
        <w:tc>
          <w:tcPr>
            <w:tcW w:type="dxa" w:w="3402"/>
            <w:tcMar>
              <w:top w:w="80" w:type="dxa"/>
              <w:bottom w:w="80" w:type="dxa"/>
              <w:start w:w="120" w:type="dxa"/>
              <w:end w:w="120" w:type="dxa"/>
            </w:tcMar>
            <w:vAlign w:val="center"/>
          </w:tcPr>
          <w:p>
            <w:pPr>
              <w:spacing w:after="0" w:line="240" w:lineRule="auto"/>
            </w:pPr>
            <w:r>
              <w:rPr>
                <w:sz w:val="20"/>
              </w:rPr>
              <w:t>To be confirmed</w:t>
            </w:r>
          </w:p>
        </w:tc>
      </w:tr>
      <w:tr>
        <w:tc>
          <w:tcPr>
            <w:tcW w:type="dxa" w:w="1701"/>
            <w:tcMar>
              <w:top w:w="80" w:type="dxa"/>
              <w:bottom w:w="80" w:type="dxa"/>
              <w:start w:w="120" w:type="dxa"/>
              <w:end w:w="120" w:type="dxa"/>
            </w:tcMar>
            <w:vAlign w:val="center"/>
            <w:shd w:val="clear" w:color="auto" w:fill="F2F2F2"/>
          </w:tcPr>
          <w:p>
            <w:pPr>
              <w:spacing w:after="0" w:line="240" w:lineRule="auto"/>
            </w:pPr>
            <w:r>
              <w:rPr>
                <w:sz w:val="20"/>
              </w:rPr>
              <w:t>QA</w:t>
            </w:r>
          </w:p>
        </w:tc>
        <w:tc>
          <w:tcPr>
            <w:tcW w:type="dxa" w:w="4309"/>
            <w:tcMar>
              <w:top w:w="80" w:type="dxa"/>
              <w:bottom w:w="80" w:type="dxa"/>
              <w:start w:w="120" w:type="dxa"/>
              <w:end w:w="120" w:type="dxa"/>
            </w:tcMar>
            <w:vAlign w:val="center"/>
            <w:shd w:val="clear" w:color="auto" w:fill="F2F2F2"/>
          </w:tcPr>
          <w:p>
            <w:pPr>
              <w:spacing w:after="0" w:line="240" w:lineRule="auto"/>
            </w:pPr>
            <w:r>
              <w:rPr>
                <w:rFonts w:ascii="Consolas" w:hAnsi="Consolas"/>
                <w:color w:val="1F3864"/>
                <w:sz w:val="20"/>
              </w:rPr>
              <w:t>thesnfist-q-eastus2-oai</w:t>
            </w:r>
            <w:r>
              <w:rPr>
                <w:sz w:val="20"/>
              </w:rPr>
              <w:t xml:space="preserve"> (please confirm)</w:t>
            </w:r>
          </w:p>
        </w:tc>
        <w:tc>
          <w:tcPr>
            <w:tcW w:type="dxa" w:w="3402"/>
            <w:tcMar>
              <w:top w:w="80" w:type="dxa"/>
              <w:bottom w:w="80" w:type="dxa"/>
              <w:start w:w="120" w:type="dxa"/>
              <w:end w:w="120" w:type="dxa"/>
            </w:tcMar>
            <w:vAlign w:val="center"/>
            <w:shd w:val="clear" w:color="auto" w:fill="F2F2F2"/>
          </w:tcPr>
          <w:p>
            <w:pPr>
              <w:spacing w:after="0" w:line="240" w:lineRule="auto"/>
            </w:pPr>
            <w:r>
              <w:rPr>
                <w:sz w:val="20"/>
              </w:rPr>
              <w:t>To be confirmed</w:t>
            </w:r>
          </w:p>
        </w:tc>
      </w:tr>
      <w:tr>
        <w:tc>
          <w:tcPr>
            <w:tcW w:type="dxa" w:w="1701"/>
            <w:tcMar>
              <w:top w:w="80" w:type="dxa"/>
              <w:bottom w:w="80" w:type="dxa"/>
              <w:start w:w="120" w:type="dxa"/>
              <w:end w:w="120" w:type="dxa"/>
            </w:tcMar>
            <w:vAlign w:val="center"/>
          </w:tcPr>
          <w:p>
            <w:pPr>
              <w:spacing w:after="0" w:line="240" w:lineRule="auto"/>
            </w:pPr>
            <w:r>
              <w:rPr>
                <w:sz w:val="20"/>
              </w:rPr>
              <w:t>UAT</w:t>
            </w:r>
          </w:p>
        </w:tc>
        <w:tc>
          <w:tcPr>
            <w:tcW w:type="dxa" w:w="4309"/>
            <w:tcMar>
              <w:top w:w="80" w:type="dxa"/>
              <w:bottom w:w="80" w:type="dxa"/>
              <w:start w:w="120" w:type="dxa"/>
              <w:end w:w="120" w:type="dxa"/>
            </w:tcMar>
            <w:vAlign w:val="center"/>
          </w:tcPr>
          <w:p>
            <w:pPr>
              <w:spacing w:after="0" w:line="240" w:lineRule="auto"/>
            </w:pPr>
            <w:r>
              <w:rPr>
                <w:sz w:val="20"/>
              </w:rPr>
              <w:t>To be confirmed</w:t>
            </w:r>
          </w:p>
        </w:tc>
        <w:tc>
          <w:tcPr>
            <w:tcW w:type="dxa" w:w="3402"/>
            <w:tcMar>
              <w:top w:w="80" w:type="dxa"/>
              <w:bottom w:w="80" w:type="dxa"/>
              <w:start w:w="120" w:type="dxa"/>
              <w:end w:w="120" w:type="dxa"/>
            </w:tcMar>
            <w:vAlign w:val="center"/>
          </w:tcPr>
          <w:p>
            <w:pPr>
              <w:spacing w:after="0" w:line="240" w:lineRule="auto"/>
            </w:pPr>
            <w:r>
              <w:rPr>
                <w:sz w:val="20"/>
              </w:rPr>
              <w:t>To be confirmed</w:t>
            </w:r>
          </w:p>
        </w:tc>
      </w:tr>
      <w:tr>
        <w:tc>
          <w:tcPr>
            <w:tcW w:type="dxa" w:w="1701"/>
            <w:tcMar>
              <w:top w:w="80" w:type="dxa"/>
              <w:bottom w:w="80" w:type="dxa"/>
              <w:start w:w="120" w:type="dxa"/>
              <w:end w:w="120" w:type="dxa"/>
            </w:tcMar>
            <w:vAlign w:val="center"/>
            <w:shd w:val="clear" w:color="auto" w:fill="F2F2F2"/>
          </w:tcPr>
          <w:p>
            <w:pPr>
              <w:spacing w:after="0" w:line="240" w:lineRule="auto"/>
            </w:pPr>
            <w:r>
              <w:rPr>
                <w:sz w:val="20"/>
              </w:rPr>
              <w:t>Preprod</w:t>
            </w:r>
          </w:p>
        </w:tc>
        <w:tc>
          <w:tcPr>
            <w:tcW w:type="dxa" w:w="4309"/>
            <w:tcMar>
              <w:top w:w="80" w:type="dxa"/>
              <w:bottom w:w="80" w:type="dxa"/>
              <w:start w:w="120" w:type="dxa"/>
              <w:end w:w="120" w:type="dxa"/>
            </w:tcMar>
            <w:vAlign w:val="center"/>
            <w:shd w:val="clear" w:color="auto" w:fill="F2F2F2"/>
          </w:tcPr>
          <w:p>
            <w:pPr>
              <w:spacing w:after="0" w:line="240" w:lineRule="auto"/>
            </w:pPr>
            <w:r>
              <w:rPr>
                <w:sz w:val="20"/>
              </w:rPr>
              <w:t>To be confirmed</w:t>
            </w:r>
          </w:p>
        </w:tc>
        <w:tc>
          <w:tcPr>
            <w:tcW w:type="dxa" w:w="3402"/>
            <w:tcMar>
              <w:top w:w="80" w:type="dxa"/>
              <w:bottom w:w="80" w:type="dxa"/>
              <w:start w:w="120" w:type="dxa"/>
              <w:end w:w="120" w:type="dxa"/>
            </w:tcMar>
            <w:vAlign w:val="center"/>
            <w:shd w:val="clear" w:color="auto" w:fill="F2F2F2"/>
          </w:tcPr>
          <w:p>
            <w:pPr>
              <w:spacing w:after="0" w:line="240" w:lineRule="auto"/>
            </w:pPr>
            <w:r>
              <w:rPr>
                <w:sz w:val="20"/>
              </w:rPr>
              <w:t>To be confirmed</w:t>
            </w:r>
          </w:p>
        </w:tc>
      </w:tr>
      <w:tr>
        <w:tc>
          <w:tcPr>
            <w:tcW w:type="dxa" w:w="1701"/>
            <w:tcMar>
              <w:top w:w="80" w:type="dxa"/>
              <w:bottom w:w="80" w:type="dxa"/>
              <w:start w:w="120" w:type="dxa"/>
              <w:end w:w="120" w:type="dxa"/>
            </w:tcMar>
            <w:vAlign w:val="center"/>
          </w:tcPr>
          <w:p>
            <w:pPr>
              <w:spacing w:after="0" w:line="240" w:lineRule="auto"/>
            </w:pPr>
            <w:r>
              <w:rPr>
                <w:sz w:val="20"/>
              </w:rPr>
              <w:t>Prod</w:t>
            </w:r>
          </w:p>
        </w:tc>
        <w:tc>
          <w:tcPr>
            <w:tcW w:type="dxa" w:w="4309"/>
            <w:tcMar>
              <w:top w:w="80" w:type="dxa"/>
              <w:bottom w:w="80" w:type="dxa"/>
              <w:start w:w="120" w:type="dxa"/>
              <w:end w:w="120" w:type="dxa"/>
            </w:tcMar>
            <w:vAlign w:val="center"/>
          </w:tcPr>
          <w:p>
            <w:pPr>
              <w:spacing w:after="0" w:line="240" w:lineRule="auto"/>
            </w:pPr>
            <w:r>
              <w:rPr>
                <w:sz w:val="20"/>
              </w:rPr>
              <w:t>To be confirmed</w:t>
            </w:r>
          </w:p>
        </w:tc>
        <w:tc>
          <w:tcPr>
            <w:tcW w:type="dxa" w:w="3402"/>
            <w:tcMar>
              <w:top w:w="80" w:type="dxa"/>
              <w:bottom w:w="80" w:type="dxa"/>
              <w:start w:w="120" w:type="dxa"/>
              <w:end w:w="120" w:type="dxa"/>
            </w:tcMar>
            <w:vAlign w:val="center"/>
          </w:tcPr>
          <w:p>
            <w:pPr>
              <w:spacing w:after="0" w:line="240" w:lineRule="auto"/>
            </w:pPr>
            <w:r>
              <w:rPr>
                <w:sz w:val="20"/>
              </w:rPr>
              <w:t>To be confirmed</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BE5D6"/>
            <w:tcBorders>
              <w:top w:val="nil"/>
              <w:bottom w:val="nil"/>
              <w:right w:val="nil"/>
              <w:left w:val="single" w:sz="36" w:color="C55A11"/>
            </w:tcBorders>
            <w:tcMar>
              <w:top w:w="120" w:type="dxa"/>
              <w:bottom w:w="120" w:type="dxa"/>
              <w:start w:w="200" w:type="dxa"/>
              <w:end w:w="160" w:type="dxa"/>
            </w:tcMar>
          </w:tcPr>
          <w:p>
            <w:pPr>
              <w:spacing w:after="60"/>
            </w:pPr>
            <w:r>
              <w:rPr>
                <w:b/>
                <w:color w:val="843C0C"/>
              </w:rPr>
              <w:t>Important: the name must be exact</w:t>
            </w:r>
          </w:p>
          <w:p>
            <w:pPr>
              <w:spacing w:after="40"/>
            </w:pPr>
            <w:r>
              <w:t xml:space="preserve">Name the filter exactly </w:t>
            </w:r>
            <w:r>
              <w:rPr>
                <w:rFonts w:ascii="Consolas" w:hAnsi="Consolas"/>
                <w:color w:val="1F3864"/>
              </w:rPr>
              <w:t>pacehr-clinical-extraction</w:t>
            </w:r>
            <w:r>
              <w:t>: all lowercase, with hyphens.</w:t>
            </w:r>
          </w:p>
          <w:p>
            <w:pPr>
              <w:spacing w:after="40"/>
            </w:pPr>
            <w:r>
              <w:t xml:space="preserve">Our service sends this exact name. If the name is different, Azure rejects every request with the error </w:t>
            </w:r>
            <w:r>
              <w:rPr>
                <w:rFonts w:ascii="Consolas" w:hAnsi="Consolas"/>
                <w:color w:val="1F3864"/>
              </w:rPr>
              <w:t>InvalidContentFilterPolicy</w:t>
            </w:r>
            <w:r>
              <w:t>.</w:t>
            </w:r>
          </w:p>
        </w:tc>
      </w:tr>
    </w:tbl>
    <w:p>
      <w:pPr>
        <w:spacing w:after="40"/>
      </w:pPr>
    </w:p>
    <w:p>
      <w:pPr>
        <w:pStyle w:val="Heading2"/>
      </w:pPr>
      <w:r>
        <w:t>Two ways to do it</w:t>
      </w:r>
    </w:p>
    <w:p>
      <w:pPr>
        <w:spacing w:after="120"/>
      </w:pPr>
      <w:r>
        <w:t>Use whichever suits you. Both create exactly the same filter.</w:t>
      </w:r>
    </w:p>
    <w:p>
      <w:pPr>
        <w:pStyle w:val="ListBullet"/>
        <w:spacing w:after="60"/>
      </w:pPr>
      <w:r>
        <w:rPr>
          <w:b/>
        </w:rPr>
        <w:t>Foundry portal:</w:t>
      </w:r>
      <w:r>
        <w:t xml:space="preserve"> step by step in </w:t>
      </w:r>
      <w:r>
        <w:rPr>
          <w:b/>
        </w:rPr>
        <w:t>Section 3</w:t>
      </w:r>
      <w:r>
        <w:t>.</w:t>
      </w:r>
    </w:p>
    <w:p>
      <w:pPr>
        <w:pStyle w:val="ListBullet"/>
        <w:spacing w:after="60"/>
      </w:pPr>
      <w:r>
        <w:rPr>
          <w:b/>
        </w:rPr>
        <w:t>Azure CLI:</w:t>
      </w:r>
      <w:r>
        <w:t xml:space="preserve"> a ready-made JSON file and commands in </w:t>
      </w:r>
      <w:r>
        <w:rPr>
          <w:b/>
        </w:rPr>
        <w:t>Appendix A</w:t>
      </w:r>
      <w:r>
        <w:t>. This is useful if you prefer scripts or want a repeatable record.</w:t>
      </w:r>
    </w:p>
    <w:p>
      <w:r>
        <w:br w:type="page"/>
      </w:r>
    </w:p>
    <w:p>
      <w:pPr>
        <w:pStyle w:val="Heading1"/>
      </w:pPr>
      <w:r>
        <w:t>3.  Create the content filter in the Foundry portal</w:t>
      </w:r>
    </w:p>
    <w:p>
      <w:pPr>
        <w:spacing w:after="120"/>
      </w:pPr>
      <w:r>
        <w:t>The portal walks you through five pages. The figure below summarises what to set on each one; the detailed settings follow.</w:t>
      </w:r>
    </w:p>
    <w:p>
      <w:pPr>
        <w:keepNext/>
        <w:jc w:val="center"/>
      </w:pPr>
      <w:r>
        <w:drawing>
          <wp:inline xmlns:a="http://schemas.openxmlformats.org/drawingml/2006/main" xmlns:pic="http://schemas.openxmlformats.org/drawingml/2006/picture">
            <wp:extent cx="5940000" cy="1881000"/>
            <wp:docPr id="2" name="Picture 2"/>
            <wp:cNvGraphicFramePr>
              <a:graphicFrameLocks noChangeAspect="1"/>
            </wp:cNvGraphicFramePr>
            <a:graphic>
              <a:graphicData uri="http://schemas.openxmlformats.org/drawingml/2006/picture">
                <pic:pic>
                  <pic:nvPicPr>
                    <pic:cNvPr id="0" name="02-wizard-steps.png"/>
                    <pic:cNvPicPr/>
                  </pic:nvPicPr>
                  <pic:blipFill>
                    <a:blip r:embed="rId13"/>
                    <a:stretch>
                      <a:fillRect/>
                    </a:stretch>
                  </pic:blipFill>
                  <pic:spPr>
                    <a:xfrm>
                      <a:off x="0" y="0"/>
                      <a:ext cx="5940000" cy="1881000"/>
                    </a:xfrm>
                    <a:prstGeom prst="rect"/>
                  </pic:spPr>
                </pic:pic>
              </a:graphicData>
            </a:graphic>
          </wp:inline>
        </w:drawing>
      </w:r>
    </w:p>
    <w:p>
      <w:pPr>
        <w:spacing w:after="200"/>
        <w:jc w:val="center"/>
      </w:pPr>
      <w:r>
        <w:rPr>
          <w:i/>
          <w:color w:val="595959"/>
          <w:sz w:val="18"/>
        </w:rPr>
        <w:t>Figure 2: The five pages of the Create content filter wizard</w:t>
      </w:r>
    </w:p>
    <w:p>
      <w:pPr>
        <w:pStyle w:val="Heading2"/>
      </w:pPr>
      <w:r>
        <w:t>Open the content filters page</w:t>
      </w:r>
    </w:p>
    <w:p>
      <w:pPr>
        <w:tabs>
          <w:tab w:pos="567" w:val="left"/>
        </w:tabs>
        <w:spacing w:after="100"/>
        <w:ind w:left="567" w:hanging="567"/>
      </w:pPr>
      <w:r>
        <w:rPr>
          <w:b/>
          <w:color w:val="2E74B5"/>
        </w:rPr>
        <w:t>Step 1</w:t>
        <w:tab/>
      </w:r>
      <w:r>
        <w:t xml:space="preserve">Sign in to </w:t>
      </w:r>
      <w:hyperlink r:id="rId14">
        <w:r>
          <w:rPr>
            <w:color w:val="2E74B5"/>
            <w:u w:val="single"/>
          </w:rPr>
          <w:t>https://ai.azure.com</w:t>
        </w:r>
      </w:hyperlink>
      <w:r>
        <w:t xml:space="preserve">. Make sure the </w:t>
      </w:r>
      <w:r>
        <w:rPr>
          <w:b/>
        </w:rPr>
        <w:t>New Foundry</w:t>
      </w:r>
      <w:r>
        <w:t xml:space="preserve"> toggle at the top of the page is </w:t>
      </w:r>
      <w:r>
        <w:rPr>
          <w:b/>
        </w:rPr>
        <w:t>off</w:t>
      </w:r>
      <w:r>
        <w:t xml:space="preserve">. These steps are for </w:t>
      </w:r>
      <w:r>
        <w:rPr>
          <w:b/>
        </w:rPr>
        <w:t>Foundry (classic)</w:t>
      </w:r>
      <w:r>
        <w:t>.</w:t>
      </w:r>
    </w:p>
    <w:p>
      <w:pPr>
        <w:tabs>
          <w:tab w:pos="567" w:val="left"/>
        </w:tabs>
        <w:spacing w:after="100"/>
        <w:ind w:left="567" w:hanging="567"/>
      </w:pPr>
      <w:r>
        <w:rPr>
          <w:b/>
          <w:color w:val="2E74B5"/>
        </w:rPr>
        <w:t>Step 2</w:t>
        <w:tab/>
      </w:r>
      <w:r>
        <w:t xml:space="preserve">Open the environment's Azure OpenAI resource (for dev: </w:t>
      </w:r>
      <w:r>
        <w:rPr>
          <w:rFonts w:ascii="Consolas" w:hAnsi="Consolas"/>
          <w:color w:val="1F3864"/>
        </w:rPr>
        <w:t>oai-3pillar-dev-eus2</w:t>
      </w:r>
      <w:r>
        <w:t>).</w:t>
      </w:r>
    </w:p>
    <w:p>
      <w:pPr>
        <w:tabs>
          <w:tab w:pos="567" w:val="left"/>
        </w:tabs>
        <w:spacing w:after="100"/>
        <w:ind w:left="567" w:hanging="567"/>
      </w:pPr>
      <w:r>
        <w:rPr>
          <w:b/>
          <w:color w:val="2E74B5"/>
        </w:rPr>
        <w:t>Step 3</w:t>
        <w:tab/>
      </w:r>
      <w:r>
        <w:t xml:space="preserve">In the left menu, select </w:t>
      </w:r>
      <w:r>
        <w:rPr>
          <w:b/>
        </w:rPr>
        <w:t>Guardrails + controls</w:t>
      </w:r>
      <w:r>
        <w:t xml:space="preserve">, then the </w:t>
      </w:r>
      <w:r>
        <w:rPr>
          <w:b/>
        </w:rPr>
        <w:t>Content filters</w:t>
      </w:r>
      <w:r>
        <w:t xml:space="preserve"> tab. If you can't see it, select </w:t>
      </w:r>
      <w:r>
        <w:rPr>
          <w:b/>
        </w:rPr>
        <w:t>… More</w:t>
      </w:r>
      <w:r>
        <w:t xml:space="preserve"> at the bottom of the menu.</w:t>
      </w:r>
    </w:p>
    <w:p>
      <w:pPr>
        <w:tabs>
          <w:tab w:pos="567" w:val="left"/>
        </w:tabs>
        <w:spacing w:after="100"/>
        <w:ind w:left="567" w:hanging="567"/>
      </w:pPr>
      <w:r>
        <w:rPr>
          <w:b/>
          <w:color w:val="2E74B5"/>
        </w:rPr>
        <w:t>Step 4</w:t>
        <w:tab/>
      </w:r>
      <w:r>
        <w:t xml:space="preserve">Select </w:t>
      </w:r>
      <w:r>
        <w:rPr>
          <w:b/>
        </w:rPr>
        <w:t>+ Create content filter</w:t>
      </w:r>
      <w:r>
        <w:t>.</w:t>
      </w:r>
    </w:p>
    <w:p>
      <w:pPr>
        <w:pStyle w:val="Heading2"/>
      </w:pPr>
      <w:r>
        <w:t>Page 1: Basic information</w:t>
      </w:r>
    </w:p>
    <w:p>
      <w:pPr>
        <w:tabs>
          <w:tab w:pos="567" w:val="left"/>
        </w:tabs>
        <w:spacing w:after="100"/>
        <w:ind w:left="567" w:hanging="567"/>
      </w:pPr>
      <w:r>
        <w:rPr>
          <w:b/>
          <w:color w:val="2E74B5"/>
        </w:rPr>
        <w:t>Step 5</w:t>
        <w:tab/>
      </w:r>
      <w:r>
        <w:t xml:space="preserve">Enter the </w:t>
      </w:r>
      <w:r>
        <w:rPr>
          <w:b/>
        </w:rPr>
        <w:t>Name</w:t>
      </w:r>
      <w:r>
        <w:t xml:space="preserve">: </w:t>
      </w:r>
      <w:r>
        <w:rPr>
          <w:rFonts w:ascii="Consolas" w:hAnsi="Consolas"/>
          <w:color w:val="1F3864"/>
        </w:rPr>
        <w:t>pacehr-clinical-extraction</w:t>
      </w:r>
      <w:r>
        <w:t xml:space="preserve">. If the portal asks for a </w:t>
      </w:r>
      <w:r>
        <w:rPr>
          <w:b/>
        </w:rPr>
        <w:t>Connection</w:t>
      </w:r>
      <w:r>
        <w:t xml:space="preserve">, pick this environment's Azure OpenAI resource. Select </w:t>
      </w:r>
      <w:r>
        <w:rPr>
          <w:b/>
        </w:rPr>
        <w:t>Next</w:t>
      </w:r>
      <w:r>
        <w:t>.</w:t>
      </w:r>
    </w:p>
    <w:p>
      <w:pPr>
        <w:pStyle w:val="Heading2"/>
      </w:pPr>
      <w:r>
        <w:t>Page 2: Input filter (checks the clinical note we send)</w:t>
      </w:r>
    </w:p>
    <w:p>
      <w:pPr>
        <w:tabs>
          <w:tab w:pos="567" w:val="left"/>
        </w:tabs>
        <w:spacing w:after="100"/>
        <w:ind w:left="567" w:hanging="567"/>
      </w:pPr>
      <w:r>
        <w:rPr>
          <w:b/>
          <w:color w:val="2E74B5"/>
        </w:rPr>
        <w:t>Step 6</w:t>
        <w:tab/>
      </w:r>
      <w:r>
        <w:t xml:space="preserve">Set the input filter as follows, then select </w:t>
      </w:r>
      <w:r>
        <w:rPr>
          <w:b/>
        </w:rPr>
        <w:t>Next</w:t>
      </w:r>
      <w:r>
        <w: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rPr>
          <w:tblHeader w:val="true"/>
        </w:trPr>
        <w:tc>
          <w:tcPr>
            <w:tcW w:type="dxa" w:w="3402"/>
            <w:shd w:val="clear" w:color="auto" w:fill="1F3864"/>
            <w:tcMar>
              <w:top w:w="80" w:type="dxa"/>
              <w:bottom w:w="80" w:type="dxa"/>
              <w:start w:w="120" w:type="dxa"/>
              <w:end w:w="120" w:type="dxa"/>
            </w:tcMar>
          </w:tcPr>
          <w:p>
            <w:pPr>
              <w:spacing w:after="0"/>
            </w:pPr>
            <w:r>
              <w:rPr>
                <w:b/>
                <w:color w:val="FFFFFF"/>
                <w:sz w:val="20"/>
              </w:rPr>
              <w:t>Setting</w:t>
            </w:r>
          </w:p>
        </w:tc>
        <w:tc>
          <w:tcPr>
            <w:tcW w:type="dxa" w:w="2154"/>
            <w:shd w:val="clear" w:color="auto" w:fill="1F3864"/>
            <w:tcMar>
              <w:top w:w="80" w:type="dxa"/>
              <w:bottom w:w="80" w:type="dxa"/>
              <w:start w:w="120" w:type="dxa"/>
              <w:end w:w="120" w:type="dxa"/>
            </w:tcMar>
          </w:tcPr>
          <w:p>
            <w:pPr>
              <w:spacing w:after="0"/>
            </w:pPr>
            <w:r>
              <w:rPr>
                <w:b/>
                <w:color w:val="FFFFFF"/>
                <w:sz w:val="20"/>
              </w:rPr>
              <w:t>Set it to</w:t>
            </w:r>
          </w:p>
        </w:tc>
        <w:tc>
          <w:tcPr>
            <w:tcW w:type="dxa" w:w="3855"/>
            <w:shd w:val="clear" w:color="auto" w:fill="1F3864"/>
            <w:tcMar>
              <w:top w:w="80" w:type="dxa"/>
              <w:bottom w:w="80" w:type="dxa"/>
              <w:start w:w="120" w:type="dxa"/>
              <w:end w:w="120" w:type="dxa"/>
            </w:tcMar>
          </w:tcPr>
          <w:p>
            <w:pPr>
              <w:spacing w:after="0"/>
            </w:pPr>
            <w:r>
              <w:rPr>
                <w:b/>
                <w:color w:val="FFFFFF"/>
                <w:sz w:val="20"/>
              </w:rPr>
              <w:t>Why</w:t>
            </w:r>
          </w:p>
        </w:tc>
      </w:tr>
      <w:tr>
        <w:tc>
          <w:tcPr>
            <w:tcW w:type="dxa" w:w="3402"/>
            <w:tcMar>
              <w:top w:w="80" w:type="dxa"/>
              <w:bottom w:w="80" w:type="dxa"/>
              <w:start w:w="120" w:type="dxa"/>
              <w:end w:w="120" w:type="dxa"/>
            </w:tcMar>
            <w:vAlign w:val="center"/>
          </w:tcPr>
          <w:p>
            <w:pPr>
              <w:spacing w:after="0" w:line="240" w:lineRule="auto"/>
            </w:pPr>
            <w:r>
              <w:rPr>
                <w:sz w:val="20"/>
              </w:rPr>
              <w:t>Violence</w:t>
            </w:r>
          </w:p>
        </w:tc>
        <w:tc>
          <w:tcPr>
            <w:tcW w:type="dxa" w:w="2154"/>
            <w:tcMar>
              <w:top w:w="80" w:type="dxa"/>
              <w:bottom w:w="80" w:type="dxa"/>
              <w:start w:w="120" w:type="dxa"/>
              <w:end w:w="120" w:type="dxa"/>
            </w:tcMar>
            <w:vAlign w:val="center"/>
          </w:tcPr>
          <w:p>
            <w:pPr>
              <w:spacing w:after="0" w:line="240" w:lineRule="auto"/>
            </w:pPr>
            <w:r>
              <w:rPr>
                <w:b/>
                <w:sz w:val="20"/>
              </w:rPr>
              <w:t>Annotate only</w:t>
            </w:r>
          </w:p>
        </w:tc>
        <w:tc>
          <w:tcPr>
            <w:tcW w:type="dxa" w:w="3855"/>
            <w:tcMar>
              <w:top w:w="80" w:type="dxa"/>
              <w:bottom w:w="80" w:type="dxa"/>
              <w:start w:w="120" w:type="dxa"/>
              <w:end w:w="120" w:type="dxa"/>
            </w:tcMar>
            <w:vAlign w:val="center"/>
          </w:tcPr>
          <w:p>
            <w:pPr>
              <w:spacing w:after="0" w:line="240" w:lineRule="auto"/>
            </w:pPr>
            <w:r>
              <w:rPr>
                <w:sz w:val="20"/>
              </w:rPr>
              <w:t>Notes describe injuries and assaults</w:t>
            </w:r>
          </w:p>
        </w:tc>
      </w:tr>
      <w:tr>
        <w:tc>
          <w:tcPr>
            <w:tcW w:type="dxa" w:w="3402"/>
            <w:tcMar>
              <w:top w:w="80" w:type="dxa"/>
              <w:bottom w:w="80" w:type="dxa"/>
              <w:start w:w="120" w:type="dxa"/>
              <w:end w:w="120" w:type="dxa"/>
            </w:tcMar>
            <w:vAlign w:val="center"/>
            <w:shd w:val="clear" w:color="auto" w:fill="F2F2F2"/>
          </w:tcPr>
          <w:p>
            <w:pPr>
              <w:spacing w:after="0" w:line="240" w:lineRule="auto"/>
            </w:pPr>
            <w:r>
              <w:rPr>
                <w:sz w:val="20"/>
              </w:rPr>
              <w:t>Hate</w:t>
            </w:r>
          </w:p>
        </w:tc>
        <w:tc>
          <w:tcPr>
            <w:tcW w:type="dxa" w:w="2154"/>
            <w:tcMar>
              <w:top w:w="80" w:type="dxa"/>
              <w:bottom w:w="80" w:type="dxa"/>
              <w:start w:w="120" w:type="dxa"/>
              <w:end w:w="120" w:type="dxa"/>
            </w:tcMar>
            <w:vAlign w:val="center"/>
            <w:shd w:val="clear" w:color="auto" w:fill="F2F2F2"/>
          </w:tcPr>
          <w:p>
            <w:pPr>
              <w:spacing w:after="0" w:line="240" w:lineRule="auto"/>
            </w:pPr>
            <w:r>
              <w:rPr>
                <w:b/>
                <w:sz w:val="20"/>
              </w:rPr>
              <w:t>Annotate only</w:t>
            </w:r>
          </w:p>
        </w:tc>
        <w:tc>
          <w:tcPr>
            <w:tcW w:type="dxa" w:w="3855"/>
            <w:tcMar>
              <w:top w:w="80" w:type="dxa"/>
              <w:bottom w:w="80" w:type="dxa"/>
              <w:start w:w="120" w:type="dxa"/>
              <w:end w:w="120" w:type="dxa"/>
            </w:tcMar>
            <w:vAlign w:val="center"/>
            <w:shd w:val="clear" w:color="auto" w:fill="F2F2F2"/>
          </w:tcPr>
          <w:p>
            <w:pPr>
              <w:spacing w:after="0" w:line="240" w:lineRule="auto"/>
            </w:pPr>
            <w:r>
              <w:rPr>
                <w:sz w:val="20"/>
              </w:rPr>
              <w:t>Notes quote what patients said</w:t>
            </w:r>
          </w:p>
        </w:tc>
      </w:tr>
      <w:tr>
        <w:tc>
          <w:tcPr>
            <w:tcW w:type="dxa" w:w="3402"/>
            <w:tcMar>
              <w:top w:w="80" w:type="dxa"/>
              <w:bottom w:w="80" w:type="dxa"/>
              <w:start w:w="120" w:type="dxa"/>
              <w:end w:w="120" w:type="dxa"/>
            </w:tcMar>
            <w:vAlign w:val="center"/>
          </w:tcPr>
          <w:p>
            <w:pPr>
              <w:spacing w:after="0" w:line="240" w:lineRule="auto"/>
            </w:pPr>
            <w:r>
              <w:rPr>
                <w:sz w:val="20"/>
              </w:rPr>
              <w:t>Sexual</w:t>
            </w:r>
          </w:p>
        </w:tc>
        <w:tc>
          <w:tcPr>
            <w:tcW w:type="dxa" w:w="2154"/>
            <w:tcMar>
              <w:top w:w="80" w:type="dxa"/>
              <w:bottom w:w="80" w:type="dxa"/>
              <w:start w:w="120" w:type="dxa"/>
              <w:end w:w="120" w:type="dxa"/>
            </w:tcMar>
            <w:vAlign w:val="center"/>
          </w:tcPr>
          <w:p>
            <w:pPr>
              <w:spacing w:after="0" w:line="240" w:lineRule="auto"/>
            </w:pPr>
            <w:r>
              <w:rPr>
                <w:b/>
                <w:sz w:val="20"/>
              </w:rPr>
              <w:t>Annotate only</w:t>
            </w:r>
          </w:p>
        </w:tc>
        <w:tc>
          <w:tcPr>
            <w:tcW w:type="dxa" w:w="3855"/>
            <w:tcMar>
              <w:top w:w="80" w:type="dxa"/>
              <w:bottom w:w="80" w:type="dxa"/>
              <w:start w:w="120" w:type="dxa"/>
              <w:end w:w="120" w:type="dxa"/>
            </w:tcMar>
            <w:vAlign w:val="center"/>
          </w:tcPr>
          <w:p>
            <w:pPr>
              <w:spacing w:after="0" w:line="240" w:lineRule="auto"/>
            </w:pPr>
            <w:r>
              <w:rPr>
                <w:sz w:val="20"/>
              </w:rPr>
              <w:t>Notes include sexual history and screening</w:t>
            </w:r>
          </w:p>
        </w:tc>
      </w:tr>
      <w:tr>
        <w:tc>
          <w:tcPr>
            <w:tcW w:type="dxa" w:w="3402"/>
            <w:tcMar>
              <w:top w:w="80" w:type="dxa"/>
              <w:bottom w:w="80" w:type="dxa"/>
              <w:start w:w="120" w:type="dxa"/>
              <w:end w:w="120" w:type="dxa"/>
            </w:tcMar>
            <w:vAlign w:val="center"/>
            <w:shd w:val="clear" w:color="auto" w:fill="F2F2F2"/>
          </w:tcPr>
          <w:p>
            <w:pPr>
              <w:spacing w:after="0" w:line="240" w:lineRule="auto"/>
            </w:pPr>
            <w:r>
              <w:rPr>
                <w:sz w:val="20"/>
              </w:rPr>
              <w:t>Self-harm</w:t>
            </w:r>
          </w:p>
        </w:tc>
        <w:tc>
          <w:tcPr>
            <w:tcW w:type="dxa" w:w="2154"/>
            <w:tcMar>
              <w:top w:w="80" w:type="dxa"/>
              <w:bottom w:w="80" w:type="dxa"/>
              <w:start w:w="120" w:type="dxa"/>
              <w:end w:w="120" w:type="dxa"/>
            </w:tcMar>
            <w:vAlign w:val="center"/>
            <w:shd w:val="clear" w:color="auto" w:fill="F2F2F2"/>
          </w:tcPr>
          <w:p>
            <w:pPr>
              <w:spacing w:after="0" w:line="240" w:lineRule="auto"/>
            </w:pPr>
            <w:r>
              <w:rPr>
                <w:b/>
                <w:sz w:val="20"/>
              </w:rPr>
              <w:t>Annotate only</w:t>
            </w:r>
          </w:p>
        </w:tc>
        <w:tc>
          <w:tcPr>
            <w:tcW w:type="dxa" w:w="3855"/>
            <w:tcMar>
              <w:top w:w="80" w:type="dxa"/>
              <w:bottom w:w="80" w:type="dxa"/>
              <w:start w:w="120" w:type="dxa"/>
              <w:end w:w="120" w:type="dxa"/>
            </w:tcMar>
            <w:vAlign w:val="center"/>
            <w:shd w:val="clear" w:color="auto" w:fill="F2F2F2"/>
          </w:tcPr>
          <w:p>
            <w:pPr>
              <w:spacing w:after="0" w:line="240" w:lineRule="auto"/>
            </w:pPr>
            <w:r>
              <w:rPr>
                <w:sz w:val="20"/>
              </w:rPr>
              <w:t>Notes include suicide-risk assessments</w:t>
            </w:r>
          </w:p>
        </w:tc>
      </w:tr>
      <w:tr>
        <w:tc>
          <w:tcPr>
            <w:tcW w:type="dxa" w:w="3402"/>
            <w:tcMar>
              <w:top w:w="80" w:type="dxa"/>
              <w:bottom w:w="80" w:type="dxa"/>
              <w:start w:w="120" w:type="dxa"/>
              <w:end w:w="120" w:type="dxa"/>
            </w:tcMar>
            <w:vAlign w:val="center"/>
          </w:tcPr>
          <w:p>
            <w:pPr>
              <w:spacing w:after="0" w:line="240" w:lineRule="auto"/>
            </w:pPr>
            <w:r>
              <w:rPr>
                <w:sz w:val="20"/>
              </w:rPr>
              <w:t>Prompt shields for jailbreak attacks</w:t>
            </w:r>
          </w:p>
        </w:tc>
        <w:tc>
          <w:tcPr>
            <w:tcW w:type="dxa" w:w="2154"/>
            <w:tcMar>
              <w:top w:w="80" w:type="dxa"/>
              <w:bottom w:w="80" w:type="dxa"/>
              <w:start w:w="120" w:type="dxa"/>
              <w:end w:w="120" w:type="dxa"/>
            </w:tcMar>
            <w:vAlign w:val="center"/>
          </w:tcPr>
          <w:p>
            <w:pPr>
              <w:spacing w:after="0" w:line="240" w:lineRule="auto"/>
            </w:pPr>
            <w:r>
              <w:rPr>
                <w:b/>
                <w:sz w:val="20"/>
              </w:rPr>
              <w:t>Annotate and block</w:t>
            </w:r>
          </w:p>
        </w:tc>
        <w:tc>
          <w:tcPr>
            <w:tcW w:type="dxa" w:w="3855"/>
            <w:tcMar>
              <w:top w:w="80" w:type="dxa"/>
              <w:bottom w:w="80" w:type="dxa"/>
              <w:start w:w="120" w:type="dxa"/>
              <w:end w:w="120" w:type="dxa"/>
            </w:tcMar>
            <w:vAlign w:val="center"/>
          </w:tcPr>
          <w:p>
            <w:pPr>
              <w:spacing w:after="0" w:line="240" w:lineRule="auto"/>
            </w:pPr>
            <w:r>
              <w:rPr>
                <w:sz w:val="20"/>
              </w:rPr>
              <w:t>Keeps Microsoft's jailbreak detection on</w:t>
            </w:r>
          </w:p>
        </w:tc>
      </w:tr>
      <w:tr>
        <w:tc>
          <w:tcPr>
            <w:tcW w:type="dxa" w:w="3402"/>
            <w:tcMar>
              <w:top w:w="80" w:type="dxa"/>
              <w:bottom w:w="80" w:type="dxa"/>
              <w:start w:w="120" w:type="dxa"/>
              <w:end w:w="120" w:type="dxa"/>
            </w:tcMar>
            <w:vAlign w:val="center"/>
            <w:shd w:val="clear" w:color="auto" w:fill="F2F2F2"/>
          </w:tcPr>
          <w:p>
            <w:pPr>
              <w:spacing w:after="0" w:line="240" w:lineRule="auto"/>
            </w:pPr>
            <w:r>
              <w:rPr>
                <w:sz w:val="20"/>
              </w:rPr>
              <w:t>Prompt shields for indirect attacks</w:t>
            </w:r>
          </w:p>
        </w:tc>
        <w:tc>
          <w:tcPr>
            <w:tcW w:type="dxa" w:w="2154"/>
            <w:tcMar>
              <w:top w:w="80" w:type="dxa"/>
              <w:bottom w:w="80" w:type="dxa"/>
              <w:start w:w="120" w:type="dxa"/>
              <w:end w:w="120" w:type="dxa"/>
            </w:tcMar>
            <w:vAlign w:val="center"/>
            <w:shd w:val="clear" w:color="auto" w:fill="F2F2F2"/>
          </w:tcPr>
          <w:p>
            <w:pPr>
              <w:spacing w:after="0" w:line="240" w:lineRule="auto"/>
            </w:pPr>
            <w:r>
              <w:rPr>
                <w:b/>
                <w:sz w:val="20"/>
              </w:rPr>
              <w:t>Off</w:t>
            </w:r>
          </w:p>
        </w:tc>
        <w:tc>
          <w:tcPr>
            <w:tcW w:type="dxa" w:w="3855"/>
            <w:tcMar>
              <w:top w:w="80" w:type="dxa"/>
              <w:bottom w:w="80" w:type="dxa"/>
              <w:start w:w="120" w:type="dxa"/>
              <w:end w:w="120" w:type="dxa"/>
            </w:tcMar>
            <w:vAlign w:val="center"/>
            <w:shd w:val="clear" w:color="auto" w:fill="F2F2F2"/>
          </w:tcPr>
          <w:p>
            <w:pPr>
              <w:spacing w:after="0" w:line="240" w:lineRule="auto"/>
            </w:pPr>
            <w:r>
              <w:rPr>
                <w:sz w:val="20"/>
              </w:rPr>
              <w:t>Needs a document format our service doesn't use</w:t>
            </w:r>
          </w:p>
        </w:tc>
      </w:tr>
      <w:tr>
        <w:tc>
          <w:tcPr>
            <w:tcW w:type="dxa" w:w="3402"/>
            <w:tcMar>
              <w:top w:w="80" w:type="dxa"/>
              <w:bottom w:w="80" w:type="dxa"/>
              <w:start w:w="120" w:type="dxa"/>
              <w:end w:w="120" w:type="dxa"/>
            </w:tcMar>
            <w:vAlign w:val="center"/>
          </w:tcPr>
          <w:p>
            <w:pPr>
              <w:spacing w:after="0" w:line="240" w:lineRule="auto"/>
            </w:pPr>
            <w:r>
              <w:rPr>
                <w:sz w:val="20"/>
              </w:rPr>
              <w:t>Blocklist (including the built-in Profanity list)</w:t>
            </w:r>
          </w:p>
        </w:tc>
        <w:tc>
          <w:tcPr>
            <w:tcW w:type="dxa" w:w="2154"/>
            <w:tcMar>
              <w:top w:w="80" w:type="dxa"/>
              <w:bottom w:w="80" w:type="dxa"/>
              <w:start w:w="120" w:type="dxa"/>
              <w:end w:w="120" w:type="dxa"/>
            </w:tcMar>
            <w:vAlign w:val="center"/>
          </w:tcPr>
          <w:p>
            <w:pPr>
              <w:spacing w:after="0" w:line="240" w:lineRule="auto"/>
            </w:pPr>
            <w:r>
              <w:rPr>
                <w:b/>
                <w:sz w:val="20"/>
              </w:rPr>
              <w:t>Off</w:t>
            </w:r>
          </w:p>
        </w:tc>
        <w:tc>
          <w:tcPr>
            <w:tcW w:type="dxa" w:w="3855"/>
            <w:tcMar>
              <w:top w:w="80" w:type="dxa"/>
              <w:bottom w:w="80" w:type="dxa"/>
              <w:start w:w="120" w:type="dxa"/>
              <w:end w:w="120" w:type="dxa"/>
            </w:tcMar>
            <w:vAlign w:val="center"/>
          </w:tcPr>
          <w:p>
            <w:pPr>
              <w:spacing w:after="0" w:line="240" w:lineRule="auto"/>
            </w:pPr>
            <w:r>
              <w:rPr>
                <w:sz w:val="20"/>
              </w:rPr>
              <w:t>Quoted patient language is part of the record</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DEEBF7"/>
            <w:tcBorders>
              <w:top w:val="nil"/>
              <w:bottom w:val="nil"/>
              <w:right w:val="nil"/>
              <w:left w:val="single" w:sz="36" w:color="2E74B5"/>
            </w:tcBorders>
            <w:tcMar>
              <w:top w:w="120" w:type="dxa"/>
              <w:bottom w:w="120" w:type="dxa"/>
              <w:start w:w="200" w:type="dxa"/>
              <w:end w:w="160" w:type="dxa"/>
            </w:tcMar>
          </w:tcPr>
          <w:p>
            <w:pPr>
              <w:spacing w:after="60"/>
            </w:pPr>
            <w:r>
              <w:rPr>
                <w:b/>
                <w:color w:val="1F3864"/>
              </w:rPr>
              <w:t>If “Annotate only” isn't offered for the four harm categories</w:t>
            </w:r>
          </w:p>
          <w:p>
            <w:pPr>
              <w:spacing w:after="40"/>
            </w:pPr>
            <w:r>
              <w:t xml:space="preserve">Set their threshold slider to </w:t>
            </w:r>
            <w:r>
              <w:rPr>
                <w:b/>
              </w:rPr>
              <w:t>High</w:t>
            </w:r>
            <w:r>
              <w:t xml:space="preserve"> instead, and let us know. Microsoft's documentation says annotate-only on input is available to all customers, but one page also describes it as needing approval.</w:t>
            </w:r>
          </w:p>
        </w:tc>
      </w:tr>
    </w:tbl>
    <w:p>
      <w:pPr>
        <w:spacing w:after="40"/>
      </w:pPr>
    </w:p>
    <w:p>
      <w:pPr>
        <w:pStyle w:val="Heading2"/>
      </w:pPr>
      <w:r>
        <w:t>Page 3: Output filter (checks the model's answer)</w:t>
      </w:r>
    </w:p>
    <w:p>
      <w:pPr>
        <w:tabs>
          <w:tab w:pos="567" w:val="left"/>
        </w:tabs>
        <w:spacing w:after="100"/>
        <w:ind w:left="567" w:hanging="567"/>
      </w:pPr>
      <w:r>
        <w:rPr>
          <w:b/>
          <w:color w:val="2E74B5"/>
        </w:rPr>
        <w:t>Step 7</w:t>
        <w:tab/>
      </w:r>
      <w:r>
        <w:t xml:space="preserve">Set the output filter as follows, then select </w:t>
      </w:r>
      <w:r>
        <w:rPr>
          <w:b/>
        </w:rPr>
        <w:t>Next</w:t>
      </w:r>
      <w:r>
        <w: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rPr>
          <w:tblHeader w:val="true"/>
        </w:trPr>
        <w:tc>
          <w:tcPr>
            <w:tcW w:type="dxa" w:w="3402"/>
            <w:shd w:val="clear" w:color="auto" w:fill="1F3864"/>
            <w:tcMar>
              <w:top w:w="80" w:type="dxa"/>
              <w:bottom w:w="80" w:type="dxa"/>
              <w:start w:w="120" w:type="dxa"/>
              <w:end w:w="120" w:type="dxa"/>
            </w:tcMar>
          </w:tcPr>
          <w:p>
            <w:pPr>
              <w:spacing w:after="0"/>
            </w:pPr>
            <w:r>
              <w:rPr>
                <w:b/>
                <w:color w:val="FFFFFF"/>
                <w:sz w:val="20"/>
              </w:rPr>
              <w:t>Setting</w:t>
            </w:r>
          </w:p>
        </w:tc>
        <w:tc>
          <w:tcPr>
            <w:tcW w:type="dxa" w:w="2494"/>
            <w:shd w:val="clear" w:color="auto" w:fill="1F3864"/>
            <w:tcMar>
              <w:top w:w="80" w:type="dxa"/>
              <w:bottom w:w="80" w:type="dxa"/>
              <w:start w:w="120" w:type="dxa"/>
              <w:end w:w="120" w:type="dxa"/>
            </w:tcMar>
          </w:tcPr>
          <w:p>
            <w:pPr>
              <w:spacing w:after="0"/>
            </w:pPr>
            <w:r>
              <w:rPr>
                <w:b/>
                <w:color w:val="FFFFFF"/>
                <w:sz w:val="20"/>
              </w:rPr>
              <w:t>Set it to</w:t>
            </w:r>
          </w:p>
        </w:tc>
        <w:tc>
          <w:tcPr>
            <w:tcW w:type="dxa" w:w="3515"/>
            <w:shd w:val="clear" w:color="auto" w:fill="1F3864"/>
            <w:tcMar>
              <w:top w:w="80" w:type="dxa"/>
              <w:bottom w:w="80" w:type="dxa"/>
              <w:start w:w="120" w:type="dxa"/>
              <w:end w:w="120" w:type="dxa"/>
            </w:tcMar>
          </w:tcPr>
          <w:p>
            <w:pPr>
              <w:spacing w:after="0"/>
            </w:pPr>
            <w:r>
              <w:rPr>
                <w:b/>
                <w:color w:val="FFFFFF"/>
                <w:sz w:val="20"/>
              </w:rPr>
              <w:t>Why</w:t>
            </w:r>
          </w:p>
        </w:tc>
      </w:tr>
      <w:tr>
        <w:tc>
          <w:tcPr>
            <w:tcW w:type="dxa" w:w="3402"/>
            <w:tcMar>
              <w:top w:w="80" w:type="dxa"/>
              <w:bottom w:w="80" w:type="dxa"/>
              <w:start w:w="120" w:type="dxa"/>
              <w:end w:w="120" w:type="dxa"/>
            </w:tcMar>
            <w:vAlign w:val="center"/>
          </w:tcPr>
          <w:p>
            <w:pPr>
              <w:spacing w:after="0" w:line="240" w:lineRule="auto"/>
            </w:pPr>
            <w:r>
              <w:rPr>
                <w:sz w:val="20"/>
              </w:rPr>
              <w:t>Violence, Hate, Sexual, Self-harm</w:t>
            </w:r>
          </w:p>
        </w:tc>
        <w:tc>
          <w:tcPr>
            <w:tcW w:type="dxa" w:w="2494"/>
            <w:tcMar>
              <w:top w:w="80" w:type="dxa"/>
              <w:bottom w:w="80" w:type="dxa"/>
              <w:start w:w="120" w:type="dxa"/>
              <w:end w:w="120" w:type="dxa"/>
            </w:tcMar>
            <w:vAlign w:val="center"/>
          </w:tcPr>
          <w:p>
            <w:pPr>
              <w:spacing w:after="0" w:line="240" w:lineRule="auto"/>
            </w:pPr>
            <w:r>
              <w:rPr>
                <w:sz w:val="20"/>
              </w:rPr>
              <w:t xml:space="preserve">Threshold </w:t>
            </w:r>
            <w:r>
              <w:rPr>
                <w:b/>
                <w:sz w:val="20"/>
              </w:rPr>
              <w:t>High</w:t>
            </w:r>
            <w:r>
              <w:rPr>
                <w:sz w:val="20"/>
              </w:rPr>
              <w:t xml:space="preserve">, </w:t>
            </w:r>
            <w:r>
              <w:rPr>
                <w:b/>
                <w:sz w:val="20"/>
              </w:rPr>
              <w:t>block</w:t>
            </w:r>
          </w:p>
        </w:tc>
        <w:tc>
          <w:tcPr>
            <w:tcW w:type="dxa" w:w="3515"/>
            <w:tcMar>
              <w:top w:w="80" w:type="dxa"/>
              <w:bottom w:w="80" w:type="dxa"/>
              <w:start w:w="120" w:type="dxa"/>
              <w:end w:w="120" w:type="dxa"/>
            </w:tcMar>
            <w:vAlign w:val="center"/>
          </w:tcPr>
          <w:p>
            <w:pPr>
              <w:spacing w:after="0" w:line="240" w:lineRule="auto"/>
            </w:pPr>
            <w:r>
              <w:rPr>
                <w:sz w:val="20"/>
              </w:rPr>
              <w:t>Blocks any harmful answer</w:t>
            </w:r>
          </w:p>
        </w:tc>
      </w:tr>
      <w:tr>
        <w:tc>
          <w:tcPr>
            <w:tcW w:type="dxa" w:w="3402"/>
            <w:tcMar>
              <w:top w:w="80" w:type="dxa"/>
              <w:bottom w:w="80" w:type="dxa"/>
              <w:start w:w="120" w:type="dxa"/>
              <w:end w:w="120" w:type="dxa"/>
            </w:tcMar>
            <w:vAlign w:val="center"/>
            <w:shd w:val="clear" w:color="auto" w:fill="F2F2F2"/>
          </w:tcPr>
          <w:p>
            <w:pPr>
              <w:spacing w:after="0" w:line="240" w:lineRule="auto"/>
            </w:pPr>
            <w:r>
              <w:rPr>
                <w:sz w:val="20"/>
              </w:rPr>
              <w:t>Protected material for text</w:t>
            </w:r>
          </w:p>
        </w:tc>
        <w:tc>
          <w:tcPr>
            <w:tcW w:type="dxa" w:w="2494"/>
            <w:tcMar>
              <w:top w:w="80" w:type="dxa"/>
              <w:bottom w:w="80" w:type="dxa"/>
              <w:start w:w="120" w:type="dxa"/>
              <w:end w:w="120" w:type="dxa"/>
            </w:tcMar>
            <w:vAlign w:val="center"/>
            <w:shd w:val="clear" w:color="auto" w:fill="F2F2F2"/>
          </w:tcPr>
          <w:p>
            <w:pPr>
              <w:spacing w:after="0" w:line="240" w:lineRule="auto"/>
            </w:pPr>
            <w:r>
              <w:rPr>
                <w:b/>
                <w:sz w:val="20"/>
              </w:rPr>
              <w:t>Annotate only</w:t>
            </w:r>
          </w:p>
        </w:tc>
        <w:tc>
          <w:tcPr>
            <w:tcW w:type="dxa" w:w="3515"/>
            <w:tcMar>
              <w:top w:w="80" w:type="dxa"/>
              <w:bottom w:w="80" w:type="dxa"/>
              <w:start w:w="120" w:type="dxa"/>
              <w:end w:w="120" w:type="dxa"/>
            </w:tcMar>
            <w:vAlign w:val="center"/>
            <w:shd w:val="clear" w:color="auto" w:fill="F2F2F2"/>
          </w:tcPr>
          <w:p>
            <w:pPr>
              <w:spacing w:after="0" w:line="240" w:lineRule="auto"/>
            </w:pPr>
            <w:r>
              <w:rPr>
                <w:sz w:val="20"/>
              </w:rPr>
              <w:t>Recorded, not blocked</w:t>
            </w:r>
          </w:p>
        </w:tc>
      </w:tr>
      <w:tr>
        <w:tc>
          <w:tcPr>
            <w:tcW w:type="dxa" w:w="3402"/>
            <w:tcMar>
              <w:top w:w="80" w:type="dxa"/>
              <w:bottom w:w="80" w:type="dxa"/>
              <w:start w:w="120" w:type="dxa"/>
              <w:end w:w="120" w:type="dxa"/>
            </w:tcMar>
            <w:vAlign w:val="center"/>
          </w:tcPr>
          <w:p>
            <w:pPr>
              <w:spacing w:after="0" w:line="240" w:lineRule="auto"/>
            </w:pPr>
            <w:r>
              <w:rPr>
                <w:sz w:val="20"/>
              </w:rPr>
              <w:t>Protected material for code</w:t>
            </w:r>
          </w:p>
        </w:tc>
        <w:tc>
          <w:tcPr>
            <w:tcW w:type="dxa" w:w="2494"/>
            <w:tcMar>
              <w:top w:w="80" w:type="dxa"/>
              <w:bottom w:w="80" w:type="dxa"/>
              <w:start w:w="120" w:type="dxa"/>
              <w:end w:w="120" w:type="dxa"/>
            </w:tcMar>
            <w:vAlign w:val="center"/>
          </w:tcPr>
          <w:p>
            <w:pPr>
              <w:spacing w:after="0" w:line="240" w:lineRule="auto"/>
            </w:pPr>
            <w:r>
              <w:rPr>
                <w:b/>
                <w:sz w:val="20"/>
              </w:rPr>
              <w:t>Annotate only</w:t>
            </w:r>
          </w:p>
        </w:tc>
        <w:tc>
          <w:tcPr>
            <w:tcW w:type="dxa" w:w="3515"/>
            <w:tcMar>
              <w:top w:w="80" w:type="dxa"/>
              <w:bottom w:w="80" w:type="dxa"/>
              <w:start w:w="120" w:type="dxa"/>
              <w:end w:w="120" w:type="dxa"/>
            </w:tcMar>
            <w:vAlign w:val="center"/>
          </w:tcPr>
          <w:p>
            <w:pPr>
              <w:spacing w:after="0" w:line="240" w:lineRule="auto"/>
            </w:pPr>
            <w:r>
              <w:rPr>
                <w:sz w:val="20"/>
              </w:rPr>
              <w:t>Recorded, not blocked</w:t>
            </w:r>
          </w:p>
        </w:tc>
      </w:tr>
      <w:tr>
        <w:tc>
          <w:tcPr>
            <w:tcW w:type="dxa" w:w="3402"/>
            <w:tcMar>
              <w:top w:w="80" w:type="dxa"/>
              <w:bottom w:w="80" w:type="dxa"/>
              <w:start w:w="120" w:type="dxa"/>
              <w:end w:w="120" w:type="dxa"/>
            </w:tcMar>
            <w:vAlign w:val="center"/>
            <w:shd w:val="clear" w:color="auto" w:fill="F2F2F2"/>
          </w:tcPr>
          <w:p>
            <w:pPr>
              <w:spacing w:after="0" w:line="240" w:lineRule="auto"/>
            </w:pPr>
            <w:r>
              <w:rPr>
                <w:sz w:val="20"/>
              </w:rPr>
              <w:t>Groundedness (preview)</w:t>
            </w:r>
          </w:p>
        </w:tc>
        <w:tc>
          <w:tcPr>
            <w:tcW w:type="dxa" w:w="2494"/>
            <w:tcMar>
              <w:top w:w="80" w:type="dxa"/>
              <w:bottom w:w="80" w:type="dxa"/>
              <w:start w:w="120" w:type="dxa"/>
              <w:end w:w="120" w:type="dxa"/>
            </w:tcMar>
            <w:vAlign w:val="center"/>
            <w:shd w:val="clear" w:color="auto" w:fill="F2F2F2"/>
          </w:tcPr>
          <w:p>
            <w:pPr>
              <w:spacing w:after="0" w:line="240" w:lineRule="auto"/>
            </w:pPr>
            <w:r>
              <w:rPr>
                <w:b/>
                <w:sz w:val="20"/>
              </w:rPr>
              <w:t>Off</w:t>
            </w:r>
          </w:p>
        </w:tc>
        <w:tc>
          <w:tcPr>
            <w:tcW w:type="dxa" w:w="3515"/>
            <w:tcMar>
              <w:top w:w="80" w:type="dxa"/>
              <w:bottom w:w="80" w:type="dxa"/>
              <w:start w:w="120" w:type="dxa"/>
              <w:end w:w="120" w:type="dxa"/>
            </w:tcMar>
            <w:vAlign w:val="center"/>
            <w:shd w:val="clear" w:color="auto" w:fill="F2F2F2"/>
          </w:tcPr>
          <w:p>
            <w:pPr>
              <w:spacing w:after="0" w:line="240" w:lineRule="auto"/>
            </w:pPr>
            <w:r>
              <w:rPr>
                <w:sz w:val="20"/>
              </w:rPr>
              <w:t>Not used</w:t>
            </w:r>
          </w:p>
        </w:tc>
      </w:tr>
      <w:tr>
        <w:tc>
          <w:tcPr>
            <w:tcW w:type="dxa" w:w="3402"/>
            <w:tcMar>
              <w:top w:w="80" w:type="dxa"/>
              <w:bottom w:w="80" w:type="dxa"/>
              <w:start w:w="120" w:type="dxa"/>
              <w:end w:w="120" w:type="dxa"/>
            </w:tcMar>
            <w:vAlign w:val="center"/>
          </w:tcPr>
          <w:p>
            <w:pPr>
              <w:spacing w:after="0" w:line="240" w:lineRule="auto"/>
            </w:pPr>
            <w:r>
              <w:rPr>
                <w:sz w:val="20"/>
              </w:rPr>
              <w:t>Personally identifiable information (PII) (preview)</w:t>
            </w:r>
          </w:p>
        </w:tc>
        <w:tc>
          <w:tcPr>
            <w:tcW w:type="dxa" w:w="2494"/>
            <w:tcMar>
              <w:top w:w="80" w:type="dxa"/>
              <w:bottom w:w="80" w:type="dxa"/>
              <w:start w:w="120" w:type="dxa"/>
              <w:end w:w="120" w:type="dxa"/>
            </w:tcMar>
            <w:vAlign w:val="center"/>
          </w:tcPr>
          <w:p>
            <w:pPr>
              <w:spacing w:after="0" w:line="240" w:lineRule="auto"/>
            </w:pPr>
            <w:r>
              <w:rPr>
                <w:b/>
                <w:sz w:val="20"/>
              </w:rPr>
              <w:t>Off</w:t>
            </w:r>
          </w:p>
        </w:tc>
        <w:tc>
          <w:tcPr>
            <w:tcW w:type="dxa" w:w="3515"/>
            <w:tcMar>
              <w:top w:w="80" w:type="dxa"/>
              <w:bottom w:w="80" w:type="dxa"/>
              <w:start w:w="120" w:type="dxa"/>
              <w:end w:w="120" w:type="dxa"/>
            </w:tcMar>
            <w:vAlign w:val="center"/>
          </w:tcPr>
          <w:p>
            <w:pPr>
              <w:spacing w:after="0" w:line="240" w:lineRule="auto"/>
            </w:pPr>
            <w:r>
              <w:rPr>
                <w:sz w:val="20"/>
              </w:rPr>
              <w:t>The answer is meant to contain patient details</w:t>
            </w:r>
          </w:p>
        </w:tc>
      </w:tr>
      <w:tr>
        <w:tc>
          <w:tcPr>
            <w:tcW w:type="dxa" w:w="3402"/>
            <w:tcMar>
              <w:top w:w="80" w:type="dxa"/>
              <w:bottom w:w="80" w:type="dxa"/>
              <w:start w:w="120" w:type="dxa"/>
              <w:end w:w="120" w:type="dxa"/>
            </w:tcMar>
            <w:vAlign w:val="center"/>
            <w:shd w:val="clear" w:color="auto" w:fill="F2F2F2"/>
          </w:tcPr>
          <w:p>
            <w:pPr>
              <w:spacing w:after="0" w:line="240" w:lineRule="auto"/>
            </w:pPr>
            <w:r>
              <w:rPr>
                <w:sz w:val="20"/>
              </w:rPr>
              <w:t>Streaming mode</w:t>
            </w:r>
          </w:p>
        </w:tc>
        <w:tc>
          <w:tcPr>
            <w:tcW w:type="dxa" w:w="2494"/>
            <w:tcMar>
              <w:top w:w="80" w:type="dxa"/>
              <w:bottom w:w="80" w:type="dxa"/>
              <w:start w:w="120" w:type="dxa"/>
              <w:end w:w="120" w:type="dxa"/>
            </w:tcMar>
            <w:vAlign w:val="center"/>
            <w:shd w:val="clear" w:color="auto" w:fill="F2F2F2"/>
          </w:tcPr>
          <w:p>
            <w:pPr>
              <w:spacing w:after="0" w:line="240" w:lineRule="auto"/>
            </w:pPr>
            <w:r>
              <w:rPr>
                <w:b/>
                <w:sz w:val="20"/>
              </w:rPr>
              <w:t>Leave at default</w:t>
            </w:r>
          </w:p>
        </w:tc>
        <w:tc>
          <w:tcPr>
            <w:tcW w:type="dxa" w:w="3515"/>
            <w:tcMar>
              <w:top w:w="80" w:type="dxa"/>
              <w:bottom w:w="80" w:type="dxa"/>
              <w:start w:w="120" w:type="dxa"/>
              <w:end w:w="120" w:type="dxa"/>
            </w:tcMar>
            <w:vAlign w:val="center"/>
            <w:shd w:val="clear" w:color="auto" w:fill="F2F2F2"/>
          </w:tcPr>
          <w:p>
            <w:pPr>
              <w:spacing w:after="0" w:line="240" w:lineRule="auto"/>
            </w:pPr>
            <w:r>
              <w:rPr>
                <w:sz w:val="20"/>
              </w:rPr>
              <w:t>Our service doesn't stream</w:t>
            </w:r>
          </w:p>
        </w:tc>
      </w:tr>
      <w:tr>
        <w:tc>
          <w:tcPr>
            <w:tcW w:type="dxa" w:w="3402"/>
            <w:tcMar>
              <w:top w:w="80" w:type="dxa"/>
              <w:bottom w:w="80" w:type="dxa"/>
              <w:start w:w="120" w:type="dxa"/>
              <w:end w:w="120" w:type="dxa"/>
            </w:tcMar>
            <w:vAlign w:val="center"/>
          </w:tcPr>
          <w:p>
            <w:pPr>
              <w:spacing w:after="0" w:line="240" w:lineRule="auto"/>
            </w:pPr>
            <w:r>
              <w:rPr>
                <w:sz w:val="20"/>
              </w:rPr>
              <w:t>Blocklist</w:t>
            </w:r>
          </w:p>
        </w:tc>
        <w:tc>
          <w:tcPr>
            <w:tcW w:type="dxa" w:w="2494"/>
            <w:tcMar>
              <w:top w:w="80" w:type="dxa"/>
              <w:bottom w:w="80" w:type="dxa"/>
              <w:start w:w="120" w:type="dxa"/>
              <w:end w:w="120" w:type="dxa"/>
            </w:tcMar>
            <w:vAlign w:val="center"/>
          </w:tcPr>
          <w:p>
            <w:pPr>
              <w:spacing w:after="0" w:line="240" w:lineRule="auto"/>
            </w:pPr>
            <w:r>
              <w:rPr>
                <w:b/>
                <w:sz w:val="20"/>
              </w:rPr>
              <w:t>Off</w:t>
            </w:r>
          </w:p>
        </w:tc>
        <w:tc>
          <w:tcPr>
            <w:tcW w:type="dxa" w:w="3515"/>
            <w:tcMar>
              <w:top w:w="80" w:type="dxa"/>
              <w:bottom w:w="80" w:type="dxa"/>
              <w:start w:w="120" w:type="dxa"/>
              <w:end w:w="120" w:type="dxa"/>
            </w:tcMar>
            <w:vAlign w:val="center"/>
          </w:tcPr>
          <w:p>
            <w:pPr>
              <w:spacing w:after="0" w:line="240" w:lineRule="auto"/>
            </w:pPr>
            <w:r>
              <w:rPr>
                <w:sz w:val="20"/>
              </w:rPr>
              <w:t>Not used</w:t>
            </w:r>
          </w:p>
        </w:tc>
      </w:tr>
    </w:tbl>
    <w:p>
      <w:pPr>
        <w:spacing w:after="40"/>
      </w:pPr>
    </w:p>
    <w:p>
      <w:pPr>
        <w:pStyle w:val="Heading2"/>
      </w:pPr>
      <w:r>
        <w:t>Page 4: Connection (apply to deployments)</w:t>
      </w:r>
    </w:p>
    <w:p>
      <w:pPr>
        <w:tabs>
          <w:tab w:pos="567" w:val="left"/>
        </w:tabs>
        <w:spacing w:after="100"/>
        <w:ind w:left="567" w:hanging="567"/>
      </w:pPr>
      <w:r>
        <w:rPr>
          <w:b/>
          <w:color w:val="2E74B5"/>
        </w:rPr>
        <w:t>Step 8</w:t>
        <w:tab/>
      </w:r>
      <w:r>
        <w:rPr>
          <w:b/>
        </w:rPr>
        <w:t>Don't select any deployment.</w:t>
      </w:r>
      <w:r>
        <w:t xml:space="preserve"> Leave the list empty and continue.</w:t>
      </w:r>
    </w:p>
    <w:tbl>
      <w:tblPr>
        <w:tblW w:type="auto" w:w="0"/>
        <w:jc w:val="center"/>
        <w:tblLook w:firstColumn="1" w:firstRow="1" w:lastColumn="0" w:lastRow="0" w:noHBand="0" w:noVBand="1" w:val="04A0"/>
      </w:tblPr>
      <w:tblGrid>
        <w:gridCol w:w="9746"/>
      </w:tblGrid>
      <w:tr>
        <w:tc>
          <w:tcPr>
            <w:tcW w:type="dxa" w:w="9746"/>
            <w:shd w:val="clear" w:color="auto" w:fill="FBE5D6"/>
            <w:tcBorders>
              <w:top w:val="nil"/>
              <w:bottom w:val="nil"/>
              <w:right w:val="nil"/>
              <w:left w:val="single" w:sz="36" w:color="C55A11"/>
            </w:tcBorders>
            <w:tcMar>
              <w:top w:w="120" w:type="dxa"/>
              <w:bottom w:w="120" w:type="dxa"/>
              <w:start w:w="200" w:type="dxa"/>
              <w:end w:w="160" w:type="dxa"/>
            </w:tcMar>
          </w:tcPr>
          <w:p>
            <w:pPr>
              <w:spacing w:after="60"/>
            </w:pPr>
            <w:r>
              <w:rPr>
                <w:b/>
                <w:color w:val="843C0C"/>
              </w:rPr>
              <w:t>Why no deployment?</w:t>
            </w:r>
          </w:p>
          <w:p>
            <w:pPr>
              <w:spacing w:after="40"/>
            </w:pPr>
            <w:r>
              <w:t>Attaching the filter to a deployment would change the behaviour for any other application that uses the same deployment. Our service selects this filter on each of its own requests instead.</w:t>
            </w:r>
          </w:p>
        </w:tc>
      </w:tr>
    </w:tbl>
    <w:p>
      <w:pPr>
        <w:spacing w:after="40"/>
      </w:pPr>
    </w:p>
    <w:p>
      <w:pPr>
        <w:pStyle w:val="Heading2"/>
      </w:pPr>
      <w:r>
        <w:t>Page 5: Review</w:t>
      </w:r>
    </w:p>
    <w:p>
      <w:pPr>
        <w:tabs>
          <w:tab w:pos="567" w:val="left"/>
        </w:tabs>
        <w:spacing w:after="100"/>
        <w:ind w:left="567" w:hanging="567"/>
      </w:pPr>
      <w:r>
        <w:rPr>
          <w:b/>
          <w:color w:val="2E74B5"/>
        </w:rPr>
        <w:t>Step 9</w:t>
        <w:tab/>
      </w:r>
      <w:r>
        <w:t xml:space="preserve">Check the settings against the tables above, then select </w:t>
      </w:r>
      <w:r>
        <w:rPr>
          <w:b/>
        </w:rPr>
        <w:t>Create filter</w:t>
      </w:r>
      <w:r>
        <w:t>.</w:t>
      </w:r>
    </w:p>
    <w:tbl>
      <w:tblPr>
        <w:tblW w:type="auto" w:w="0"/>
        <w:jc w:val="center"/>
        <w:tblLook w:firstColumn="1" w:firstRow="1" w:lastColumn="0" w:lastRow="0" w:noHBand="0" w:noVBand="1" w:val="04A0"/>
      </w:tblPr>
      <w:tblGrid>
        <w:gridCol w:w="9746"/>
      </w:tblGrid>
      <w:tr>
        <w:tc>
          <w:tcPr>
            <w:tcW w:type="dxa" w:w="9746"/>
            <w:shd w:val="clear" w:color="auto" w:fill="E2EFDA"/>
            <w:tcBorders>
              <w:top w:val="nil"/>
              <w:bottom w:val="nil"/>
              <w:right w:val="nil"/>
              <w:left w:val="single" w:sz="36" w:color="548235"/>
            </w:tcBorders>
            <w:tcMar>
              <w:top w:w="120" w:type="dxa"/>
              <w:bottom w:w="120" w:type="dxa"/>
              <w:start w:w="200" w:type="dxa"/>
              <w:end w:w="160" w:type="dxa"/>
            </w:tcMar>
          </w:tcPr>
          <w:p>
            <w:pPr>
              <w:spacing w:after="60"/>
            </w:pPr>
            <w:r>
              <w:rPr>
                <w:b/>
                <w:color w:val="375623"/>
              </w:rPr>
              <w:t>Done</w:t>
            </w:r>
          </w:p>
          <w:p>
            <w:pPr>
              <w:spacing w:after="40"/>
            </w:pPr>
            <w:r>
              <w:t xml:space="preserve">The filter </w:t>
            </w:r>
            <w:r>
              <w:rPr>
                <w:rFonts w:ascii="Consolas" w:hAnsi="Consolas"/>
                <w:color w:val="1F3864"/>
              </w:rPr>
              <w:t>pacehr-clinical-extraction</w:t>
            </w:r>
            <w:r>
              <w:t xml:space="preserve"> now exists on this resource. Please send us the confirmation row (Section 6).</w:t>
            </w:r>
          </w:p>
        </w:tc>
      </w:tr>
    </w:tbl>
    <w:p>
      <w:pPr>
        <w:spacing w:after="40"/>
      </w:pPr>
    </w:p>
    <w:p>
      <w:pPr>
        <w:pStyle w:val="Heading1"/>
      </w:pPr>
      <w:r>
        <w:t>4.  Check the deployment type (read only)</w:t>
      </w:r>
    </w:p>
    <w:p>
      <w:pPr>
        <w:spacing w:after="120"/>
      </w:pPr>
      <w:r>
        <w:t xml:space="preserve">Under the Business Associate Agreement we want requests to be processed </w:t>
      </w:r>
      <w:r>
        <w:rPr>
          <w:b/>
        </w:rPr>
        <w:t>in the US</w:t>
      </w:r>
      <w:r>
        <w:t xml:space="preserve">. A </w:t>
      </w:r>
      <w:r>
        <w:rPr>
          <w:b/>
        </w:rPr>
        <w:t>Global</w:t>
      </w:r>
      <w:r>
        <w:t xml:space="preserve"> deployment may process them in any Azure region, so please check which type the GPT-4.1 deployment uses. </w:t>
      </w:r>
      <w:r>
        <w:rPr>
          <w:b/>
        </w:rPr>
        <w:t>Nothing needs to change in this step.</w:t>
      </w:r>
    </w:p>
    <w:p>
      <w:pPr>
        <w:pStyle w:val="ListBullet"/>
        <w:spacing w:after="60"/>
      </w:pPr>
      <w:r>
        <w:rPr>
          <w:b/>
        </w:rPr>
        <w:t>In the portal:</w:t>
      </w:r>
      <w:r>
        <w:t xml:space="preserve"> open the resource, go to </w:t>
      </w:r>
      <w:r>
        <w:rPr>
          <w:b/>
        </w:rPr>
        <w:t>Models + endpoints</w:t>
      </w:r>
      <w:r>
        <w:t xml:space="preserve"> (or </w:t>
      </w:r>
      <w:r>
        <w:rPr>
          <w:b/>
        </w:rPr>
        <w:t>Deployments</w:t>
      </w:r>
      <w:r>
        <w:t xml:space="preserve">), select the GPT-4.1 deployment and note its </w:t>
      </w:r>
      <w:r>
        <w:rPr>
          <w:b/>
        </w:rPr>
        <w:t>Deployment type</w:t>
      </w:r>
      <w:r>
        <w:t>.</w:t>
      </w:r>
    </w:p>
    <w:p>
      <w:pPr>
        <w:pStyle w:val="ListBullet"/>
        <w:spacing w:after="60"/>
      </w:pPr>
      <w:r>
        <w:rPr>
          <w:b/>
        </w:rPr>
        <w:t>Or with the Azure CLI:</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nil"/>
          <w:insideV w:val="nil"/>
        </w:tblBorders>
      </w:tblPr>
      <w:tblGrid>
        <w:gridCol w:w="9746"/>
      </w:tblGrid>
      <w:tr>
        <w:tc>
          <w:tcPr>
            <w:tcW w:type="dxa" w:w="9746"/>
            <w:shd w:val="clear" w:color="auto" w:fill="F5F5F5"/>
            <w:tcMar>
              <w:top w:w="100" w:type="dxa"/>
              <w:bottom w:w="100" w:type="dxa"/>
              <w:start w:w="160" w:type="dxa"/>
              <w:end w:w="160" w:type="dxa"/>
            </w:tcMar>
          </w:tcPr>
          <w:p>
            <w:pPr>
              <w:spacing w:after="0" w:line="240" w:lineRule="auto"/>
            </w:pPr>
            <w:r>
              <w:rPr>
                <w:rFonts w:ascii="Consolas" w:hAnsi="Consolas"/>
                <w:sz w:val="17"/>
              </w:rPr>
              <w:t>az cognitiveservices account deployment show -g "&lt;resource-group&gt;" -n "&lt;openai-resource-name&gt;" \</w:t>
              <w:br/>
            </w:r>
            <w:r>
              <w:rPr>
                <w:rFonts w:ascii="Consolas" w:hAnsi="Consolas"/>
                <w:sz w:val="17"/>
              </w:rPr>
              <w:t xml:space="preserve">  --deployment-name "&lt;gpt-4.1-deployment-name&gt;" --query sku.name -o tsv</w:t>
            </w:r>
          </w:p>
        </w:tc>
      </w:tr>
    </w:tbl>
    <w:p>
      <w:pPr>
        <w:spacing w:after="40"/>
      </w:pP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rPr>
          <w:tblHeader w:val="true"/>
        </w:trPr>
        <w:tc>
          <w:tcPr>
            <w:tcW w:type="dxa" w:w="3969"/>
            <w:shd w:val="clear" w:color="auto" w:fill="1F3864"/>
            <w:tcMar>
              <w:top w:w="80" w:type="dxa"/>
              <w:bottom w:w="80" w:type="dxa"/>
              <w:start w:w="120" w:type="dxa"/>
              <w:end w:w="120" w:type="dxa"/>
            </w:tcMar>
          </w:tcPr>
          <w:p>
            <w:pPr>
              <w:spacing w:after="0"/>
            </w:pPr>
            <w:r>
              <w:rPr>
                <w:b/>
                <w:color w:val="FFFFFF"/>
                <w:sz w:val="20"/>
              </w:rPr>
              <w:t>Result</w:t>
            </w:r>
          </w:p>
        </w:tc>
        <w:tc>
          <w:tcPr>
            <w:tcW w:type="dxa" w:w="5443"/>
            <w:shd w:val="clear" w:color="auto" w:fill="1F3864"/>
            <w:tcMar>
              <w:top w:w="80" w:type="dxa"/>
              <w:bottom w:w="80" w:type="dxa"/>
              <w:start w:w="120" w:type="dxa"/>
              <w:end w:w="120" w:type="dxa"/>
            </w:tcMar>
          </w:tcPr>
          <w:p>
            <w:pPr>
              <w:spacing w:after="0"/>
            </w:pPr>
            <w:r>
              <w:rPr>
                <w:b/>
                <w:color w:val="FFFFFF"/>
                <w:sz w:val="20"/>
              </w:rPr>
              <w:t>What it means</w:t>
            </w:r>
          </w:p>
        </w:tc>
      </w:tr>
      <w:tr>
        <w:tc>
          <w:tcPr>
            <w:tcW w:type="dxa" w:w="3969"/>
            <w:tcMar>
              <w:top w:w="80" w:type="dxa"/>
              <w:bottom w:w="80" w:type="dxa"/>
              <w:start w:w="120" w:type="dxa"/>
              <w:end w:w="120" w:type="dxa"/>
            </w:tcMar>
            <w:vAlign w:val="center"/>
          </w:tcPr>
          <w:p>
            <w:pPr>
              <w:spacing w:after="0" w:line="240" w:lineRule="auto"/>
            </w:pPr>
            <w:r>
              <w:rPr>
                <w:rFonts w:ascii="Consolas" w:hAnsi="Consolas"/>
                <w:color w:val="1F3864"/>
                <w:sz w:val="20"/>
              </w:rPr>
              <w:t>Standard</w:t>
            </w:r>
            <w:r>
              <w:rPr>
                <w:sz w:val="20"/>
              </w:rPr>
              <w:t xml:space="preserve"> (regional) or </w:t>
            </w:r>
            <w:r>
              <w:rPr>
                <w:rFonts w:ascii="Consolas" w:hAnsi="Consolas"/>
                <w:color w:val="1F3864"/>
                <w:sz w:val="20"/>
              </w:rPr>
              <w:t>DataZoneStandard</w:t>
            </w:r>
            <w:r>
              <w:rPr>
                <w:sz w:val="20"/>
              </w:rPr>
              <w:t xml:space="preserve"> (US data zone)</w:t>
            </w:r>
          </w:p>
        </w:tc>
        <w:tc>
          <w:tcPr>
            <w:tcW w:type="dxa" w:w="5443"/>
            <w:tcMar>
              <w:top w:w="80" w:type="dxa"/>
              <w:bottom w:w="80" w:type="dxa"/>
              <w:start w:w="120" w:type="dxa"/>
              <w:end w:w="120" w:type="dxa"/>
            </w:tcMar>
            <w:vAlign w:val="center"/>
          </w:tcPr>
          <w:p>
            <w:pPr>
              <w:spacing w:after="0" w:line="240" w:lineRule="auto"/>
            </w:pPr>
            <w:r>
              <w:rPr>
                <w:sz w:val="20"/>
              </w:rPr>
              <w:t>✅  Fine. Nothing to do.</w:t>
            </w:r>
          </w:p>
        </w:tc>
      </w:tr>
      <w:tr>
        <w:tc>
          <w:tcPr>
            <w:tcW w:type="dxa" w:w="3969"/>
            <w:tcMar>
              <w:top w:w="80" w:type="dxa"/>
              <w:bottom w:w="80" w:type="dxa"/>
              <w:start w:w="120" w:type="dxa"/>
              <w:end w:w="120" w:type="dxa"/>
            </w:tcMar>
            <w:vAlign w:val="center"/>
            <w:shd w:val="clear" w:color="auto" w:fill="F2F2F2"/>
          </w:tcPr>
          <w:p>
            <w:pPr>
              <w:spacing w:after="0" w:line="240" w:lineRule="auto"/>
            </w:pPr>
            <w:r>
              <w:rPr>
                <w:sz w:val="20"/>
              </w:rPr>
              <w:t xml:space="preserve">Anything containing </w:t>
            </w:r>
            <w:r>
              <w:rPr>
                <w:b/>
                <w:sz w:val="20"/>
              </w:rPr>
              <w:t>Global</w:t>
            </w:r>
          </w:p>
        </w:tc>
        <w:tc>
          <w:tcPr>
            <w:tcW w:type="dxa" w:w="5443"/>
            <w:tcMar>
              <w:top w:w="80" w:type="dxa"/>
              <w:bottom w:w="80" w:type="dxa"/>
              <w:start w:w="120" w:type="dxa"/>
              <w:end w:w="120" w:type="dxa"/>
            </w:tcMar>
            <w:vAlign w:val="center"/>
            <w:shd w:val="clear" w:color="auto" w:fill="F2F2F2"/>
          </w:tcPr>
          <w:p>
            <w:pPr>
              <w:spacing w:after="0" w:line="240" w:lineRule="auto"/>
            </w:pPr>
            <w:r>
              <w:rPr>
                <w:sz w:val="20"/>
              </w:rPr>
              <w:t xml:space="preserve">⚠️  Please </w:t>
            </w:r>
            <w:r>
              <w:rPr>
                <w:b/>
                <w:sz w:val="20"/>
              </w:rPr>
              <w:t>tell us; don't change it yourself.</w:t>
            </w:r>
            <w:r>
              <w:rPr>
                <w:sz w:val="20"/>
              </w:rPr>
              <w:t xml:space="preserve"> Moving to another type means a new deployment and a configuration change on our side.</w:t>
            </w:r>
          </w:p>
        </w:tc>
      </w:tr>
    </w:tbl>
    <w:p>
      <w:pPr>
        <w:spacing w:after="40"/>
      </w:pPr>
    </w:p>
    <w:p>
      <w:pPr>
        <w:pStyle w:val="Heading1"/>
      </w:pPr>
      <w:r>
        <w:t>5.  Please leave these unchanged</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rPr>
          <w:tblHeader w:val="true"/>
        </w:trPr>
        <w:tc>
          <w:tcPr>
            <w:tcW w:type="dxa" w:w="2948"/>
            <w:shd w:val="clear" w:color="auto" w:fill="1F3864"/>
            <w:tcMar>
              <w:top w:w="80" w:type="dxa"/>
              <w:bottom w:w="80" w:type="dxa"/>
              <w:start w:w="120" w:type="dxa"/>
              <w:end w:w="120" w:type="dxa"/>
            </w:tcMar>
          </w:tcPr>
          <w:p>
            <w:pPr>
              <w:spacing w:after="0"/>
            </w:pPr>
            <w:r>
              <w:rPr>
                <w:b/>
                <w:color w:val="FFFFFF"/>
                <w:sz w:val="20"/>
              </w:rPr>
              <w:t>Item</w:t>
            </w:r>
          </w:p>
        </w:tc>
        <w:tc>
          <w:tcPr>
            <w:tcW w:type="dxa" w:w="2041"/>
            <w:shd w:val="clear" w:color="auto" w:fill="1F3864"/>
            <w:tcMar>
              <w:top w:w="80" w:type="dxa"/>
              <w:bottom w:w="80" w:type="dxa"/>
              <w:start w:w="120" w:type="dxa"/>
              <w:end w:w="120" w:type="dxa"/>
            </w:tcMar>
          </w:tcPr>
          <w:p>
            <w:pPr>
              <w:spacing w:after="0"/>
            </w:pPr>
            <w:r>
              <w:rPr>
                <w:b/>
                <w:color w:val="FFFFFF"/>
                <w:sz w:val="20"/>
              </w:rPr>
              <w:t>Leave it as</w:t>
            </w:r>
          </w:p>
        </w:tc>
        <w:tc>
          <w:tcPr>
            <w:tcW w:type="dxa" w:w="4422"/>
            <w:shd w:val="clear" w:color="auto" w:fill="1F3864"/>
            <w:tcMar>
              <w:top w:w="80" w:type="dxa"/>
              <w:bottom w:w="80" w:type="dxa"/>
              <w:start w:w="120" w:type="dxa"/>
              <w:end w:w="120" w:type="dxa"/>
            </w:tcMar>
          </w:tcPr>
          <w:p>
            <w:pPr>
              <w:spacing w:after="0"/>
            </w:pPr>
            <w:r>
              <w:rPr>
                <w:b/>
                <w:color w:val="FFFFFF"/>
                <w:sz w:val="20"/>
              </w:rPr>
              <w:t>Why</w:t>
            </w:r>
          </w:p>
        </w:tc>
      </w:tr>
      <w:tr>
        <w:tc>
          <w:tcPr>
            <w:tcW w:type="dxa" w:w="2948"/>
            <w:tcMar>
              <w:top w:w="80" w:type="dxa"/>
              <w:bottom w:w="80" w:type="dxa"/>
              <w:start w:w="120" w:type="dxa"/>
              <w:end w:w="120" w:type="dxa"/>
            </w:tcMar>
            <w:vAlign w:val="center"/>
          </w:tcPr>
          <w:p>
            <w:pPr>
              <w:spacing w:after="0" w:line="240" w:lineRule="auto"/>
            </w:pPr>
            <w:r>
              <w:rPr>
                <w:sz w:val="20"/>
              </w:rPr>
              <w:t>The filter currently attached to the GPT-4.1 deployment</w:t>
            </w:r>
          </w:p>
        </w:tc>
        <w:tc>
          <w:tcPr>
            <w:tcW w:type="dxa" w:w="2041"/>
            <w:tcMar>
              <w:top w:w="80" w:type="dxa"/>
              <w:bottom w:w="80" w:type="dxa"/>
              <w:start w:w="120" w:type="dxa"/>
              <w:end w:w="120" w:type="dxa"/>
            </w:tcMar>
            <w:vAlign w:val="center"/>
          </w:tcPr>
          <w:p>
            <w:pPr>
              <w:spacing w:after="0" w:line="240" w:lineRule="auto"/>
            </w:pPr>
            <w:r>
              <w:rPr>
                <w:sz w:val="20"/>
              </w:rPr>
              <w:t>Unchanged</w:t>
            </w:r>
          </w:p>
        </w:tc>
        <w:tc>
          <w:tcPr>
            <w:tcW w:type="dxa" w:w="4422"/>
            <w:tcMar>
              <w:top w:w="80" w:type="dxa"/>
              <w:bottom w:w="80" w:type="dxa"/>
              <w:start w:w="120" w:type="dxa"/>
              <w:end w:w="120" w:type="dxa"/>
            </w:tcMar>
            <w:vAlign w:val="center"/>
          </w:tcPr>
          <w:p>
            <w:pPr>
              <w:spacing w:after="0" w:line="240" w:lineRule="auto"/>
            </w:pPr>
            <w:r>
              <w:rPr>
                <w:sz w:val="20"/>
              </w:rPr>
              <w:t>Our service selects its own filter on each request. The deployment's filter only affects other callers.</w:t>
            </w:r>
          </w:p>
        </w:tc>
      </w:tr>
      <w:tr>
        <w:tc>
          <w:tcPr>
            <w:tcW w:type="dxa" w:w="2948"/>
            <w:tcMar>
              <w:top w:w="80" w:type="dxa"/>
              <w:bottom w:w="80" w:type="dxa"/>
              <w:start w:w="120" w:type="dxa"/>
              <w:end w:w="120" w:type="dxa"/>
            </w:tcMar>
            <w:vAlign w:val="center"/>
            <w:shd w:val="clear" w:color="auto" w:fill="F2F2F2"/>
          </w:tcPr>
          <w:p>
            <w:pPr>
              <w:spacing w:after="0" w:line="240" w:lineRule="auto"/>
            </w:pPr>
            <w:r>
              <w:rPr>
                <w:sz w:val="20"/>
              </w:rPr>
              <w:t>Defender for Cloud: AI threat protection</w:t>
            </w:r>
          </w:p>
        </w:tc>
        <w:tc>
          <w:tcPr>
            <w:tcW w:type="dxa" w:w="2041"/>
            <w:tcMar>
              <w:top w:w="80" w:type="dxa"/>
              <w:bottom w:w="80" w:type="dxa"/>
              <w:start w:w="120" w:type="dxa"/>
              <w:end w:w="120" w:type="dxa"/>
            </w:tcMar>
            <w:vAlign w:val="center"/>
            <w:shd w:val="clear" w:color="auto" w:fill="F2F2F2"/>
          </w:tcPr>
          <w:p>
            <w:pPr>
              <w:spacing w:after="0" w:line="240" w:lineRule="auto"/>
            </w:pPr>
            <w:r>
              <w:rPr>
                <w:sz w:val="20"/>
              </w:rPr>
              <w:t>Not enabled</w:t>
            </w:r>
          </w:p>
        </w:tc>
        <w:tc>
          <w:tcPr>
            <w:tcW w:type="dxa" w:w="4422"/>
            <w:tcMar>
              <w:top w:w="80" w:type="dxa"/>
              <w:bottom w:w="80" w:type="dxa"/>
              <w:start w:w="120" w:type="dxa"/>
              <w:end w:w="120" w:type="dxa"/>
            </w:tcMar>
            <w:vAlign w:val="center"/>
            <w:shd w:val="clear" w:color="auto" w:fill="F2F2F2"/>
          </w:tcPr>
          <w:p>
            <w:pPr>
              <w:spacing w:after="0" w:line="240" w:lineRule="auto"/>
            </w:pPr>
            <w:r>
              <w:rPr>
                <w:sz w:val="20"/>
              </w:rPr>
              <w:t xml:space="preserve">Not needed at this stage; our service logs attack attempts itself. If it is ever turned on, </w:t>
            </w:r>
            <w:r>
              <w:rPr>
                <w:b/>
                <w:sz w:val="20"/>
              </w:rPr>
              <w:t>prompt evidence must be off</w:t>
            </w:r>
            <w:r>
              <w:rPr>
                <w:sz w:val="20"/>
              </w:rPr>
              <w:t>, because that option copies note text into the alerts.</w:t>
            </w:r>
          </w:p>
        </w:tc>
      </w:tr>
      <w:tr>
        <w:tc>
          <w:tcPr>
            <w:tcW w:type="dxa" w:w="2948"/>
            <w:tcMar>
              <w:top w:w="80" w:type="dxa"/>
              <w:bottom w:w="80" w:type="dxa"/>
              <w:start w:w="120" w:type="dxa"/>
              <w:end w:w="120" w:type="dxa"/>
            </w:tcMar>
            <w:vAlign w:val="center"/>
          </w:tcPr>
          <w:p>
            <w:pPr>
              <w:spacing w:after="0" w:line="240" w:lineRule="auto"/>
            </w:pPr>
            <w:r>
              <w:rPr>
                <w:sz w:val="20"/>
              </w:rPr>
              <w:t>Custom blocklists</w:t>
            </w:r>
          </w:p>
        </w:tc>
        <w:tc>
          <w:tcPr>
            <w:tcW w:type="dxa" w:w="2041"/>
            <w:tcMar>
              <w:top w:w="80" w:type="dxa"/>
              <w:bottom w:w="80" w:type="dxa"/>
              <w:start w:w="120" w:type="dxa"/>
              <w:end w:w="120" w:type="dxa"/>
            </w:tcMar>
            <w:vAlign w:val="center"/>
          </w:tcPr>
          <w:p>
            <w:pPr>
              <w:spacing w:after="0" w:line="240" w:lineRule="auto"/>
            </w:pPr>
            <w:r>
              <w:rPr>
                <w:sz w:val="20"/>
              </w:rPr>
              <w:t>None</w:t>
            </w:r>
          </w:p>
        </w:tc>
        <w:tc>
          <w:tcPr>
            <w:tcW w:type="dxa" w:w="4422"/>
            <w:tcMar>
              <w:top w:w="80" w:type="dxa"/>
              <w:bottom w:w="80" w:type="dxa"/>
              <w:start w:w="120" w:type="dxa"/>
              <w:end w:w="120" w:type="dxa"/>
            </w:tcMar>
            <w:vAlign w:val="center"/>
          </w:tcPr>
          <w:p>
            <w:pPr>
              <w:spacing w:after="0" w:line="240" w:lineRule="auto"/>
            </w:pPr>
            <w:r>
              <w:rPr>
                <w:sz w:val="20"/>
              </w:rPr>
              <w:t>Our service already blocks those phrasings before Azure sees them.</w:t>
            </w:r>
          </w:p>
        </w:tc>
      </w:tr>
      <w:tr>
        <w:tc>
          <w:tcPr>
            <w:tcW w:type="dxa" w:w="2948"/>
            <w:tcMar>
              <w:top w:w="80" w:type="dxa"/>
              <w:bottom w:w="80" w:type="dxa"/>
              <w:start w:w="120" w:type="dxa"/>
              <w:end w:w="120" w:type="dxa"/>
            </w:tcMar>
            <w:vAlign w:val="center"/>
            <w:shd w:val="clear" w:color="auto" w:fill="F2F2F2"/>
          </w:tcPr>
          <w:p>
            <w:pPr>
              <w:spacing w:after="0" w:line="240" w:lineRule="auto"/>
            </w:pPr>
            <w:r>
              <w:rPr>
                <w:sz w:val="20"/>
              </w:rPr>
              <w:t>Data controls (Purview prompt capture)</w:t>
            </w:r>
          </w:p>
        </w:tc>
        <w:tc>
          <w:tcPr>
            <w:tcW w:type="dxa" w:w="2041"/>
            <w:tcMar>
              <w:top w:w="80" w:type="dxa"/>
              <w:bottom w:w="80" w:type="dxa"/>
              <w:start w:w="120" w:type="dxa"/>
              <w:end w:w="120" w:type="dxa"/>
            </w:tcMar>
            <w:vAlign w:val="center"/>
            <w:shd w:val="clear" w:color="auto" w:fill="F2F2F2"/>
          </w:tcPr>
          <w:p>
            <w:pPr>
              <w:spacing w:after="0" w:line="240" w:lineRule="auto"/>
            </w:pPr>
            <w:r>
              <w:rPr>
                <w:sz w:val="20"/>
              </w:rPr>
              <w:t>Off</w:t>
            </w:r>
          </w:p>
        </w:tc>
        <w:tc>
          <w:tcPr>
            <w:tcW w:type="dxa" w:w="4422"/>
            <w:tcMar>
              <w:top w:w="80" w:type="dxa"/>
              <w:bottom w:w="80" w:type="dxa"/>
              <w:start w:w="120" w:type="dxa"/>
              <w:end w:w="120" w:type="dxa"/>
            </w:tcMar>
            <w:vAlign w:val="center"/>
            <w:shd w:val="clear" w:color="auto" w:fill="F2F2F2"/>
          </w:tcPr>
          <w:p>
            <w:pPr>
              <w:spacing w:after="0" w:line="240" w:lineRule="auto"/>
            </w:pPr>
            <w:r>
              <w:rPr>
                <w:sz w:val="20"/>
              </w:rPr>
              <w:t>It would create another copy of patient data.</w:t>
            </w:r>
          </w:p>
        </w:tc>
      </w:tr>
      <w:tr>
        <w:tc>
          <w:tcPr>
            <w:tcW w:type="dxa" w:w="2948"/>
            <w:tcMar>
              <w:top w:w="80" w:type="dxa"/>
              <w:bottom w:w="80" w:type="dxa"/>
              <w:start w:w="120" w:type="dxa"/>
              <w:end w:w="120" w:type="dxa"/>
            </w:tcMar>
            <w:vAlign w:val="center"/>
          </w:tcPr>
          <w:p>
            <w:pPr>
              <w:spacing w:after="0" w:line="240" w:lineRule="auto"/>
            </w:pPr>
            <w:r>
              <w:rPr>
                <w:sz w:val="20"/>
              </w:rPr>
              <w:t>“Try it out” pages (content safety, prompt shields)</w:t>
            </w:r>
          </w:p>
        </w:tc>
        <w:tc>
          <w:tcPr>
            <w:tcW w:type="dxa" w:w="2041"/>
            <w:tcMar>
              <w:top w:w="80" w:type="dxa"/>
              <w:bottom w:w="80" w:type="dxa"/>
              <w:start w:w="120" w:type="dxa"/>
              <w:end w:w="120" w:type="dxa"/>
            </w:tcMar>
            <w:vAlign w:val="center"/>
          </w:tcPr>
          <w:p>
            <w:pPr>
              <w:spacing w:after="0" w:line="240" w:lineRule="auto"/>
            </w:pPr>
            <w:r>
              <w:rPr>
                <w:sz w:val="20"/>
              </w:rPr>
              <w:t>Fine to use, with made-up text only</w:t>
            </w:r>
          </w:p>
        </w:tc>
        <w:tc>
          <w:tcPr>
            <w:tcW w:type="dxa" w:w="4422"/>
            <w:tcMar>
              <w:top w:w="80" w:type="dxa"/>
              <w:bottom w:w="80" w:type="dxa"/>
              <w:start w:w="120" w:type="dxa"/>
              <w:end w:w="120" w:type="dxa"/>
            </w:tcMar>
            <w:vAlign w:val="center"/>
          </w:tcPr>
          <w:p>
            <w:pPr>
              <w:spacing w:after="0" w:line="240" w:lineRule="auto"/>
            </w:pPr>
            <w:r>
              <w:rPr>
                <w:b/>
                <w:sz w:val="20"/>
              </w:rPr>
              <w:t>Never paste a real patient's note</w:t>
            </w:r>
            <w:r>
              <w:rPr>
                <w:sz w:val="20"/>
              </w:rPr>
              <w:t xml:space="preserve"> into a portal test page.</w:t>
            </w:r>
          </w:p>
        </w:tc>
      </w:tr>
    </w:tbl>
    <w:p>
      <w:pPr>
        <w:spacing w:after="40"/>
      </w:pPr>
    </w:p>
    <w:p>
      <w:pPr>
        <w:pStyle w:val="Heading1"/>
      </w:pPr>
      <w:r>
        <w:t>6.  What to send back, and the order</w:t>
      </w:r>
    </w:p>
    <w:p>
      <w:pPr>
        <w:keepNext/>
        <w:jc w:val="center"/>
      </w:pPr>
      <w:r>
        <w:drawing>
          <wp:inline xmlns:a="http://schemas.openxmlformats.org/drawingml/2006/main" xmlns:pic="http://schemas.openxmlformats.org/drawingml/2006/picture">
            <wp:extent cx="5940000" cy="1262250"/>
            <wp:docPr id="3" name="Picture 3"/>
            <wp:cNvGraphicFramePr>
              <a:graphicFrameLocks noChangeAspect="1"/>
            </wp:cNvGraphicFramePr>
            <a:graphic>
              <a:graphicData uri="http://schemas.openxmlformats.org/drawingml/2006/picture">
                <pic:pic>
                  <pic:nvPicPr>
                    <pic:cNvPr id="0" name="03-rollout-order.png"/>
                    <pic:cNvPicPr/>
                  </pic:nvPicPr>
                  <pic:blipFill>
                    <a:blip r:embed="rId15"/>
                    <a:stretch>
                      <a:fillRect/>
                    </a:stretch>
                  </pic:blipFill>
                  <pic:spPr>
                    <a:xfrm>
                      <a:off x="0" y="0"/>
                      <a:ext cx="5940000" cy="1262250"/>
                    </a:xfrm>
                    <a:prstGeom prst="rect"/>
                  </pic:spPr>
                </pic:pic>
              </a:graphicData>
            </a:graphic>
          </wp:inline>
        </w:drawing>
      </w:r>
    </w:p>
    <w:p>
      <w:pPr>
        <w:spacing w:after="200"/>
        <w:jc w:val="center"/>
      </w:pPr>
      <w:r>
        <w:rPr>
          <w:i/>
          <w:color w:val="595959"/>
          <w:sz w:val="18"/>
        </w:rPr>
        <w:t>Figure 3: One environment at a time, with a test by us in between</w:t>
      </w:r>
    </w:p>
    <w:p>
      <w:pPr>
        <w:pStyle w:val="Heading2"/>
      </w:pPr>
      <w:r>
        <w:t>Order</w:t>
      </w:r>
    </w:p>
    <w:p>
      <w:pPr>
        <w:tabs>
          <w:tab w:pos="567" w:val="left"/>
        </w:tabs>
        <w:spacing w:after="100"/>
        <w:ind w:left="567" w:hanging="567"/>
      </w:pPr>
      <w:r>
        <w:rPr>
          <w:b/>
          <w:color w:val="2E74B5"/>
        </w:rPr>
        <w:t>Step 1</w:t>
        <w:tab/>
      </w:r>
      <w:r>
        <w:t xml:space="preserve">Create the filter on </w:t>
      </w:r>
      <w:r>
        <w:rPr>
          <w:b/>
        </w:rPr>
        <w:t>dev</w:t>
      </w:r>
      <w:r>
        <w:t xml:space="preserve"> and send us the dev row of the table below.</w:t>
      </w:r>
    </w:p>
    <w:p>
      <w:pPr>
        <w:tabs>
          <w:tab w:pos="567" w:val="left"/>
        </w:tabs>
        <w:spacing w:after="100"/>
        <w:ind w:left="567" w:hanging="567"/>
      </w:pPr>
      <w:r>
        <w:rPr>
          <w:b/>
          <w:color w:val="2E74B5"/>
        </w:rPr>
        <w:t>Step 2</w:t>
        <w:tab/>
      </w:r>
      <w:r>
        <w:t>We switch our dev service to use the filter and run our set of made-up clinical notes against it. We'll tell you whether it passed.</w:t>
      </w:r>
    </w:p>
    <w:p>
      <w:pPr>
        <w:tabs>
          <w:tab w:pos="567" w:val="left"/>
        </w:tabs>
        <w:spacing w:after="100"/>
        <w:ind w:left="567" w:hanging="567"/>
      </w:pPr>
      <w:r>
        <w:rPr>
          <w:b/>
          <w:color w:val="2E74B5"/>
        </w:rPr>
        <w:t>Step 3</w:t>
        <w:tab/>
      </w:r>
      <w:r>
        <w:t xml:space="preserve">Then do </w:t>
      </w:r>
      <w:r>
        <w:rPr>
          <w:b/>
        </w:rPr>
        <w:t>QA</w:t>
      </w:r>
      <w:r>
        <w:t>, and we repeat the test.</w:t>
      </w:r>
    </w:p>
    <w:p>
      <w:pPr>
        <w:tabs>
          <w:tab w:pos="567" w:val="left"/>
        </w:tabs>
        <w:spacing w:after="100"/>
        <w:ind w:left="567" w:hanging="567"/>
      </w:pPr>
      <w:r>
        <w:rPr>
          <w:b/>
          <w:color w:val="2E74B5"/>
        </w:rPr>
        <w:t>Step 4</w:t>
        <w:tab/>
      </w:r>
      <w:r>
        <w:t xml:space="preserve">Then do </w:t>
      </w:r>
      <w:r>
        <w:rPr>
          <w:b/>
        </w:rPr>
        <w:t>UAT</w:t>
      </w:r>
      <w:r>
        <w:t xml:space="preserve">, </w:t>
      </w:r>
      <w:r>
        <w:rPr>
          <w:b/>
        </w:rPr>
        <w:t>preprod</w:t>
      </w:r>
      <w:r>
        <w:t xml:space="preserve"> and </w:t>
      </w:r>
      <w:r>
        <w:rPr>
          <w:b/>
        </w:rPr>
        <w:t>prod</w:t>
      </w:r>
      <w:r>
        <w:t>. Each environment's service only starts using the filter after you've confirmed it exists there.</w:t>
      </w:r>
    </w:p>
    <w:p>
      <w:pPr>
        <w:pStyle w:val="Heading2"/>
      </w:pPr>
      <w:r>
        <w:t>Confirmation table</w:t>
      </w:r>
    </w:p>
    <w:p>
      <w:pPr>
        <w:spacing w:after="120"/>
      </w:pPr>
      <w:r>
        <w:t>Please fill in one row per environment as you complete it.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rPr>
          <w:tblHeader w:val="true"/>
        </w:trPr>
        <w:tc>
          <w:tcPr>
            <w:tcW w:type="dxa" w:w="1077"/>
            <w:shd w:val="clear" w:color="auto" w:fill="1F3864"/>
            <w:tcMar>
              <w:top w:w="80" w:type="dxa"/>
              <w:bottom w:w="80" w:type="dxa"/>
              <w:start w:w="120" w:type="dxa"/>
              <w:end w:w="120" w:type="dxa"/>
            </w:tcMar>
          </w:tcPr>
          <w:p>
            <w:pPr>
              <w:spacing w:after="0"/>
            </w:pPr>
            <w:r>
              <w:rPr>
                <w:b/>
                <w:color w:val="FFFFFF"/>
                <w:sz w:val="17"/>
              </w:rPr>
              <w:t>Environment</w:t>
            </w:r>
          </w:p>
        </w:tc>
        <w:tc>
          <w:tcPr>
            <w:tcW w:type="dxa" w:w="1701"/>
            <w:shd w:val="clear" w:color="auto" w:fill="1F3864"/>
            <w:tcMar>
              <w:top w:w="80" w:type="dxa"/>
              <w:bottom w:w="80" w:type="dxa"/>
              <w:start w:w="120" w:type="dxa"/>
              <w:end w:w="120" w:type="dxa"/>
            </w:tcMar>
          </w:tcPr>
          <w:p>
            <w:pPr>
              <w:spacing w:after="0"/>
            </w:pPr>
            <w:r>
              <w:rPr>
                <w:b/>
                <w:color w:val="FFFFFF"/>
                <w:sz w:val="17"/>
              </w:rPr>
              <w:t>Resource</w:t>
            </w:r>
          </w:p>
        </w:tc>
        <w:tc>
          <w:tcPr>
            <w:tcW w:type="dxa" w:w="1361"/>
            <w:shd w:val="clear" w:color="auto" w:fill="1F3864"/>
            <w:tcMar>
              <w:top w:w="80" w:type="dxa"/>
              <w:bottom w:w="80" w:type="dxa"/>
              <w:start w:w="120" w:type="dxa"/>
              <w:end w:w="120" w:type="dxa"/>
            </w:tcMar>
          </w:tcPr>
          <w:p>
            <w:pPr>
              <w:spacing w:after="0"/>
            </w:pPr>
            <w:r>
              <w:rPr>
                <w:b/>
                <w:color w:val="FFFFFF"/>
                <w:sz w:val="17"/>
              </w:rPr>
              <w:t>Resource group</w:t>
            </w:r>
          </w:p>
        </w:tc>
        <w:tc>
          <w:tcPr>
            <w:tcW w:type="dxa" w:w="1077"/>
            <w:shd w:val="clear" w:color="auto" w:fill="1F3864"/>
            <w:tcMar>
              <w:top w:w="80" w:type="dxa"/>
              <w:bottom w:w="80" w:type="dxa"/>
              <w:start w:w="120" w:type="dxa"/>
              <w:end w:w="120" w:type="dxa"/>
            </w:tcMar>
          </w:tcPr>
          <w:p>
            <w:pPr>
              <w:spacing w:after="0"/>
            </w:pPr>
            <w:r>
              <w:rPr>
                <w:b/>
                <w:color w:val="FFFFFF"/>
                <w:sz w:val="17"/>
              </w:rPr>
              <w:t>Filter created?</w:t>
            </w:r>
          </w:p>
        </w:tc>
        <w:tc>
          <w:tcPr>
            <w:tcW w:type="dxa" w:w="1531"/>
            <w:shd w:val="clear" w:color="auto" w:fill="1F3864"/>
            <w:tcMar>
              <w:top w:w="80" w:type="dxa"/>
              <w:bottom w:w="80" w:type="dxa"/>
              <w:start w:w="120" w:type="dxa"/>
              <w:end w:w="120" w:type="dxa"/>
            </w:tcMar>
          </w:tcPr>
          <w:p>
            <w:pPr>
              <w:spacing w:after="0"/>
            </w:pPr>
            <w:r>
              <w:rPr>
                <w:b/>
                <w:color w:val="FFFFFF"/>
                <w:sz w:val="17"/>
              </w:rPr>
              <w:t>Input harm categories set to</w:t>
            </w:r>
          </w:p>
        </w:tc>
        <w:tc>
          <w:tcPr>
            <w:tcW w:type="dxa" w:w="1417"/>
            <w:shd w:val="clear" w:color="auto" w:fill="1F3864"/>
            <w:tcMar>
              <w:top w:w="80" w:type="dxa"/>
              <w:bottom w:w="80" w:type="dxa"/>
              <w:start w:w="120" w:type="dxa"/>
              <w:end w:w="120" w:type="dxa"/>
            </w:tcMar>
          </w:tcPr>
          <w:p>
            <w:pPr>
              <w:spacing w:after="0"/>
            </w:pPr>
            <w:r>
              <w:rPr>
                <w:b/>
                <w:color w:val="FFFFFF"/>
                <w:sz w:val="17"/>
              </w:rPr>
              <w:t>GPT-4.1 deployment name</w:t>
            </w:r>
          </w:p>
        </w:tc>
        <w:tc>
          <w:tcPr>
            <w:tcW w:type="dxa" w:w="1247"/>
            <w:shd w:val="clear" w:color="auto" w:fill="1F3864"/>
            <w:tcMar>
              <w:top w:w="80" w:type="dxa"/>
              <w:bottom w:w="80" w:type="dxa"/>
              <w:start w:w="120" w:type="dxa"/>
              <w:end w:w="120" w:type="dxa"/>
            </w:tcMar>
          </w:tcPr>
          <w:p>
            <w:pPr>
              <w:spacing w:after="0"/>
            </w:pPr>
            <w:r>
              <w:rPr>
                <w:b/>
                <w:color w:val="FFFFFF"/>
                <w:sz w:val="17"/>
              </w:rPr>
              <w:t>Deployment type</w:t>
            </w:r>
          </w:p>
        </w:tc>
      </w:tr>
      <w:tr>
        <w:tc>
          <w:tcPr>
            <w:tcW w:type="dxa" w:w="1077"/>
            <w:tcMar>
              <w:top w:w="80" w:type="dxa"/>
              <w:bottom w:w="80" w:type="dxa"/>
              <w:start w:w="120" w:type="dxa"/>
              <w:end w:w="120" w:type="dxa"/>
            </w:tcMar>
            <w:vAlign w:val="center"/>
          </w:tcPr>
          <w:p>
            <w:pPr>
              <w:spacing w:after="0" w:line="240" w:lineRule="auto"/>
            </w:pPr>
            <w:r>
              <w:rPr>
                <w:sz w:val="17"/>
              </w:rPr>
              <w:t>Dev</w:t>
            </w:r>
          </w:p>
        </w:tc>
        <w:tc>
          <w:tcPr>
            <w:tcW w:type="dxa" w:w="1701"/>
            <w:tcMar>
              <w:top w:w="80" w:type="dxa"/>
              <w:bottom w:w="80" w:type="dxa"/>
              <w:start w:w="120" w:type="dxa"/>
              <w:end w:w="120" w:type="dxa"/>
            </w:tcMar>
            <w:vAlign w:val="center"/>
          </w:tcPr>
          <w:p>
            <w:pPr>
              <w:spacing w:after="0" w:line="240" w:lineRule="auto"/>
            </w:pPr>
            <w:r>
              <w:rPr>
                <w:rFonts w:ascii="Consolas" w:hAnsi="Consolas"/>
                <w:color w:val="1F3864"/>
                <w:sz w:val="17"/>
              </w:rPr>
              <w:t>oai-3pillar-dev-eus2</w:t>
            </w:r>
          </w:p>
        </w:tc>
        <w:tc>
          <w:tcPr>
            <w:tcW w:type="dxa" w:w="1361"/>
            <w:tcMar>
              <w:top w:w="80" w:type="dxa"/>
              <w:bottom w:w="80" w:type="dxa"/>
              <w:start w:w="120" w:type="dxa"/>
              <w:end w:w="120" w:type="dxa"/>
            </w:tcMar>
            <w:vAlign w:val="center"/>
          </w:tcPr>
          <w:p>
            <w:pPr>
              <w:spacing w:after="0" w:line="240" w:lineRule="auto"/>
            </w:pPr>
          </w:p>
        </w:tc>
        <w:tc>
          <w:tcPr>
            <w:tcW w:type="dxa" w:w="1077"/>
            <w:tcMar>
              <w:top w:w="80" w:type="dxa"/>
              <w:bottom w:w="80" w:type="dxa"/>
              <w:start w:w="120" w:type="dxa"/>
              <w:end w:w="120" w:type="dxa"/>
            </w:tcMar>
            <w:vAlign w:val="center"/>
          </w:tcPr>
          <w:p>
            <w:pPr>
              <w:spacing w:after="0" w:line="240" w:lineRule="auto"/>
            </w:pPr>
            <w:r>
              <w:rPr>
                <w:sz w:val="17"/>
              </w:rPr>
              <w:t>☐ Yes</w:t>
            </w:r>
          </w:p>
        </w:tc>
        <w:tc>
          <w:tcPr>
            <w:tcW w:type="dxa" w:w="1531"/>
            <w:tcMar>
              <w:top w:w="80" w:type="dxa"/>
              <w:bottom w:w="80" w:type="dxa"/>
              <w:start w:w="120" w:type="dxa"/>
              <w:end w:w="120" w:type="dxa"/>
            </w:tcMar>
            <w:vAlign w:val="center"/>
          </w:tcPr>
          <w:p>
            <w:pPr>
              <w:spacing w:after="0" w:line="240" w:lineRule="auto"/>
            </w:pPr>
            <w:r>
              <w:rPr>
                <w:sz w:val="17"/>
              </w:rPr>
              <w:t>☐ Annotate only</w:t>
              <w:br/>
              <w:t>☐ High</w:t>
            </w:r>
          </w:p>
        </w:tc>
        <w:tc>
          <w:tcPr>
            <w:tcW w:type="dxa" w:w="1417"/>
            <w:tcMar>
              <w:top w:w="80" w:type="dxa"/>
              <w:bottom w:w="80" w:type="dxa"/>
              <w:start w:w="120" w:type="dxa"/>
              <w:end w:w="120" w:type="dxa"/>
            </w:tcMar>
            <w:vAlign w:val="center"/>
          </w:tcPr>
          <w:p>
            <w:pPr>
              <w:spacing w:after="0" w:line="240" w:lineRule="auto"/>
            </w:pPr>
          </w:p>
        </w:tc>
        <w:tc>
          <w:tcPr>
            <w:tcW w:type="dxa" w:w="1247"/>
            <w:tcMar>
              <w:top w:w="80" w:type="dxa"/>
              <w:bottom w:w="80" w:type="dxa"/>
              <w:start w:w="120" w:type="dxa"/>
              <w:end w:w="120" w:type="dxa"/>
            </w:tcMar>
            <w:vAlign w:val="center"/>
          </w:tcPr>
          <w:p>
            <w:pPr>
              <w:spacing w:after="0" w:line="240" w:lineRule="auto"/>
            </w:pPr>
          </w:p>
        </w:tc>
      </w:tr>
      <w:tr>
        <w:tc>
          <w:tcPr>
            <w:tcW w:type="dxa" w:w="1077"/>
            <w:tcMar>
              <w:top w:w="80" w:type="dxa"/>
              <w:bottom w:w="80" w:type="dxa"/>
              <w:start w:w="120" w:type="dxa"/>
              <w:end w:w="120" w:type="dxa"/>
            </w:tcMar>
            <w:vAlign w:val="center"/>
          </w:tcPr>
          <w:p>
            <w:pPr>
              <w:spacing w:after="0" w:line="240" w:lineRule="auto"/>
            </w:pPr>
            <w:r>
              <w:rPr>
                <w:sz w:val="17"/>
              </w:rPr>
              <w:t>QA</w:t>
            </w:r>
          </w:p>
        </w:tc>
        <w:tc>
          <w:tcPr>
            <w:tcW w:type="dxa" w:w="1701"/>
            <w:tcMar>
              <w:top w:w="80" w:type="dxa"/>
              <w:bottom w:w="80" w:type="dxa"/>
              <w:start w:w="120" w:type="dxa"/>
              <w:end w:w="120" w:type="dxa"/>
            </w:tcMar>
            <w:vAlign w:val="center"/>
          </w:tcPr>
          <w:p>
            <w:pPr>
              <w:spacing w:after="0" w:line="240" w:lineRule="auto"/>
            </w:pPr>
          </w:p>
        </w:tc>
        <w:tc>
          <w:tcPr>
            <w:tcW w:type="dxa" w:w="1361"/>
            <w:tcMar>
              <w:top w:w="80" w:type="dxa"/>
              <w:bottom w:w="80" w:type="dxa"/>
              <w:start w:w="120" w:type="dxa"/>
              <w:end w:w="120" w:type="dxa"/>
            </w:tcMar>
            <w:vAlign w:val="center"/>
          </w:tcPr>
          <w:p>
            <w:pPr>
              <w:spacing w:after="0" w:line="240" w:lineRule="auto"/>
            </w:pPr>
          </w:p>
        </w:tc>
        <w:tc>
          <w:tcPr>
            <w:tcW w:type="dxa" w:w="1077"/>
            <w:tcMar>
              <w:top w:w="80" w:type="dxa"/>
              <w:bottom w:w="80" w:type="dxa"/>
              <w:start w:w="120" w:type="dxa"/>
              <w:end w:w="120" w:type="dxa"/>
            </w:tcMar>
            <w:vAlign w:val="center"/>
          </w:tcPr>
          <w:p>
            <w:pPr>
              <w:spacing w:after="0" w:line="240" w:lineRule="auto"/>
            </w:pPr>
            <w:r>
              <w:rPr>
                <w:sz w:val="17"/>
              </w:rPr>
              <w:t>☐ Yes</w:t>
            </w:r>
          </w:p>
        </w:tc>
        <w:tc>
          <w:tcPr>
            <w:tcW w:type="dxa" w:w="1531"/>
            <w:tcMar>
              <w:top w:w="80" w:type="dxa"/>
              <w:bottom w:w="80" w:type="dxa"/>
              <w:start w:w="120" w:type="dxa"/>
              <w:end w:w="120" w:type="dxa"/>
            </w:tcMar>
            <w:vAlign w:val="center"/>
          </w:tcPr>
          <w:p>
            <w:pPr>
              <w:spacing w:after="0" w:line="240" w:lineRule="auto"/>
            </w:pPr>
            <w:r>
              <w:rPr>
                <w:sz w:val="17"/>
              </w:rPr>
              <w:t>☐ Annotate only</w:t>
              <w:br/>
              <w:t>☐ High</w:t>
            </w:r>
          </w:p>
        </w:tc>
        <w:tc>
          <w:tcPr>
            <w:tcW w:type="dxa" w:w="1417"/>
            <w:tcMar>
              <w:top w:w="80" w:type="dxa"/>
              <w:bottom w:w="80" w:type="dxa"/>
              <w:start w:w="120" w:type="dxa"/>
              <w:end w:w="120" w:type="dxa"/>
            </w:tcMar>
            <w:vAlign w:val="center"/>
          </w:tcPr>
          <w:p>
            <w:pPr>
              <w:spacing w:after="0" w:line="240" w:lineRule="auto"/>
            </w:pPr>
          </w:p>
        </w:tc>
        <w:tc>
          <w:tcPr>
            <w:tcW w:type="dxa" w:w="1247"/>
            <w:tcMar>
              <w:top w:w="80" w:type="dxa"/>
              <w:bottom w:w="80" w:type="dxa"/>
              <w:start w:w="120" w:type="dxa"/>
              <w:end w:w="120" w:type="dxa"/>
            </w:tcMar>
            <w:vAlign w:val="center"/>
          </w:tcPr>
          <w:p>
            <w:pPr>
              <w:spacing w:after="0" w:line="240" w:lineRule="auto"/>
            </w:pPr>
          </w:p>
        </w:tc>
      </w:tr>
      <w:tr>
        <w:tc>
          <w:tcPr>
            <w:tcW w:type="dxa" w:w="1077"/>
            <w:tcMar>
              <w:top w:w="80" w:type="dxa"/>
              <w:bottom w:w="80" w:type="dxa"/>
              <w:start w:w="120" w:type="dxa"/>
              <w:end w:w="120" w:type="dxa"/>
            </w:tcMar>
            <w:vAlign w:val="center"/>
          </w:tcPr>
          <w:p>
            <w:pPr>
              <w:spacing w:after="0" w:line="240" w:lineRule="auto"/>
            </w:pPr>
            <w:r>
              <w:rPr>
                <w:sz w:val="17"/>
              </w:rPr>
              <w:t>UAT</w:t>
            </w:r>
          </w:p>
        </w:tc>
        <w:tc>
          <w:tcPr>
            <w:tcW w:type="dxa" w:w="1701"/>
            <w:tcMar>
              <w:top w:w="80" w:type="dxa"/>
              <w:bottom w:w="80" w:type="dxa"/>
              <w:start w:w="120" w:type="dxa"/>
              <w:end w:w="120" w:type="dxa"/>
            </w:tcMar>
            <w:vAlign w:val="center"/>
          </w:tcPr>
          <w:p>
            <w:pPr>
              <w:spacing w:after="0" w:line="240" w:lineRule="auto"/>
            </w:pPr>
          </w:p>
        </w:tc>
        <w:tc>
          <w:tcPr>
            <w:tcW w:type="dxa" w:w="1361"/>
            <w:tcMar>
              <w:top w:w="80" w:type="dxa"/>
              <w:bottom w:w="80" w:type="dxa"/>
              <w:start w:w="120" w:type="dxa"/>
              <w:end w:w="120" w:type="dxa"/>
            </w:tcMar>
            <w:vAlign w:val="center"/>
          </w:tcPr>
          <w:p>
            <w:pPr>
              <w:spacing w:after="0" w:line="240" w:lineRule="auto"/>
            </w:pPr>
          </w:p>
        </w:tc>
        <w:tc>
          <w:tcPr>
            <w:tcW w:type="dxa" w:w="1077"/>
            <w:tcMar>
              <w:top w:w="80" w:type="dxa"/>
              <w:bottom w:w="80" w:type="dxa"/>
              <w:start w:w="120" w:type="dxa"/>
              <w:end w:w="120" w:type="dxa"/>
            </w:tcMar>
            <w:vAlign w:val="center"/>
          </w:tcPr>
          <w:p>
            <w:pPr>
              <w:spacing w:after="0" w:line="240" w:lineRule="auto"/>
            </w:pPr>
            <w:r>
              <w:rPr>
                <w:sz w:val="17"/>
              </w:rPr>
              <w:t>☐ Yes</w:t>
            </w:r>
          </w:p>
        </w:tc>
        <w:tc>
          <w:tcPr>
            <w:tcW w:type="dxa" w:w="1531"/>
            <w:tcMar>
              <w:top w:w="80" w:type="dxa"/>
              <w:bottom w:w="80" w:type="dxa"/>
              <w:start w:w="120" w:type="dxa"/>
              <w:end w:w="120" w:type="dxa"/>
            </w:tcMar>
            <w:vAlign w:val="center"/>
          </w:tcPr>
          <w:p>
            <w:pPr>
              <w:spacing w:after="0" w:line="240" w:lineRule="auto"/>
            </w:pPr>
            <w:r>
              <w:rPr>
                <w:sz w:val="17"/>
              </w:rPr>
              <w:t>☐ Annotate only</w:t>
              <w:br/>
              <w:t>☐ High</w:t>
            </w:r>
          </w:p>
        </w:tc>
        <w:tc>
          <w:tcPr>
            <w:tcW w:type="dxa" w:w="1417"/>
            <w:tcMar>
              <w:top w:w="80" w:type="dxa"/>
              <w:bottom w:w="80" w:type="dxa"/>
              <w:start w:w="120" w:type="dxa"/>
              <w:end w:w="120" w:type="dxa"/>
            </w:tcMar>
            <w:vAlign w:val="center"/>
          </w:tcPr>
          <w:p>
            <w:pPr>
              <w:spacing w:after="0" w:line="240" w:lineRule="auto"/>
            </w:pPr>
          </w:p>
        </w:tc>
        <w:tc>
          <w:tcPr>
            <w:tcW w:type="dxa" w:w="1247"/>
            <w:tcMar>
              <w:top w:w="80" w:type="dxa"/>
              <w:bottom w:w="80" w:type="dxa"/>
              <w:start w:w="120" w:type="dxa"/>
              <w:end w:w="120" w:type="dxa"/>
            </w:tcMar>
            <w:vAlign w:val="center"/>
          </w:tcPr>
          <w:p>
            <w:pPr>
              <w:spacing w:after="0" w:line="240" w:lineRule="auto"/>
            </w:pPr>
          </w:p>
        </w:tc>
      </w:tr>
      <w:tr>
        <w:tc>
          <w:tcPr>
            <w:tcW w:type="dxa" w:w="1077"/>
            <w:tcMar>
              <w:top w:w="80" w:type="dxa"/>
              <w:bottom w:w="80" w:type="dxa"/>
              <w:start w:w="120" w:type="dxa"/>
              <w:end w:w="120" w:type="dxa"/>
            </w:tcMar>
            <w:vAlign w:val="center"/>
          </w:tcPr>
          <w:p>
            <w:pPr>
              <w:spacing w:after="0" w:line="240" w:lineRule="auto"/>
            </w:pPr>
            <w:r>
              <w:rPr>
                <w:sz w:val="17"/>
              </w:rPr>
              <w:t>Preprod</w:t>
            </w:r>
          </w:p>
        </w:tc>
        <w:tc>
          <w:tcPr>
            <w:tcW w:type="dxa" w:w="1701"/>
            <w:tcMar>
              <w:top w:w="80" w:type="dxa"/>
              <w:bottom w:w="80" w:type="dxa"/>
              <w:start w:w="120" w:type="dxa"/>
              <w:end w:w="120" w:type="dxa"/>
            </w:tcMar>
            <w:vAlign w:val="center"/>
          </w:tcPr>
          <w:p>
            <w:pPr>
              <w:spacing w:after="0" w:line="240" w:lineRule="auto"/>
            </w:pPr>
          </w:p>
        </w:tc>
        <w:tc>
          <w:tcPr>
            <w:tcW w:type="dxa" w:w="1361"/>
            <w:tcMar>
              <w:top w:w="80" w:type="dxa"/>
              <w:bottom w:w="80" w:type="dxa"/>
              <w:start w:w="120" w:type="dxa"/>
              <w:end w:w="120" w:type="dxa"/>
            </w:tcMar>
            <w:vAlign w:val="center"/>
          </w:tcPr>
          <w:p>
            <w:pPr>
              <w:spacing w:after="0" w:line="240" w:lineRule="auto"/>
            </w:pPr>
          </w:p>
        </w:tc>
        <w:tc>
          <w:tcPr>
            <w:tcW w:type="dxa" w:w="1077"/>
            <w:tcMar>
              <w:top w:w="80" w:type="dxa"/>
              <w:bottom w:w="80" w:type="dxa"/>
              <w:start w:w="120" w:type="dxa"/>
              <w:end w:w="120" w:type="dxa"/>
            </w:tcMar>
            <w:vAlign w:val="center"/>
          </w:tcPr>
          <w:p>
            <w:pPr>
              <w:spacing w:after="0" w:line="240" w:lineRule="auto"/>
            </w:pPr>
            <w:r>
              <w:rPr>
                <w:sz w:val="17"/>
              </w:rPr>
              <w:t>☐ Yes</w:t>
            </w:r>
          </w:p>
        </w:tc>
        <w:tc>
          <w:tcPr>
            <w:tcW w:type="dxa" w:w="1531"/>
            <w:tcMar>
              <w:top w:w="80" w:type="dxa"/>
              <w:bottom w:w="80" w:type="dxa"/>
              <w:start w:w="120" w:type="dxa"/>
              <w:end w:w="120" w:type="dxa"/>
            </w:tcMar>
            <w:vAlign w:val="center"/>
          </w:tcPr>
          <w:p>
            <w:pPr>
              <w:spacing w:after="0" w:line="240" w:lineRule="auto"/>
            </w:pPr>
            <w:r>
              <w:rPr>
                <w:sz w:val="17"/>
              </w:rPr>
              <w:t>☐ Annotate only</w:t>
              <w:br/>
              <w:t>☐ High</w:t>
            </w:r>
          </w:p>
        </w:tc>
        <w:tc>
          <w:tcPr>
            <w:tcW w:type="dxa" w:w="1417"/>
            <w:tcMar>
              <w:top w:w="80" w:type="dxa"/>
              <w:bottom w:w="80" w:type="dxa"/>
              <w:start w:w="120" w:type="dxa"/>
              <w:end w:w="120" w:type="dxa"/>
            </w:tcMar>
            <w:vAlign w:val="center"/>
          </w:tcPr>
          <w:p>
            <w:pPr>
              <w:spacing w:after="0" w:line="240" w:lineRule="auto"/>
            </w:pPr>
          </w:p>
        </w:tc>
        <w:tc>
          <w:tcPr>
            <w:tcW w:type="dxa" w:w="1247"/>
            <w:tcMar>
              <w:top w:w="80" w:type="dxa"/>
              <w:bottom w:w="80" w:type="dxa"/>
              <w:start w:w="120" w:type="dxa"/>
              <w:end w:w="120" w:type="dxa"/>
            </w:tcMar>
            <w:vAlign w:val="center"/>
          </w:tcPr>
          <w:p>
            <w:pPr>
              <w:spacing w:after="0" w:line="240" w:lineRule="auto"/>
            </w:pPr>
          </w:p>
        </w:tc>
      </w:tr>
      <w:tr>
        <w:tc>
          <w:tcPr>
            <w:tcW w:type="dxa" w:w="1077"/>
            <w:tcMar>
              <w:top w:w="80" w:type="dxa"/>
              <w:bottom w:w="80" w:type="dxa"/>
              <w:start w:w="120" w:type="dxa"/>
              <w:end w:w="120" w:type="dxa"/>
            </w:tcMar>
            <w:vAlign w:val="center"/>
          </w:tcPr>
          <w:p>
            <w:pPr>
              <w:spacing w:after="0" w:line="240" w:lineRule="auto"/>
            </w:pPr>
            <w:r>
              <w:rPr>
                <w:sz w:val="17"/>
              </w:rPr>
              <w:t>Prod</w:t>
            </w:r>
          </w:p>
        </w:tc>
        <w:tc>
          <w:tcPr>
            <w:tcW w:type="dxa" w:w="1701"/>
            <w:tcMar>
              <w:top w:w="80" w:type="dxa"/>
              <w:bottom w:w="80" w:type="dxa"/>
              <w:start w:w="120" w:type="dxa"/>
              <w:end w:w="120" w:type="dxa"/>
            </w:tcMar>
            <w:vAlign w:val="center"/>
          </w:tcPr>
          <w:p>
            <w:pPr>
              <w:spacing w:after="0" w:line="240" w:lineRule="auto"/>
            </w:pPr>
          </w:p>
        </w:tc>
        <w:tc>
          <w:tcPr>
            <w:tcW w:type="dxa" w:w="1361"/>
            <w:tcMar>
              <w:top w:w="80" w:type="dxa"/>
              <w:bottom w:w="80" w:type="dxa"/>
              <w:start w:w="120" w:type="dxa"/>
              <w:end w:w="120" w:type="dxa"/>
            </w:tcMar>
            <w:vAlign w:val="center"/>
          </w:tcPr>
          <w:p>
            <w:pPr>
              <w:spacing w:after="0" w:line="240" w:lineRule="auto"/>
            </w:pPr>
          </w:p>
        </w:tc>
        <w:tc>
          <w:tcPr>
            <w:tcW w:type="dxa" w:w="1077"/>
            <w:tcMar>
              <w:top w:w="80" w:type="dxa"/>
              <w:bottom w:w="80" w:type="dxa"/>
              <w:start w:w="120" w:type="dxa"/>
              <w:end w:w="120" w:type="dxa"/>
            </w:tcMar>
            <w:vAlign w:val="center"/>
          </w:tcPr>
          <w:p>
            <w:pPr>
              <w:spacing w:after="0" w:line="240" w:lineRule="auto"/>
            </w:pPr>
            <w:r>
              <w:rPr>
                <w:sz w:val="17"/>
              </w:rPr>
              <w:t>☐ Yes</w:t>
            </w:r>
          </w:p>
        </w:tc>
        <w:tc>
          <w:tcPr>
            <w:tcW w:type="dxa" w:w="1531"/>
            <w:tcMar>
              <w:top w:w="80" w:type="dxa"/>
              <w:bottom w:w="80" w:type="dxa"/>
              <w:start w:w="120" w:type="dxa"/>
              <w:end w:w="120" w:type="dxa"/>
            </w:tcMar>
            <w:vAlign w:val="center"/>
          </w:tcPr>
          <w:p>
            <w:pPr>
              <w:spacing w:after="0" w:line="240" w:lineRule="auto"/>
            </w:pPr>
            <w:r>
              <w:rPr>
                <w:sz w:val="17"/>
              </w:rPr>
              <w:t>☐ Annotate only</w:t>
              <w:br/>
              <w:t>☐ High</w:t>
            </w:r>
          </w:p>
        </w:tc>
        <w:tc>
          <w:tcPr>
            <w:tcW w:type="dxa" w:w="1417"/>
            <w:tcMar>
              <w:top w:w="80" w:type="dxa"/>
              <w:bottom w:w="80" w:type="dxa"/>
              <w:start w:w="120" w:type="dxa"/>
              <w:end w:w="120" w:type="dxa"/>
            </w:tcMar>
            <w:vAlign w:val="center"/>
          </w:tcPr>
          <w:p>
            <w:pPr>
              <w:spacing w:after="0" w:line="240" w:lineRule="auto"/>
            </w:pPr>
          </w:p>
        </w:tc>
        <w:tc>
          <w:tcPr>
            <w:tcW w:type="dxa" w:w="1247"/>
            <w:tcMar>
              <w:top w:w="80" w:type="dxa"/>
              <w:bottom w:w="80" w:type="dxa"/>
              <w:start w:w="120" w:type="dxa"/>
              <w:end w:w="120" w:type="dxa"/>
            </w:tcMar>
            <w:vAlign w:val="center"/>
          </w:tcPr>
          <w:p>
            <w:pPr>
              <w:spacing w:after="0" w:line="240" w:lineRule="auto"/>
            </w:pP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BE5D6"/>
            <w:tcBorders>
              <w:top w:val="nil"/>
              <w:bottom w:val="nil"/>
              <w:right w:val="nil"/>
              <w:left w:val="single" w:sz="36" w:color="C55A11"/>
            </w:tcBorders>
            <w:tcMar>
              <w:top w:w="120" w:type="dxa"/>
              <w:bottom w:w="120" w:type="dxa"/>
              <w:start w:w="200" w:type="dxa"/>
              <w:end w:w="160" w:type="dxa"/>
            </w:tcMar>
          </w:tcPr>
          <w:p>
            <w:pPr>
              <w:spacing w:after="60"/>
            </w:pPr>
            <w:r>
              <w:rPr>
                <w:b/>
                <w:color w:val="843C0C"/>
              </w:rPr>
              <w:t>Changing or removing the filter later: please tell us first</w:t>
            </w:r>
          </w:p>
          <w:p>
            <w:pPr>
              <w:spacing w:after="40"/>
            </w:pPr>
            <w:r>
              <w:t>Our service names this filter on every request, so deleting or renaming it would make every request fail. We switch our setting off first; then you can remove or change it.</w:t>
            </w:r>
          </w:p>
        </w:tc>
      </w:tr>
    </w:tbl>
    <w:p>
      <w:pPr>
        <w:spacing w:after="40"/>
      </w:pPr>
    </w:p>
    <w:p>
      <w:pPr>
        <w:pStyle w:val="Heading1"/>
      </w:pPr>
      <w:r>
        <w:t>7.  Later, before go-live (not needed now)</w:t>
      </w:r>
    </w:p>
    <w:p>
      <w:pPr>
        <w:spacing w:after="120"/>
      </w:pPr>
      <w:r>
        <w:t xml:space="preserve">These are listed so they aren't forgotten. </w:t>
      </w:r>
      <w:r>
        <w:rPr>
          <w:b/>
        </w:rPr>
        <w:t>No action is needed for them now.</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rPr>
          <w:tblHeader w:val="true"/>
        </w:trPr>
        <w:tc>
          <w:tcPr>
            <w:tcW w:type="dxa" w:w="2608"/>
            <w:shd w:val="clear" w:color="auto" w:fill="1F3864"/>
            <w:tcMar>
              <w:top w:w="80" w:type="dxa"/>
              <w:bottom w:w="80" w:type="dxa"/>
              <w:start w:w="120" w:type="dxa"/>
              <w:end w:w="120" w:type="dxa"/>
            </w:tcMar>
          </w:tcPr>
          <w:p>
            <w:pPr>
              <w:spacing w:after="0"/>
            </w:pPr>
            <w:r>
              <w:rPr>
                <w:b/>
                <w:color w:val="FFFFFF"/>
                <w:sz w:val="20"/>
              </w:rPr>
              <w:t>Item</w:t>
            </w:r>
          </w:p>
        </w:tc>
        <w:tc>
          <w:tcPr>
            <w:tcW w:type="dxa" w:w="6803"/>
            <w:shd w:val="clear" w:color="auto" w:fill="1F3864"/>
            <w:tcMar>
              <w:top w:w="80" w:type="dxa"/>
              <w:bottom w:w="80" w:type="dxa"/>
              <w:start w:w="120" w:type="dxa"/>
              <w:end w:w="120" w:type="dxa"/>
            </w:tcMar>
          </w:tcPr>
          <w:p>
            <w:pPr>
              <w:spacing w:after="0"/>
            </w:pPr>
            <w:r>
              <w:rPr>
                <w:b/>
                <w:color w:val="FFFFFF"/>
                <w:sz w:val="20"/>
              </w:rPr>
              <w:t>What it is</w:t>
            </w:r>
          </w:p>
        </w:tc>
      </w:tr>
      <w:tr>
        <w:tc>
          <w:tcPr>
            <w:tcW w:type="dxa" w:w="2608"/>
            <w:tcMar>
              <w:top w:w="80" w:type="dxa"/>
              <w:bottom w:w="80" w:type="dxa"/>
              <w:start w:w="120" w:type="dxa"/>
              <w:end w:w="120" w:type="dxa"/>
            </w:tcMar>
            <w:vAlign w:val="center"/>
          </w:tcPr>
          <w:p>
            <w:pPr>
              <w:spacing w:after="0" w:line="240" w:lineRule="auto"/>
            </w:pPr>
            <w:r>
              <w:rPr>
                <w:sz w:val="20"/>
              </w:rPr>
              <w:t>Abuse-monitoring opt-out</w:t>
            </w:r>
          </w:p>
        </w:tc>
        <w:tc>
          <w:tcPr>
            <w:tcW w:type="dxa" w:w="6803"/>
            <w:tcMar>
              <w:top w:w="80" w:type="dxa"/>
              <w:bottom w:w="80" w:type="dxa"/>
              <w:start w:w="120" w:type="dxa"/>
              <w:end w:w="120" w:type="dxa"/>
            </w:tcMar>
            <w:vAlign w:val="center"/>
          </w:tcPr>
          <w:p>
            <w:pPr>
              <w:spacing w:after="0" w:line="240" w:lineRule="auto"/>
            </w:pPr>
            <w:r>
              <w:rPr>
                <w:sz w:val="20"/>
              </w:rPr>
              <w:t>By default Azure keeps prompts for up to 30 days, and Microsoft staff may review flagged ones. Opting out is done through Microsoft's “modified abuse monitoring” application form, submitted by whoever holds the Azure agreement (EA or MCA). There is no API for it.</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20"/>
              </w:rPr>
              <w:t>Disable key authentication</w:t>
            </w:r>
          </w:p>
        </w:tc>
        <w:tc>
          <w:tcPr>
            <w:tcW w:type="dxa" w:w="6803"/>
            <w:tcMar>
              <w:top w:w="80" w:type="dxa"/>
              <w:bottom w:w="80" w:type="dxa"/>
              <w:start w:w="120" w:type="dxa"/>
              <w:end w:w="120" w:type="dxa"/>
            </w:tcMar>
            <w:vAlign w:val="center"/>
            <w:shd w:val="clear" w:color="auto" w:fill="F2F2F2"/>
          </w:tcPr>
          <w:p>
            <w:pPr>
              <w:spacing w:after="0" w:line="240" w:lineRule="auto"/>
            </w:pPr>
            <w:r>
              <w:rPr>
                <w:rFonts w:ascii="Consolas" w:hAnsi="Consolas"/>
                <w:color w:val="1F3864"/>
                <w:sz w:val="20"/>
              </w:rPr>
              <w:t>disableLocalAuth</w:t>
            </w:r>
            <w:r>
              <w:rPr>
                <w:sz w:val="20"/>
              </w:rPr>
              <w:t xml:space="preserve"> on the QA, UAT, preprod and prod resources, once the service uses managed identity there. Dev keeps keys while developers need them.</w:t>
            </w:r>
          </w:p>
        </w:tc>
      </w:tr>
      <w:tr>
        <w:tc>
          <w:tcPr>
            <w:tcW w:type="dxa" w:w="2608"/>
            <w:tcMar>
              <w:top w:w="80" w:type="dxa"/>
              <w:bottom w:w="80" w:type="dxa"/>
              <w:start w:w="120" w:type="dxa"/>
              <w:end w:w="120" w:type="dxa"/>
            </w:tcMar>
            <w:vAlign w:val="center"/>
          </w:tcPr>
          <w:p>
            <w:pPr>
              <w:spacing w:after="0" w:line="240" w:lineRule="auto"/>
            </w:pPr>
            <w:r>
              <w:rPr>
                <w:sz w:val="20"/>
              </w:rPr>
              <w:t>Network access</w:t>
            </w:r>
          </w:p>
        </w:tc>
        <w:tc>
          <w:tcPr>
            <w:tcW w:type="dxa" w:w="6803"/>
            <w:tcMar>
              <w:top w:w="80" w:type="dxa"/>
              <w:bottom w:w="80" w:type="dxa"/>
              <w:start w:w="120" w:type="dxa"/>
              <w:end w:w="120" w:type="dxa"/>
            </w:tcMar>
            <w:vAlign w:val="center"/>
          </w:tcPr>
          <w:p>
            <w:pPr>
              <w:spacing w:after="0" w:line="240" w:lineRule="auto"/>
            </w:pPr>
            <w:r>
              <w:rPr>
                <w:sz w:val="20"/>
              </w:rPr>
              <w:t>Already private. Keep public network access disabled.</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20"/>
              </w:rPr>
              <w:t>Diagnostic settings</w:t>
            </w:r>
          </w:p>
        </w:tc>
        <w:tc>
          <w:tcPr>
            <w:tcW w:type="dxa" w:w="6803"/>
            <w:tcMar>
              <w:top w:w="80" w:type="dxa"/>
              <w:bottom w:w="80" w:type="dxa"/>
              <w:start w:w="120" w:type="dxa"/>
              <w:end w:w="120" w:type="dxa"/>
            </w:tcMar>
            <w:vAlign w:val="center"/>
            <w:shd w:val="clear" w:color="auto" w:fill="F2F2F2"/>
          </w:tcPr>
          <w:p>
            <w:pPr>
              <w:spacing w:after="0" w:line="240" w:lineRule="auto"/>
            </w:pPr>
            <w:r>
              <w:rPr>
                <w:sz w:val="20"/>
              </w:rPr>
              <w:t>Send metrics and non-content logs only. Leave off any log category that records request content.</w:t>
            </w:r>
          </w:p>
        </w:tc>
      </w:tr>
    </w:tbl>
    <w:p>
      <w:pPr>
        <w:spacing w:after="40"/>
      </w:pPr>
    </w:p>
    <w:p>
      <w:r>
        <w:br w:type="page"/>
      </w:r>
    </w:p>
    <w:p>
      <w:pPr>
        <w:pStyle w:val="Heading1"/>
      </w:pPr>
      <w:r>
        <w:t>Appendix A.  Create the filter with the Azure CLI</w:t>
      </w:r>
    </w:p>
    <w:p>
      <w:pPr>
        <w:spacing w:after="120"/>
      </w:pPr>
      <w:r>
        <w:t xml:space="preserve">This creates exactly the same filter as Section 3. Save the following as </w:t>
      </w:r>
      <w:r>
        <w:rPr>
          <w:rFonts w:ascii="Consolas" w:hAnsi="Consolas"/>
          <w:color w:val="1F3864"/>
        </w:rPr>
        <w:t>pacehr-clinical-extraction.json</w:t>
      </w:r>
      <w:r>
        <w: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nil"/>
          <w:insideV w:val="nil"/>
        </w:tblBorders>
      </w:tblPr>
      <w:tblGrid>
        <w:gridCol w:w="9746"/>
      </w:tblGrid>
      <w:tr>
        <w:tc>
          <w:tcPr>
            <w:tcW w:type="dxa" w:w="9746"/>
            <w:shd w:val="clear" w:color="auto" w:fill="F5F5F5"/>
            <w:tcMar>
              <w:top w:w="100" w:type="dxa"/>
              <w:bottom w:w="100" w:type="dxa"/>
              <w:start w:w="160" w:type="dxa"/>
              <w:end w:w="160" w:type="dxa"/>
            </w:tcMar>
          </w:tcPr>
          <w:p>
            <w:pPr>
              <w:spacing w:after="0" w:line="240" w:lineRule="auto"/>
            </w:pPr>
            <w:r>
              <w:rPr>
                <w:rFonts w:ascii="Consolas" w:hAnsi="Consolas"/>
                <w:sz w:val="17"/>
              </w:rPr>
              <w:t>{</w:t>
              <w:br/>
            </w:r>
            <w:r>
              <w:rPr>
                <w:rFonts w:ascii="Consolas" w:hAnsi="Consolas"/>
                <w:sz w:val="17"/>
              </w:rPr>
              <w:t xml:space="preserve">  "properties": {</w:t>
              <w:br/>
            </w:r>
            <w:r>
              <w:rPr>
                <w:rFonts w:ascii="Consolas" w:hAnsi="Consolas"/>
                <w:sz w:val="17"/>
              </w:rPr>
              <w:t xml:space="preserve">    "basePolicyName": "Microsoft.Default",</w:t>
              <w:br/>
            </w:r>
            <w:r>
              <w:rPr>
                <w:rFonts w:ascii="Consolas" w:hAnsi="Consolas"/>
                <w:sz w:val="17"/>
              </w:rPr>
              <w:t xml:space="preserve">    "contentFilters": [</w:t>
              <w:br/>
            </w:r>
            <w:r>
              <w:rPr>
                <w:rFonts w:ascii="Consolas" w:hAnsi="Consolas"/>
                <w:sz w:val="17"/>
              </w:rPr>
              <w:t xml:space="preserve">      { "name": "Hate",      "enabled": true,  "blocking": false, "severityThreshold": "High", "source": "Prompt" },</w:t>
              <w:br/>
            </w:r>
            <w:r>
              <w:rPr>
                <w:rFonts w:ascii="Consolas" w:hAnsi="Consolas"/>
                <w:sz w:val="17"/>
              </w:rPr>
              <w:t xml:space="preserve">      { "name": "Sexual",    "enabled": true,  "blocking": false, "severityThreshold": "High", "source": "Prompt" },</w:t>
              <w:br/>
            </w:r>
            <w:r>
              <w:rPr>
                <w:rFonts w:ascii="Consolas" w:hAnsi="Consolas"/>
                <w:sz w:val="17"/>
              </w:rPr>
              <w:t xml:space="preserve">      { "name": "Selfharm",  "enabled": true,  "blocking": false, "severityThreshold": "High", "source": "Prompt" },</w:t>
              <w:br/>
            </w:r>
            <w:r>
              <w:rPr>
                <w:rFonts w:ascii="Consolas" w:hAnsi="Consolas"/>
                <w:sz w:val="17"/>
              </w:rPr>
              <w:t xml:space="preserve">      { "name": "Violence",  "enabled": true,  "blocking": false, "severityThreshold": "High", "source": "Prompt" },</w:t>
              <w:br/>
            </w:r>
            <w:r>
              <w:rPr>
                <w:rFonts w:ascii="Consolas" w:hAnsi="Consolas"/>
                <w:sz w:val="17"/>
              </w:rPr>
              <w:t xml:space="preserve">      { "name": "Hate",      "enabled": true,  "blocking": true,  "severityThreshold": "High", "source": "Completion" },</w:t>
              <w:br/>
            </w:r>
            <w:r>
              <w:rPr>
                <w:rFonts w:ascii="Consolas" w:hAnsi="Consolas"/>
                <w:sz w:val="17"/>
              </w:rPr>
              <w:t xml:space="preserve">      { "name": "Sexual",    "enabled": true,  "blocking": true,  "severityThreshold": "High", "source": "Completion" },</w:t>
              <w:br/>
            </w:r>
            <w:r>
              <w:rPr>
                <w:rFonts w:ascii="Consolas" w:hAnsi="Consolas"/>
                <w:sz w:val="17"/>
              </w:rPr>
              <w:t xml:space="preserve">      { "name": "Selfharm",  "enabled": true,  "blocking": true,  "severityThreshold": "High", "source": "Completion" },</w:t>
              <w:br/>
            </w:r>
            <w:r>
              <w:rPr>
                <w:rFonts w:ascii="Consolas" w:hAnsi="Consolas"/>
                <w:sz w:val="17"/>
              </w:rPr>
              <w:t xml:space="preserve">      { "name": "Violence",  "enabled": true,  "blocking": true,  "severityThreshold": "High", "source": "Completion" },</w:t>
              <w:br/>
            </w:r>
            <w:r>
              <w:rPr>
                <w:rFonts w:ascii="Consolas" w:hAnsi="Consolas"/>
                <w:sz w:val="17"/>
              </w:rPr>
              <w:t xml:space="preserve">      { "name": "Jailbreak", "enabled": true,  "blocking": true,  "source": "Prompt" },</w:t>
              <w:br/>
            </w:r>
            <w:r>
              <w:rPr>
                <w:rFonts w:ascii="Consolas" w:hAnsi="Consolas"/>
                <w:sz w:val="17"/>
              </w:rPr>
              <w:t xml:space="preserve">      { "name": "Profanity", "enabled": false, "blocking": false, "source": "Prompt" },</w:t>
              <w:br/>
            </w:r>
            <w:r>
              <w:rPr>
                <w:rFonts w:ascii="Consolas" w:hAnsi="Consolas"/>
                <w:sz w:val="17"/>
              </w:rPr>
              <w:t xml:space="preserve">      { "name": "Protected Material Text", "enabled": true, "blocking": false, "source": "Completion" },</w:t>
              <w:br/>
            </w:r>
            <w:r>
              <w:rPr>
                <w:rFonts w:ascii="Consolas" w:hAnsi="Consolas"/>
                <w:sz w:val="17"/>
              </w:rPr>
              <w:t xml:space="preserve">      { "name": "Protected Material Code", "enabled": true, "blocking": false, "source": "Completion" }</w:t>
              <w:br/>
            </w:r>
            <w:r>
              <w:rPr>
                <w:rFonts w:ascii="Consolas" w:hAnsi="Consolas"/>
                <w:sz w:val="17"/>
              </w:rPr>
              <w:t xml:space="preserve">    ]</w:t>
              <w:br/>
            </w:r>
            <w:r>
              <w:rPr>
                <w:rFonts w:ascii="Consolas" w:hAnsi="Consolas"/>
                <w:sz w:val="17"/>
              </w:rPr>
              <w:t xml:space="preserve">  }</w:t>
              <w:br/>
            </w:r>
            <w:r>
              <w:rPr>
                <w:rFonts w:ascii="Consolas" w:hAnsi="Consolas"/>
                <w:sz w:val="17"/>
              </w:rPr>
              <w:t>}</w:t>
            </w:r>
          </w:p>
        </w:tc>
      </w:tr>
    </w:tbl>
    <w:p>
      <w:pPr>
        <w:spacing w:after="40"/>
      </w:pPr>
    </w:p>
    <w:p>
      <w:pPr>
        <w:spacing w:after="120"/>
      </w:pPr>
      <w:r>
        <w:t>Then run the following, filling in the subscription, resource group and resource name: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nil"/>
          <w:insideV w:val="nil"/>
        </w:tblBorders>
      </w:tblPr>
      <w:tblGrid>
        <w:gridCol w:w="9746"/>
      </w:tblGrid>
      <w:tr>
        <w:tc>
          <w:tcPr>
            <w:tcW w:type="dxa" w:w="9746"/>
            <w:shd w:val="clear" w:color="auto" w:fill="F5F5F5"/>
            <w:tcMar>
              <w:top w:w="100" w:type="dxa"/>
              <w:bottom w:w="100" w:type="dxa"/>
              <w:start w:w="160" w:type="dxa"/>
              <w:end w:w="160" w:type="dxa"/>
            </w:tcMar>
          </w:tcPr>
          <w:p>
            <w:pPr>
              <w:spacing w:after="0" w:line="240" w:lineRule="auto"/>
            </w:pPr>
            <w:r>
              <w:rPr>
                <w:rFonts w:ascii="Consolas" w:hAnsi="Consolas"/>
                <w:sz w:val="17"/>
              </w:rPr>
              <w:t>az login</w:t>
              <w:br/>
            </w:r>
            <w:r>
              <w:rPr>
                <w:rFonts w:ascii="Consolas" w:hAnsi="Consolas"/>
                <w:sz w:val="17"/>
              </w:rPr>
              <w:t>az account set --subscription "&lt;subscription-id&gt;"</w:t>
              <w:br/>
            </w:r>
            <w:r>
              <w:rPr>
                <w:rFonts w:ascii="Consolas" w:hAnsi="Consolas"/>
                <w:sz w:val="17"/>
              </w:rPr>
              <w:br/>
            </w:r>
            <w:r>
              <w:rPr>
                <w:rFonts w:ascii="Consolas" w:hAnsi="Consolas"/>
                <w:sz w:val="17"/>
              </w:rPr>
              <w:t>URL="https://management.azure.com/subscriptions/&lt;subscription-id&gt;/resourceGroups/&lt;resource-group&gt;/providers/Microsoft.CognitiveServices/accounts/&lt;openai-resource-name&gt;/raiPolicies/pacehr-clinical-extraction?api-version=2024-10-01"</w:t>
              <w:br/>
            </w:r>
            <w:r>
              <w:rPr>
                <w:rFonts w:ascii="Consolas" w:hAnsi="Consolas"/>
                <w:sz w:val="17"/>
              </w:rPr>
              <w:br/>
            </w:r>
            <w:r>
              <w:rPr>
                <w:rFonts w:ascii="Consolas" w:hAnsi="Consolas"/>
                <w:sz w:val="17"/>
              </w:rPr>
              <w:t># create the filter (or update it if it already exists)</w:t>
              <w:br/>
            </w:r>
            <w:r>
              <w:rPr>
                <w:rFonts w:ascii="Consolas" w:hAnsi="Consolas"/>
                <w:sz w:val="17"/>
              </w:rPr>
              <w:t>az rest --method put --url "$URL" --body @pacehr-clinical-extraction.json</w:t>
              <w:br/>
            </w:r>
            <w:r>
              <w:rPr>
                <w:rFonts w:ascii="Consolas" w:hAnsi="Consolas"/>
                <w:sz w:val="17"/>
              </w:rPr>
              <w:br/>
            </w:r>
            <w:r>
              <w:rPr>
                <w:rFonts w:ascii="Consolas" w:hAnsi="Consolas"/>
                <w:sz w:val="17"/>
              </w:rPr>
              <w:t># confirm what was saved</w:t>
              <w:br/>
            </w:r>
            <w:r>
              <w:rPr>
                <w:rFonts w:ascii="Consolas" w:hAnsi="Consolas"/>
                <w:sz w:val="17"/>
              </w:rPr>
              <w:t>az rest --method get --url "$URL"</w:t>
            </w:r>
          </w:p>
        </w:tc>
      </w:tr>
    </w:tbl>
    <w:p>
      <w:pPr>
        <w:spacing w:after="40"/>
      </w:pPr>
    </w:p>
    <w:p>
      <w:pPr>
        <w:pStyle w:val="Heading2"/>
      </w:pPr>
      <w:r>
        <w:t>Notes on the JSON</w:t>
      </w:r>
    </w:p>
    <w:p>
      <w:pPr>
        <w:pStyle w:val="ListBullet"/>
        <w:spacing w:after="60"/>
      </w:pPr>
      <w:r>
        <w:rPr>
          <w:rFonts w:ascii="Consolas" w:hAnsi="Consolas"/>
          <w:color w:val="1F3864"/>
        </w:rPr>
        <w:t>"enabled": true, "blocking": false</w:t>
      </w:r>
      <w:r>
        <w:t xml:space="preserve"> means </w:t>
      </w:r>
      <w:r>
        <w:rPr>
          <w:b/>
        </w:rPr>
        <w:t>annotate only</w:t>
      </w:r>
      <w:r>
        <w:t>.</w:t>
      </w:r>
    </w:p>
    <w:p>
      <w:pPr>
        <w:pStyle w:val="ListBullet"/>
        <w:spacing w:after="60"/>
      </w:pPr>
      <w:r>
        <w:t xml:space="preserve">If Azure rejects the four </w:t>
      </w:r>
      <w:r>
        <w:rPr>
          <w:rFonts w:ascii="Consolas" w:hAnsi="Consolas"/>
          <w:color w:val="1F3864"/>
        </w:rPr>
        <w:t>"source": "Prompt"</w:t>
      </w:r>
      <w:r>
        <w:t xml:space="preserve"> harm entries, change each of them to </w:t>
      </w:r>
      <w:r>
        <w:rPr>
          <w:rFonts w:ascii="Consolas" w:hAnsi="Consolas"/>
          <w:color w:val="1F3864"/>
        </w:rPr>
        <w:t>"blocking": true</w:t>
      </w:r>
      <w:r>
        <w:t xml:space="preserve"> with </w:t>
      </w:r>
      <w:r>
        <w:rPr>
          <w:rFonts w:ascii="Consolas" w:hAnsi="Consolas"/>
          <w:color w:val="1F3864"/>
        </w:rPr>
        <w:t>"severityThreshold": "High"</w:t>
      </w:r>
      <w:r>
        <w:t>, and let us know (the same fallback as in the portal).</w:t>
      </w:r>
    </w:p>
    <w:p>
      <w:pPr>
        <w:pStyle w:val="ListBullet"/>
        <w:spacing w:after="60"/>
      </w:pPr>
      <w:r>
        <w:t xml:space="preserve">The filter names and the </w:t>
      </w:r>
      <w:r>
        <w:rPr>
          <w:rFonts w:ascii="Consolas" w:hAnsi="Consolas"/>
          <w:color w:val="1F3864"/>
        </w:rPr>
        <w:t>Microsoft.Default</w:t>
      </w:r>
      <w:r>
        <w:t xml:space="preserve"> base policy come from Microsoft's REST API reference sample.</w:t>
      </w:r>
    </w:p>
    <w:p>
      <w:pPr>
        <w:pStyle w:val="ListBullet"/>
        <w:spacing w:after="60"/>
      </w:pPr>
      <w:r>
        <w:t>Running the command again with the same file changes nothing.</w:t>
      </w:r>
    </w:p>
    <w:p>
      <w:pPr>
        <w:pStyle w:val="Heading1"/>
      </w:pPr>
      <w:r>
        <w:t>Appendix B.  References</w:t>
      </w:r>
    </w:p>
    <w:p>
      <w:pPr>
        <w:pStyle w:val="ListBullet"/>
        <w:spacing w:after="60"/>
      </w:pPr>
      <w:r>
        <w:t>Microsoft Learn: “Configure content filters (classic)”, updated 23 September 2026.</w:t>
      </w:r>
    </w:p>
    <w:p>
      <w:pPr>
        <w:pStyle w:val="ListBullet"/>
        <w:spacing w:after="60"/>
      </w:pPr>
      <w:r>
        <w:t>Microsoft Learn: Azure AI services REST API reference, “RAI Policies – Create Or Update”, API version 2024-10-01.</w:t>
      </w:r>
    </w:p>
    <w:p>
      <w:pPr>
        <w:spacing w:after="120"/>
      </w:pPr>
    </w:p>
    <w:p>
      <w:pPr>
        <w:spacing w:after="120"/>
      </w:pPr>
      <w:r>
        <w:rPr>
          <w:color w:val="595959"/>
          <w:sz w:val="20"/>
        </w:rPr>
        <w:t>Questions about this document: Hem Singh, pacEHR AI development team.</w:t>
      </w:r>
    </w:p>
    <w:sectPr w:rsidR="00FC693F" w:rsidRPr="0006063C" w:rsidSect="00034616">
      <w:headerReference w:type="default" r:id="rId9"/>
      <w:footerReference w:type="default" r:id="rId10"/>
      <w:footerReference w:type="firs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rPr>
        <w:color w:val="595959"/>
        <w:sz w:val="17"/>
      </w:rPr>
      <w:fldChar w:fldCharType="begin"/>
      <w:instrText xml:space="preserve">PAGE</w:instrText>
      <w:fldChar w:fldCharType="separate"/>
      <w:t>1</w:t>
      <w:fldChar w:fldCharType="end"/>
    </w:r>
    <w:r>
      <w:rPr>
        <w:color w:val="595959"/>
        <w:sz w:val="17"/>
      </w:rPr>
      <w:t xml:space="preserve"> of </w:t>
    </w:r>
    <w:r>
      <w:rPr>
        <w:color w:val="595959"/>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rPr>
        <w:color w:val="595959"/>
        <w:sz w:val="17"/>
      </w:rPr>
      <w:fldChar w:fldCharType="begin"/>
      <w:instrText xml:space="preserve">PAGE</w:instrText>
      <w:fldChar w:fldCharType="separate"/>
      <w:t>1</w:t>
      <w:fldChar w:fldCharType="end"/>
    </w:r>
    <w:r>
      <w:rPr>
        <w:color w:val="595959"/>
        <w:sz w:val="17"/>
      </w:rPr>
      <w:t xml:space="preserve"> of </w:t>
    </w:r>
    <w:r>
      <w:rPr>
        <w:color w:val="595959"/>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pacEHR AI  |  Azure OpenAI Content Filter Setup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ai.azure.com" TargetMode="External"/><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OpenAI Content Filter Setup</dc:title>
  <dc:subject>pacEHR AI service: content filter request for the Azure administrator</dc:subject>
  <dc:creator>Hem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