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(Helmus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Yohe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Slatkin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Hewitt 1996, Excoffier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Slatkin and Excoffier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r w:rsidR="009B7DF1">
        <w:rPr>
          <w:rFonts w:ascii="Helvetica Neue" w:hAnsi="Helvetica Neue" w:cs="Arial"/>
          <w:i/>
          <w:color w:val="000000"/>
        </w:rPr>
        <w:t>Somateria mollissima</w:t>
      </w:r>
      <w:r w:rsidR="009B7DF1">
        <w:rPr>
          <w:rFonts w:ascii="Helvetica Neue" w:hAnsi="Helvetica Neue" w:cs="Arial"/>
          <w:color w:val="000000"/>
        </w:rPr>
        <w:t>) (Tiedemann et al. 2004), ragwort (</w:t>
      </w:r>
      <w:r w:rsidR="009B7DF1" w:rsidRPr="009B7DF1">
        <w:rPr>
          <w:rFonts w:ascii="Helvetica Neue" w:hAnsi="Helvetica Neue" w:cs="Arial"/>
          <w:i/>
          <w:color w:val="000000"/>
        </w:rPr>
        <w:t>Senecio halleri</w:t>
      </w:r>
      <w:r w:rsidR="009B7DF1">
        <w:rPr>
          <w:rFonts w:ascii="Helvetica Neue" w:hAnsi="Helvetica Neue" w:cs="Arial"/>
          <w:color w:val="000000"/>
        </w:rPr>
        <w:t>) (Bettin et al. 2007), and rough-skinned newts (</w:t>
      </w:r>
      <w:r w:rsidR="009B7DF1" w:rsidRPr="009B265E">
        <w:rPr>
          <w:rFonts w:ascii="Helvetica Neue" w:hAnsi="Helvetica Neue" w:cs="Arial"/>
          <w:i/>
          <w:color w:val="000000"/>
        </w:rPr>
        <w:t xml:space="preserve">Taricha </w:t>
      </w:r>
      <w:r w:rsidR="009B7DF1" w:rsidRPr="009B265E">
        <w:rPr>
          <w:rFonts w:ascii="Helvetica Neue" w:hAnsi="Helvetica Neue" w:cs="Arial"/>
          <w:i/>
          <w:color w:val="000000"/>
        </w:rPr>
        <w:lastRenderedPageBreak/>
        <w:t>granulosa</w:t>
      </w:r>
      <w:r w:rsidR="009B7DF1">
        <w:rPr>
          <w:rFonts w:ascii="Helvetica Neue" w:hAnsi="Helvetica Neue" w:cs="Arial"/>
          <w:color w:val="000000"/>
        </w:rPr>
        <w:t xml:space="preserve">) (Kuchta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Pfeiller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Quant-iT PicoGreen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(BioTek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SAMtools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r w:rsidR="001F1D1D">
        <w:rPr>
          <w:rFonts w:ascii="Helvetica Neue" w:hAnsi="Helvetica Neue" w:cs="Arial"/>
          <w:iCs/>
          <w:color w:val="000000"/>
        </w:rPr>
        <w:t xml:space="preserve">SAMtools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snpR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between each pair of populations for each SNP was then calculated using the snpR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0127C2AF"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Componenet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NGSadmix</w:t>
      </w:r>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3B114B">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pophelper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snpR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δaδi (dadi)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Danaus erippus</w:t>
      </w:r>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w:t>
      </w:r>
      <w:r w:rsidR="00442634" w:rsidRPr="009A26B0">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xml:space="preserve">.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w:t>
      </w:r>
      <w:r w:rsidR="00977D34" w:rsidRPr="00621411">
        <w:rPr>
          <w:rFonts w:ascii="Helvetica Neue" w:eastAsia="Times New Roman" w:hAnsi="Helvetica Neue" w:cs="Times New Roman"/>
        </w:rPr>
        <w:lastRenderedPageBreak/>
        <w:t xml:space="preserve">listed in </w:t>
      </w:r>
      <w:r w:rsidR="00977D34" w:rsidRPr="008C2E8F">
        <w:rPr>
          <w:rFonts w:ascii="Helvetica Neue" w:eastAsia="Times New Roman" w:hAnsi="Helvetica Neue" w:cs="Times New Roman"/>
          <w:highlight w:val="yellow"/>
        </w:rPr>
        <w:t>Table X</w:t>
      </w:r>
      <w:r w:rsidR="00977D34" w:rsidRPr="00621411">
        <w:rPr>
          <w:rFonts w:ascii="Helvetica Neue" w:eastAsia="Times New Roman" w:hAnsi="Helvetica Neue" w:cs="Times New Roman"/>
        </w:rPr>
        <w:t xml:space="preserve">. Unlike Portik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454E799A" w14:textId="0219CCE7"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two scenarios consistently produced the lowest AIC scores. The first of these models was more simple and assumed a basic </w:t>
      </w:r>
      <w:r w:rsidRPr="008C2E8F">
        <w:rPr>
          <w:rFonts w:ascii="Helvetica Neue" w:hAnsi="Helvetica Neue" w:cs="Arial"/>
          <w:i/>
          <w:color w:val="000000"/>
        </w:rPr>
        <w:t>found and grow</w:t>
      </w:r>
      <w:r>
        <w:rPr>
          <w:rFonts w:ascii="Helvetica Neue" w:hAnsi="Helvetica Neue" w:cs="Arial"/>
          <w:color w:val="000000"/>
        </w:rPr>
        <w:t xml:space="preserve"> scenario, with a constant ancestral population size in North America and then population growth upon colonization in Hawaii. The second model involved a </w:t>
      </w:r>
      <w:r w:rsidRPr="008C2E8F">
        <w:rPr>
          <w:rFonts w:ascii="Helvetica Neue" w:hAnsi="Helvetica Neue" w:cs="Arial"/>
          <w:i/>
          <w:color w:val="000000"/>
        </w:rPr>
        <w:t>three epoch found and grow</w:t>
      </w:r>
      <w:r>
        <w:rPr>
          <w:rFonts w:ascii="Helvetica Neue" w:hAnsi="Helvetica Neue" w:cs="Arial"/>
          <w:color w:val="000000"/>
        </w:rPr>
        <w:t xml:space="preserve"> scenario, which involved multiple rounds of demographic expansion in the ancestral North American population, followed by colonization and growth in Hawaii. This three epoch found and grow model is based on the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32D661A2"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xml:space="preserve">) was calculated for each pairwise combination of the North American, Hawaiian, Queensland, and </w:t>
      </w:r>
      <w:r w:rsidRPr="00D06EE7">
        <w:rPr>
          <w:rFonts w:ascii="Helvetica Neue" w:eastAsia="Times New Roman" w:hAnsi="Helvetica Neue" w:cs="Times New Roman"/>
        </w:rPr>
        <w:t>Guamanian</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snpR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dadi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snpR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4473525" w:rsidR="00F8441E"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positive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Table </w:t>
      </w:r>
      <w:r w:rsidRPr="008C2E8F">
        <w:rPr>
          <w:rFonts w:ascii="Helvetica Neue" w:hAnsi="Helvetica Neue" w:cs="Arial"/>
          <w:color w:val="000000"/>
          <w:highlight w:val="yellow"/>
        </w:rPr>
        <w:t>xxxx</w:t>
      </w:r>
      <w:r>
        <w:rPr>
          <w:rFonts w:ascii="Helvetica Neue" w:hAnsi="Helvetica Neue" w:cs="Arial"/>
          <w:color w:val="000000"/>
        </w:rPr>
        <w:t>.</w:t>
      </w:r>
      <w:r w:rsidR="00B86C53">
        <w:rPr>
          <w:rFonts w:ascii="Helvetica Neue" w:hAnsi="Helvetica Neue" w:cs="Arial"/>
          <w:color w:val="000000"/>
        </w:rPr>
        <w:t xml:space="preserve"> Pacific Island populations generally showed reduced heterozygosity and nucleotide diversity, consistent with predictions of serial stepwise dispersal and strong bottlenecks (</w:t>
      </w:r>
      <w:r w:rsidR="00B86C53" w:rsidRPr="00B86C53">
        <w:rPr>
          <w:rFonts w:ascii="Helvetica Neue" w:hAnsi="Helvetica Neue" w:cs="Arial"/>
          <w:color w:val="000000"/>
          <w:highlight w:val="yellow"/>
        </w:rPr>
        <w:t>Table xxx</w:t>
      </w:r>
      <w:r w:rsidR="00B86C53">
        <w:rPr>
          <w:rFonts w:ascii="Helvetica Neue" w:hAnsi="Helvetica Neue" w:cs="Arial"/>
          <w:color w:val="000000"/>
        </w:rPr>
        <w:t>). However, this pattern was less apparent in monarchs from Hawaii and Australia.</w:t>
      </w:r>
    </w:p>
    <w:p w14:paraId="0B23AFFD" w14:textId="04EE8BA9"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r w:rsidR="00621411">
        <w:rPr>
          <w:rFonts w:ascii="Helvetica Neue" w:hAnsi="Helvetica Neue" w:cs="Arial"/>
          <w:color w:val="000000"/>
        </w:rPr>
        <w:t>sNMF and NGSrelate</w:t>
      </w:r>
      <w:r w:rsidRPr="001B063A">
        <w:rPr>
          <w:rFonts w:ascii="Helvetica Neue" w:hAnsi="Helvetica Neue" w:cs="Arial"/>
          <w:color w:val="000000"/>
        </w:rPr>
        <w:t xml:space="preserve"> showed a generally similar pattern. At k = 2, North American and Pacific Island populations were pulled apart. At k = 3, Guam was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lastRenderedPageBreak/>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r w:rsidR="00FB074A" w:rsidRPr="00FB074A">
        <w:rPr>
          <w:rFonts w:ascii="Helvetica Neue" w:hAnsi="Helvetica Neue" w:cs="Arial"/>
          <w:i/>
          <w:color w:val="000000"/>
        </w:rPr>
        <w:t>three epoch</w:t>
      </w:r>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lastRenderedPageBreak/>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0B382CDA"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Panmixia over large spatial scales in common in other long-distance migratory species (</w:t>
      </w:r>
      <w:r w:rsidR="00873DA2" w:rsidRPr="00FD18CC">
        <w:rPr>
          <w:rFonts w:ascii="Helvetica Neue" w:hAnsi="Helvetica Neue" w:cs="Arial"/>
          <w:color w:val="000000"/>
          <w:highlight w:val="yellow"/>
        </w:rPr>
        <w:t xml:space="preserve">references from bats, birds, </w:t>
      </w:r>
      <w:r w:rsidR="00FD18CC">
        <w:rPr>
          <w:rFonts w:ascii="Helvetica Neue" w:hAnsi="Helvetica Neue" w:cs="Arial"/>
          <w:color w:val="000000"/>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w:t>
      </w:r>
      <w:r>
        <w:rPr>
          <w:rFonts w:ascii="Helvetica Neue" w:hAnsi="Helvetica Neue" w:cs="Arial"/>
          <w:color w:val="000000"/>
        </w:rPr>
        <w:lastRenderedPageBreak/>
        <w:t xml:space="preserve">promote gene flow between islands and that the orientation axis of the Hawaiian islands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migratory tendencies (James 1989, Freedman et al. 2018, Hemstrom et al. in prep) that might explain the lack of differentiation seen there.</w:t>
      </w:r>
    </w:p>
    <w:p w14:paraId="2503016F" w14:textId="6D4D4D0B"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 directionality index measure (___)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r population in New Caledonia (Clarke and Zalucki 2004). The retention of genetic diversity in Hawaii and Australia may reflect rapid population growth upon establishment, which could temper the loss of allelic diversity that might be predicted with a bottleneck event.</w:t>
      </w:r>
    </w:p>
    <w:p w14:paraId="01587E34" w14:textId="1105CE84"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w:t>
      </w:r>
      <w:bookmarkStart w:id="0" w:name="_GoBack"/>
      <w:bookmarkEnd w:id="0"/>
      <w:r w:rsidR="00063421">
        <w:rPr>
          <w:rFonts w:ascii="Helvetica Neue" w:hAnsi="Helvetica Neue" w:cs="Arial"/>
          <w:color w:val="000000"/>
        </w:rPr>
        <w:t xml:space="preserve">e ancestral North American population prior to expansion—has empirical support from other studies (Zhan et al. 2014, Pfeiller et al. 2016) and accords with our understanding of past changes in climate;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w:t>
      </w:r>
    </w:p>
    <w:p w14:paraId="530324DE" w14:textId="068983C4"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Tenger-Trolander, pers. comm.)</w:t>
      </w:r>
      <w:r w:rsidR="008C4E05">
        <w:rPr>
          <w:rFonts w:ascii="Helvetica Neue" w:hAnsi="Helvetica Neue" w:cs="Arial"/>
          <w:color w:val="000000"/>
        </w:rPr>
        <w:t xml:space="preserve"> is sufficient to generate patterns of </w:t>
      </w:r>
      <w:r w:rsidR="008C4E05">
        <w:rPr>
          <w:rFonts w:ascii="Helvetica Neue" w:hAnsi="Helvetica Neue" w:cs="Arial"/>
          <w:color w:val="000000"/>
        </w:rPr>
        <w:lastRenderedPageBreak/>
        <w:t xml:space="preserve">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(Tenger-Trolander et al. 2019).</w:t>
      </w:r>
    </w:p>
    <w:p w14:paraId="20C6C5E5" w14:textId="3726A095"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(Oberhauser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181CCE71"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el that we used in our analysis and (3) the absence of modern records of North America &gt; Hawaii movement.</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lastRenderedPageBreak/>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Viti Levu</w:t>
            </w:r>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C51C" w14:textId="77777777" w:rsidR="00E1737F" w:rsidRDefault="00E1737F" w:rsidP="003B1AAE">
      <w:r>
        <w:separator/>
      </w:r>
    </w:p>
  </w:endnote>
  <w:endnote w:type="continuationSeparator" w:id="0">
    <w:p w14:paraId="552F66B4" w14:textId="77777777" w:rsidR="00E1737F" w:rsidRDefault="00E1737F"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PS"/>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6FE6" w14:textId="77777777" w:rsidR="00E1737F" w:rsidRDefault="00E1737F" w:rsidP="003B1AAE">
      <w:r>
        <w:separator/>
      </w:r>
    </w:p>
  </w:footnote>
  <w:footnote w:type="continuationSeparator" w:id="0">
    <w:p w14:paraId="4EF66C6E" w14:textId="77777777" w:rsidR="00E1737F" w:rsidRDefault="00E1737F"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63421"/>
    <w:rsid w:val="000867B1"/>
    <w:rsid w:val="000C4EA1"/>
    <w:rsid w:val="000F0C5E"/>
    <w:rsid w:val="00171572"/>
    <w:rsid w:val="00191C48"/>
    <w:rsid w:val="001B063A"/>
    <w:rsid w:val="001F1D1D"/>
    <w:rsid w:val="00207A66"/>
    <w:rsid w:val="00242F9B"/>
    <w:rsid w:val="002A1706"/>
    <w:rsid w:val="003079E4"/>
    <w:rsid w:val="00310969"/>
    <w:rsid w:val="00333EB3"/>
    <w:rsid w:val="003800D0"/>
    <w:rsid w:val="003B114B"/>
    <w:rsid w:val="003B1AAE"/>
    <w:rsid w:val="00442634"/>
    <w:rsid w:val="004636E0"/>
    <w:rsid w:val="004B1994"/>
    <w:rsid w:val="004C5CDD"/>
    <w:rsid w:val="00512974"/>
    <w:rsid w:val="00553E1A"/>
    <w:rsid w:val="00590EB4"/>
    <w:rsid w:val="005A227C"/>
    <w:rsid w:val="00621411"/>
    <w:rsid w:val="00625A53"/>
    <w:rsid w:val="0064060B"/>
    <w:rsid w:val="00652050"/>
    <w:rsid w:val="006A1B71"/>
    <w:rsid w:val="007C2C9D"/>
    <w:rsid w:val="00846222"/>
    <w:rsid w:val="00873DA2"/>
    <w:rsid w:val="008C2E8F"/>
    <w:rsid w:val="008C4E05"/>
    <w:rsid w:val="0097017A"/>
    <w:rsid w:val="00977D34"/>
    <w:rsid w:val="009A26B0"/>
    <w:rsid w:val="009B265E"/>
    <w:rsid w:val="009B2AE0"/>
    <w:rsid w:val="009B7DF1"/>
    <w:rsid w:val="009E3CBB"/>
    <w:rsid w:val="009F6939"/>
    <w:rsid w:val="00A35831"/>
    <w:rsid w:val="00AB278B"/>
    <w:rsid w:val="00AC3C2F"/>
    <w:rsid w:val="00AC6FE1"/>
    <w:rsid w:val="00B23719"/>
    <w:rsid w:val="00B33433"/>
    <w:rsid w:val="00B86C53"/>
    <w:rsid w:val="00B91792"/>
    <w:rsid w:val="00BB5658"/>
    <w:rsid w:val="00C37519"/>
    <w:rsid w:val="00C748B1"/>
    <w:rsid w:val="00D06EE7"/>
    <w:rsid w:val="00D7319C"/>
    <w:rsid w:val="00E1737F"/>
    <w:rsid w:val="00E302B1"/>
    <w:rsid w:val="00E37B4C"/>
    <w:rsid w:val="00E46C9F"/>
    <w:rsid w:val="00E70B1E"/>
    <w:rsid w:val="00E77EF4"/>
    <w:rsid w:val="00E85F07"/>
    <w:rsid w:val="00EF22AE"/>
    <w:rsid w:val="00F3704A"/>
    <w:rsid w:val="00F81228"/>
    <w:rsid w:val="00F8441E"/>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60DA-1AB4-5341-8A47-B814AE49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10086</TotalTime>
  <Pages>11</Pages>
  <Words>11031</Words>
  <Characters>62883</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17</cp:revision>
  <dcterms:created xsi:type="dcterms:W3CDTF">2019-07-22T21:19:00Z</dcterms:created>
  <dcterms:modified xsi:type="dcterms:W3CDTF">2019-10-18T18:39:00Z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