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513D62F9" w:rsidR="00355224"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Title: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8F1ACA9"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Running Title: Pacific monarch butterfly genetics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 xml:space="preserve">Authors: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 Affiliations: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797DCD08" w14:textId="09D0774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r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5A027E86"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population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their long-distance migration in North America</w:t>
      </w:r>
      <w:r w:rsidR="00C84467" w:rsidRPr="001A0367">
        <w:rPr>
          <w:rFonts w:ascii="Arial" w:hAnsi="Arial" w:cs="Arial"/>
          <w:color w:val="000000"/>
          <w:sz w:val="22"/>
          <w:szCs w:val="22"/>
        </w:rPr>
        <w:t xml:space="preserve"> but have greatly expanded their geographic range, including an expansion across the Pacific Ocean. </w:t>
      </w:r>
      <w:r w:rsidR="00845A6A" w:rsidRPr="001A0367">
        <w:rPr>
          <w:rFonts w:ascii="Arial" w:hAnsi="Arial" w:cs="Arial"/>
          <w:color w:val="000000"/>
          <w:sz w:val="22"/>
          <w:szCs w:val="22"/>
        </w:rPr>
        <w:t>R</w:t>
      </w:r>
      <w:r w:rsidR="00C84467" w:rsidRPr="001A0367">
        <w:rPr>
          <w:rFonts w:ascii="Arial" w:hAnsi="Arial" w:cs="Arial"/>
          <w:color w:val="000000"/>
          <w:sz w:val="22"/>
          <w:szCs w:val="22"/>
        </w:rPr>
        <w:t xml:space="preserve">ecently-established monarch populations </w:t>
      </w:r>
      <w:r w:rsidR="00CF2590">
        <w:rPr>
          <w:rFonts w:ascii="Arial" w:hAnsi="Arial" w:cs="Arial"/>
          <w:color w:val="000000"/>
          <w:sz w:val="22"/>
          <w:szCs w:val="22"/>
        </w:rPr>
        <w:t>are generally non-migratory and breed year-round</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range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 281 monarchs from North America and 15 locations across the Pacific, with the goal of understanding (1) how the monarch’s expansion across the Pacific has broadly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westward expansion from Hawaii into the Mariana Islands. Monarchs within the Mariana Islands show strong patterns of differentiation, despite being in close proximity; by contrast, migratory North American samples form a single genetically panmictic population across the entire continent. Estimates for the timing of the monarch’s establishment in the Pacific</w:t>
      </w:r>
      <w:r w:rsidR="00CF2590">
        <w:rPr>
          <w:rFonts w:ascii="Arial" w:hAnsi="Arial" w:cs="Arial"/>
          <w:color w:val="000000"/>
          <w:sz w:val="22"/>
          <w:szCs w:val="22"/>
        </w:rPr>
        <w:t xml:space="preserve">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C84467" w:rsidRPr="001A0367">
        <w:rPr>
          <w:rFonts w:ascii="Arial" w:hAnsi="Arial" w:cs="Arial"/>
          <w:color w:val="000000"/>
          <w:sz w:val="22"/>
          <w:szCs w:val="22"/>
        </w:rPr>
        <w:t xml:space="preserve">Together, our data support (1) a single recent westward expansion across the Pacific whose timing accords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especially noteworthy because they document how the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w:t>
      </w:r>
      <w:r w:rsidR="008B65A2" w:rsidRPr="001A0367">
        <w:rPr>
          <w:rFonts w:ascii="Arial" w:hAnsi="Arial" w:cs="Arial"/>
          <w:color w:val="000000"/>
          <w:sz w:val="22"/>
          <w:szCs w:val="22"/>
        </w:rPr>
        <w:lastRenderedPageBreak/>
        <w:t xml:space="preserve">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6571BA1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w:t>
      </w:r>
      <w:r w:rsidR="00F134DB" w:rsidRPr="001A0367">
        <w:rPr>
          <w:rFonts w:ascii="Arial" w:hAnsi="Arial" w:cs="Arial"/>
          <w:color w:val="000000"/>
          <w:sz w:val="22"/>
          <w:szCs w:val="22"/>
        </w:rPr>
        <w:lastRenderedPageBreak/>
        <w:t>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 xml:space="preserve">happened </w:t>
      </w:r>
      <w:proofErr w:type="gramStart"/>
      <w:r w:rsidR="001A0367" w:rsidRPr="001A0367">
        <w:rPr>
          <w:rFonts w:ascii="Arial" w:hAnsi="Arial" w:cs="Arial"/>
          <w:color w:val="000000"/>
          <w:sz w:val="22"/>
          <w:szCs w:val="22"/>
        </w:rPr>
        <w:t>as long</w:t>
      </w:r>
      <w:r w:rsidR="00F134DB" w:rsidRPr="001A0367">
        <w:rPr>
          <w:rFonts w:ascii="Arial" w:hAnsi="Arial" w:cs="Arial"/>
          <w:color w:val="000000"/>
          <w:sz w:val="22"/>
          <w:szCs w:val="22"/>
        </w:rPr>
        <w:t xml:space="preserve"> as</w:t>
      </w:r>
      <w:proofErr w:type="gramEnd"/>
      <w:r w:rsidR="00F134DB" w:rsidRPr="001A0367">
        <w:rPr>
          <w:rFonts w:ascii="Arial" w:hAnsi="Arial" w:cs="Arial"/>
          <w:color w:val="000000"/>
          <w:sz w:val="22"/>
          <w:szCs w:val="22"/>
        </w:rPr>
        <w:t xml:space="preserve">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15C907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117F95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R packages were used to simplify these analyses. 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287B4944"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reduce potential 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w:t>
      </w:r>
      <w:r w:rsidRPr="001A0367">
        <w:rPr>
          <w:rFonts w:ascii="Arial" w:hAnsi="Arial" w:cs="Arial"/>
          <w:sz w:val="22"/>
          <w:szCs w:val="22"/>
        </w:rPr>
        <w:lastRenderedPageBreak/>
        <w:t xml:space="preserve">projected down to a sample size of 100 gene copies from North America and 10 from Hawaii, resulting in 9370 total SNPs. These projection numbers were picked to maximize the remaining number of SNPs in the dataset. </w:t>
      </w:r>
    </w:p>
    <w:p w14:paraId="435ED337" w14:textId="0357875E"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66C0E85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 xml:space="preserve">model, which had a single admixture event </w:t>
      </w:r>
      <w:r w:rsidR="00850235">
        <w:rPr>
          <w:rFonts w:ascii="Arial" w:hAnsi="Arial" w:cs="Arial"/>
          <w:sz w:val="22"/>
          <w:szCs w:val="22"/>
        </w:rPr>
        <w:lastRenderedPageBreak/>
        <w:t>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B609B0">
        <w:rPr>
          <w:rFonts w:ascii="Arial" w:hAnsi="Arial" w:cs="Arial"/>
          <w:sz w:val="22"/>
          <w:szCs w:val="22"/>
        </w:rPr>
        <w:t>5</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602BA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1a).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and NGS results both reflect the patterns we observed in the PCA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rare derived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w:t>
      </w:r>
      <w:proofErr w:type="gramStart"/>
      <w:r w:rsidR="0045465B">
        <w:rPr>
          <w:rFonts w:ascii="Arial" w:hAnsi="Arial" w:cs="Arial"/>
          <w:sz w:val="22"/>
          <w:szCs w:val="22"/>
        </w:rPr>
        <w:t>due to the fact that</w:t>
      </w:r>
      <w:proofErr w:type="gramEnd"/>
      <w:r w:rsidR="0045465B">
        <w:rPr>
          <w:rFonts w:ascii="Arial" w:hAnsi="Arial" w:cs="Arial"/>
          <w:sz w:val="22"/>
          <w:szCs w:val="22"/>
        </w:rPr>
        <w:t xml:space="preserve">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76B515E8"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w:t>
      </w:r>
      <w:r w:rsidRPr="001A0367">
        <w:rPr>
          <w:rFonts w:ascii="Arial" w:hAnsi="Arial" w:cs="Arial"/>
          <w:sz w:val="22"/>
          <w:szCs w:val="22"/>
        </w:rPr>
        <w:lastRenderedPageBreak/>
        <w:t xml:space="preserve">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such as the general increase in Tajima’s D across the Pacific, 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559A375F"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w:t>
      </w:r>
      <w:r w:rsidRPr="001A0367">
        <w:rPr>
          <w:rFonts w:ascii="Arial" w:hAnsi="Arial" w:cs="Arial"/>
          <w:sz w:val="22"/>
          <w:szCs w:val="22"/>
          <w:highlight w:val="white"/>
        </w:rPr>
        <w:lastRenderedPageBreak/>
        <w:t xml:space="preserve">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w:t>
      </w:r>
      <w:proofErr w:type="gramStart"/>
      <w:r w:rsidR="00F51E99" w:rsidRPr="001A0367">
        <w:rPr>
          <w:rFonts w:ascii="Arial" w:hAnsi="Arial" w:cs="Arial"/>
          <w:sz w:val="22"/>
          <w:szCs w:val="22"/>
          <w:highlight w:val="white"/>
        </w:rPr>
        <w:t>similar to</w:t>
      </w:r>
      <w:proofErr w:type="gramEnd"/>
      <w:r w:rsidR="00F51E99" w:rsidRPr="001A0367">
        <w:rPr>
          <w:rFonts w:ascii="Arial" w:hAnsi="Arial" w:cs="Arial"/>
          <w:sz w:val="22"/>
          <w:szCs w:val="22"/>
          <w:highlight w:val="white"/>
        </w:rPr>
        <w:t xml:space="preserve">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xml:space="preserve">. Australian monarchs retain migration-associated behaviors 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w:t>
      </w:r>
      <w:r w:rsidR="000E2CEA" w:rsidRPr="001A0367">
        <w:rPr>
          <w:rFonts w:ascii="Arial" w:hAnsi="Arial" w:cs="Arial"/>
          <w:sz w:val="22"/>
          <w:szCs w:val="22"/>
        </w:rPr>
        <w:lastRenderedPageBreak/>
        <w:t xml:space="preserve">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26B0D3C8"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This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 xml:space="preserve">Freedman, M. G., Roode, J. C., Forister,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B46F48">
      <w:pPr>
        <w:pStyle w:val="ListParagraph"/>
        <w:numPr>
          <w:ilvl w:val="0"/>
          <w:numId w:val="1"/>
        </w:numPr>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7E84DA7" w:rsidR="00355224" w:rsidRDefault="001B5296">
      <w:pPr>
        <w:rPr>
          <w:b/>
        </w:rPr>
      </w:pPr>
      <w:r>
        <w:rPr>
          <w:b/>
          <w:noProof/>
        </w:rPr>
        <w:lastRenderedPageBreak/>
        <w:drawing>
          <wp:inline distT="0" distB="0" distL="0" distR="0" wp14:anchorId="25F7E9FE" wp14:editId="57F361A3">
            <wp:extent cx="466344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663440" cy="8229600"/>
                    </a:xfrm>
                    <a:prstGeom prst="rect">
                      <a:avLst/>
                    </a:prstGeom>
                  </pic:spPr>
                </pic:pic>
              </a:graphicData>
            </a:graphic>
          </wp:inline>
        </w:drawing>
      </w:r>
    </w:p>
    <w:p w14:paraId="66C865C7" w14:textId="77777777" w:rsidR="00355224" w:rsidRDefault="00355224">
      <w:pPr>
        <w:rPr>
          <w:b/>
        </w:rPr>
      </w:pPr>
    </w:p>
    <w:p w14:paraId="30F566E0" w14:textId="6A29F9D8"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r w:rsidR="00FB2144">
        <w:t xml:space="preserve">OAH </w:t>
      </w:r>
      <w:r>
        <w:t xml:space="preserve">= </w:t>
      </w:r>
      <w:r w:rsidR="00FB2144">
        <w:t>Oahu (Hawaii)</w:t>
      </w:r>
      <w:r>
        <w:t xml:space="preserve">, </w:t>
      </w:r>
      <w:r w:rsidR="00FB2144">
        <w:t xml:space="preserve">MAU = Maui (Hawaii), </w:t>
      </w:r>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6762C7AE" w:rsidR="00355224" w:rsidRDefault="00FB2144">
      <w:r>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 xml:space="preserve">Current effective size estimates in North America and Hawaii. Red dots </w:t>
      </w:r>
      <w:r w:rsidR="00FB2144">
        <w:lastRenderedPageBreak/>
        <w:t>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40C4" w14:textId="77777777" w:rsidR="006776C2" w:rsidRDefault="006776C2" w:rsidP="00F644B5">
      <w:r>
        <w:separator/>
      </w:r>
    </w:p>
  </w:endnote>
  <w:endnote w:type="continuationSeparator" w:id="0">
    <w:p w14:paraId="4B84F46D" w14:textId="77777777" w:rsidR="006776C2" w:rsidRDefault="006776C2"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70593" w14:textId="77777777" w:rsidR="006776C2" w:rsidRDefault="006776C2" w:rsidP="00F644B5">
      <w:r>
        <w:separator/>
      </w:r>
    </w:p>
  </w:footnote>
  <w:footnote w:type="continuationSeparator" w:id="0">
    <w:p w14:paraId="543BB5A4" w14:textId="77777777" w:rsidR="006776C2" w:rsidRDefault="006776C2"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6299D"/>
    <w:rsid w:val="00076730"/>
    <w:rsid w:val="000A7BBC"/>
    <w:rsid w:val="000E2CEA"/>
    <w:rsid w:val="0011459D"/>
    <w:rsid w:val="00161BA0"/>
    <w:rsid w:val="0019445A"/>
    <w:rsid w:val="001A0367"/>
    <w:rsid w:val="001A0D8A"/>
    <w:rsid w:val="001A48F9"/>
    <w:rsid w:val="001B5296"/>
    <w:rsid w:val="001D120C"/>
    <w:rsid w:val="001F0461"/>
    <w:rsid w:val="002210E7"/>
    <w:rsid w:val="002450EB"/>
    <w:rsid w:val="00245A5A"/>
    <w:rsid w:val="00266FDC"/>
    <w:rsid w:val="002706B4"/>
    <w:rsid w:val="002D353D"/>
    <w:rsid w:val="002F6DFF"/>
    <w:rsid w:val="003169AB"/>
    <w:rsid w:val="0032621F"/>
    <w:rsid w:val="00355224"/>
    <w:rsid w:val="00356B86"/>
    <w:rsid w:val="00380F5C"/>
    <w:rsid w:val="003843D2"/>
    <w:rsid w:val="00394A82"/>
    <w:rsid w:val="003A19F1"/>
    <w:rsid w:val="003A7902"/>
    <w:rsid w:val="003B7F97"/>
    <w:rsid w:val="003C021A"/>
    <w:rsid w:val="003E3175"/>
    <w:rsid w:val="003F0723"/>
    <w:rsid w:val="003F138A"/>
    <w:rsid w:val="003F2EF0"/>
    <w:rsid w:val="003F4F83"/>
    <w:rsid w:val="0045465B"/>
    <w:rsid w:val="004728DB"/>
    <w:rsid w:val="004D1E24"/>
    <w:rsid w:val="0051365D"/>
    <w:rsid w:val="00581393"/>
    <w:rsid w:val="005A1ECC"/>
    <w:rsid w:val="005A6990"/>
    <w:rsid w:val="005B090F"/>
    <w:rsid w:val="005F3CB8"/>
    <w:rsid w:val="006154EC"/>
    <w:rsid w:val="00637496"/>
    <w:rsid w:val="006776C2"/>
    <w:rsid w:val="006A6F8F"/>
    <w:rsid w:val="006C2257"/>
    <w:rsid w:val="006D3592"/>
    <w:rsid w:val="006D6D7F"/>
    <w:rsid w:val="00721623"/>
    <w:rsid w:val="00736D9A"/>
    <w:rsid w:val="00746734"/>
    <w:rsid w:val="00752928"/>
    <w:rsid w:val="00765BB8"/>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7C3F"/>
    <w:rsid w:val="00962BAE"/>
    <w:rsid w:val="009822D5"/>
    <w:rsid w:val="009A4FD2"/>
    <w:rsid w:val="009A69BA"/>
    <w:rsid w:val="009D7EEE"/>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6BC8"/>
    <w:rsid w:val="00BF55CA"/>
    <w:rsid w:val="00C23111"/>
    <w:rsid w:val="00C26F66"/>
    <w:rsid w:val="00C57F93"/>
    <w:rsid w:val="00C643AD"/>
    <w:rsid w:val="00C74674"/>
    <w:rsid w:val="00C76753"/>
    <w:rsid w:val="00C84467"/>
    <w:rsid w:val="00CA10DB"/>
    <w:rsid w:val="00CB5E4F"/>
    <w:rsid w:val="00CF2590"/>
    <w:rsid w:val="00D01CDC"/>
    <w:rsid w:val="00D255B4"/>
    <w:rsid w:val="00D3337E"/>
    <w:rsid w:val="00D4538B"/>
    <w:rsid w:val="00D4633F"/>
    <w:rsid w:val="00D63034"/>
    <w:rsid w:val="00D900D2"/>
    <w:rsid w:val="00DE378C"/>
    <w:rsid w:val="00DE468A"/>
    <w:rsid w:val="00DF379F"/>
    <w:rsid w:val="00DF611A"/>
    <w:rsid w:val="00E421D0"/>
    <w:rsid w:val="00E66D39"/>
    <w:rsid w:val="00EF0AED"/>
    <w:rsid w:val="00F014E6"/>
    <w:rsid w:val="00F134DB"/>
    <w:rsid w:val="00F51E99"/>
    <w:rsid w:val="00F523A6"/>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23</Pages>
  <Words>8527</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46</cp:revision>
  <dcterms:created xsi:type="dcterms:W3CDTF">2020-02-09T22:34:00Z</dcterms:created>
  <dcterms:modified xsi:type="dcterms:W3CDTF">2021-07-27T18:17:00Z</dcterms:modified>
</cp:coreProperties>
</file>