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Yohe 2003, Helmus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(Hulme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Yohe 2003, Dawe and Boutin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Slatkin 2015)</w:t>
      </w:r>
      <w:r w:rsidR="00E302B1" w:rsidRPr="001B063A">
        <w:rPr>
          <w:rFonts w:ascii="Helvetica Neue" w:hAnsi="Helvetica Neue" w:cs="Arial"/>
          <w:color w:val="000000"/>
        </w:rPr>
        <w:t xml:space="preserve">. </w:t>
      </w:r>
    </w:p>
    <w:p w14:paraId="19F3753E" w14:textId="50B1962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1996, Excoffier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Slatkin and Excoffier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r w:rsidR="009B7DF1">
        <w:rPr>
          <w:rFonts w:ascii="Helvetica Neue" w:hAnsi="Helvetica Neue" w:cs="Arial"/>
          <w:i/>
          <w:color w:val="000000"/>
        </w:rPr>
        <w:t xml:space="preserve">Somateria </w:t>
      </w:r>
      <w:r w:rsidR="009B7DF1">
        <w:rPr>
          <w:rFonts w:ascii="Helvetica Neue" w:hAnsi="Helvetica Neue" w:cs="Arial"/>
          <w:i/>
          <w:color w:val="000000"/>
        </w:rPr>
        <w:lastRenderedPageBreak/>
        <w:t>mollissima</w:t>
      </w:r>
      <w:r w:rsidR="009B7DF1">
        <w:rPr>
          <w:rFonts w:ascii="Helvetica Neue" w:hAnsi="Helvetica Neue" w:cs="Arial"/>
          <w:color w:val="000000"/>
        </w:rPr>
        <w:t>) (Tiedemann et al. 2004), ragwort (</w:t>
      </w:r>
      <w:r w:rsidR="009B7DF1" w:rsidRPr="009B7DF1">
        <w:rPr>
          <w:rFonts w:ascii="Helvetica Neue" w:hAnsi="Helvetica Neue" w:cs="Arial"/>
          <w:i/>
          <w:color w:val="000000"/>
        </w:rPr>
        <w:t>Senecio halleri</w:t>
      </w:r>
      <w:r w:rsidR="009B7DF1">
        <w:rPr>
          <w:rFonts w:ascii="Helvetica Neue" w:hAnsi="Helvetica Neue" w:cs="Arial"/>
          <w:color w:val="000000"/>
        </w:rPr>
        <w:t>) (Bettin et al. 2007), and rough-skinned newts (</w:t>
      </w:r>
      <w:r w:rsidR="009B7DF1" w:rsidRPr="009B265E">
        <w:rPr>
          <w:rFonts w:ascii="Helvetica Neue" w:hAnsi="Helvetica Neue" w:cs="Arial"/>
          <w:i/>
          <w:color w:val="000000"/>
        </w:rPr>
        <w:t>Taricha granulosa</w:t>
      </w:r>
      <w:r w:rsidR="009B7DF1">
        <w:rPr>
          <w:rFonts w:ascii="Helvetica Neue" w:hAnsi="Helvetica Neue" w:cs="Arial"/>
          <w:color w:val="000000"/>
        </w:rPr>
        <w:t xml:space="preserve">) (Kuchta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Pfeiller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w:t>
      </w:r>
      <w:r>
        <w:rPr>
          <w:rFonts w:ascii="Helvetica Neue" w:hAnsi="Helvetica Neue" w:cs="Arial"/>
          <w:color w:val="000000"/>
        </w:rPr>
        <w:lastRenderedPageBreak/>
        <w:t>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Quant-iT PicoGreen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(BioTek Instruments)</w:t>
      </w:r>
      <w:r w:rsidR="00F81228">
        <w:rPr>
          <w:rFonts w:ascii="Helvetica Neue" w:hAnsi="Helvetica Neue" w:cs="Arial"/>
          <w:iCs/>
          <w:color w:val="000000"/>
        </w:rPr>
        <w:t xml:space="preserve">. Restriction Associated Digest (RAD) </w:t>
      </w:r>
      <w:r w:rsidR="00F81228">
        <w:rPr>
          <w:rFonts w:ascii="Helvetica Neue" w:hAnsi="Helvetica Neue" w:cs="Arial"/>
          <w:iCs/>
          <w:color w:val="000000"/>
        </w:rPr>
        <w:lastRenderedPageBreak/>
        <w:t xml:space="preserve">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SAMtools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r w:rsidR="001F1D1D">
        <w:rPr>
          <w:rFonts w:ascii="Helvetica Neue" w:hAnsi="Helvetica Neue" w:cs="Arial"/>
          <w:iCs/>
          <w:color w:val="000000"/>
        </w:rPr>
        <w:t xml:space="preserve">SAMtools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paralogous sites using the ngsParalog tool by removing all sites within a kilobase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Het/Hom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56D5AB28"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 xml:space="preserve">Heterozygote/Homozygote ratio per individual (Het/Hom),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snpR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8C5A2F">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paralog filters without removing non-paralogous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Componenet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NGSadmix</w:t>
      </w:r>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 xml:space="preserve">(Jakobsson &amp; </w:t>
      </w:r>
      <w:r w:rsidR="000C4EA1" w:rsidRPr="00621411">
        <w:rPr>
          <w:rFonts w:ascii="Helvetica Neue" w:hAnsi="Helvetica Neue" w:cs="Arial"/>
          <w:iCs/>
          <w:noProof/>
          <w:color w:val="000000"/>
        </w:rPr>
        <w:lastRenderedPageBreak/>
        <w:t>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pophelper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snpR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1DD91EF3"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δaδi (dadi)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r w:rsidR="00350442">
        <w:rPr>
          <w:rFonts w:ascii="Helvetica Neue" w:eastAsia="Times New Roman" w:hAnsi="Helvetica Neue" w:cs="Times New Roman"/>
          <w:i/>
          <w:iCs/>
        </w:rPr>
        <w:t>dadi_pipeline</w:t>
      </w:r>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Portik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xml:space="preserve">. </w:t>
      </w:r>
      <w:r w:rsidR="00F4022E">
        <w:rPr>
          <w:rFonts w:ascii="Helvetica Neue" w:eastAsia="Times New Roman" w:hAnsi="Helvetica Neue" w:cs="Times New Roman"/>
        </w:rPr>
        <w:t>Individual optimization runs were killed if they took longer than 48hrs to complete, since these runs tended to proceed to take far longer to finish. Most runs completed in under 48hrs</w:t>
      </w:r>
      <w:r w:rsidR="008C5A2F">
        <w:rPr>
          <w:rFonts w:ascii="Helvetica Neue" w:eastAsia="Times New Roman" w:hAnsi="Helvetica Neue" w:cs="Times New Roman"/>
        </w:rPr>
        <w:t xml:space="preserve"> </w:t>
      </w:r>
      <w:r w:rsidR="00F4022E">
        <w:rPr>
          <w:rFonts w:ascii="Helvetica Neue" w:eastAsia="Times New Roman" w:hAnsi="Helvetica Neue" w:cs="Times New Roman"/>
        </w:rPr>
        <w:t xml:space="preserve">and are included in the results. </w:t>
      </w:r>
      <w:r w:rsidR="00D80EA2">
        <w:rPr>
          <w:rFonts w:ascii="Helvetica Neue" w:eastAsia="Times New Roman" w:hAnsi="Helvetica Neue" w:cs="Times New Roman"/>
        </w:rPr>
        <w:t xml:space="preserve">To extract meaningful parameter units from the results, we assumed </w:t>
      </w:r>
      <w:r w:rsidR="008C5A2F">
        <w:rPr>
          <w:rFonts w:ascii="Helvetica Neue" w:eastAsia="Times New Roman" w:hAnsi="Helvetica Neue" w:cs="Times New Roman"/>
        </w:rPr>
        <w:t xml:space="preserve">0.3 years per generation </w:t>
      </w:r>
      <w:r w:rsidR="00D80EA2">
        <w:rPr>
          <w:rFonts w:ascii="Helvetica Neue" w:eastAsia="Times New Roman" w:hAnsi="Helvetica Neue" w:cs="Times New Roman"/>
        </w:rPr>
        <w:t xml:space="preserve">and used the per-base mutation rate of  </w:t>
      </w:r>
      <w:r w:rsidR="008C5A2F">
        <w:rPr>
          <w:rFonts w:ascii="Helvetica Neue" w:eastAsia="Times New Roman" w:hAnsi="Helvetica Neue" w:cs="Times New Roman"/>
        </w:rPr>
        <w:t>8.4</w:t>
      </w:r>
      <w:r w:rsidR="00D80EA2">
        <w:rPr>
          <w:rFonts w:ascii="Helvetica Neue" w:eastAsia="Times New Roman" w:hAnsi="Helvetica Neue" w:cs="Times New Roman"/>
        </w:rPr>
        <w:t>x10</w:t>
      </w:r>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w:t>
      </w:r>
      <w:r w:rsidR="008C5A2F">
        <w:rPr>
          <w:rFonts w:ascii="Helvetica Neue" w:eastAsia="Times New Roman" w:hAnsi="Helvetica Neue" w:cs="Times New Roman"/>
        </w:rPr>
        <w:t xml:space="preserve">from </w:t>
      </w:r>
      <w:r w:rsidR="008C5A2F">
        <w:rPr>
          <w:rFonts w:ascii="Helvetica Neue" w:eastAsia="Times New Roman" w:hAnsi="Helvetica Neue" w:cs="Times New Roman"/>
          <w:i/>
          <w:iCs/>
        </w:rPr>
        <w:t xml:space="preserve">Drosophila melanogaster </w:t>
      </w:r>
      <w:r w:rsidR="008C5A2F">
        <w:rPr>
          <w:rFonts w:ascii="Helvetica Neue" w:eastAsia="Times New Roman" w:hAnsi="Helvetica Neue" w:cs="Times New Roman"/>
          <w:i/>
          <w:iCs/>
        </w:rPr>
        <w:fldChar w:fldCharType="begin" w:fldLock="1"/>
      </w:r>
      <w:r w:rsidR="008C5A2F">
        <w:rPr>
          <w:rFonts w:ascii="Helvetica Neue" w:eastAsia="Times New Roman" w:hAnsi="Helvetica Neue" w:cs="Times New Roman"/>
          <w:i/>
          <w:iCs/>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8C5A2F">
        <w:rPr>
          <w:rFonts w:ascii="Helvetica Neue" w:eastAsia="Times New Roman" w:hAnsi="Helvetica Neue" w:cs="Times New Roman"/>
          <w:i/>
          <w:iCs/>
        </w:rPr>
        <w:fldChar w:fldCharType="separate"/>
      </w:r>
      <w:r w:rsidR="008C5A2F" w:rsidRPr="008C5A2F">
        <w:rPr>
          <w:rFonts w:ascii="Helvetica Neue" w:eastAsia="Times New Roman" w:hAnsi="Helvetica Neue" w:cs="Times New Roman"/>
          <w:iCs/>
          <w:noProof/>
        </w:rPr>
        <w:t>(Haag-Liautard et al., 2007)</w:t>
      </w:r>
      <w:r w:rsidR="008C5A2F">
        <w:rPr>
          <w:rFonts w:ascii="Helvetica Neue" w:eastAsia="Times New Roman" w:hAnsi="Helvetica Neue" w:cs="Times New Roman"/>
          <w:i/>
          <w:iCs/>
        </w:rPr>
        <w:fldChar w:fldCharType="end"/>
      </w:r>
      <w:r w:rsidR="008C5A2F">
        <w:rPr>
          <w:rFonts w:ascii="Helvetica Neue" w:eastAsia="Times New Roman" w:hAnsi="Helvetica Neue" w:cs="Times New Roman"/>
        </w:rPr>
        <w:t xml:space="preserve">. These values match those used by </w:t>
      </w:r>
      <w:r w:rsidR="008C5A2F">
        <w:rPr>
          <w:rFonts w:ascii="Helvetica Neue" w:eastAsia="Times New Roman" w:hAnsi="Helvetica Neue" w:cs="Times New Roman"/>
        </w:rPr>
        <w:fldChar w:fldCharType="begin" w:fldLock="1"/>
      </w:r>
      <w:r w:rsidR="000D6C26">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8C5A2F">
        <w:rPr>
          <w:rFonts w:ascii="Helvetica Neue" w:eastAsia="Times New Roman" w:hAnsi="Helvetica Neue" w:cs="Times New Roman"/>
          <w:noProof/>
        </w:rPr>
        <w:t>Zhan et al.</w:t>
      </w:r>
      <w:r w:rsidR="008C5A2F">
        <w:rPr>
          <w:rFonts w:ascii="Helvetica Neue" w:eastAsia="Times New Roman" w:hAnsi="Helvetica Neue" w:cs="Times New Roman"/>
          <w:noProof/>
        </w:rPr>
        <w:t xml:space="preserve"> (</w:t>
      </w:r>
      <w:r w:rsidR="008C5A2F" w:rsidRPr="008C5A2F">
        <w:rPr>
          <w:rFonts w:ascii="Helvetica Neue" w:eastAsia="Times New Roman" w:hAnsi="Helvetica Neue" w:cs="Times New Roman"/>
          <w:noProof/>
        </w:rPr>
        <w:t>2014)</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Using a possibly more realistic generation time of roughly 7 generations per year results in more recent divergence times, and using the slower mutation rate reported for the more closely related </w:t>
      </w:r>
      <w:r w:rsidR="008C5A2F">
        <w:rPr>
          <w:rFonts w:ascii="Helvetica Neue" w:eastAsia="Times New Roman" w:hAnsi="Helvetica Neue" w:cs="Times New Roman"/>
          <w:i/>
          <w:iCs/>
        </w:rPr>
        <w:t xml:space="preserve">Heliconius melpomene </w:t>
      </w:r>
      <w:r w:rsidR="008C5A2F">
        <w:rPr>
          <w:rFonts w:ascii="Helvetica Neue" w:eastAsia="Times New Roman" w:hAnsi="Helvetica Neue" w:cs="Times New Roman"/>
        </w:rPr>
        <w:t>of 2.9x10</w:t>
      </w:r>
      <w:r w:rsidR="008C5A2F">
        <w:rPr>
          <w:rFonts w:ascii="Helvetica Neue" w:eastAsia="Times New Roman" w:hAnsi="Helvetica Neue" w:cs="Times New Roman"/>
          <w:vertAlign w:val="superscript"/>
        </w:rPr>
        <w:t>-9</w:t>
      </w:r>
      <w:r w:rsidR="008C5A2F">
        <w:rPr>
          <w:rFonts w:ascii="Helvetica Neue" w:eastAsia="Times New Roman" w:hAnsi="Helvetica Neue" w:cs="Times New Roman"/>
        </w:rPr>
        <w:t xml:space="preserve"> </w:t>
      </w:r>
      <w:r w:rsidR="008C5A2F">
        <w:rPr>
          <w:rFonts w:ascii="Helvetica Neue" w:eastAsia="Times New Roman" w:hAnsi="Helvetica Neue" w:cs="Times New Roman"/>
        </w:rPr>
        <w:fldChar w:fldCharType="begin" w:fldLock="1"/>
      </w:r>
      <w:r w:rsidR="008C5A2F">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D80EA2">
        <w:rPr>
          <w:rFonts w:ascii="Helvetica Neue" w:eastAsia="Times New Roman" w:hAnsi="Helvetica Neue" w:cs="Times New Roman"/>
          <w:noProof/>
        </w:rPr>
        <w:t>(Keightley et al., 2015)</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results in large effective size estimates and more distant divergence times, for a net result of slightly more distant divergence times and larger effective sizes, but qualitatively similar results</w:t>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582076B4"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w:t>
      </w:r>
      <w:r>
        <w:rPr>
          <w:rFonts w:ascii="Helvetica Neue" w:hAnsi="Helvetica Neue" w:cs="Arial"/>
          <w:color w:val="000000"/>
        </w:rPr>
        <w:lastRenderedPageBreak/>
        <w:t>model is</w:t>
      </w:r>
      <w:r w:rsidR="00DD4E8A">
        <w:rPr>
          <w:rFonts w:ascii="Helvetica Neue" w:hAnsi="Helvetica Neue" w:cs="Arial"/>
          <w:color w:val="000000"/>
        </w:rPr>
        <w:t xml:space="preserve"> an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C730298"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snpR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We created t</w:t>
      </w:r>
      <w:r>
        <w:rPr>
          <w:rFonts w:ascii="Helvetica Neue" w:eastAsia="Times New Roman" w:hAnsi="Helvetica Neue" w:cs="Times New Roman"/>
        </w:rPr>
        <w:t xml:space="preserve">he polarized site-frequency spectra used in these calculations using the dadi dataset described above </w:t>
      </w:r>
      <w:r w:rsidR="00894E0B">
        <w:rPr>
          <w:rFonts w:ascii="Helvetica Neue" w:eastAsia="Times New Roman" w:hAnsi="Helvetica Neue" w:cs="Times New Roman"/>
        </w:rPr>
        <w:t xml:space="preserve">by projecting populations down to ten gene copies each </w:t>
      </w:r>
      <w:r>
        <w:rPr>
          <w:rFonts w:ascii="Helvetica Neue" w:eastAsia="Times New Roman" w:hAnsi="Helvetica Neue" w:cs="Times New Roman"/>
        </w:rPr>
        <w:t xml:space="preserve">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snpR (Hemstrom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894E0B">
        <w:rPr>
          <w:rFonts w:ascii="Helvetica Neue" w:eastAsia="Times New Roman" w:hAnsi="Helvetica Neue" w:cs="Times New Roman"/>
        </w:rPr>
        <w:t xml:space="preserve">Using 10 gene copies tended to produce the highest number of maintained SNPs in the resulting spectra.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Danaus erippus</w:t>
      </w:r>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F20BB21" w:rsidR="00F8441E" w:rsidRPr="007209A4"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536404" w:rsidRPr="00536404">
        <w:rPr>
          <w:rFonts w:ascii="Helvetica Neue" w:hAnsi="Helvetica Neue" w:cs="Arial"/>
          <w:color w:val="000000"/>
          <w:highlight w:val="yellow"/>
        </w:rPr>
        <w:t>Figure X</w:t>
      </w:r>
      <w:r>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xml:space="preserve">, and Het/Hom),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see Table XXX</w:t>
      </w:r>
      <w:r w:rsidR="007209A4">
        <w:rPr>
          <w:rFonts w:ascii="Helvetica Neue" w:hAnsi="Helvetica Neue" w:cs="Arial"/>
          <w:color w:val="000000"/>
        </w:rPr>
        <w:t>).</w:t>
      </w:r>
    </w:p>
    <w:p w14:paraId="0B23AFFD" w14:textId="5E2F6FD4"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r w:rsidR="00621411">
        <w:rPr>
          <w:rFonts w:ascii="Helvetica Neue" w:hAnsi="Helvetica Neue" w:cs="Arial"/>
          <w:color w:val="000000"/>
        </w:rPr>
        <w:t>NGSrelate</w:t>
      </w:r>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Until k = 6 Hawaii is assigned to a unique cluster; until then,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w:t>
      </w:r>
      <w:r w:rsidR="00536404">
        <w:rPr>
          <w:rFonts w:ascii="Helvetica Neue" w:hAnsi="Helvetica Neue" w:cs="Arial"/>
          <w:color w:val="000000"/>
        </w:rPr>
        <w:lastRenderedPageBreak/>
        <w:t xml:space="preserve">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r w:rsidR="00FB074A" w:rsidRPr="00FB074A">
        <w:rPr>
          <w:rFonts w:ascii="Helvetica Neue" w:hAnsi="Helvetica Neue" w:cs="Arial"/>
          <w:i/>
          <w:color w:val="000000"/>
        </w:rPr>
        <w:t>three epoch</w:t>
      </w:r>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unsampled population in our data, </w:t>
      </w:r>
      <w:r w:rsidR="009B2AE0">
        <w:rPr>
          <w:rFonts w:ascii="Helvetica Neue" w:hAnsi="Helvetica Neue" w:cs="Arial"/>
          <w:color w:val="000000"/>
        </w:rPr>
        <w:lastRenderedPageBreak/>
        <w:t>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779B349D"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species (</w:t>
      </w:r>
      <w:r w:rsidR="00873DA2" w:rsidRPr="00FD18CC">
        <w:rPr>
          <w:rFonts w:ascii="Helvetica Neue" w:hAnsi="Helvetica Neue" w:cs="Arial"/>
          <w:color w:val="000000"/>
          <w:highlight w:val="yellow"/>
        </w:rPr>
        <w:t xml:space="preserve">references from bats, birds, </w:t>
      </w:r>
      <w:r w:rsidR="00FD18CC" w:rsidRPr="00A53C00">
        <w:rPr>
          <w:rFonts w:ascii="Helvetica Neue" w:hAnsi="Helvetica Neue" w:cs="Arial"/>
          <w:color w:val="000000"/>
          <w:highlight w:val="yellow"/>
        </w:rPr>
        <w:t>eels</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 xml:space="preserve">Likewise, within the Australian continent, samples from New South Wales and Victoria grouped with samples from Queensland. This result is consistent with </w:t>
      </w:r>
      <w:r w:rsidR="00E46C9F">
        <w:rPr>
          <w:rFonts w:ascii="Helvetica Neue" w:hAnsi="Helvetica Neue" w:cs="Arial"/>
          <w:color w:val="000000"/>
        </w:rPr>
        <w:lastRenderedPageBreak/>
        <w:t>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islands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Freedman et al. 2018, Hemstrom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5604E504" w14:textId="728A2C84" w:rsidR="00B8273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for </w:t>
      </w:r>
      <w:r w:rsidR="00B82734">
        <w:rPr>
          <w:rFonts w:ascii="Helvetica Neue" w:hAnsi="Helvetica Neue" w:cs="Arial"/>
          <w:color w:val="000000"/>
        </w:rPr>
        <w:t>two</w:t>
      </w:r>
      <w:r w:rsidR="00063421">
        <w:rPr>
          <w:rFonts w:ascii="Helvetica Neue" w:hAnsi="Helvetica Neue" w:cs="Arial"/>
          <w:color w:val="000000"/>
        </w:rPr>
        <w:t xml:space="preserve"> reasons: (1) the demographic scenario that it specifies—recent demographic expansion in the ancestral North American population prior to expansion—has empirical support from other studies (Zhan et al. 2014, Pfeiller et al. 2016) and accords with our understanding of past changes in climate</w:t>
      </w:r>
      <w:r w:rsidR="00B82734">
        <w:rPr>
          <w:rFonts w:ascii="Helvetica Neue" w:hAnsi="Helvetica Neue" w:cs="Arial"/>
          <w:color w:val="000000"/>
        </w:rPr>
        <w:t>, and</w:t>
      </w:r>
      <w:r w:rsidR="00063421">
        <w:rPr>
          <w:rFonts w:ascii="Helvetica Neue" w:hAnsi="Helvetica Neue" w:cs="Arial"/>
          <w:color w:val="000000"/>
        </w:rPr>
        <w:t xml:space="preserve"> (</w:t>
      </w:r>
      <w:r w:rsidR="00B82734">
        <w:rPr>
          <w:rFonts w:ascii="Helvetica Neue" w:hAnsi="Helvetica Neue" w:cs="Arial"/>
          <w:color w:val="000000"/>
        </w:rPr>
        <w:t>2</w:t>
      </w:r>
      <w:r w:rsidR="00063421">
        <w:rPr>
          <w:rFonts w:ascii="Helvetica Neue" w:hAnsi="Helvetica Neue" w:cs="Arial"/>
          <w:color w:val="000000"/>
        </w:rPr>
        <w:t>) this model structure produces parameter estimates that match our prior understanding for how and when monarch range expansion may have occurred.</w:t>
      </w:r>
      <w:r w:rsidR="000A25FC">
        <w:rPr>
          <w:rFonts w:ascii="Helvetica Neue" w:hAnsi="Helvetica Neue" w:cs="Arial"/>
          <w:color w:val="000000"/>
        </w:rPr>
        <w:t xml:space="preserve"> The latter point is likely due to the former: because a North American population expansion is not allowed until after the founding of Hawaii in the </w:t>
      </w:r>
      <w:r w:rsidR="000A25FC">
        <w:rPr>
          <w:rFonts w:ascii="Helvetica Neue" w:hAnsi="Helvetica Neue" w:cs="Arial"/>
          <w:i/>
          <w:iCs/>
          <w:color w:val="000000"/>
        </w:rPr>
        <w:t>found and grow</w:t>
      </w:r>
      <w:r w:rsidR="000A25FC">
        <w:rPr>
          <w:rFonts w:ascii="Helvetica Neue" w:hAnsi="Helvetica Neue" w:cs="Arial"/>
          <w:color w:val="000000"/>
        </w:rPr>
        <w:t xml:space="preserve"> model, the model forces an ancient founding of the Hawaiian population in o</w:t>
      </w:r>
      <w:r w:rsidR="004C52F5">
        <w:rPr>
          <w:rFonts w:ascii="Helvetica Neue" w:hAnsi="Helvetica Neue" w:cs="Arial"/>
          <w:color w:val="000000"/>
        </w:rPr>
        <w:t>rder to allow for the ancient growth of the North American population.</w:t>
      </w:r>
      <w:r w:rsidR="00063421">
        <w:rPr>
          <w:rFonts w:ascii="Helvetica Neue" w:hAnsi="Helvetica Neue" w:cs="Arial"/>
          <w:color w:val="000000"/>
        </w:rPr>
        <w:t xml:space="preserve"> As such, we focus our discussion on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w:t>
      </w:r>
    </w:p>
    <w:p w14:paraId="530324DE" w14:textId="0119A144" w:rsidR="00171572" w:rsidRDefault="00B82734" w:rsidP="00B82734">
      <w:pPr>
        <w:ind w:firstLine="720"/>
        <w:jc w:val="both"/>
        <w:rPr>
          <w:rFonts w:ascii="Helvetica Neue" w:hAnsi="Helvetica Neue" w:cs="Arial"/>
          <w:color w:val="000000"/>
        </w:rPr>
      </w:pPr>
      <w:r>
        <w:rPr>
          <w:rFonts w:ascii="Helvetica Neue" w:hAnsi="Helvetica Neue" w:cs="Arial"/>
          <w:color w:val="000000"/>
        </w:rPr>
        <w:t>In general</w:t>
      </w:r>
      <w:r w:rsidR="000A25FC">
        <w:rPr>
          <w:rFonts w:ascii="Helvetica Neue" w:hAnsi="Helvetica Neue" w:cs="Arial"/>
          <w:color w:val="000000"/>
        </w:rPr>
        <w:t>,</w:t>
      </w:r>
      <w:r>
        <w:rPr>
          <w:rFonts w:ascii="Helvetica Neue" w:hAnsi="Helvetica Neue" w:cs="Arial"/>
          <w:color w:val="000000"/>
        </w:rPr>
        <w:t xml:space="preserve"> our demographic results do not exclude a recent,</w:t>
      </w:r>
      <w:r w:rsidR="00063421">
        <w:rPr>
          <w:rFonts w:ascii="Helvetica Neue" w:hAnsi="Helvetica Neue" w:cs="Arial"/>
          <w:color w:val="000000"/>
        </w:rPr>
        <w:t xml:space="preserve"> </w:t>
      </w:r>
      <w:r>
        <w:rPr>
          <w:rFonts w:ascii="Helvetica Neue" w:hAnsi="Helvetica Neue" w:cs="Arial"/>
          <w:color w:val="000000"/>
        </w:rPr>
        <w:t xml:space="preserve">founding of the </w:t>
      </w:r>
      <w:r w:rsidR="00063421">
        <w:rPr>
          <w:rFonts w:ascii="Helvetica Neue" w:hAnsi="Helvetica Neue" w:cs="Arial"/>
          <w:color w:val="000000"/>
        </w:rPr>
        <w:t>Hawaii</w:t>
      </w:r>
      <w:r>
        <w:rPr>
          <w:rFonts w:ascii="Helvetica Neue" w:hAnsi="Helvetica Neue" w:cs="Arial"/>
          <w:color w:val="000000"/>
        </w:rPr>
        <w:t xml:space="preserve">an population </w:t>
      </w:r>
      <w:r w:rsidR="004C52F5">
        <w:rPr>
          <w:rFonts w:ascii="Helvetica Neue" w:hAnsi="Helvetica Neue" w:cs="Arial"/>
          <w:color w:val="000000"/>
        </w:rPr>
        <w:t>by</w:t>
      </w:r>
      <w:r>
        <w:rPr>
          <w:rFonts w:ascii="Helvetica Neue" w:hAnsi="Helvetica Neue" w:cs="Arial"/>
          <w:color w:val="000000"/>
        </w:rPr>
        <w:t xml:space="preserve"> North American monarchs</w:t>
      </w:r>
      <w:r w:rsidR="00063421">
        <w:rPr>
          <w:rFonts w:ascii="Helvetica Neue" w:hAnsi="Helvetica Neue" w:cs="Arial"/>
          <w:color w:val="000000"/>
        </w:rPr>
        <w:t xml:space="preserve"> (Fig </w:t>
      </w:r>
      <w:r w:rsidR="00F3704A">
        <w:rPr>
          <w:rFonts w:ascii="Helvetica Neue" w:hAnsi="Helvetica Neue" w:cs="Arial"/>
          <w:color w:val="000000"/>
        </w:rPr>
        <w:t>3d)</w:t>
      </w:r>
      <w:r>
        <w:rPr>
          <w:rFonts w:ascii="Helvetica Neue" w:hAnsi="Helvetica Neue" w:cs="Arial"/>
          <w:color w:val="000000"/>
        </w:rPr>
        <w:t>.</w:t>
      </w:r>
      <w:r w:rsidR="00063421">
        <w:rPr>
          <w:rFonts w:ascii="Helvetica Neue" w:hAnsi="Helvetica Neue" w:cs="Arial"/>
          <w:color w:val="000000"/>
        </w:rPr>
        <w:t xml:space="preserve"> </w:t>
      </w:r>
      <w:r w:rsidR="000A25FC">
        <w:rPr>
          <w:rFonts w:ascii="Helvetica Neue" w:hAnsi="Helvetica Neue" w:cs="Arial"/>
          <w:color w:val="000000"/>
        </w:rPr>
        <w:t xml:space="preserve">While our model optimizations </w:t>
      </w:r>
      <w:r w:rsidR="000A25FC">
        <w:rPr>
          <w:rFonts w:ascii="Helvetica Neue" w:hAnsi="Helvetica Neue" w:cs="Arial"/>
          <w:color w:val="000000"/>
        </w:rPr>
        <w:lastRenderedPageBreak/>
        <w:t xml:space="preserve">span several orders of magnitude for both of these parameters, a substantial portion of the iterations settled on introductions less than 200 years ago. </w:t>
      </w:r>
      <w:r w:rsidR="004C52F5">
        <w:rPr>
          <w:rFonts w:ascii="Helvetica Neue" w:hAnsi="Helvetica Neue" w:cs="Arial"/>
          <w:color w:val="000000"/>
        </w:rPr>
        <w:t>Since the earliest historical records of monarchs on Hawaii date to roughly 200 years ago, we are inclined to believe the results of these iterations over those with longer estimated divergence times. That the</w:t>
      </w:r>
      <w:r w:rsidR="00171572">
        <w:rPr>
          <w:rFonts w:ascii="Helvetica Neue" w:hAnsi="Helvetica Neue" w:cs="Arial"/>
          <w:color w:val="000000"/>
        </w:rPr>
        <w:t xml:space="preserve"> </w:t>
      </w:r>
      <w:r w:rsidR="000A25FC">
        <w:rPr>
          <w:rFonts w:ascii="Helvetica Neue" w:hAnsi="Helvetica Neue" w:cs="Arial"/>
          <w:color w:val="000000"/>
        </w:rPr>
        <w:t xml:space="preserve">presence of </w:t>
      </w:r>
      <w:r w:rsidR="00171572">
        <w:rPr>
          <w:rFonts w:ascii="Helvetica Neue" w:hAnsi="Helvetica Neue" w:cs="Arial"/>
          <w:color w:val="000000"/>
        </w:rPr>
        <w:t>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w:t>
      </w:r>
      <w:r w:rsidR="000A25FC">
        <w:rPr>
          <w:rFonts w:ascii="Helvetica Neue" w:hAnsi="Helvetica Neue" w:cs="Arial"/>
          <w:color w:val="000000"/>
        </w:rPr>
        <w:t>on Hawaii is</w:t>
      </w:r>
      <w:r w:rsidR="00171572">
        <w:rPr>
          <w:rFonts w:ascii="Helvetica Neue" w:hAnsi="Helvetica Neue" w:cs="Arial"/>
          <w:color w:val="000000"/>
        </w:rPr>
        <w:t xml:space="preserve"> almost certainly</w:t>
      </w:r>
      <w:r w:rsidR="000A25FC">
        <w:rPr>
          <w:rFonts w:ascii="Helvetica Neue" w:hAnsi="Helvetica Neue" w:cs="Arial"/>
          <w:color w:val="000000"/>
        </w:rPr>
        <w:t xml:space="preserve"> due</w:t>
      </w:r>
      <w:r w:rsidR="00171572">
        <w:rPr>
          <w:rFonts w:ascii="Helvetica Neue" w:hAnsi="Helvetica Neue" w:cs="Arial"/>
          <w:color w:val="000000"/>
        </w:rPr>
        <w:t xml:space="preserve">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0A25FC">
        <w:rPr>
          <w:rFonts w:ascii="Helvetica Neue" w:hAnsi="Helvetica Neue" w:cs="Arial"/>
          <w:color w:val="000000"/>
        </w:rPr>
        <w:t xml:space="preserve"> also suggests a recent monarch establishment</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Tenger-Trolander,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(Tenger-Trolander et al. 2019).</w:t>
      </w:r>
      <w:r w:rsidR="004C52F5" w:rsidRPr="004C52F5">
        <w:rPr>
          <w:rFonts w:ascii="Helvetica Neue" w:hAnsi="Helvetica Neue" w:cs="Arial"/>
          <w:color w:val="000000"/>
        </w:rPr>
        <w:t xml:space="preserve"> </w:t>
      </w:r>
      <w:r w:rsidR="004C52F5">
        <w:rPr>
          <w:rFonts w:ascii="Helvetica Neue" w:hAnsi="Helvetica Neue" w:cs="Arial"/>
          <w:color w:val="000000"/>
        </w:rPr>
        <w:t xml:space="preserve">Given this, </w:t>
      </w:r>
      <w:commentRangeStart w:id="0"/>
      <w:r w:rsidR="004C52F5">
        <w:rPr>
          <w:rFonts w:ascii="Helvetica Neue" w:hAnsi="Helvetica Neue" w:cs="Arial"/>
          <w:color w:val="000000"/>
        </w:rPr>
        <w:t>along with phenotypic evidence for contemporary differentiation between Pacific and North American populations (Freedman et al., in review),</w:t>
      </w:r>
      <w:commentRangeEnd w:id="0"/>
      <w:r w:rsidR="004C52F5">
        <w:rPr>
          <w:rStyle w:val="CommentReference"/>
        </w:rPr>
        <w:commentReference w:id="0"/>
      </w:r>
      <w:r w:rsidR="004C52F5">
        <w:rPr>
          <w:rFonts w:ascii="Helvetica Neue" w:hAnsi="Helvetica Neue" w:cs="Arial"/>
          <w:color w:val="000000"/>
        </w:rPr>
        <w:t xml:space="preserve"> we suggest accepting the historical records to infer the approximate establishment timing for Pacific populations.</w:t>
      </w:r>
      <w:r w:rsidR="000D6C26">
        <w:rPr>
          <w:rFonts w:ascii="Helvetica Neue" w:hAnsi="Helvetica Neue" w:cs="Arial"/>
          <w:color w:val="000000"/>
        </w:rPr>
        <w:t xml:space="preserve"> Interestingly, our re-implementation of the model used by </w:t>
      </w:r>
      <w:r w:rsidR="000D6C26">
        <w:rPr>
          <w:rFonts w:ascii="Helvetica Neue" w:hAnsi="Helvetica Neue" w:cs="Arial"/>
          <w:color w:val="000000"/>
        </w:rPr>
        <w:fldChar w:fldCharType="begin" w:fldLock="1"/>
      </w:r>
      <w:r w:rsidR="000D6C26">
        <w:rPr>
          <w:rFonts w:ascii="Helvetica Neue" w:hAnsi="Helvetica Neue" w:cs="Arial"/>
          <w:color w:val="000000"/>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2014)"},"properties":{"noteIndex":0},"schema":"https://github.com/citation-style-language/schema/raw/master/csl-citation.json"}</w:instrText>
      </w:r>
      <w:r w:rsidR="000D6C26">
        <w:rPr>
          <w:rFonts w:ascii="Helvetica Neue" w:hAnsi="Helvetica Neue" w:cs="Arial"/>
          <w:color w:val="000000"/>
        </w:rPr>
        <w:fldChar w:fldCharType="separate"/>
      </w:r>
      <w:r w:rsidR="000D6C26" w:rsidRPr="000D6C26">
        <w:rPr>
          <w:rFonts w:ascii="Helvetica Neue" w:hAnsi="Helvetica Neue" w:cs="Arial"/>
          <w:noProof/>
          <w:color w:val="000000"/>
        </w:rPr>
        <w:t>Zhan et al.</w:t>
      </w:r>
      <w:r w:rsidR="000D6C26">
        <w:rPr>
          <w:rFonts w:ascii="Helvetica Neue" w:hAnsi="Helvetica Neue" w:cs="Arial"/>
          <w:noProof/>
          <w:color w:val="000000"/>
        </w:rPr>
        <w:t xml:space="preserve"> (</w:t>
      </w:r>
      <w:r w:rsidR="000D6C26" w:rsidRPr="000D6C26">
        <w:rPr>
          <w:rFonts w:ascii="Helvetica Neue" w:hAnsi="Helvetica Neue" w:cs="Arial"/>
          <w:noProof/>
          <w:color w:val="000000"/>
        </w:rPr>
        <w:t>2014)</w:t>
      </w:r>
      <w:r w:rsidR="000D6C26">
        <w:rPr>
          <w:rFonts w:ascii="Helvetica Neue" w:hAnsi="Helvetica Neue" w:cs="Arial"/>
          <w:color w:val="000000"/>
        </w:rPr>
        <w:fldChar w:fldCharType="end"/>
      </w:r>
      <w:r w:rsidR="000D6C26">
        <w:rPr>
          <w:rFonts w:ascii="Helvetica Neue" w:hAnsi="Helvetica Neue" w:cs="Arial"/>
          <w:color w:val="000000"/>
        </w:rPr>
        <w:t xml:space="preserve"> produced results that were similar to theirs, with the vast majority of model iterations supporting an introduction time of roughly 1000+ years ago (</w:t>
      </w:r>
      <w:r w:rsidR="000D6C26" w:rsidRPr="000D6C26">
        <w:rPr>
          <w:rFonts w:ascii="Helvetica Neue" w:hAnsi="Helvetica Neue" w:cs="Arial"/>
          <w:color w:val="000000"/>
          <w:highlight w:val="yellow"/>
        </w:rPr>
        <w:t>figure SXXX)</w:t>
      </w:r>
      <w:r w:rsidR="000D6C26">
        <w:rPr>
          <w:rFonts w:ascii="Helvetica Neue" w:hAnsi="Helvetica Neue" w:cs="Arial"/>
          <w:color w:val="000000"/>
        </w:rPr>
        <w:t>. This highlights the need to run a range of possible demographic models when attempting to infer demographic history, since failing to account for underlying complexity in population histories can result in very divergent parameter estimates.</w:t>
      </w:r>
      <w:bookmarkStart w:id="1" w:name="_GoBack"/>
      <w:bookmarkEnd w:id="1"/>
    </w:p>
    <w:p w14:paraId="30B44DD2" w14:textId="36417765" w:rsidR="000D6C26"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r w:rsidRPr="00B83B68">
        <w:rPr>
          <w:rFonts w:ascii="Helvetica Neue" w:hAnsi="Helvetica Neue" w:cs="Arial"/>
          <w:color w:val="000000"/>
          <w:highlight w:val="yellow"/>
        </w:rPr>
        <w:t xml:space="preserve">Oberhauser </w:t>
      </w:r>
      <w:r w:rsidR="007D59EC">
        <w:rPr>
          <w:rFonts w:ascii="Helvetica Neue" w:hAnsi="Helvetica Neue" w:cs="Arial"/>
          <w:color w:val="000000"/>
        </w:rPr>
        <w:t>1997</w:t>
      </w:r>
      <w:r>
        <w:rPr>
          <w:rFonts w:ascii="Helvetica Neue" w:hAnsi="Helvetica Neue" w:cs="Arial"/>
          <w:color w:val="000000"/>
        </w:rPr>
        <w:t xml:space="preserve">), </w:t>
      </w:r>
      <w:commentRangeStart w:id="2"/>
      <w:r>
        <w:rPr>
          <w:rFonts w:ascii="Helvetica Neue" w:hAnsi="Helvetica Neue" w:cs="Arial"/>
          <w:color w:val="000000"/>
        </w:rPr>
        <w:t>potentially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2"/>
      <w:r w:rsidR="00547769">
        <w:rPr>
          <w:rStyle w:val="CommentReference"/>
        </w:rPr>
        <w:commentReference w:id="2"/>
      </w:r>
      <w:r w:rsidR="008C4E05">
        <w:rPr>
          <w:rFonts w:ascii="Helvetica Neue" w:hAnsi="Helvetica Neue" w:cs="Arial"/>
          <w:color w:val="000000"/>
        </w:rPr>
        <w:t>.</w:t>
      </w:r>
      <w:r w:rsidR="008F42B9">
        <w:rPr>
          <w:rFonts w:ascii="Helvetica Neue" w:hAnsi="Helvetica Neue" w:cs="Arial"/>
          <w:color w:val="000000"/>
        </w:rPr>
        <w:t xml:space="preserve"> </w:t>
      </w:r>
      <w:r w:rsidR="004C52F5">
        <w:rPr>
          <w:rFonts w:ascii="Helvetica Neue" w:hAnsi="Helvetica Neue" w:cs="Arial"/>
          <w:color w:val="000000"/>
        </w:rPr>
        <w:t>Our model results do provide some support for this, since the model iterations with recent establishments also tended to have smaller establishment population sizes.</w:t>
      </w:r>
    </w:p>
    <w:p w14:paraId="5E0D1F3D" w14:textId="0E55EE6D"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w:t>
      </w:r>
      <w:r w:rsidR="004C52F5">
        <w:rPr>
          <w:rFonts w:ascii="Helvetica Neue" w:hAnsi="Helvetica Neue" w:cs="Arial"/>
          <w:color w:val="000000"/>
        </w:rPr>
        <w:t xml:space="preserve"> and vice versa</w:t>
      </w:r>
      <w:r>
        <w:rPr>
          <w:rFonts w:ascii="Helvetica Neue" w:hAnsi="Helvetica Neue" w:cs="Arial"/>
          <w:color w:val="000000"/>
        </w:rPr>
        <w:t>).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w:t>
      </w:r>
      <w:r>
        <w:rPr>
          <w:rFonts w:ascii="Helvetica Neue" w:hAnsi="Helvetica Neue" w:cs="Arial"/>
          <w:color w:val="000000"/>
        </w:rPr>
        <w:lastRenderedPageBreak/>
        <w:t xml:space="preserve">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North America </w:t>
      </w:r>
      <w:r w:rsidR="008F42B9">
        <w:rPr>
          <w:rFonts w:ascii="Helvetica Neue" w:hAnsi="Helvetica Neue" w:cs="Arial"/>
          <w:color w:val="000000"/>
        </w:rPr>
        <w:t>-</w:t>
      </w:r>
      <w:r w:rsidR="00F3704A">
        <w:rPr>
          <w:rFonts w:ascii="Helvetica Neue" w:hAnsi="Helvetica Neue" w:cs="Arial"/>
          <w:color w:val="000000"/>
        </w:rPr>
        <w:t>&gt; Hawaii movement.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6EF68090" w14:textId="538E4D8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Jeffres,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Bettin, O., Cornejo, C., Edwards, P.J. &amp; Holderegger, R. (2007). Phylogeography of the high alpine plant </w:t>
      </w:r>
      <w:r w:rsidRPr="00D704D0">
        <w:rPr>
          <w:rFonts w:ascii="Helvetica" w:eastAsia="Times New Roman" w:hAnsi="Helvetica" w:cs="Times New Roman"/>
          <w:i/>
        </w:rPr>
        <w:t>Senecio halleri</w:t>
      </w:r>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r w:rsidRPr="007D59EC">
        <w:rPr>
          <w:rFonts w:ascii="Helvetica" w:eastAsia="Times New Roman" w:hAnsi="Helvetica" w:cs="Times New Roman"/>
        </w:rPr>
        <w:t>Dawe, K.L. &amp; Boutin, S. (2016). Climate change is the primary driver of white-tailed deer (</w:t>
      </w:r>
      <w:r w:rsidRPr="007D59EC">
        <w:rPr>
          <w:rFonts w:ascii="Helvetica" w:eastAsia="Times New Roman" w:hAnsi="Helvetica" w:cs="Times New Roman"/>
          <w:i/>
        </w:rPr>
        <w:t>Odocoileus virginianus</w:t>
      </w:r>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r w:rsidRPr="007D59EC">
        <w:rPr>
          <w:rFonts w:ascii="Helvetica" w:eastAsia="Times New Roman" w:hAnsi="Helvetica" w:cs="Times New Roman"/>
        </w:rPr>
        <w:t>,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pophelper: an R package and web app to analyse and visualize population structure. </w:t>
      </w:r>
      <w:r w:rsidRPr="00D704D0">
        <w:rPr>
          <w:rFonts w:ascii="Helvetica" w:eastAsia="Times New Roman" w:hAnsi="Helvetica" w:cs="Times New Roman"/>
          <w:i/>
          <w:iCs/>
        </w:rPr>
        <w:t>Mol. Ecol. Resour.</w:t>
      </w:r>
      <w:r w:rsidRPr="00D704D0">
        <w:rPr>
          <w:rFonts w:ascii="Helvetica" w:eastAsia="Times New Roman" w:hAnsi="Helvetica" w:cs="Times New Roman"/>
        </w:rPr>
        <w:t>,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Biol. J. Linn. Soc. Lond.</w:t>
      </w:r>
      <w:r w:rsidRPr="00D704D0">
        <w:rPr>
          <w:rFonts w:ascii="Helvetica" w:eastAsia="Times New Roman" w:hAnsi="Helvetica" w:cs="Times New Roman"/>
        </w:rPr>
        <w:t>,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Nikula, R. &amp; Roderick, G.K. (2012). Long-distance dispersal: a framework for hypothesis testing. </w:t>
      </w:r>
      <w:r w:rsidRPr="00D704D0">
        <w:rPr>
          <w:rFonts w:ascii="Helvetica" w:eastAsia="Times New Roman" w:hAnsi="Helvetica" w:cs="Times New Roman"/>
          <w:i/>
          <w:iCs/>
        </w:rPr>
        <w:t>Trends Ecol. Evol.</w:t>
      </w:r>
      <w:r w:rsidRPr="00D704D0">
        <w:rPr>
          <w:rFonts w:ascii="Helvetica" w:eastAsia="Times New Roman" w:hAnsi="Helvetica" w:cs="Times New Roman"/>
        </w:rPr>
        <w:t>,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Gutenkunst,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r w:rsidRPr="00D704D0">
        <w:rPr>
          <w:rFonts w:ascii="Helvetica" w:eastAsia="Times New Roman" w:hAnsi="Helvetica" w:cs="Times New Roman"/>
        </w:rPr>
        <w:t>, 5, e1000695.</w:t>
      </w:r>
    </w:p>
    <w:p w14:paraId="5367E9B0" w14:textId="5B97BCC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Helmus, M.R., Mahler, D.L. &amp; Losos, J.B. (2014). Island biogeography of the Anthropocene.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Biol. J. Linn. Soc. Lond.</w:t>
      </w:r>
      <w:r w:rsidRPr="00D704D0">
        <w:rPr>
          <w:rFonts w:ascii="Helvetica" w:eastAsia="Times New Roman" w:hAnsi="Helvetica" w:cs="Times New Roman"/>
        </w:rPr>
        <w:t>,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Biol. J. Linn. Soc. Lond.</w:t>
      </w:r>
      <w:r w:rsidRPr="00D704D0">
        <w:rPr>
          <w:rFonts w:ascii="Helvetica" w:eastAsia="Times New Roman" w:hAnsi="Helvetica" w:cs="Times New Roman"/>
        </w:rPr>
        <w:t>,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r w:rsidRPr="00081A26">
        <w:rPr>
          <w:rFonts w:ascii="Helvetica" w:eastAsia="Times New Roman" w:hAnsi="Helvetica" w:cs="Times New Roman"/>
        </w:rPr>
        <w:t xml:space="preserve">Hulme, P.E., Bacher, S., Kenis, M., Klotz, S., Kühn,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r w:rsidRPr="00D704D0">
        <w:rPr>
          <w:rFonts w:ascii="Helvetica" w:eastAsia="Times New Roman" w:hAnsi="Helvetica" w:cs="Times New Roman"/>
          <w:i/>
          <w:iCs/>
        </w:rPr>
        <w:t xml:space="preserve">Heredity </w:t>
      </w:r>
      <w:r w:rsidRPr="00D704D0">
        <w:rPr>
          <w:rFonts w:ascii="Helvetica" w:eastAsia="Times New Roman" w:hAnsi="Helvetica" w:cs="Times New Roman"/>
        </w:rPr>
        <w:t>,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James, D.G. (1993). Migration biology of the monarch butterfly in Australia. in Malcolm, S.B. &amp; Zalucki, M.P. (eds).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Korneliussen, T.S., Albrechtsen,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Kuchta, S.R. &amp; Tan, A.-M. (2005). Isolation by distance and post-glacial range expansion in the rough-skinned newt, </w:t>
      </w:r>
      <w:r w:rsidRPr="00D704D0">
        <w:rPr>
          <w:rFonts w:ascii="Helvetica" w:eastAsia="Times New Roman" w:hAnsi="Helvetica" w:cs="Times New Roman"/>
          <w:i/>
        </w:rPr>
        <w:t>Taricha granulosa</w:t>
      </w:r>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Handsaker, B., Wysoker, A., Fennell, T., Ruan,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SAMtools.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Drizd, L. &amp; Voorhies, K.J.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r w:rsidRPr="007D59EC">
        <w:rPr>
          <w:rFonts w:ascii="Helvetica" w:eastAsia="Times New Roman" w:hAnsi="Helvetica" w:cs="Times New Roman"/>
        </w:rPr>
        <w:t>Oberhauser,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Paradis, E. &amp; Schliep, K. (2019). ape 5.0: an environment for modern phylogenetics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Yohe,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Slatkin,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Slatkin,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Pfeiler, E., Nazario-Yepiz, N.O., Pérez-Gálvez, F., Chávez-Mora, C.A., Laclette, M.R.L., Rendón-Salinas,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J. Hered.</w:t>
      </w:r>
      <w:r w:rsidRPr="00D704D0">
        <w:rPr>
          <w:rFonts w:ascii="Helvetica" w:eastAsia="Times New Roman" w:hAnsi="Helvetica" w:cs="Times New Roman"/>
        </w:rPr>
        <w:t>,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Altizer,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Bangura, M., Udawatta, M., Kronforst, M.R., Altizer,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Altizer, S., Chamberlain, N.L., Kronforst, M.R. &amp; de Roode J.C. (2015). Unraveling the mysteries of monarch migration and global dispersal through molecular genetic techniques. in Oberhauser, K.S., Nail, K.R. &amp; Altizer, S. (eds).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Cornell University Press, Ithaca, NY, pp.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Portik, D.M., Leaché, A.D., Rivera, D., Barej, M.F., Burger, M., Hirschfeld,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Guineo-Congolian </w:t>
      </w:r>
      <w:r w:rsidRPr="00D704D0">
        <w:rPr>
          <w:rFonts w:ascii="Helvetica" w:eastAsia="Times New Roman" w:hAnsi="Helvetica" w:cs="Times New Roman"/>
        </w:rPr>
        <w:lastRenderedPageBreak/>
        <w:t xml:space="preserve">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Nei, M. (1987). The neighbor-joining method: a new method for reconstructing phylogenetic trees. </w:t>
      </w:r>
      <w:r w:rsidRPr="00D704D0">
        <w:rPr>
          <w:rFonts w:ascii="Helvetica" w:eastAsia="Times New Roman" w:hAnsi="Helvetica" w:cs="Times New Roman"/>
          <w:i/>
          <w:iCs/>
        </w:rPr>
        <w:t>Mol. Biol. Evol.</w:t>
      </w:r>
      <w:r w:rsidRPr="00D704D0">
        <w:rPr>
          <w:rFonts w:ascii="Helvetica" w:eastAsia="Times New Roman" w:hAnsi="Helvetica" w:cs="Times New Roman"/>
        </w:rPr>
        <w:t>,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Shephard,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Biol. J. Linn. Soc. Lond.</w:t>
      </w:r>
      <w:r w:rsidRPr="00D704D0">
        <w:rPr>
          <w:rFonts w:ascii="Helvetica" w:eastAsia="Times New Roman" w:hAnsi="Helvetica" w:cs="Times New Roman"/>
        </w:rPr>
        <w:t>,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Skotte, L., Korneliussen, T.S. &amp; Albrechtsen,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Slatkin, M. &amp; Excoffier,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Tenger-Trolander, A., Lu, W., Noyes, M. &amp; Kronforst,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Scheer, M., Von Kistowski, K.G., Skírnisson,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r w:rsidRPr="00D704D0">
        <w:rPr>
          <w:rFonts w:ascii="Helvetica" w:eastAsia="Times New Roman" w:hAnsi="Helvetica" w:cs="Times New Roman"/>
          <w:i/>
        </w:rPr>
        <w:t>Somateria mollissima</w:t>
      </w:r>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in Zalucki, M.P. &amp; S.B. Malcolm, (eds).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Weir, B.S. &amp; Cockerham,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r w:rsidRPr="00D704D0">
        <w:rPr>
          <w:rFonts w:ascii="Helvetica" w:eastAsia="Times New Roman" w:hAnsi="Helvetica" w:cs="Times New Roman"/>
          <w:i/>
          <w:iCs/>
        </w:rPr>
        <w:t xml:space="preserve">Heredity </w:t>
      </w:r>
      <w:r w:rsidRPr="00D704D0">
        <w:rPr>
          <w:rFonts w:ascii="Helvetica" w:eastAsia="Times New Roman" w:hAnsi="Helvetica" w:cs="Times New Roman"/>
        </w:rPr>
        <w:t>,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Biol. J. Linn. Soc. Lond.</w:t>
      </w:r>
      <w:r w:rsidRPr="00D704D0">
        <w:rPr>
          <w:rFonts w:ascii="Helvetica" w:eastAsia="Times New Roman" w:hAnsi="Helvetica" w:cs="Times New Roman"/>
        </w:rPr>
        <w:t>,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201FAC28" w14:textId="77777777" w:rsidR="0059671D" w:rsidRPr="00D704D0" w:rsidRDefault="0059671D"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Niitepõld, K., Hsu, J., Haeger,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colouration.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1755A5FD" w14:textId="77777777" w:rsidR="004A5E76" w:rsidRPr="00D704D0" w:rsidRDefault="004A5E76" w:rsidP="004A5E76">
      <w:pPr>
        <w:pStyle w:val="ListParagraph"/>
        <w:numPr>
          <w:ilvl w:val="0"/>
          <w:numId w:val="2"/>
        </w:numPr>
        <w:rPr>
          <w:rFonts w:ascii="Helvetica" w:eastAsia="Times New Roman" w:hAnsi="Helvetica" w:cs="Times New Roman"/>
        </w:rPr>
      </w:pPr>
    </w:p>
    <w:p w14:paraId="511AF01C" w14:textId="6566020E" w:rsidR="004A5E76" w:rsidRDefault="004A5E76" w:rsidP="004A5E76">
      <w:pPr>
        <w:rPr>
          <w:rFonts w:ascii="Helvetica Neue" w:hAnsi="Helvetica Neue" w:cs="Arial"/>
          <w:color w:val="000000"/>
        </w:rPr>
      </w:pPr>
      <w:r>
        <w:rPr>
          <w:rFonts w:ascii="Helvetica Neue" w:hAnsi="Helvetica Neue" w:cs="Arial"/>
          <w:color w:val="000000"/>
        </w:rPr>
        <w:br w:type="page"/>
      </w:r>
    </w:p>
    <w:p w14:paraId="17B963A5" w14:textId="77777777" w:rsidR="004A5E76" w:rsidRDefault="004A5E76">
      <w:pPr>
        <w:rPr>
          <w:rFonts w:ascii="Helvetica Neue" w:hAnsi="Helvetica Neue" w:cs="Arial"/>
          <w:color w:val="000000"/>
        </w:rPr>
      </w:pP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Viti Levu</w:t>
            </w:r>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Hemstrom" w:date="2019-11-06T14:46:00Z" w:initials="WH">
    <w:p w14:paraId="7E731E3C" w14:textId="77777777" w:rsidR="004C52F5" w:rsidRDefault="004C52F5" w:rsidP="004C52F5">
      <w:pPr>
        <w:pStyle w:val="CommentText"/>
      </w:pPr>
      <w:r>
        <w:rPr>
          <w:rStyle w:val="CommentReference"/>
        </w:rPr>
        <w:annotationRef/>
      </w:r>
      <w:r>
        <w:t>Could you be a bit more explicit with this part? How does phenotypic divergence suggest a recent establishment?</w:t>
      </w:r>
    </w:p>
  </w:comment>
  <w:comment w:id="2" w:author="William Hemstrom" w:date="2019-11-05T12:44:00Z" w:initials="WH">
    <w:p w14:paraId="7F97D171" w14:textId="77777777" w:rsidR="00547769" w:rsidRDefault="00547769">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547769" w:rsidRDefault="00547769">
      <w:pPr>
        <w:pStyle w:val="CommentText"/>
      </w:pPr>
    </w:p>
    <w:p w14:paraId="68BD914B" w14:textId="5956EEBD" w:rsidR="00547769" w:rsidRDefault="00547769">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w:t>
      </w:r>
      <w:r w:rsidR="00F4022E">
        <w:t xml:space="preserve"> Note that the optimized parameter combinations of establishment time and size are correlated: stronger bottlnecks optimize to more recent introductions over all! </w:t>
      </w:r>
      <w:r>
        <w:t>Basically, our model can’t exclude a recent, small introduction</w:t>
      </w:r>
      <w:r w:rsidR="00F4022E">
        <w:t>, since some runs did optimize to that parameter space with really similar AIC scores to the best scores!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31E3C" w15:done="0"/>
  <w15:commentEx w15:paraId="68BD9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31E3C" w16cid:durableId="216D5B2D"/>
  <w16cid:commentId w16cid:paraId="68BD914B" w16cid:durableId="216BED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73907" w14:textId="77777777" w:rsidR="000B1142" w:rsidRDefault="000B1142" w:rsidP="003B1AAE">
      <w:r>
        <w:separator/>
      </w:r>
    </w:p>
  </w:endnote>
  <w:endnote w:type="continuationSeparator" w:id="0">
    <w:p w14:paraId="72A0BCB5" w14:textId="77777777" w:rsidR="000B1142" w:rsidRDefault="000B1142"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Noteworthy Light">
    <w:charset w:val="00"/>
    <w:family w:val="auto"/>
    <w:pitch w:val="variable"/>
    <w:sig w:usb0="8000006F" w:usb1="08000048" w:usb2="146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4962C" w14:textId="77777777" w:rsidR="000B1142" w:rsidRDefault="000B1142" w:rsidP="003B1AAE">
      <w:r>
        <w:separator/>
      </w:r>
    </w:p>
  </w:footnote>
  <w:footnote w:type="continuationSeparator" w:id="0">
    <w:p w14:paraId="2D96751A" w14:textId="77777777" w:rsidR="000B1142" w:rsidRDefault="000B1142"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63421"/>
    <w:rsid w:val="00081A26"/>
    <w:rsid w:val="000867B1"/>
    <w:rsid w:val="000A25FC"/>
    <w:rsid w:val="000A27A6"/>
    <w:rsid w:val="000B1142"/>
    <w:rsid w:val="000C4EA1"/>
    <w:rsid w:val="000D6C26"/>
    <w:rsid w:val="000F0C5E"/>
    <w:rsid w:val="00106869"/>
    <w:rsid w:val="001222A7"/>
    <w:rsid w:val="00171572"/>
    <w:rsid w:val="00191C48"/>
    <w:rsid w:val="001B063A"/>
    <w:rsid w:val="001F1D1D"/>
    <w:rsid w:val="00207A66"/>
    <w:rsid w:val="00242F9B"/>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2F5"/>
    <w:rsid w:val="004C5A87"/>
    <w:rsid w:val="004C5CDD"/>
    <w:rsid w:val="00512974"/>
    <w:rsid w:val="0052292B"/>
    <w:rsid w:val="00536404"/>
    <w:rsid w:val="00547769"/>
    <w:rsid w:val="00553E1A"/>
    <w:rsid w:val="00590EB4"/>
    <w:rsid w:val="0059671D"/>
    <w:rsid w:val="005A227C"/>
    <w:rsid w:val="00621411"/>
    <w:rsid w:val="00625A53"/>
    <w:rsid w:val="0064060B"/>
    <w:rsid w:val="00646FB0"/>
    <w:rsid w:val="00651F22"/>
    <w:rsid w:val="00652050"/>
    <w:rsid w:val="006A1B71"/>
    <w:rsid w:val="007209A4"/>
    <w:rsid w:val="007851D0"/>
    <w:rsid w:val="007C2C9D"/>
    <w:rsid w:val="007D59EC"/>
    <w:rsid w:val="00846222"/>
    <w:rsid w:val="00873DA2"/>
    <w:rsid w:val="00894E0B"/>
    <w:rsid w:val="008C23FC"/>
    <w:rsid w:val="008C2E8F"/>
    <w:rsid w:val="008C4E05"/>
    <w:rsid w:val="008C5A2F"/>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23719"/>
    <w:rsid w:val="00B33433"/>
    <w:rsid w:val="00B82734"/>
    <w:rsid w:val="00B83B68"/>
    <w:rsid w:val="00B86C53"/>
    <w:rsid w:val="00B91792"/>
    <w:rsid w:val="00BB5658"/>
    <w:rsid w:val="00BC40C3"/>
    <w:rsid w:val="00C37519"/>
    <w:rsid w:val="00C748B1"/>
    <w:rsid w:val="00C91212"/>
    <w:rsid w:val="00D01287"/>
    <w:rsid w:val="00D06EE7"/>
    <w:rsid w:val="00D704D0"/>
    <w:rsid w:val="00D7319C"/>
    <w:rsid w:val="00D80EA2"/>
    <w:rsid w:val="00DD4E8A"/>
    <w:rsid w:val="00E1737F"/>
    <w:rsid w:val="00E302B1"/>
    <w:rsid w:val="00E37B4C"/>
    <w:rsid w:val="00E46C9F"/>
    <w:rsid w:val="00E52322"/>
    <w:rsid w:val="00E70B1E"/>
    <w:rsid w:val="00E77EF4"/>
    <w:rsid w:val="00E85F07"/>
    <w:rsid w:val="00EF22AE"/>
    <w:rsid w:val="00F3704A"/>
    <w:rsid w:val="00F4022E"/>
    <w:rsid w:val="00F81228"/>
    <w:rsid w:val="00F8441E"/>
    <w:rsid w:val="00FA2743"/>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2A2EA226-A0D7-4187-8DFE-D0896D36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B136F-D597-49A9-A4F0-19830563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10371</TotalTime>
  <Pages>16</Pages>
  <Words>15578</Words>
  <Characters>88798</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30</cp:revision>
  <dcterms:created xsi:type="dcterms:W3CDTF">2019-07-22T21:19:00Z</dcterms:created>
  <dcterms:modified xsi:type="dcterms:W3CDTF">2019-11-06T22:59:00Z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