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872E580"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w:t>
      </w:r>
      <w:proofErr w:type="spellStart"/>
      <w:r w:rsidR="00C71837" w:rsidRPr="001A0367">
        <w:rPr>
          <w:rFonts w:ascii="Arial" w:hAnsi="Arial" w:cs="Arial"/>
          <w:sz w:val="22"/>
          <w:szCs w:val="22"/>
        </w:rPr>
        <w:t>ngsParalog</w:t>
      </w:r>
      <w:proofErr w:type="spellEnd"/>
      <w:r w:rsidR="00C71837" w:rsidRPr="001A0367">
        <w:rPr>
          <w:rFonts w:ascii="Arial" w:hAnsi="Arial" w:cs="Arial"/>
          <w:sz w:val="22"/>
          <w:szCs w:val="22"/>
        </w:rPr>
        <w:t xml:space="preserve"> tool by removing all sites within a kilobase of any SNP with a log ratio test statistic of &gt; 10 in any population </w:t>
      </w:r>
      <w:hyperlink r:id="rId11">
        <w:r w:rsidR="00C71837" w:rsidRPr="001A0367">
          <w:rPr>
            <w:rFonts w:ascii="Arial" w:hAnsi="Arial" w:cs="Arial"/>
            <w:color w:val="000000"/>
            <w:sz w:val="22"/>
            <w:szCs w:val="22"/>
          </w:rPr>
          <w:t>(</w:t>
        </w:r>
        <w:proofErr w:type="spellStart"/>
      </w:hyperlink>
      <w:r w:rsidR="00C71837" w:rsidRPr="001A0367">
        <w:rPr>
          <w:rFonts w:ascii="Arial" w:hAnsi="Arial" w:cs="Arial"/>
          <w:color w:val="000000"/>
          <w:sz w:val="22"/>
          <w:szCs w:val="22"/>
        </w:rPr>
        <w:t>Linderoth</w:t>
      </w:r>
      <w:proofErr w:type="spellEnd"/>
      <w:r w:rsidR="00C71837" w:rsidRPr="001A0367">
        <w:rPr>
          <w:rFonts w:ascii="Arial" w:hAnsi="Arial" w:cs="Arial"/>
          <w:color w:val="000000"/>
          <w:sz w:val="22"/>
          <w:szCs w:val="22"/>
        </w:rPr>
        <w:t xml:space="preserve">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lastRenderedPageBreak/>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r w:rsidR="00274D6B">
        <w:t>While we did not use a Hardy-</w:t>
      </w:r>
      <w:proofErr w:type="spellStart"/>
      <w:r w:rsidR="00274D6B">
        <w:t>Weinburg</w:t>
      </w:r>
      <w:proofErr w:type="spellEnd"/>
      <w:r w:rsidR="00274D6B">
        <w:t xml:space="preserve"> </w:t>
      </w:r>
      <w:proofErr w:type="spellStart"/>
      <w:r w:rsidR="00274D6B">
        <w:t>Equlibrium</w:t>
      </w:r>
      <w:proofErr w:type="spellEnd"/>
      <w:r w:rsidR="00274D6B">
        <w:t xml:space="preserve">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F36E7AE"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w:t>
      </w:r>
      <w:r w:rsidRPr="0003273D">
        <w:rPr>
          <w:b/>
          <w:bCs/>
          <w:vertAlign w:val="subscript"/>
        </w:rPr>
        <w:t>ANGSD</w:t>
      </w:r>
      <w:r>
        <w:t xml:space="preserve"> as in dataset 1, but did not call genotypes and instead estimated the likelihoods with a minor allele frequency </w:t>
      </w:r>
      <w:r>
        <w:lastRenderedPageBreak/>
        <w:t>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0DD2993D"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(Hemstrom </w:t>
      </w:r>
      <w:r w:rsidR="00380F5C">
        <w:rPr>
          <w:rFonts w:ascii="Arial" w:hAnsi="Arial" w:cs="Arial"/>
          <w:sz w:val="22"/>
          <w:szCs w:val="22"/>
        </w:rPr>
        <w:t>and Jones 2021</w:t>
      </w:r>
      <w:r w:rsidRPr="001A0367">
        <w:rPr>
          <w:rFonts w:ascii="Arial" w:hAnsi="Arial" w:cs="Arial"/>
          <w:sz w:val="22"/>
          <w:szCs w:val="22"/>
        </w:rPr>
        <w:t xml:space="preserve">) R </w:t>
      </w:r>
      <w:r w:rsidRPr="001A0367">
        <w:rPr>
          <w:rFonts w:ascii="Arial" w:hAnsi="Arial" w:cs="Arial"/>
          <w:sz w:val="22"/>
          <w:szCs w:val="22"/>
        </w:rPr>
        <w:lastRenderedPageBreak/>
        <w:t xml:space="preserve">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(Hemstrom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EFD7D3F"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To describe the patterns of establishment and migration between North America and the Pacific, the demographic reconstruction program </w:t>
      </w:r>
      <w:proofErr w:type="spellStart"/>
      <w:r w:rsidR="000E1B16" w:rsidRPr="0003273D">
        <w:rPr>
          <w:rFonts w:ascii="Arial" w:hAnsi="Arial" w:cs="Arial"/>
          <w:b/>
          <w:bCs/>
          <w:sz w:val="22"/>
          <w:szCs w:val="22"/>
          <w:vertAlign w:val="subscript"/>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w:t>
      </w:r>
      <w:proofErr w:type="spellStart"/>
      <w:r w:rsidR="000E1B16" w:rsidRPr="00FF43D3">
        <w:rPr>
          <w:rFonts w:ascii="Arial" w:hAnsi="Arial" w:cs="Arial"/>
          <w:b/>
          <w:bCs/>
          <w:sz w:val="22"/>
          <w:szCs w:val="22"/>
          <w:vertAlign w:val="subscript"/>
        </w:rPr>
        <w:t>dadi</w:t>
      </w:r>
      <w:proofErr w:type="spellEnd"/>
      <w:r w:rsidR="000E1B16">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 xml:space="preserve">Note that in each of these </w:t>
      </w:r>
      <w:r w:rsidR="00BE6BC8" w:rsidRPr="001A0367">
        <w:rPr>
          <w:rFonts w:ascii="Arial" w:hAnsi="Arial" w:cs="Arial"/>
          <w:sz w:val="22"/>
          <w:szCs w:val="22"/>
          <w:highlight w:val="white"/>
        </w:rPr>
        <w:lastRenderedPageBreak/>
        <w:t>(</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 xml:space="preserve">In order to determine the length of the considered genomic region, we multiplied the total number of bases sequenced after quality filtering (but not </w:t>
      </w:r>
      <w:r w:rsidRPr="001A0367">
        <w:rPr>
          <w:rFonts w:ascii="Arial" w:hAnsi="Arial" w:cs="Arial"/>
          <w:sz w:val="22"/>
          <w:szCs w:val="22"/>
        </w:rPr>
        <w:lastRenderedPageBreak/>
        <w:t>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5385C5F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w:t>
      </w:r>
      <w:proofErr w:type="gramStart"/>
      <w:r w:rsidR="001B6364" w:rsidRPr="001B6364">
        <w:rPr>
          <w:rFonts w:ascii="Arial" w:hAnsi="Arial" w:cs="Arial"/>
          <w:sz w:val="22"/>
          <w:szCs w:val="22"/>
        </w:rPr>
        <w:t>e.g.</w:t>
      </w:r>
      <w:proofErr w:type="gramEnd"/>
      <w:r w:rsidR="001B6364" w:rsidRPr="001B6364">
        <w:rPr>
          <w:rFonts w:ascii="Arial" w:hAnsi="Arial" w:cs="Arial"/>
          <w:sz w:val="22"/>
          <w:szCs w:val="22"/>
        </w:rPr>
        <w:t xml:space="preserve"> Guillot et al., 200</w:t>
      </w:r>
      <w:r w:rsidR="001B6364">
        <w:rPr>
          <w:rFonts w:ascii="Arial" w:hAnsi="Arial" w:cs="Arial"/>
          <w:sz w:val="22"/>
          <w:szCs w:val="22"/>
        </w:rPr>
        <w:t xml:space="preserve">5; </w:t>
      </w:r>
      <w:r w:rsidR="001B6364" w:rsidRPr="001B6364">
        <w:rPr>
          <w:rFonts w:ascii="Arial" w:hAnsi="Arial" w:cs="Arial"/>
          <w:sz w:val="22"/>
          <w:szCs w:val="22"/>
        </w:rPr>
        <w:t xml:space="preserve">Chen et al., </w:t>
      </w:r>
      <w:r w:rsidR="001B6364" w:rsidRPr="001B6364">
        <w:rPr>
          <w:rFonts w:ascii="Arial" w:hAnsi="Arial" w:cs="Arial"/>
          <w:sz w:val="22"/>
          <w:szCs w:val="22"/>
        </w:rPr>
        <w:lastRenderedPageBreak/>
        <w:t>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w:t>
      </w:r>
      <w:r w:rsidR="00385306">
        <w:rPr>
          <w:rFonts w:ascii="Arial" w:hAnsi="Arial" w:cs="Arial"/>
          <w:sz w:val="22"/>
          <w:szCs w:val="22"/>
        </w:rPr>
        <w:t xml:space="preserve"> and </w:t>
      </w:r>
      <w:r w:rsidRPr="001A0367">
        <w:rPr>
          <w:rFonts w:ascii="Arial" w:hAnsi="Arial" w:cs="Arial"/>
          <w:sz w:val="22"/>
          <w:szCs w:val="22"/>
        </w:rPr>
        <w:t>H</w:t>
      </w:r>
      <w:r w:rsidRPr="001A0367">
        <w:rPr>
          <w:rFonts w:ascii="Arial" w:hAnsi="Arial" w:cs="Arial"/>
          <w:sz w:val="22"/>
          <w:szCs w:val="22"/>
          <w:vertAlign w:val="subscript"/>
        </w:rPr>
        <w:t>O</w:t>
      </w:r>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2A2CA17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w:t>
      </w:r>
      <w:r w:rsidR="008101BF">
        <w:rPr>
          <w:rFonts w:ascii="Arial" w:hAnsi="Arial" w:cs="Arial"/>
          <w:sz w:val="22"/>
          <w:szCs w:val="22"/>
        </w:rPr>
        <w:lastRenderedPageBreak/>
        <w:t xml:space="preserve">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F3B2D1A"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6A1104">
        <w:rPr>
          <w:rFonts w:ascii="Arial" w:hAnsi="Arial" w:cs="Arial"/>
          <w:sz w:val="22"/>
          <w:szCs w:val="22"/>
        </w:rPr>
        <w:t>4</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6A1104">
        <w:rPr>
          <w:rFonts w:ascii="Arial" w:hAnsi="Arial" w:cs="Arial"/>
          <w:sz w:val="22"/>
          <w:szCs w:val="22"/>
        </w:rPr>
        <w:t>4</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32D944FB"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w:t>
      </w:r>
      <w:r w:rsidR="003F0723" w:rsidRPr="001A0367">
        <w:rPr>
          <w:rFonts w:ascii="Arial" w:hAnsi="Arial" w:cs="Arial"/>
          <w:sz w:val="22"/>
          <w:szCs w:val="22"/>
        </w:rPr>
        <w:lastRenderedPageBreak/>
        <w:t xml:space="preserve">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r w:rsidR="0045465B" w:rsidRPr="00FF43D3">
        <w:rPr>
          <w:rFonts w:ascii="Arial" w:hAnsi="Arial" w:cs="Arial"/>
          <w:b/>
          <w:bCs/>
          <w:sz w:val="22"/>
          <w:szCs w:val="22"/>
          <w:vertAlign w:val="subscript"/>
        </w:rPr>
        <w:t>dadi</w:t>
      </w:r>
      <w:r w:rsidR="0045465B">
        <w:rPr>
          <w:rFonts w:ascii="Arial" w:hAnsi="Arial" w:cs="Arial"/>
          <w:sz w:val="22"/>
          <w:szCs w:val="22"/>
        </w:rPr>
        <w:t xml:space="preserve">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1560D69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w:t>
      </w:r>
      <w:r w:rsidRPr="001A0367">
        <w:rPr>
          <w:rFonts w:ascii="Arial" w:hAnsi="Arial" w:cs="Arial"/>
          <w:sz w:val="22"/>
          <w:szCs w:val="22"/>
        </w:rPr>
        <w:lastRenderedPageBreak/>
        <w:t xml:space="preserve">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w:t>
      </w:r>
      <w:r w:rsidRPr="001A0367">
        <w:rPr>
          <w:rFonts w:ascii="Arial" w:hAnsi="Arial" w:cs="Arial"/>
          <w:sz w:val="22"/>
          <w:szCs w:val="22"/>
        </w:rPr>
        <w:lastRenderedPageBreak/>
        <w:t xml:space="preserve">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666BEDD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w:t>
      </w:r>
      <w:r w:rsidRPr="001A0367">
        <w:rPr>
          <w:rFonts w:ascii="Arial" w:hAnsi="Arial" w:cs="Arial"/>
          <w:sz w:val="22"/>
          <w:szCs w:val="22"/>
        </w:rPr>
        <w:lastRenderedPageBreak/>
        <w:t xml:space="preserve">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w:t>
      </w:r>
      <w:r w:rsidR="00D255B4">
        <w:rPr>
          <w:rFonts w:ascii="Arial" w:hAnsi="Arial" w:cs="Arial"/>
          <w:sz w:val="22"/>
          <w:szCs w:val="22"/>
        </w:rPr>
        <w:lastRenderedPageBreak/>
        <w:t xml:space="preserve">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w:t>
      </w:r>
      <w:r w:rsidR="00B31C3F">
        <w:rPr>
          <w:rFonts w:ascii="Arial" w:hAnsi="Arial" w:cs="Arial"/>
          <w:sz w:val="22"/>
          <w:szCs w:val="22"/>
        </w:rPr>
        <w:lastRenderedPageBreak/>
        <w:t xml:space="preserve">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w:t>
      </w:r>
      <w:proofErr w:type="spellStart"/>
      <w:r>
        <w:rPr>
          <w:rFonts w:eastAsia="Times New Roman"/>
          <w:b/>
          <w:bCs/>
          <w:lang w:val="en-US"/>
        </w:rPr>
        <w:t>Twyford</w:t>
      </w:r>
      <w:proofErr w:type="spellEnd"/>
      <w:r>
        <w:rPr>
          <w:rFonts w:eastAsia="Times New Roman"/>
          <w:b/>
          <w:bCs/>
          <w:lang w:val="en-US"/>
        </w:rPr>
        <w:t xml:space="preserve">, A. </w:t>
      </w:r>
      <w:proofErr w:type="spellStart"/>
      <w:r>
        <w:rPr>
          <w:rFonts w:eastAsia="Times New Roman"/>
          <w:b/>
          <w:bCs/>
          <w:lang w:val="en-US"/>
        </w:rPr>
        <w:t>Ricono</w:t>
      </w:r>
      <w:proofErr w:type="spellEnd"/>
      <w:r>
        <w:rPr>
          <w:rFonts w:eastAsia="Times New Roman"/>
          <w:b/>
          <w:bCs/>
          <w:lang w:val="en-US"/>
        </w:rPr>
        <w:t xml:space="preserve">, A. Powell, J. Zhang, H. Xu, H. J. </w:t>
      </w:r>
      <w:proofErr w:type="spellStart"/>
      <w:r>
        <w:rPr>
          <w:rFonts w:eastAsia="Times New Roman"/>
          <w:b/>
          <w:bCs/>
          <w:lang w:val="en-US"/>
        </w:rPr>
        <w:t>Dalgeish</w:t>
      </w:r>
      <w:proofErr w:type="spellEnd"/>
      <w:r>
        <w:rPr>
          <w:rFonts w:eastAsia="Times New Roman"/>
          <w:b/>
          <w:bCs/>
          <w:lang w:val="en-US"/>
        </w:rPr>
        <w:t xml:space="preserve">, G. Jander, A. A. Agrawal, and J. R. </w:t>
      </w:r>
      <w:proofErr w:type="spellStart"/>
      <w:r>
        <w:rPr>
          <w:rFonts w:eastAsia="Times New Roman"/>
          <w:b/>
          <w:bCs/>
          <w:lang w:val="en-US"/>
        </w:rPr>
        <w:t>Puzey</w:t>
      </w:r>
      <w:proofErr w:type="spellEnd"/>
      <w:r>
        <w:rPr>
          <w:rFonts w:eastAsia="Times New Roman"/>
          <w:b/>
          <w:bCs/>
          <w:lang w:val="en-US"/>
        </w:rPr>
        <w:t xml:space="preserve">. 2022. </w:t>
      </w:r>
      <w:r>
        <w:rPr>
          <w:rFonts w:eastAsia="Times New Roman"/>
          <w:lang w:val="en-US"/>
        </w:rPr>
        <w:t xml:space="preserve">Temporal matches and </w:t>
      </w:r>
      <w:r>
        <w:rPr>
          <w:rFonts w:eastAsia="Times New Roman"/>
          <w:lang w:val="en-US"/>
        </w:rPr>
        <w:lastRenderedPageBreak/>
        <w:t xml:space="preserve">mismatches between monarch butterfly and milkweed population changes over the past 12,000 years. </w:t>
      </w:r>
      <w:proofErr w:type="spellStart"/>
      <w:r>
        <w:rPr>
          <w:rFonts w:eastAsia="Times New Roman"/>
          <w:lang w:val="en-US"/>
        </w:rPr>
        <w:t>BiorXiv</w:t>
      </w:r>
      <w:proofErr w:type="spellEnd"/>
      <w:r>
        <w:rPr>
          <w:rFonts w:eastAsia="Times New Roman"/>
          <w:lang w:val="en-US"/>
        </w:rPr>
        <w:t xml:space="preserve">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w:t>
      </w:r>
      <w:r>
        <w:lastRenderedPageBreak/>
        <w:t xml:space="preserve">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w:t>
      </w:r>
      <w:r>
        <w:lastRenderedPageBreak/>
        <w:t xml:space="preserve">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 xml:space="preserve">Guillot, G., </w:t>
      </w:r>
      <w:proofErr w:type="spellStart"/>
      <w:r w:rsidRPr="008356AA">
        <w:rPr>
          <w:b/>
          <w:bCs/>
        </w:rPr>
        <w:t>Estoup</w:t>
      </w:r>
      <w:proofErr w:type="spellEnd"/>
      <w:r w:rsidRPr="008356AA">
        <w:rPr>
          <w:b/>
          <w:bCs/>
        </w:rPr>
        <w:t>, A., Mortier, F.</w:t>
      </w:r>
      <w:r>
        <w:rPr>
          <w:b/>
          <w:bCs/>
        </w:rPr>
        <w:t>, and J.F.</w:t>
      </w:r>
      <w:r w:rsidRPr="008356AA">
        <w:rPr>
          <w:b/>
          <w:bCs/>
        </w:rPr>
        <w:t xml:space="preserve"> </w:t>
      </w:r>
      <w:proofErr w:type="spellStart"/>
      <w:r w:rsidRPr="008356AA">
        <w:rPr>
          <w:b/>
          <w:bCs/>
        </w:rPr>
        <w:t>Cosson</w:t>
      </w:r>
      <w:proofErr w:type="spellEnd"/>
      <w:r w:rsidRPr="008356AA">
        <w:rPr>
          <w:b/>
          <w:bCs/>
        </w:rPr>
        <w:t>.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w:t>
      </w:r>
      <w:proofErr w:type="spellStart"/>
      <w:r w:rsidRPr="00F60EE2">
        <w:rPr>
          <w:b/>
          <w:bCs/>
        </w:rPr>
        <w:t>Villablanca</w:t>
      </w:r>
      <w:proofErr w:type="spellEnd"/>
      <w:r w:rsidRPr="00F60EE2">
        <w:rPr>
          <w:b/>
          <w:bCs/>
        </w:rPr>
        <w:t>,</w:t>
      </w:r>
      <w:r w:rsidR="00F60EE2" w:rsidRPr="00F60EE2">
        <w:rPr>
          <w:b/>
          <w:bCs/>
        </w:rPr>
        <w:t xml:space="preserve"> J. C.</w:t>
      </w:r>
      <w:r w:rsidRPr="00F60EE2">
        <w:rPr>
          <w:b/>
          <w:bCs/>
        </w:rPr>
        <w:t xml:space="preserve"> </w:t>
      </w:r>
      <w:proofErr w:type="spellStart"/>
      <w:r w:rsidRPr="00F60EE2">
        <w:rPr>
          <w:b/>
          <w:bCs/>
        </w:rPr>
        <w:t>Maerz</w:t>
      </w:r>
      <w:proofErr w:type="spellEnd"/>
      <w:r w:rsidRPr="00F60EE2">
        <w:rPr>
          <w:b/>
          <w:bCs/>
        </w:rPr>
        <w:t>,</w:t>
      </w:r>
      <w:r w:rsidR="00F60EE2" w:rsidRPr="00F60EE2">
        <w:rPr>
          <w:b/>
          <w:bCs/>
        </w:rPr>
        <w:t xml:space="preserve"> and S.</w:t>
      </w:r>
      <w:r w:rsidRPr="00F60EE2">
        <w:rPr>
          <w:b/>
          <w:bCs/>
        </w:rPr>
        <w:t xml:space="preserve"> </w:t>
      </w:r>
      <w:proofErr w:type="spellStart"/>
      <w:r w:rsidRPr="00F60EE2">
        <w:rPr>
          <w:b/>
          <w:bCs/>
        </w:rPr>
        <w:t>Altizer</w:t>
      </w:r>
      <w:proofErr w:type="spellEnd"/>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w:t>
      </w:r>
      <w:proofErr w:type="spellStart"/>
      <w:r w:rsidRPr="005972D1">
        <w:rPr>
          <w:b/>
          <w:bCs/>
        </w:rPr>
        <w:t>Maerz</w:t>
      </w:r>
      <w:proofErr w:type="spellEnd"/>
      <w:r w:rsidRPr="005972D1">
        <w:rPr>
          <w:b/>
          <w:bCs/>
        </w:rPr>
        <w:t xml:space="preserve">, </w:t>
      </w:r>
      <w:r w:rsidR="00F60EE2" w:rsidRPr="005972D1">
        <w:rPr>
          <w:b/>
          <w:bCs/>
        </w:rPr>
        <w:t xml:space="preserve">M. D. </w:t>
      </w:r>
      <w:r w:rsidRPr="005972D1">
        <w:rPr>
          <w:b/>
          <w:bCs/>
        </w:rPr>
        <w:t>Hunter</w:t>
      </w:r>
      <w:r w:rsidR="005972D1" w:rsidRPr="005972D1">
        <w:rPr>
          <w:b/>
          <w:bCs/>
        </w:rPr>
        <w:t xml:space="preserve">, … S. </w:t>
      </w:r>
      <w:proofErr w:type="spellStart"/>
      <w:r w:rsidR="005972D1" w:rsidRPr="005972D1">
        <w:rPr>
          <w:b/>
          <w:bCs/>
        </w:rPr>
        <w:t>Altizer</w:t>
      </w:r>
      <w:proofErr w:type="spellEnd"/>
      <w:r w:rsidR="005972D1" w:rsidRPr="005972D1">
        <w:rPr>
          <w:b/>
          <w:bCs/>
        </w:rPr>
        <w:t>.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 xml:space="preserve">Wigginton, J. E., D. J. Cutler, and G. R. </w:t>
      </w:r>
      <w:proofErr w:type="spellStart"/>
      <w:r w:rsidRPr="00C71837">
        <w:rPr>
          <w:rFonts w:eastAsia="Times New Roman"/>
          <w:b/>
          <w:bCs/>
          <w:lang w:val="en-US"/>
        </w:rPr>
        <w:t>Abecasis</w:t>
      </w:r>
      <w:proofErr w:type="spellEnd"/>
      <w:r w:rsidRPr="00C71837">
        <w:rPr>
          <w:rFonts w:eastAsia="Times New Roman"/>
          <w:b/>
          <w:bCs/>
          <w:lang w:val="en-US"/>
        </w:rPr>
        <w:t>.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71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tblGrid>
      <w:tr w:rsidR="00385306" w14:paraId="2CE08252" w14:textId="77777777" w:rsidTr="00385306">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85306" w:rsidRDefault="00385306"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85306" w:rsidRDefault="00385306"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85306" w:rsidRDefault="00385306"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85306" w:rsidRDefault="00385306"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85306" w:rsidRDefault="00385306" w:rsidP="00E9183B">
            <w:pPr>
              <w:jc w:val="center"/>
              <w:rPr>
                <w:b/>
              </w:rPr>
            </w:pPr>
            <w:r>
              <w:rPr>
                <w:b/>
              </w:rPr>
              <w:t>π</w:t>
            </w:r>
          </w:p>
        </w:tc>
      </w:tr>
      <w:tr w:rsidR="00385306" w14:paraId="4B99BE27"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385306" w:rsidRDefault="00385306"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85306" w:rsidRDefault="00385306"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85306" w:rsidRDefault="00385306"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85306" w:rsidRDefault="00385306"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85306" w:rsidRDefault="00385306" w:rsidP="00EF1FC8">
            <w:pPr>
              <w:jc w:val="center"/>
            </w:pPr>
            <w:r>
              <w:t>0.064</w:t>
            </w:r>
          </w:p>
        </w:tc>
      </w:tr>
      <w:tr w:rsidR="00385306" w14:paraId="52531E8B"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385306" w:rsidRDefault="00385306"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85306" w:rsidRDefault="00385306"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85306" w:rsidRDefault="00385306"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85306" w:rsidRDefault="00385306"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85306" w:rsidRDefault="00385306" w:rsidP="00EF1FC8">
            <w:pPr>
              <w:jc w:val="center"/>
            </w:pPr>
            <w:r>
              <w:t>0.055</w:t>
            </w:r>
          </w:p>
        </w:tc>
      </w:tr>
      <w:tr w:rsidR="00385306" w14:paraId="05762E12"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385306" w:rsidRDefault="00385306"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85306" w:rsidRDefault="00385306"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85306" w:rsidRDefault="00385306"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85306" w:rsidRDefault="00385306"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85306" w:rsidRDefault="00385306" w:rsidP="00EF1FC8">
            <w:pPr>
              <w:jc w:val="center"/>
            </w:pPr>
            <w:r>
              <w:t>0.032</w:t>
            </w:r>
          </w:p>
        </w:tc>
      </w:tr>
      <w:tr w:rsidR="00385306" w14:paraId="3CABFA22"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385306" w:rsidRDefault="00385306"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85306" w:rsidRDefault="00385306"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85306" w:rsidRDefault="00385306"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85306" w:rsidRDefault="00385306"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85306" w:rsidRDefault="00385306" w:rsidP="00EF1FC8">
            <w:pPr>
              <w:jc w:val="center"/>
            </w:pPr>
            <w:r>
              <w:t>0.038</w:t>
            </w:r>
          </w:p>
        </w:tc>
      </w:tr>
      <w:tr w:rsidR="00385306" w14:paraId="1B11C6C0"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385306" w:rsidRDefault="00385306"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85306" w:rsidRDefault="00385306"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85306" w:rsidRDefault="00385306"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85306" w:rsidRDefault="00385306"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85306" w:rsidRDefault="00385306" w:rsidP="00EF1FC8">
            <w:pPr>
              <w:jc w:val="center"/>
            </w:pPr>
            <w:r>
              <w:t>0.025</w:t>
            </w:r>
          </w:p>
        </w:tc>
      </w:tr>
      <w:tr w:rsidR="00385306" w14:paraId="1E09B356"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385306" w:rsidRDefault="00385306"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85306" w:rsidRDefault="00385306"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85306" w:rsidRDefault="00385306"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85306" w:rsidRDefault="00385306"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85306" w:rsidRDefault="00385306" w:rsidP="00EF1FC8">
            <w:pPr>
              <w:jc w:val="center"/>
            </w:pPr>
            <w:r>
              <w:t>0.044</w:t>
            </w:r>
          </w:p>
        </w:tc>
      </w:tr>
      <w:tr w:rsidR="00385306" w14:paraId="0BCE5874"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385306" w:rsidRDefault="00385306"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85306" w:rsidRDefault="00385306"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85306" w:rsidRDefault="00385306"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85306" w:rsidRDefault="00385306"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85306" w:rsidRDefault="00385306" w:rsidP="00EF1FC8">
            <w:pPr>
              <w:jc w:val="center"/>
            </w:pPr>
            <w:r>
              <w:t>0.042</w:t>
            </w:r>
          </w:p>
        </w:tc>
      </w:tr>
      <w:tr w:rsidR="00385306" w14:paraId="004AF975"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385306" w:rsidRDefault="00385306"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85306" w:rsidRDefault="00385306"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85306" w:rsidRDefault="00385306"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85306" w:rsidRDefault="00385306"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85306" w:rsidRDefault="00385306" w:rsidP="00EF1FC8">
            <w:pPr>
              <w:jc w:val="center"/>
            </w:pPr>
            <w:r>
              <w:t>0.043</w:t>
            </w:r>
          </w:p>
        </w:tc>
      </w:tr>
    </w:tbl>
    <w:p w14:paraId="5750A092" w14:textId="77777777" w:rsidR="00355224" w:rsidRDefault="00355224"/>
    <w:p w14:paraId="4B2CDB2E" w14:textId="77777777" w:rsidR="00355224" w:rsidRDefault="00355224"/>
    <w:p w14:paraId="0E80F5D1" w14:textId="51246318" w:rsidR="00355224" w:rsidRDefault="003F0723">
      <w:r>
        <w:rPr>
          <w:b/>
        </w:rPr>
        <w:t xml:space="preserve">Table 1 - </w:t>
      </w:r>
      <w:r>
        <w:t>Number of samples remaining after filtering, Tajima’s D, Observed Heterozygosity (H</w:t>
      </w:r>
      <w:r w:rsidRPr="00530DD1">
        <w:rPr>
          <w:vertAlign w:val="subscript"/>
        </w:rPr>
        <w:t>O</w:t>
      </w:r>
      <w:r>
        <w:t>),</w:t>
      </w:r>
      <w:r w:rsidR="00385306">
        <w:t xml:space="preserve"> and</w:t>
      </w:r>
      <w:r>
        <w:t xml:space="preserve"> nucleotide diversity (π) in each population.</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4B9436CE" w:rsidR="00355224" w:rsidRPr="00C71825"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r w:rsidR="008A1CF9" w:rsidRPr="008A1CF9">
        <w:rPr>
          <w:b/>
          <w:bCs/>
          <w:vertAlign w:val="subscript"/>
        </w:rPr>
        <w:t>dadi</w:t>
      </w:r>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w:t>
      </w:r>
      <w:r w:rsidR="006A1104">
        <w:t>5</w:t>
      </w:r>
      <w:r w:rsidR="00B566CE">
        <w:t>-</w:t>
      </w:r>
      <w:r w:rsidR="00E60D6E">
        <w:t>S</w:t>
      </w:r>
      <w:r w:rsidR="006A1104">
        <w:t>7</w:t>
      </w:r>
      <w:r w:rsidR="009A69BA">
        <w:t xml:space="preserve"> and the residuals in Figure S</w:t>
      </w:r>
      <w:r w:rsidR="006A1104">
        <w:t>8</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5A5978">
        <w:t xml:space="preserve"> </w:t>
      </w:r>
      <w:r w:rsidR="005A5978" w:rsidRPr="00A812C6">
        <w:rPr>
          <w:highlight w:val="yellow"/>
        </w:rPr>
        <w:t xml:space="preserve">Note that spectra have been projected </w:t>
      </w:r>
      <w:r w:rsidR="00A812C6" w:rsidRPr="00A812C6">
        <w:rPr>
          <w:highlight w:val="yellow"/>
        </w:rPr>
        <w:t xml:space="preserve">to a size of 100 for North America and 10 for Hawaii to match the approximate number of </w:t>
      </w:r>
      <w:r w:rsidR="00A812C6">
        <w:rPr>
          <w:highlight w:val="yellow"/>
        </w:rPr>
        <w:t>individuals</w:t>
      </w:r>
      <w:r w:rsidR="00A812C6" w:rsidRPr="00A812C6">
        <w:rPr>
          <w:highlight w:val="yellow"/>
        </w:rPr>
        <w:t xml:space="preserve"> sequenced from each population</w:t>
      </w:r>
      <w:r w:rsidR="00A812C6">
        <w:t xml:space="preserve">. </w:t>
      </w:r>
      <w:r w:rsidR="00E32EA8">
        <w:t xml:space="preserve">Model-derived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A69B" w14:textId="77777777" w:rsidR="002C7419" w:rsidRDefault="002C7419" w:rsidP="00F644B5">
      <w:r>
        <w:separator/>
      </w:r>
    </w:p>
  </w:endnote>
  <w:endnote w:type="continuationSeparator" w:id="0">
    <w:p w14:paraId="672CD629" w14:textId="77777777" w:rsidR="002C7419" w:rsidRDefault="002C7419"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D7E76" w14:textId="77777777" w:rsidR="002C7419" w:rsidRDefault="002C7419" w:rsidP="00F644B5">
      <w:r>
        <w:separator/>
      </w:r>
    </w:p>
  </w:footnote>
  <w:footnote w:type="continuationSeparator" w:id="0">
    <w:p w14:paraId="4D3B1FFF" w14:textId="77777777" w:rsidR="002C7419" w:rsidRDefault="002C7419"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3273D"/>
    <w:rsid w:val="00052F36"/>
    <w:rsid w:val="0006299D"/>
    <w:rsid w:val="00076730"/>
    <w:rsid w:val="000A7BBC"/>
    <w:rsid w:val="000E1B16"/>
    <w:rsid w:val="000E2CEA"/>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C7419"/>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85306"/>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728DB"/>
    <w:rsid w:val="0049017D"/>
    <w:rsid w:val="00493004"/>
    <w:rsid w:val="004D1E24"/>
    <w:rsid w:val="0051365D"/>
    <w:rsid w:val="00530DD1"/>
    <w:rsid w:val="00546852"/>
    <w:rsid w:val="005601E7"/>
    <w:rsid w:val="005636A1"/>
    <w:rsid w:val="00573516"/>
    <w:rsid w:val="00581393"/>
    <w:rsid w:val="005972D1"/>
    <w:rsid w:val="005A1ECC"/>
    <w:rsid w:val="005A5978"/>
    <w:rsid w:val="005A6990"/>
    <w:rsid w:val="005A7316"/>
    <w:rsid w:val="005B090F"/>
    <w:rsid w:val="005B44B7"/>
    <w:rsid w:val="005E6500"/>
    <w:rsid w:val="005F3CB8"/>
    <w:rsid w:val="005F4058"/>
    <w:rsid w:val="006014FF"/>
    <w:rsid w:val="006154EC"/>
    <w:rsid w:val="0063026C"/>
    <w:rsid w:val="00637496"/>
    <w:rsid w:val="006776C2"/>
    <w:rsid w:val="006A04A7"/>
    <w:rsid w:val="006A1104"/>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127C"/>
    <w:rsid w:val="007B4529"/>
    <w:rsid w:val="007B49DA"/>
    <w:rsid w:val="007C303F"/>
    <w:rsid w:val="007C4E22"/>
    <w:rsid w:val="007C6681"/>
    <w:rsid w:val="007D2ACD"/>
    <w:rsid w:val="007E643D"/>
    <w:rsid w:val="007F045B"/>
    <w:rsid w:val="007F237F"/>
    <w:rsid w:val="007F338C"/>
    <w:rsid w:val="007F4083"/>
    <w:rsid w:val="008020D1"/>
    <w:rsid w:val="008101BF"/>
    <w:rsid w:val="00810F66"/>
    <w:rsid w:val="008170A3"/>
    <w:rsid w:val="00820779"/>
    <w:rsid w:val="00822D7E"/>
    <w:rsid w:val="00824683"/>
    <w:rsid w:val="008333CE"/>
    <w:rsid w:val="00834A64"/>
    <w:rsid w:val="008356AA"/>
    <w:rsid w:val="00845A6A"/>
    <w:rsid w:val="00850235"/>
    <w:rsid w:val="008640FB"/>
    <w:rsid w:val="00896BDE"/>
    <w:rsid w:val="0089799A"/>
    <w:rsid w:val="008A1CF9"/>
    <w:rsid w:val="008B65A2"/>
    <w:rsid w:val="008C5F7E"/>
    <w:rsid w:val="008C7C3F"/>
    <w:rsid w:val="008E25FF"/>
    <w:rsid w:val="008F276C"/>
    <w:rsid w:val="008F4C30"/>
    <w:rsid w:val="0090398A"/>
    <w:rsid w:val="00962BAE"/>
    <w:rsid w:val="009822D5"/>
    <w:rsid w:val="009A4FD2"/>
    <w:rsid w:val="009A69BA"/>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812C6"/>
    <w:rsid w:val="00A9423D"/>
    <w:rsid w:val="00A94F9E"/>
    <w:rsid w:val="00AA6FF3"/>
    <w:rsid w:val="00AE0BE1"/>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94AC1"/>
    <w:rsid w:val="00CA10DB"/>
    <w:rsid w:val="00CA29E8"/>
    <w:rsid w:val="00CA2D2D"/>
    <w:rsid w:val="00CA7EAB"/>
    <w:rsid w:val="00CB2BD2"/>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407F"/>
    <w:rsid w:val="00DF611A"/>
    <w:rsid w:val="00E32EA8"/>
    <w:rsid w:val="00E3626E"/>
    <w:rsid w:val="00E421D0"/>
    <w:rsid w:val="00E46E34"/>
    <w:rsid w:val="00E568B5"/>
    <w:rsid w:val="00E60D6E"/>
    <w:rsid w:val="00E66D39"/>
    <w:rsid w:val="00E76084"/>
    <w:rsid w:val="00E9183B"/>
    <w:rsid w:val="00E94D1E"/>
    <w:rsid w:val="00EC5F7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TotalTime>
  <Pages>37</Pages>
  <Words>13178</Words>
  <Characters>75117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95</cp:revision>
  <dcterms:created xsi:type="dcterms:W3CDTF">2020-02-09T21:34:00Z</dcterms:created>
  <dcterms:modified xsi:type="dcterms:W3CDTF">2022-04-18T20:47:00Z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