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1A0367">
      <w:pPr>
        <w:suppressLineNumbers/>
        <w:spacing w:line="276" w:lineRule="auto"/>
        <w:rPr>
          <w:rFonts w:ascii="Arial" w:hAnsi="Arial" w:cs="Arial"/>
          <w:bCs/>
          <w:sz w:val="22"/>
          <w:szCs w:val="22"/>
        </w:rPr>
      </w:pPr>
    </w:p>
    <w:p w14:paraId="0DBAFDD9" w14:textId="0EC0BFDC" w:rsidR="00F644B5" w:rsidRPr="001A0367"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1A0367">
      <w:pPr>
        <w:suppressLineNumbers/>
        <w:spacing w:line="276" w:lineRule="auto"/>
        <w:rPr>
          <w:rFonts w:ascii="Arial" w:hAnsi="Arial" w:cs="Arial"/>
          <w:bCs/>
          <w:sz w:val="22"/>
          <w:szCs w:val="22"/>
        </w:rPr>
      </w:pPr>
    </w:p>
    <w:p w14:paraId="78A26473" w14:textId="2FF86D18" w:rsidR="00F644B5" w:rsidRPr="001A0367" w:rsidRDefault="00F644B5" w:rsidP="001A0367">
      <w:pPr>
        <w:suppressLineNumbers/>
        <w:spacing w:line="276"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46D33B84" w14:textId="6656784C" w:rsidR="00F644B5" w:rsidRPr="001A0367" w:rsidRDefault="00F644B5" w:rsidP="001A0367">
      <w:pPr>
        <w:suppressLineNumbers/>
        <w:spacing w:line="276" w:lineRule="auto"/>
        <w:rPr>
          <w:rFonts w:ascii="Arial" w:hAnsi="Arial" w:cs="Arial"/>
          <w:bCs/>
          <w:sz w:val="22"/>
          <w:szCs w:val="22"/>
        </w:rPr>
      </w:pPr>
    </w:p>
    <w:p w14:paraId="1E51F226" w14:textId="48C35CEB" w:rsidR="00F644B5" w:rsidRPr="00052F36" w:rsidRDefault="00F644B5" w:rsidP="001A0367">
      <w:pPr>
        <w:suppressLineNumbers/>
        <w:spacing w:line="276"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1A0367">
      <w:pPr>
        <w:suppressLineNumbers/>
        <w:spacing w:line="276" w:lineRule="auto"/>
        <w:rPr>
          <w:rFonts w:ascii="Arial" w:hAnsi="Arial" w:cs="Arial"/>
          <w:bCs/>
          <w:sz w:val="22"/>
          <w:szCs w:val="22"/>
        </w:rPr>
      </w:pPr>
    </w:p>
    <w:p w14:paraId="68870CE8" w14:textId="4A8AF92E" w:rsidR="00F644B5" w:rsidRPr="001A0367"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508630A1" w14:textId="77777777" w:rsidR="00F644B5" w:rsidRPr="001A0367" w:rsidRDefault="00F644B5" w:rsidP="001A0367">
      <w:pPr>
        <w:suppressLineNumbers/>
        <w:spacing w:line="276" w:lineRule="auto"/>
        <w:rPr>
          <w:rFonts w:ascii="Arial" w:hAnsi="Arial" w:cs="Arial"/>
          <w:bCs/>
          <w:sz w:val="22"/>
          <w:szCs w:val="22"/>
        </w:rPr>
      </w:pPr>
    </w:p>
    <w:p w14:paraId="1DED376D" w14:textId="687E0D5B" w:rsidR="00355224"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1A0367">
      <w:pPr>
        <w:suppressLineNumbers/>
        <w:spacing w:line="276" w:lineRule="auto"/>
        <w:rPr>
          <w:rFonts w:ascii="Arial" w:hAnsi="Arial" w:cs="Arial"/>
          <w:bCs/>
          <w:sz w:val="22"/>
          <w:szCs w:val="22"/>
        </w:rPr>
      </w:pPr>
    </w:p>
    <w:p w14:paraId="1ECFBA70" w14:textId="77777777" w:rsidR="00052F36" w:rsidRPr="00052F36" w:rsidRDefault="00052F36" w:rsidP="001A0367">
      <w:pPr>
        <w:suppressLineNumbers/>
        <w:spacing w:line="276" w:lineRule="auto"/>
        <w:rPr>
          <w:rFonts w:ascii="Arial" w:hAnsi="Arial" w:cs="Arial"/>
          <w:b/>
          <w:sz w:val="22"/>
          <w:szCs w:val="22"/>
        </w:rPr>
      </w:pPr>
      <w:r w:rsidRPr="00052F36">
        <w:rPr>
          <w:rFonts w:ascii="Arial" w:hAnsi="Arial" w:cs="Arial"/>
          <w:b/>
          <w:sz w:val="22"/>
          <w:szCs w:val="22"/>
        </w:rPr>
        <w:t>Corresponding Author Information:</w:t>
      </w:r>
    </w:p>
    <w:p w14:paraId="08E21EAA" w14:textId="77777777" w:rsidR="00052F36" w:rsidRDefault="00052F36" w:rsidP="001A0367">
      <w:pPr>
        <w:suppressLineNumbers/>
        <w:spacing w:line="276" w:lineRule="auto"/>
        <w:rPr>
          <w:rFonts w:ascii="Arial" w:hAnsi="Arial" w:cs="Arial"/>
          <w:bCs/>
          <w:sz w:val="22"/>
          <w:szCs w:val="22"/>
        </w:rPr>
      </w:pPr>
    </w:p>
    <w:p w14:paraId="54DD0115" w14:textId="77777777" w:rsidR="00052F36" w:rsidRDefault="00052F36" w:rsidP="001A0367">
      <w:pPr>
        <w:suppressLineNumbers/>
        <w:spacing w:line="276"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1A0367">
      <w:pPr>
        <w:suppressLineNumbers/>
        <w:spacing w:line="276"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013E8D3F" w:rsidR="00C84467" w:rsidRPr="001A0367" w:rsidRDefault="000E2CEA" w:rsidP="001A0367">
      <w:pPr>
        <w:spacing w:line="276"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 xml:space="preserve">consequences of migration loss. Here, we present reduced-representation sequencing data for 281 monarchs from North America and 15 </w:t>
      </w:r>
      <w:r w:rsidR="00135EC1">
        <w:rPr>
          <w:rFonts w:ascii="Arial" w:hAnsi="Arial" w:cs="Arial"/>
          <w:color w:val="000000"/>
          <w:sz w:val="22"/>
          <w:szCs w:val="22"/>
        </w:rPr>
        <w:t>Pacific locations</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Monarchs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1A0367">
      <w:pPr>
        <w:spacing w:line="276" w:lineRule="auto"/>
        <w:ind w:firstLine="720"/>
        <w:jc w:val="both"/>
        <w:rPr>
          <w:rFonts w:ascii="Arial" w:hAnsi="Arial" w:cs="Arial"/>
          <w:sz w:val="22"/>
          <w:szCs w:val="22"/>
        </w:rPr>
      </w:pPr>
    </w:p>
    <w:p w14:paraId="68391713"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713713E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6902B9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b/>
          <w:sz w:val="22"/>
          <w:szCs w:val="22"/>
          <w:u w:val="single"/>
        </w:rPr>
        <w:t xml:space="preserve">Introduction </w:t>
      </w:r>
      <w:r w:rsidRPr="001A0367">
        <w:rPr>
          <w:rFonts w:ascii="Arial" w:hAnsi="Arial" w:cs="Arial"/>
          <w:sz w:val="22"/>
          <w:szCs w:val="22"/>
        </w:rPr>
        <w:t xml:space="preserve">    </w:t>
      </w:r>
    </w:p>
    <w:p w14:paraId="288388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6E788A8C" w14:textId="12894C91" w:rsidR="00C84467" w:rsidRPr="001A0367" w:rsidRDefault="00C84467"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 (Hewitt 1996, Excoffier et al. 2009). This pattern is evident in serial stepwise expansion events, in which populations are founded in a stepping-stone fashion (Ibrahim et al. 1996, Slatkin and Excoffier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Somateria mollissima</w:t>
      </w:r>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(Bettin et al. 2007), rough-skinned newts (</w:t>
      </w:r>
      <w:r w:rsidRPr="001A0367">
        <w:rPr>
          <w:rFonts w:ascii="Arial" w:hAnsi="Arial" w:cs="Arial"/>
          <w:i/>
          <w:iCs/>
          <w:color w:val="000000"/>
          <w:sz w:val="22"/>
          <w:szCs w:val="22"/>
        </w:rPr>
        <w:t>Taricha granulosa</w:t>
      </w:r>
      <w:r w:rsidRPr="001A0367">
        <w:rPr>
          <w:rFonts w:ascii="Arial" w:hAnsi="Arial" w:cs="Arial"/>
          <w:color w:val="000000"/>
          <w:sz w:val="22"/>
          <w:szCs w:val="22"/>
        </w:rPr>
        <w:t>)</w:t>
      </w:r>
      <w:r w:rsidRPr="001A0367">
        <w:rPr>
          <w:rFonts w:ascii="Arial" w:hAnsi="Arial" w:cs="Arial"/>
          <w:sz w:val="22"/>
          <w:szCs w:val="22"/>
        </w:rPr>
        <w:t xml:space="preserve"> (Kuchta and Tan 2005)</w:t>
      </w:r>
      <w:r w:rsidR="003B7F97">
        <w:rPr>
          <w:rFonts w:ascii="Arial" w:hAnsi="Arial" w:cs="Arial"/>
          <w:sz w:val="22"/>
          <w:szCs w:val="22"/>
        </w:rPr>
        <w:t>, and European butterflies (Dapporto et al. 2019)</w:t>
      </w:r>
      <w:r w:rsidRPr="001A0367">
        <w:rPr>
          <w:rFonts w:ascii="Arial" w:hAnsi="Arial" w:cs="Arial"/>
          <w:color w:val="000000"/>
          <w:sz w:val="22"/>
          <w:szCs w:val="22"/>
        </w:rPr>
        <w:t xml:space="preserve">. </w:t>
      </w:r>
    </w:p>
    <w:p w14:paraId="3FA71294" w14:textId="0A3A0C25" w:rsidR="00C643AD" w:rsidRPr="001A0367" w:rsidRDefault="00845A6A" w:rsidP="001A0367">
      <w:pPr>
        <w:pStyle w:val="NormalWeb"/>
        <w:spacing w:before="0" w:beforeAutospacing="0" w:after="0" w:afterAutospacing="0" w:line="276"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w:t>
      </w:r>
      <w:r w:rsidR="00765BB8" w:rsidRPr="001A0367">
        <w:rPr>
          <w:rFonts w:ascii="Arial" w:hAnsi="Arial" w:cs="Arial"/>
          <w:color w:val="000000"/>
          <w:sz w:val="22"/>
          <w:szCs w:val="22"/>
        </w:rPr>
        <w:lastRenderedPageBreak/>
        <w:t>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(e.g.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r w:rsidR="006154EC" w:rsidRPr="001A0367">
        <w:rPr>
          <w:rFonts w:ascii="Arial" w:hAnsi="Arial" w:cs="Arial"/>
          <w:i/>
          <w:iCs/>
          <w:color w:val="000000"/>
          <w:sz w:val="22"/>
          <w:szCs w:val="22"/>
        </w:rPr>
        <w:t>Wilsonia pusilla</w:t>
      </w:r>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(Waples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that share common spawning grounds but migrate to disparate areas across 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797FA203" w:rsidR="00C84467" w:rsidRPr="001A0367" w:rsidRDefault="00D900D2"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 xml:space="preserve">birds (Adriaensen and Dhondt 1990), insects (Menz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 xml:space="preserve">(e.g.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Gomez-Bahamon</w:t>
      </w:r>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p>
    <w:p w14:paraId="25450409" w14:textId="3931B8CA"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monarchs comprise a single genetically indistinguishable population (Lyons et al. 2012, Talla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(Ackery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 xml:space="preserve">Fernández-Haeger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5B991281" w:rsidR="00C84467" w:rsidRPr="001A0367" w:rsidRDefault="00356B86"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Samarasin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w:t>
      </w:r>
      <w:r w:rsidR="009A4FD2" w:rsidRPr="001A0367">
        <w:rPr>
          <w:rFonts w:ascii="Arial" w:hAnsi="Arial" w:cs="Arial"/>
          <w:color w:val="000000"/>
          <w:sz w:val="22"/>
          <w:szCs w:val="22"/>
        </w:rPr>
        <w:lastRenderedPageBreak/>
        <w:t xml:space="preserve">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2020a).</w:t>
      </w:r>
    </w:p>
    <w:p w14:paraId="185FDA34" w14:textId="7EF464F8"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locations;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1A0367">
      <w:pPr>
        <w:spacing w:line="276" w:lineRule="auto"/>
        <w:jc w:val="both"/>
        <w:rPr>
          <w:rFonts w:ascii="Arial" w:hAnsi="Arial" w:cs="Arial"/>
          <w:sz w:val="22"/>
          <w:szCs w:val="22"/>
        </w:rPr>
      </w:pPr>
    </w:p>
    <w:p w14:paraId="74157DEB" w14:textId="48B6988C"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1A0367">
      <w:pPr>
        <w:spacing w:line="276" w:lineRule="auto"/>
        <w:jc w:val="both"/>
        <w:rPr>
          <w:rFonts w:ascii="Arial" w:hAnsi="Arial" w:cs="Arial"/>
          <w:sz w:val="22"/>
          <w:szCs w:val="22"/>
        </w:rPr>
      </w:pPr>
    </w:p>
    <w:p w14:paraId="68E7B9E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1079F05" w14:textId="39364B00" w:rsidR="00355224" w:rsidRPr="001A0367" w:rsidRDefault="003F0723" w:rsidP="001A0367">
      <w:pPr>
        <w:spacing w:line="276"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igure 1a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Quant-iT PicoGreen dsDNA Reagent (Thermo Fisher Scientific) on a FLx800 Fluorescence Reader (BioTek Instruments). Restriction Associated Digest (RAD) DNA libraries were then created using the PstI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63A3ABFC" w14:textId="019A0315"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SAMtools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For use in demographic reconstruction, genotypes were then called using the SAMtools genotype likelihood model </w:t>
      </w:r>
      <w:hyperlink r:id="rId11">
        <w:r w:rsidR="005B090F" w:rsidRPr="001A0367">
          <w:rPr>
            <w:rFonts w:ascii="Arial" w:hAnsi="Arial" w:cs="Arial"/>
            <w:color w:val="000000"/>
            <w:sz w:val="22"/>
            <w:szCs w:val="22"/>
          </w:rPr>
          <w:t>(Li</w:t>
        </w:r>
      </w:hyperlink>
      <w:r w:rsidR="005B090F" w:rsidRPr="001A0367">
        <w:rPr>
          <w:rFonts w:ascii="Arial" w:hAnsi="Arial" w:cs="Arial"/>
          <w:color w:val="000000"/>
          <w:sz w:val="22"/>
          <w:szCs w:val="22"/>
        </w:rPr>
        <w:t xml:space="preserve"> et al. 2009)</w:t>
      </w:r>
      <w:r w:rsidRPr="001A0367">
        <w:rPr>
          <w:rFonts w:ascii="Arial" w:hAnsi="Arial" w:cs="Arial"/>
          <w:sz w:val="22"/>
          <w:szCs w:val="22"/>
        </w:rPr>
        <w:t xml:space="preserve"> as implemented in the ANGSD software package with a minimum mapping and base call quality score of 20, a SNP </w:t>
      </w:r>
      <w:r w:rsidRPr="001A0367">
        <w:rPr>
          <w:rFonts w:ascii="Arial" w:hAnsi="Arial" w:cs="Arial"/>
          <w:i/>
          <w:sz w:val="22"/>
          <w:szCs w:val="22"/>
        </w:rPr>
        <w:t>p</w:t>
      </w:r>
      <w:r w:rsidRPr="001A0367">
        <w:rPr>
          <w:rFonts w:ascii="Arial" w:hAnsi="Arial" w:cs="Arial"/>
          <w:sz w:val="22"/>
          <w:szCs w:val="22"/>
        </w:rPr>
        <w:t xml:space="preserve">-value of 1e-8, a uniform genotype prior, and a posterior genotype probability cutoff of 0.95 </w:t>
      </w:r>
      <w:hyperlink r:id="rId12">
        <w:r w:rsidR="005B090F" w:rsidRPr="001A0367">
          <w:rPr>
            <w:rFonts w:ascii="Arial" w:hAnsi="Arial" w:cs="Arial"/>
            <w:color w:val="000000"/>
            <w:sz w:val="22"/>
            <w:szCs w:val="22"/>
          </w:rPr>
          <w:t>(Korne</w:t>
        </w:r>
      </w:hyperlink>
      <w:r w:rsidR="005B090F" w:rsidRPr="001A0367">
        <w:rPr>
          <w:rFonts w:ascii="Arial" w:hAnsi="Arial" w:cs="Arial"/>
          <w:color w:val="000000"/>
          <w:sz w:val="22"/>
          <w:szCs w:val="22"/>
        </w:rPr>
        <w:t>liussen et al. 2014)</w:t>
      </w:r>
      <w:r w:rsidRPr="001A0367">
        <w:rPr>
          <w:rFonts w:ascii="Arial" w:hAnsi="Arial" w:cs="Arial"/>
          <w:sz w:val="22"/>
          <w:szCs w:val="22"/>
        </w:rPr>
        <w:t xml:space="preserve">. For analyses that relied on called genotypes, we removed potential paralogous sites using the ngsParalog tool by removing all sites within a kilobase of any SNP with a log ratio test statistic of &gt; 10 in any population </w:t>
      </w:r>
      <w:hyperlink r:id="rId13">
        <w:r w:rsidR="005B090F" w:rsidRPr="001A0367">
          <w:rPr>
            <w:rFonts w:ascii="Arial" w:hAnsi="Arial" w:cs="Arial"/>
            <w:color w:val="000000"/>
            <w:sz w:val="22"/>
            <w:szCs w:val="22"/>
          </w:rPr>
          <w:t>(</w:t>
        </w:r>
      </w:hyperlink>
      <w:r w:rsidR="005B090F" w:rsidRPr="001A0367">
        <w:rPr>
          <w:rFonts w:ascii="Arial" w:hAnsi="Arial" w:cs="Arial"/>
          <w:color w:val="000000"/>
          <w:sz w:val="22"/>
          <w:szCs w:val="22"/>
        </w:rPr>
        <w:t>Linderoth 2018)</w:t>
      </w:r>
      <w:r w:rsidRPr="001A0367">
        <w:rPr>
          <w:rFonts w:ascii="Arial" w:hAnsi="Arial" w:cs="Arial"/>
          <w:sz w:val="22"/>
          <w:szCs w:val="22"/>
        </w:rPr>
        <w:t>. Individuals with less than 75% of called SNPs were removed. Since strong bottlenecks are likely to remove rare SNPs from the population, we did not use a minor allele frequency filter when calling genotypes for the calculation of the basic diversity statistics (π, H</w:t>
      </w:r>
      <w:r w:rsidRPr="001A0367">
        <w:rPr>
          <w:rFonts w:ascii="Arial" w:hAnsi="Arial" w:cs="Arial"/>
          <w:sz w:val="22"/>
          <w:szCs w:val="22"/>
          <w:vertAlign w:val="subscript"/>
        </w:rPr>
        <w:t>O</w:t>
      </w:r>
      <w:r w:rsidRPr="001A0367">
        <w:rPr>
          <w:rFonts w:ascii="Arial" w:hAnsi="Arial" w:cs="Arial"/>
          <w:sz w:val="22"/>
          <w:szCs w:val="22"/>
        </w:rPr>
        <w:t>, and Het/Hom ratio).</w:t>
      </w:r>
    </w:p>
    <w:p w14:paraId="1909D32B"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28F6CC5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F094C5E"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42C37F2D" w14:textId="758D41AE"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We calculated the average number of pairwise differences (µ), observed heterozygosity (H</w:t>
      </w:r>
      <w:r w:rsidRPr="001A0367">
        <w:rPr>
          <w:rFonts w:ascii="Arial" w:hAnsi="Arial" w:cs="Arial"/>
          <w:sz w:val="22"/>
          <w:szCs w:val="22"/>
          <w:vertAlign w:val="subscript"/>
        </w:rPr>
        <w:t>o</w:t>
      </w:r>
      <w:r w:rsidRPr="001A0367">
        <w:rPr>
          <w:rFonts w:ascii="Arial" w:hAnsi="Arial" w:cs="Arial"/>
          <w:sz w:val="22"/>
          <w:szCs w:val="22"/>
        </w:rPr>
        <w:t>), heterozygote/homozygote ratio per individual (Het/Hom), Tajima’s D, and fixation index (F</w:t>
      </w:r>
      <w:r w:rsidRPr="001A0367">
        <w:rPr>
          <w:rFonts w:ascii="Arial" w:hAnsi="Arial" w:cs="Arial"/>
          <w:sz w:val="22"/>
          <w:szCs w:val="22"/>
          <w:vertAlign w:val="subscript"/>
        </w:rPr>
        <w:t>ST</w:t>
      </w:r>
      <w:r w:rsidRPr="001A0367">
        <w:rPr>
          <w:rFonts w:ascii="Arial" w:hAnsi="Arial" w:cs="Arial"/>
          <w:sz w:val="22"/>
          <w:szCs w:val="22"/>
        </w:rPr>
        <w:t>) between each pair of populations for each SNP using the snpR package (Hemstrom</w:t>
      </w:r>
      <w:r w:rsidR="0011459D">
        <w:rPr>
          <w:rFonts w:ascii="Arial" w:hAnsi="Arial" w:cs="Arial"/>
          <w:sz w:val="22"/>
          <w:szCs w:val="22"/>
        </w:rPr>
        <w:t xml:space="preserve"> and Jones </w:t>
      </w:r>
      <w:r w:rsidR="0011459D">
        <w:rPr>
          <w:rFonts w:ascii="Arial" w:hAnsi="Arial" w:cs="Arial"/>
          <w:sz w:val="22"/>
          <w:szCs w:val="22"/>
        </w:rPr>
        <w:lastRenderedPageBreak/>
        <w:t>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4">
        <w:r w:rsidR="002450EB" w:rsidRPr="001A0367">
          <w:rPr>
            <w:rFonts w:ascii="Arial" w:hAnsi="Arial" w:cs="Arial"/>
            <w:color w:val="000000"/>
            <w:sz w:val="22"/>
            <w:szCs w:val="22"/>
          </w:rPr>
          <w:t>(Rousset</w:t>
        </w:r>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 </w:t>
      </w:r>
      <w:r w:rsidRPr="001A0367">
        <w:rPr>
          <w:rFonts w:ascii="Arial" w:hAnsi="Arial" w:cs="Arial"/>
          <w:sz w:val="22"/>
          <w:szCs w:val="22"/>
        </w:rPr>
        <w:t>To calculate Tajima’s</w:t>
      </w:r>
      <w:r w:rsidR="002450EB" w:rsidRPr="001A0367">
        <w:rPr>
          <w:rFonts w:ascii="Arial" w:hAnsi="Arial" w:cs="Arial"/>
          <w:sz w:val="22"/>
          <w:szCs w:val="22"/>
        </w:rPr>
        <w:t xml:space="preserve"> D (Tajima 1989)</w:t>
      </w:r>
      <w:r w:rsidRPr="001A0367">
        <w:rPr>
          <w:rFonts w:ascii="Arial" w:hAnsi="Arial" w:cs="Arial"/>
          <w:sz w:val="22"/>
          <w:szCs w:val="22"/>
        </w:rPr>
        <w:t xml:space="preserve">, we used all sequenced sites that passed the quality and paralog filters without removing non-paralogous sites. 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p>
    <w:p w14:paraId="60F2B0B2" w14:textId="556B4725"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Nei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Paradis and Schliep 2019)</w:t>
      </w:r>
      <w:r w:rsidRPr="001A0367">
        <w:rPr>
          <w:rFonts w:ascii="Arial" w:hAnsi="Arial" w:cs="Arial"/>
          <w:sz w:val="22"/>
          <w:szCs w:val="22"/>
        </w:rPr>
        <w:t>. In order to maximize the amount of genetic data contributing to this tree, the input distance matrix was created using the Identity-by-State approach in ANGSD with the same parameters as above, save for a minor allele frequency cutoff of 0.05</w:t>
      </w:r>
      <w:r w:rsidR="002450EB" w:rsidRPr="001A0367">
        <w:rPr>
          <w:rFonts w:ascii="Arial" w:hAnsi="Arial" w:cs="Arial"/>
          <w:sz w:val="22"/>
          <w:szCs w:val="22"/>
        </w:rPr>
        <w:t xml:space="preserve"> (Korneliussen </w:t>
      </w:r>
      <w:r w:rsidR="002450EB" w:rsidRPr="001A0367">
        <w:rPr>
          <w:rFonts w:ascii="Arial" w:hAnsi="Arial" w:cs="Arial"/>
          <w:color w:val="000000"/>
          <w:sz w:val="22"/>
          <w:szCs w:val="22"/>
        </w:rPr>
        <w:t>et al. 2014)</w:t>
      </w:r>
      <w:r w:rsidRPr="001A0367">
        <w:rPr>
          <w:rFonts w:ascii="Arial" w:hAnsi="Arial" w:cs="Arial"/>
          <w:sz w:val="22"/>
          <w:szCs w:val="22"/>
        </w:rPr>
        <w:t>. A Principal Component Analysis (PCA) was also conducted using this dataset. For comparison, NGSadmix was used to generate individual ancestry coefficients for each individual for between 1 and 9 putative population clusters (k)</w:t>
      </w:r>
      <w:r w:rsidR="002450EB" w:rsidRPr="001A0367">
        <w:rPr>
          <w:rFonts w:ascii="Arial" w:hAnsi="Arial" w:cs="Arial"/>
          <w:sz w:val="22"/>
          <w:szCs w:val="22"/>
        </w:rPr>
        <w:t xml:space="preserve"> (Skotte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The pophelper</w:t>
      </w:r>
      <w:r w:rsidR="002450EB" w:rsidRPr="001A0367">
        <w:rPr>
          <w:rFonts w:ascii="Arial" w:hAnsi="Arial" w:cs="Arial"/>
          <w:sz w:val="22"/>
          <w:szCs w:val="22"/>
        </w:rPr>
        <w:t xml:space="preserve"> (Francis 2017) </w:t>
      </w:r>
      <w:r w:rsidRPr="001A0367">
        <w:rPr>
          <w:rFonts w:ascii="Arial" w:hAnsi="Arial" w:cs="Arial"/>
          <w:sz w:val="22"/>
          <w:szCs w:val="22"/>
        </w:rPr>
        <w:t xml:space="preserve">and snpR (Hemstrom </w:t>
      </w:r>
      <w:r w:rsidR="00380F5C">
        <w:rPr>
          <w:rFonts w:ascii="Arial" w:hAnsi="Arial" w:cs="Arial"/>
          <w:sz w:val="22"/>
          <w:szCs w:val="22"/>
        </w:rPr>
        <w:t>and Jones 2021</w:t>
      </w:r>
      <w:r w:rsidRPr="001A0367">
        <w:rPr>
          <w:rFonts w:ascii="Arial" w:hAnsi="Arial" w:cs="Arial"/>
          <w:sz w:val="22"/>
          <w:szCs w:val="22"/>
        </w:rPr>
        <w:t xml:space="preserve">) R packages were used to simplify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 </w:t>
      </w:r>
      <w:r w:rsidRPr="001A0367">
        <w:rPr>
          <w:rFonts w:ascii="Arial" w:hAnsi="Arial" w:cs="Arial"/>
          <w:sz w:val="22"/>
          <w:szCs w:val="22"/>
        </w:rPr>
        <w:t>No individuals were removed for this analysis.</w:t>
      </w:r>
    </w:p>
    <w:p w14:paraId="59718437" w14:textId="2D3BC19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quantify the direction and strength of population spread across the Pacific, we calculated the directionality index (</w:t>
      </w:r>
      <w:r w:rsidRPr="001A0367">
        <w:rPr>
          <w:rFonts w:ascii="Arial" w:hAnsi="Arial" w:cs="Arial"/>
          <w:b/>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Slatkin 2013) </w:t>
      </w:r>
      <w:r w:rsidRPr="001A0367">
        <w:rPr>
          <w:rFonts w:ascii="Arial" w:hAnsi="Arial" w:cs="Arial"/>
          <w:sz w:val="22"/>
          <w:szCs w:val="22"/>
        </w:rPr>
        <w:t xml:space="preserve">for each pairwise combination of North America, Hawaii, Queensland, Guam, Rota, Norfolk Island populations using the snpR package (Hemstrom </w:t>
      </w:r>
      <w:r w:rsidR="00380F5C">
        <w:rPr>
          <w:rFonts w:ascii="Arial" w:hAnsi="Arial" w:cs="Arial"/>
          <w:sz w:val="22"/>
          <w:szCs w:val="22"/>
        </w:rPr>
        <w:t>and Jones 2021</w:t>
      </w:r>
      <w:r w:rsidRPr="001A0367">
        <w:rPr>
          <w:rFonts w:ascii="Arial" w:hAnsi="Arial" w:cs="Arial"/>
          <w:sz w:val="22"/>
          <w:szCs w:val="22"/>
        </w:rPr>
        <w:t xml:space="preserve">). We created the polarized site-frequency spectra used in these calculations using the δaδi (dadi) </w:t>
      </w:r>
      <w:r w:rsidR="00F72147" w:rsidRPr="001A0367">
        <w:rPr>
          <w:rFonts w:ascii="Arial" w:hAnsi="Arial" w:cs="Arial"/>
          <w:sz w:val="22"/>
          <w:szCs w:val="22"/>
        </w:rPr>
        <w:t xml:space="preserve">(Charles et al. 2018) </w:t>
      </w:r>
      <w:r w:rsidRPr="001A0367">
        <w:rPr>
          <w:rFonts w:ascii="Arial" w:hAnsi="Arial" w:cs="Arial"/>
          <w:sz w:val="22"/>
          <w:szCs w:val="22"/>
        </w:rPr>
        <w:t xml:space="preserve">dataset described below by projecting populations down to ten gene copies each using the methods described by </w:t>
      </w:r>
      <w:r w:rsidR="00F72147" w:rsidRPr="001A0367">
        <w:rPr>
          <w:rFonts w:ascii="Arial" w:hAnsi="Arial" w:cs="Arial"/>
          <w:sz w:val="22"/>
          <w:szCs w:val="22"/>
        </w:rPr>
        <w:t xml:space="preserve">Gutenkunst et al. (2009) </w:t>
      </w:r>
      <w:r w:rsidRPr="001A0367">
        <w:rPr>
          <w:rFonts w:ascii="Arial" w:hAnsi="Arial" w:cs="Arial"/>
          <w:sz w:val="22"/>
          <w:szCs w:val="22"/>
        </w:rPr>
        <w:t>as implemented in snpR (Hemstrom</w:t>
      </w:r>
      <w:r w:rsidR="00380F5C">
        <w:rPr>
          <w:rFonts w:ascii="Arial" w:hAnsi="Arial" w:cs="Arial"/>
          <w:sz w:val="22"/>
          <w:szCs w:val="22"/>
        </w:rPr>
        <w:t xml:space="preserve"> </w:t>
      </w:r>
      <w:r w:rsidR="007F338C">
        <w:rPr>
          <w:rFonts w:ascii="Arial" w:hAnsi="Arial" w:cs="Arial"/>
          <w:sz w:val="22"/>
          <w:szCs w:val="22"/>
        </w:rPr>
        <w:t>and Jones 2021</w:t>
      </w:r>
      <w:r w:rsidRPr="001A0367">
        <w:rPr>
          <w:rFonts w:ascii="Arial" w:hAnsi="Arial" w:cs="Arial"/>
          <w:sz w:val="22"/>
          <w:szCs w:val="22"/>
        </w:rPr>
        <w:t xml:space="preserve">). Using 10 gene copies tended to produce the highest number of maintained SNPs in the resulting spectra. The SNPs were polarized via reference to whole genome sequence data of the best-sequenced individual of the monarch sister taxon </w:t>
      </w:r>
      <w:r w:rsidRPr="001A0367">
        <w:rPr>
          <w:rFonts w:ascii="Arial" w:hAnsi="Arial" w:cs="Arial"/>
          <w:i/>
          <w:sz w:val="22"/>
          <w:szCs w:val="22"/>
        </w:rPr>
        <w:t>Danaus erippus</w:t>
      </w:r>
      <w:r w:rsidR="00F72147" w:rsidRPr="001A0367">
        <w:rPr>
          <w:rFonts w:ascii="Arial" w:hAnsi="Arial" w:cs="Arial"/>
          <w:sz w:val="22"/>
          <w:szCs w:val="22"/>
        </w:rPr>
        <w:t xml:space="preserve"> (Zhan et al. 2014)</w:t>
      </w:r>
      <w:r w:rsidRPr="001A0367">
        <w:rPr>
          <w:rFonts w:ascii="Arial" w:hAnsi="Arial" w:cs="Arial"/>
          <w:sz w:val="22"/>
          <w:szCs w:val="22"/>
        </w:rPr>
        <w:t xml:space="preserve"> by alignment to the monarch genome as described above.</w:t>
      </w:r>
    </w:p>
    <w:p w14:paraId="69B3054C" w14:textId="612B4C98" w:rsidR="00736D9A" w:rsidRPr="001A0367" w:rsidRDefault="00736D9A"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order to determine the effect of migration on population connectivity, we looked for evidence of isolation by distance (IBD) between samples from the Mariana Islands, North America, Australia, and Hawaii. To do so, we first </w:t>
      </w:r>
      <w:r w:rsidR="00B609B0">
        <w:rPr>
          <w:rFonts w:ascii="Arial" w:hAnsi="Arial" w:cs="Arial"/>
          <w:sz w:val="22"/>
          <w:szCs w:val="22"/>
        </w:rPr>
        <w:t xml:space="preserve">filtered out all loci with a minor allele frequency of less than 0.05 in the population being examined, </w:t>
      </w:r>
      <w:r w:rsidRPr="001A0367">
        <w:rPr>
          <w:rFonts w:ascii="Arial" w:hAnsi="Arial" w:cs="Arial"/>
          <w:sz w:val="22"/>
          <w:szCs w:val="22"/>
        </w:rPr>
        <w:t xml:space="preserve">calculated Edwards’ angular genetic distance </w:t>
      </w:r>
      <w:r w:rsidR="00F72147" w:rsidRPr="001A0367">
        <w:rPr>
          <w:rFonts w:ascii="Arial" w:hAnsi="Arial" w:cs="Arial"/>
          <w:sz w:val="22"/>
          <w:szCs w:val="22"/>
        </w:rPr>
        <w:t xml:space="preserve">(Edwards 1971) </w:t>
      </w:r>
      <w:r w:rsidRPr="001A0367">
        <w:rPr>
          <w:rFonts w:ascii="Arial" w:hAnsi="Arial" w:cs="Arial"/>
          <w:sz w:val="22"/>
          <w:szCs w:val="22"/>
        </w:rPr>
        <w:t>between each pair of samples from the given populations</w:t>
      </w:r>
      <w:r w:rsidR="00B609B0">
        <w:rPr>
          <w:rFonts w:ascii="Arial" w:hAnsi="Arial" w:cs="Arial"/>
          <w:sz w:val="22"/>
          <w:szCs w:val="22"/>
        </w:rPr>
        <w:t>,</w:t>
      </w:r>
      <w:r w:rsidR="00BE19DA">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Pr="001A0367">
        <w:rPr>
          <w:rFonts w:ascii="Arial" w:hAnsi="Arial" w:cs="Arial"/>
          <w:sz w:val="22"/>
          <w:szCs w:val="22"/>
        </w:rPr>
        <w:t>.</w:t>
      </w:r>
    </w:p>
    <w:p w14:paraId="72EA0CDE" w14:textId="77777777" w:rsidR="00355224" w:rsidRPr="001A0367" w:rsidRDefault="00355224" w:rsidP="001A0367">
      <w:pPr>
        <w:spacing w:line="276" w:lineRule="auto"/>
        <w:ind w:firstLine="720"/>
        <w:rPr>
          <w:rFonts w:ascii="Arial" w:hAnsi="Arial" w:cs="Arial"/>
          <w:sz w:val="22"/>
          <w:szCs w:val="22"/>
        </w:rPr>
      </w:pPr>
    </w:p>
    <w:p w14:paraId="17FC872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1A0367">
      <w:pPr>
        <w:spacing w:line="276" w:lineRule="auto"/>
        <w:ind w:firstLine="720"/>
        <w:rPr>
          <w:rFonts w:ascii="Arial" w:hAnsi="Arial" w:cs="Arial"/>
          <w:sz w:val="22"/>
          <w:szCs w:val="22"/>
        </w:rPr>
      </w:pPr>
    </w:p>
    <w:p w14:paraId="323DE98B" w14:textId="3D430956"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describe the patterns of establishment and migration between North America and the Pacific, the demographic reconstruction program dadi</w:t>
      </w:r>
      <w:r w:rsidR="00F72147" w:rsidRPr="001A0367">
        <w:rPr>
          <w:rFonts w:ascii="Arial" w:hAnsi="Arial" w:cs="Arial"/>
          <w:sz w:val="22"/>
          <w:szCs w:val="22"/>
        </w:rPr>
        <w:t xml:space="preserve"> (Gutenkunst et al. 2009)</w:t>
      </w:r>
      <w:r w:rsidRPr="001A0367">
        <w:rPr>
          <w:rFonts w:ascii="Arial" w:hAnsi="Arial" w:cs="Arial"/>
          <w:sz w:val="22"/>
          <w:szCs w:val="22"/>
        </w:rPr>
        <w:t xml:space="preserve"> was used to estimate the demographic history of the North American and Hawaiian samples.</w:t>
      </w:r>
      <w:r w:rsidR="00546852">
        <w:rPr>
          <w:rFonts w:ascii="Arial" w:hAnsi="Arial" w:cs="Arial"/>
          <w:sz w:val="22"/>
          <w:szCs w:val="22"/>
        </w:rPr>
        <w:t xml:space="preserve"> </w:t>
      </w:r>
      <w:r w:rsidR="00546852" w:rsidRPr="00546852">
        <w:rPr>
          <w:rFonts w:ascii="Arial" w:hAnsi="Arial" w:cs="Arial"/>
          <w:sz w:val="22"/>
          <w:szCs w:val="22"/>
          <w:highlight w:val="yellow"/>
        </w:rPr>
        <w:t>We chose to focus on Hawaii since prior work has suggested that the island chain was likely the first in the Pacific colonized by monarchs (Zhan et al. 2014), and thus the timing of the monarch introduction there represents the minimum time for any introductions in the Pacific.</w:t>
      </w:r>
      <w:r w:rsidR="00546852">
        <w:rPr>
          <w:rFonts w:ascii="Arial" w:hAnsi="Arial" w:cs="Arial"/>
          <w:sz w:val="22"/>
          <w:szCs w:val="22"/>
        </w:rPr>
        <w:t xml:space="preserve"> </w:t>
      </w:r>
      <w:r w:rsidRPr="001A0367">
        <w:rPr>
          <w:rFonts w:ascii="Arial" w:hAnsi="Arial" w:cs="Arial"/>
          <w:sz w:val="22"/>
          <w:szCs w:val="22"/>
        </w:rPr>
        <w:t xml:space="preserve">In order to reduce potential </w:t>
      </w:r>
      <w:r w:rsidRPr="001A0367">
        <w:rPr>
          <w:rFonts w:ascii="Arial" w:hAnsi="Arial" w:cs="Arial"/>
          <w:sz w:val="22"/>
          <w:szCs w:val="22"/>
        </w:rPr>
        <w:lastRenderedPageBreak/>
        <w:t xml:space="preserve">bias due to linkage, filtered SNPs were randomly subsampled such that no </w:t>
      </w:r>
      <w:r w:rsidR="007F338C">
        <w:rPr>
          <w:rFonts w:ascii="Arial" w:hAnsi="Arial" w:cs="Arial"/>
          <w:sz w:val="22"/>
          <w:szCs w:val="22"/>
        </w:rPr>
        <w:t>locus</w:t>
      </w:r>
      <w:r w:rsidR="007F338C" w:rsidRPr="001A0367">
        <w:rPr>
          <w:rFonts w:ascii="Arial" w:hAnsi="Arial" w:cs="Arial"/>
          <w:sz w:val="22"/>
          <w:szCs w:val="22"/>
        </w:rPr>
        <w:t xml:space="preserve"> </w:t>
      </w:r>
      <w:r w:rsidRPr="001A0367">
        <w:rPr>
          <w:rFonts w:ascii="Arial" w:hAnsi="Arial" w:cs="Arial"/>
          <w:sz w:val="22"/>
          <w:szCs w:val="22"/>
        </w:rPr>
        <w:t>was within 10,000</w:t>
      </w:r>
      <w:r w:rsidR="00F72147" w:rsidRPr="001A0367">
        <w:rPr>
          <w:rFonts w:ascii="Arial" w:hAnsi="Arial" w:cs="Arial"/>
          <w:sz w:val="22"/>
          <w:szCs w:val="22"/>
        </w:rPr>
        <w:t xml:space="preserve"> </w:t>
      </w:r>
      <w:r w:rsidRPr="001A0367">
        <w:rPr>
          <w:rFonts w:ascii="Arial" w:hAnsi="Arial" w:cs="Arial"/>
          <w:sz w:val="22"/>
          <w:szCs w:val="22"/>
        </w:rPr>
        <w:t xml:space="preserve">bp of </w:t>
      </w:r>
      <w:r w:rsidR="007F338C">
        <w:rPr>
          <w:rFonts w:ascii="Arial" w:hAnsi="Arial" w:cs="Arial"/>
          <w:sz w:val="22"/>
          <w:szCs w:val="22"/>
        </w:rPr>
        <w:t>another using a custom R script</w:t>
      </w:r>
      <w:r w:rsidRPr="001A0367">
        <w:rPr>
          <w:rFonts w:ascii="Arial" w:hAnsi="Arial" w:cs="Arial"/>
          <w:sz w:val="22"/>
          <w:szCs w:val="22"/>
        </w:rPr>
        <w:t xml:space="preserve">. The resulting 11,384 SNPs were then projected down to a sample size of 100 gene copies from North America and 10 from Hawaii, resulting in 9370 total SNPs. These projection numbers were picked to maximize the remaining number of SNPs in the dataset. </w:t>
      </w:r>
    </w:p>
    <w:p w14:paraId="435ED337" w14:textId="25C6B5B4" w:rsidR="00BE6BC8" w:rsidRPr="001A0367" w:rsidRDefault="003F0723" w:rsidP="001A0367">
      <w:pPr>
        <w:spacing w:line="276"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set described in the dadi_pipeline</w:t>
      </w:r>
      <w:r w:rsidR="00F72147" w:rsidRPr="001A0367">
        <w:rPr>
          <w:rFonts w:ascii="Arial" w:hAnsi="Arial" w:cs="Arial"/>
          <w:sz w:val="22"/>
          <w:szCs w:val="22"/>
        </w:rPr>
        <w:t xml:space="preserve"> (Portik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s, as well as the two dadi_pipeline models which performed well, are</w:t>
      </w:r>
      <w:r w:rsidR="00DF611A" w:rsidRPr="001A0367">
        <w:rPr>
          <w:rFonts w:ascii="Arial" w:hAnsi="Arial" w:cs="Arial"/>
          <w:sz w:val="22"/>
          <w:szCs w:val="22"/>
        </w:rPr>
        <w:t xml:space="preserve"> shown in greater detail in </w:t>
      </w:r>
      <w:r w:rsidR="00DF611A" w:rsidRPr="001A0367">
        <w:rPr>
          <w:rFonts w:ascii="Arial" w:hAnsi="Arial" w:cs="Arial"/>
          <w:sz w:val="22"/>
          <w:szCs w:val="22"/>
          <w:highlight w:val="white"/>
        </w:rPr>
        <w:t>Figure S1.</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growth trajectory, we also ran each of the dadi_pipeline models with a logistic population growth equation rather than the exponential growth variant defined in the original models. </w:t>
      </w:r>
      <w:r w:rsidR="00DF611A" w:rsidRPr="001A0367">
        <w:rPr>
          <w:rFonts w:ascii="Arial" w:hAnsi="Arial" w:cs="Arial"/>
          <w:sz w:val="22"/>
          <w:szCs w:val="22"/>
        </w:rPr>
        <w:t>Each of the dadi_pipeline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(dadi_pipeline)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DF611A" w:rsidRPr="001A0367">
        <w:rPr>
          <w:rFonts w:ascii="Arial" w:hAnsi="Arial" w:cs="Arial"/>
          <w:sz w:val="22"/>
          <w:szCs w:val="22"/>
          <w:highlight w:val="white"/>
        </w:rPr>
        <w:t xml:space="preserve">Graphical depictions of the dadi_pipeline models are available </w:t>
      </w:r>
      <w:r w:rsidR="00BE6BC8" w:rsidRPr="001A0367">
        <w:rPr>
          <w:rFonts w:ascii="Arial" w:hAnsi="Arial" w:cs="Arial"/>
          <w:sz w:val="22"/>
          <w:szCs w:val="22"/>
          <w:highlight w:val="white"/>
        </w:rPr>
        <w:t xml:space="preserve">in </w:t>
      </w:r>
      <w:r w:rsidR="00F72147" w:rsidRPr="001A0367">
        <w:rPr>
          <w:rFonts w:ascii="Arial" w:hAnsi="Arial" w:cs="Arial"/>
          <w:sz w:val="22"/>
          <w:szCs w:val="22"/>
          <w:highlight w:val="white"/>
        </w:rPr>
        <w:t xml:space="preserve">Portik et al. (2017) and Charles et al. (2018). </w:t>
      </w:r>
    </w:p>
    <w:p w14:paraId="5AB20E90" w14:textId="550FF47F" w:rsidR="00BE6BC8" w:rsidRPr="001A0367" w:rsidRDefault="00BE6BC8"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optimize the models we fit during the analysis, we used a variation on dadi_pipeline, the sequential step-down parameter permutation approach described by Portik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48hrs and are included in the results</w:t>
      </w:r>
      <w:r w:rsidR="002D353D">
        <w:rPr>
          <w:rFonts w:ascii="Arial" w:hAnsi="Arial" w:cs="Arial"/>
          <w:sz w:val="22"/>
          <w:szCs w:val="22"/>
        </w:rPr>
        <w:t xml:space="preserve"> (Table </w:t>
      </w:r>
      <w:r w:rsidR="002D353D" w:rsidRPr="003169AB">
        <w:rPr>
          <w:rFonts w:ascii="Arial" w:hAnsi="Arial" w:cs="Arial"/>
          <w:sz w:val="22"/>
          <w:szCs w:val="22"/>
        </w:rPr>
        <w:t>S</w:t>
      </w:r>
      <w:r w:rsidR="00B609B0">
        <w:rPr>
          <w:rFonts w:ascii="Arial" w:hAnsi="Arial" w:cs="Arial"/>
          <w:sz w:val="22"/>
          <w:szCs w:val="22"/>
        </w:rPr>
        <w:t>5</w:t>
      </w:r>
      <w:r w:rsidR="002D353D">
        <w:rPr>
          <w:rFonts w:ascii="Arial" w:hAnsi="Arial" w:cs="Arial"/>
          <w:sz w:val="22"/>
          <w:szCs w:val="22"/>
        </w:rPr>
        <w:t>)</w:t>
      </w:r>
      <w:r w:rsidRPr="001A0367">
        <w:rPr>
          <w:rFonts w:ascii="Arial" w:hAnsi="Arial" w:cs="Arial"/>
          <w:sz w:val="22"/>
          <w:szCs w:val="22"/>
        </w:rPr>
        <w:t xml:space="preserve">. </w:t>
      </w:r>
    </w:p>
    <w:p w14:paraId="0C353A50" w14:textId="0C4D441A" w:rsidR="00355224" w:rsidRPr="001A0367" w:rsidRDefault="00BE6BC8" w:rsidP="001A0367">
      <w:pPr>
        <w:spacing w:line="276"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1A0367" w:rsidRPr="001A0367">
        <w:rPr>
          <w:rFonts w:ascii="Arial" w:hAnsi="Arial" w:cs="Arial"/>
          <w:sz w:val="22"/>
          <w:szCs w:val="22"/>
        </w:rPr>
        <w:t xml:space="preserve"> (Haag-Liautard et al. 2007)</w:t>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 xml:space="preserve">. Using a potentially more realistic generation time of 7 generations per year resulted in more recent divergence times, and using the slower mutation rate reported for the more closely related </w:t>
      </w:r>
      <w:r w:rsidRPr="001A0367">
        <w:rPr>
          <w:rFonts w:ascii="Arial" w:hAnsi="Arial" w:cs="Arial"/>
          <w:i/>
          <w:iCs/>
          <w:sz w:val="22"/>
          <w:szCs w:val="22"/>
        </w:rPr>
        <w:t>Heliconius melpomene</w:t>
      </w:r>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(Keightley et al. 2015)</w:t>
      </w:r>
      <w:r w:rsidRPr="001A0367">
        <w:rPr>
          <w:rFonts w:ascii="Arial" w:hAnsi="Arial" w:cs="Arial"/>
          <w:sz w:val="22"/>
          <w:szCs w:val="22"/>
        </w:rP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w:t>
      </w:r>
      <w:r w:rsidRPr="001A0367">
        <w:rPr>
          <w:rFonts w:ascii="Arial" w:hAnsi="Arial" w:cs="Arial"/>
          <w:sz w:val="22"/>
          <w:szCs w:val="22"/>
        </w:rPr>
        <w:lastRenderedPageBreak/>
        <w:t>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p>
    <w:p w14:paraId="710AC71B" w14:textId="31221D29"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w:t>
      </w:r>
      <w:r w:rsidR="00D01CDC" w:rsidRPr="001A0367">
        <w:rPr>
          <w:rFonts w:ascii="Arial" w:hAnsi="Arial" w:cs="Arial"/>
          <w:sz w:val="22"/>
          <w:szCs w:val="22"/>
        </w:rPr>
        <w:t>simple</w:t>
      </w:r>
      <w:r w:rsidRPr="001A0367">
        <w:rPr>
          <w:rFonts w:ascii="Arial" w:hAnsi="Arial" w:cs="Arial"/>
          <w:sz w:val="22"/>
          <w:szCs w:val="22"/>
        </w:rPr>
        <w:t xml:space="preserve"> </w:t>
      </w:r>
      <w:r w:rsidR="0019445A">
        <w:rPr>
          <w:rFonts w:ascii="Arial" w:hAnsi="Arial" w:cs="Arial"/>
          <w:i/>
          <w:sz w:val="22"/>
          <w:szCs w:val="22"/>
        </w:rPr>
        <w:t>Found and Grow</w:t>
      </w:r>
      <w:r w:rsidRPr="001A0367">
        <w:rPr>
          <w:rFonts w:ascii="Arial" w:hAnsi="Arial" w:cs="Arial"/>
          <w:sz w:val="22"/>
          <w:szCs w:val="22"/>
        </w:rPr>
        <w:t xml:space="preserve"> scenario (Figure S1a)</w:t>
      </w:r>
      <w:r w:rsidR="00D01CDC" w:rsidRPr="001A0367">
        <w:rPr>
          <w:rFonts w:ascii="Arial" w:hAnsi="Arial" w:cs="Arial"/>
          <w:sz w:val="22"/>
          <w:szCs w:val="22"/>
        </w:rPr>
        <w:t xml:space="preserve">, </w:t>
      </w:r>
      <w:r w:rsidRPr="001A0367">
        <w:rPr>
          <w:rFonts w:ascii="Arial" w:hAnsi="Arial" w:cs="Arial"/>
          <w:sz w:val="22"/>
          <w:szCs w:val="22"/>
        </w:rPr>
        <w:t>which had a constant ancestral population size in North America, Hawaii colonization, and then population growth in both sites</w:t>
      </w:r>
      <w:r w:rsidR="00D01CDC" w:rsidRPr="001A0367">
        <w:rPr>
          <w:rFonts w:ascii="Arial" w:hAnsi="Arial" w:cs="Arial"/>
          <w:sz w:val="22"/>
          <w:szCs w:val="22"/>
        </w:rPr>
        <w:t xml:space="preserve">, </w:t>
      </w:r>
      <w:r w:rsidRPr="001A0367">
        <w:rPr>
          <w:rFonts w:ascii="Arial" w:hAnsi="Arial" w:cs="Arial"/>
          <w:sz w:val="22"/>
          <w:szCs w:val="22"/>
        </w:rPr>
        <w:t>produced the lowest AIC scores on the final pass of the pipeline</w:t>
      </w:r>
      <w:r w:rsidR="00546852">
        <w:rPr>
          <w:rFonts w:ascii="Arial" w:hAnsi="Arial" w:cs="Arial"/>
          <w:sz w:val="22"/>
          <w:szCs w:val="22"/>
        </w:rPr>
        <w:t xml:space="preserve"> (Figure S2)</w:t>
      </w:r>
      <w:r w:rsidRPr="001A0367">
        <w:rPr>
          <w:rFonts w:ascii="Arial" w:hAnsi="Arial" w:cs="Arial"/>
          <w:sz w:val="22"/>
          <w:szCs w:val="22"/>
        </w:rPr>
        <w:t xml:space="preserve">. However, the </w:t>
      </w:r>
      <w:r w:rsidR="0019445A">
        <w:rPr>
          <w:rFonts w:ascii="Arial" w:hAnsi="Arial" w:cs="Arial"/>
          <w:i/>
          <w:iCs/>
          <w:sz w:val="22"/>
          <w:szCs w:val="22"/>
        </w:rPr>
        <w:t>Two Epoch</w:t>
      </w:r>
      <w:r w:rsidR="00850235">
        <w:rPr>
          <w:rFonts w:ascii="Arial" w:hAnsi="Arial" w:cs="Arial"/>
          <w:i/>
          <w:iCs/>
          <w:sz w:val="22"/>
          <w:szCs w:val="22"/>
        </w:rPr>
        <w:t xml:space="preserve"> </w:t>
      </w:r>
      <w:r w:rsidR="00850235">
        <w:rPr>
          <w:rFonts w:ascii="Arial" w:hAnsi="Arial" w:cs="Arial"/>
          <w:sz w:val="22"/>
          <w:szCs w:val="22"/>
        </w:rPr>
        <w:t>model, which had a single admixture event but no consistent migration (Figure S1b), had the lowest AIC score across all passes of the pipeline. The</w:t>
      </w:r>
      <w:r w:rsidR="00850235">
        <w:rPr>
          <w:rFonts w:ascii="Arial" w:hAnsi="Arial" w:cs="Arial"/>
          <w:i/>
          <w:iCs/>
          <w:sz w:val="22"/>
          <w:szCs w:val="22"/>
        </w:rPr>
        <w:t xml:space="preserve"> </w:t>
      </w:r>
      <w:r w:rsidRPr="001A0367">
        <w:rPr>
          <w:rFonts w:ascii="Arial" w:hAnsi="Arial" w:cs="Arial"/>
          <w:sz w:val="22"/>
          <w:szCs w:val="22"/>
        </w:rPr>
        <w:t xml:space="preserve">new </w:t>
      </w:r>
      <w:r w:rsidR="0019445A">
        <w:rPr>
          <w:rFonts w:ascii="Arial" w:hAnsi="Arial" w:cs="Arial"/>
          <w:i/>
          <w:sz w:val="22"/>
          <w:szCs w:val="22"/>
        </w:rPr>
        <w:t>Three Epoch</w:t>
      </w:r>
      <w:r w:rsidRPr="001A0367">
        <w:rPr>
          <w:rFonts w:ascii="Arial" w:hAnsi="Arial" w:cs="Arial"/>
          <w:i/>
          <w:sz w:val="22"/>
          <w:szCs w:val="22"/>
        </w:rPr>
        <w:t xml:space="preserve"> </w:t>
      </w:r>
      <w:r w:rsidR="001A48F9">
        <w:rPr>
          <w:rFonts w:ascii="Arial" w:hAnsi="Arial" w:cs="Arial"/>
          <w:iCs/>
          <w:sz w:val="22"/>
          <w:szCs w:val="22"/>
        </w:rPr>
        <w:t>model</w:t>
      </w:r>
      <w:r w:rsidR="00546852">
        <w:rPr>
          <w:rFonts w:ascii="Arial" w:hAnsi="Arial" w:cs="Arial"/>
          <w:iCs/>
          <w:sz w:val="22"/>
          <w:szCs w:val="22"/>
        </w:rPr>
        <w:t xml:space="preserve"> (Figure 2c)</w:t>
      </w:r>
      <w:r w:rsidR="00D01CDC" w:rsidRPr="001A0367">
        <w:rPr>
          <w:rFonts w:ascii="Arial" w:hAnsi="Arial" w:cs="Arial"/>
          <w:sz w:val="22"/>
          <w:szCs w:val="22"/>
        </w:rPr>
        <w:t xml:space="preserve">, </w:t>
      </w:r>
      <w:r w:rsidRPr="001A0367">
        <w:rPr>
          <w:rFonts w:ascii="Arial" w:hAnsi="Arial" w:cs="Arial"/>
          <w:sz w:val="22"/>
          <w:szCs w:val="22"/>
        </w:rPr>
        <w:t>which involved multiple rounds of demographic expansion in the ancestral North American population, followed by colonization and growth in Hawaii</w:t>
      </w:r>
      <w:r w:rsidR="00D01CDC" w:rsidRPr="001A0367">
        <w:rPr>
          <w:rFonts w:ascii="Arial" w:hAnsi="Arial" w:cs="Arial"/>
          <w:sz w:val="22"/>
          <w:szCs w:val="22"/>
        </w:rPr>
        <w:t xml:space="preserve">, </w:t>
      </w:r>
      <w:r w:rsidR="00850235">
        <w:rPr>
          <w:rFonts w:ascii="Arial" w:hAnsi="Arial" w:cs="Arial"/>
          <w:sz w:val="22"/>
          <w:szCs w:val="22"/>
        </w:rPr>
        <w:t xml:space="preserve">had a lower AIC score than </w:t>
      </w:r>
      <w:r w:rsidR="0019445A">
        <w:rPr>
          <w:rFonts w:ascii="Arial" w:hAnsi="Arial" w:cs="Arial"/>
          <w:i/>
          <w:iCs/>
          <w:sz w:val="22"/>
          <w:szCs w:val="22"/>
        </w:rPr>
        <w:t>Found and Grow</w:t>
      </w:r>
      <w:r w:rsidR="00850235">
        <w:rPr>
          <w:rFonts w:ascii="Arial" w:hAnsi="Arial" w:cs="Arial"/>
          <w:i/>
          <w:iCs/>
          <w:sz w:val="22"/>
          <w:szCs w:val="22"/>
        </w:rPr>
        <w:t xml:space="preserve"> </w:t>
      </w:r>
      <w:r w:rsidR="00850235">
        <w:rPr>
          <w:rFonts w:ascii="Arial" w:hAnsi="Arial" w:cs="Arial"/>
          <w:sz w:val="22"/>
          <w:szCs w:val="22"/>
        </w:rPr>
        <w:t>across all</w:t>
      </w:r>
      <w:r w:rsidR="00546852">
        <w:rPr>
          <w:rFonts w:ascii="Arial" w:hAnsi="Arial" w:cs="Arial"/>
          <w:sz w:val="22"/>
          <w:szCs w:val="22"/>
        </w:rPr>
        <w:t xml:space="preserve"> </w:t>
      </w:r>
      <w:r w:rsidR="00850235">
        <w:rPr>
          <w:rFonts w:ascii="Arial" w:hAnsi="Arial" w:cs="Arial"/>
          <w:sz w:val="22"/>
          <w:szCs w:val="22"/>
        </w:rPr>
        <w:t xml:space="preserve">passes and a lower AIC score than the </w:t>
      </w:r>
      <w:r w:rsidR="0019445A">
        <w:rPr>
          <w:rFonts w:ascii="Arial" w:hAnsi="Arial" w:cs="Arial"/>
          <w:i/>
          <w:iCs/>
          <w:sz w:val="22"/>
          <w:szCs w:val="22"/>
        </w:rPr>
        <w:t>Two Epoch</w:t>
      </w:r>
      <w:r w:rsidR="001A48F9">
        <w:rPr>
          <w:rFonts w:ascii="Arial" w:hAnsi="Arial" w:cs="Arial"/>
          <w:sz w:val="22"/>
          <w:szCs w:val="22"/>
        </w:rPr>
        <w:t xml:space="preserve"> model</w:t>
      </w:r>
      <w:r w:rsidR="00850235" w:rsidRPr="001A48F9">
        <w:rPr>
          <w:rFonts w:ascii="Arial" w:hAnsi="Arial" w:cs="Arial"/>
          <w:sz w:val="22"/>
          <w:szCs w:val="22"/>
        </w:rPr>
        <w:t xml:space="preserve"> on the final pass</w:t>
      </w:r>
      <w:r w:rsidR="00850235">
        <w:rPr>
          <w:rFonts w:ascii="Arial" w:hAnsi="Arial" w:cs="Arial"/>
          <w:i/>
          <w:iCs/>
          <w:sz w:val="22"/>
          <w:szCs w:val="22"/>
        </w:rPr>
        <w:t xml:space="preserve"> </w:t>
      </w:r>
      <w:r w:rsidR="00850235" w:rsidRPr="001A48F9">
        <w:rPr>
          <w:rFonts w:ascii="Arial" w:hAnsi="Arial" w:cs="Arial"/>
          <w:sz w:val="22"/>
          <w:szCs w:val="22"/>
        </w:rPr>
        <w:t>(Figure S2)</w:t>
      </w:r>
      <w:r w:rsidR="00850235">
        <w:rPr>
          <w:rFonts w:ascii="Arial" w:hAnsi="Arial" w:cs="Arial"/>
          <w:i/>
          <w:iCs/>
          <w:sz w:val="22"/>
          <w:szCs w:val="22"/>
        </w:rPr>
        <w:t xml:space="preserve">. </w:t>
      </w:r>
      <w:r w:rsidR="00850235">
        <w:rPr>
          <w:rFonts w:ascii="Arial" w:hAnsi="Arial" w:cs="Arial"/>
          <w:sz w:val="22"/>
          <w:szCs w:val="22"/>
        </w:rPr>
        <w:t>These three models were top three models across all passes and in the final pass alone</w:t>
      </w:r>
      <w:r w:rsidR="00850235">
        <w:rPr>
          <w:rFonts w:ascii="Arial" w:hAnsi="Arial" w:cs="Arial"/>
          <w:i/>
          <w:iCs/>
          <w:sz w:val="22"/>
          <w:szCs w:val="22"/>
        </w:rPr>
        <w:t xml:space="preserve"> </w:t>
      </w:r>
      <w:r w:rsidRPr="001A0367">
        <w:rPr>
          <w:rFonts w:ascii="Arial" w:hAnsi="Arial" w:cs="Arial"/>
          <w:sz w:val="22"/>
          <w:szCs w:val="22"/>
        </w:rPr>
        <w:t>(Figure S2</w:t>
      </w:r>
      <w:r w:rsidR="00850235">
        <w:rPr>
          <w:rFonts w:ascii="Arial" w:hAnsi="Arial" w:cs="Arial"/>
          <w:sz w:val="22"/>
          <w:szCs w:val="22"/>
        </w:rPr>
        <w:t xml:space="preserve">, Table </w:t>
      </w:r>
      <w:r w:rsidR="00850235" w:rsidRPr="003169AB">
        <w:rPr>
          <w:rFonts w:ascii="Arial" w:hAnsi="Arial" w:cs="Arial"/>
          <w:sz w:val="22"/>
          <w:szCs w:val="22"/>
        </w:rPr>
        <w:t>S</w:t>
      </w:r>
      <w:r w:rsidR="00546852">
        <w:rPr>
          <w:rFonts w:ascii="Arial" w:hAnsi="Arial" w:cs="Arial"/>
          <w:sz w:val="22"/>
          <w:szCs w:val="22"/>
        </w:rPr>
        <w:t>4</w:t>
      </w:r>
      <w:r w:rsidRPr="001A0367">
        <w:rPr>
          <w:rFonts w:ascii="Arial" w:hAnsi="Arial" w:cs="Arial"/>
          <w:sz w:val="22"/>
          <w:szCs w:val="22"/>
        </w:rPr>
        <w:t xml:space="preserve">). </w:t>
      </w:r>
      <w:r w:rsidR="00D01CDC" w:rsidRPr="001A0367">
        <w:rPr>
          <w:rFonts w:ascii="Arial" w:hAnsi="Arial" w:cs="Arial"/>
          <w:sz w:val="22"/>
          <w:szCs w:val="22"/>
        </w:rPr>
        <w:t>T</w:t>
      </w:r>
      <w:r w:rsidRPr="001A0367">
        <w:rPr>
          <w:rFonts w:ascii="Arial" w:hAnsi="Arial" w:cs="Arial"/>
          <w:sz w:val="22"/>
          <w:szCs w:val="22"/>
        </w:rPr>
        <w:t xml:space="preserve">he </w:t>
      </w:r>
      <w:r w:rsidR="0019445A">
        <w:rPr>
          <w:rFonts w:ascii="Arial" w:hAnsi="Arial" w:cs="Arial"/>
          <w:i/>
          <w:sz w:val="22"/>
          <w:szCs w:val="22"/>
        </w:rPr>
        <w:t>Three Epoch</w:t>
      </w:r>
      <w:r w:rsidRPr="001A0367">
        <w:rPr>
          <w:rFonts w:ascii="Arial" w:hAnsi="Arial" w:cs="Arial"/>
          <w:sz w:val="22"/>
          <w:szCs w:val="22"/>
        </w:rPr>
        <w:t xml:space="preserve"> model is a more complex version of the model specified in </w:t>
      </w:r>
      <w:r w:rsidR="002706B4" w:rsidRPr="001A0367">
        <w:rPr>
          <w:rFonts w:ascii="Arial" w:hAnsi="Arial" w:cs="Arial"/>
          <w:sz w:val="22"/>
          <w:szCs w:val="22"/>
        </w:rPr>
        <w:t>Zhan et al. (2014</w:t>
      </w:r>
      <w:r w:rsidR="00850235">
        <w:rPr>
          <w:rFonts w:ascii="Arial" w:hAnsi="Arial" w:cs="Arial"/>
          <w:sz w:val="22"/>
          <w:szCs w:val="22"/>
        </w:rPr>
        <w:t xml:space="preserve">, hereafter </w:t>
      </w:r>
      <w:r w:rsidR="00850235">
        <w:rPr>
          <w:rFonts w:ascii="Arial" w:hAnsi="Arial" w:cs="Arial"/>
          <w:i/>
          <w:iCs/>
          <w:sz w:val="22"/>
          <w:szCs w:val="22"/>
        </w:rPr>
        <w:t>Zhan</w:t>
      </w:r>
      <w:r w:rsidR="002706B4" w:rsidRPr="001A0367">
        <w:rPr>
          <w:rFonts w:ascii="Arial" w:hAnsi="Arial" w:cs="Arial"/>
          <w:sz w:val="22"/>
          <w:szCs w:val="22"/>
        </w:rPr>
        <w:t>)</w:t>
      </w:r>
      <w:r w:rsidRPr="001A0367">
        <w:rPr>
          <w:rFonts w:ascii="Arial" w:hAnsi="Arial" w:cs="Arial"/>
          <w:sz w:val="22"/>
          <w:szCs w:val="22"/>
        </w:rPr>
        <w:t xml:space="preserve">. We report </w:t>
      </w:r>
      <w:r w:rsidR="007E643D" w:rsidRPr="001A0367">
        <w:rPr>
          <w:rFonts w:ascii="Arial" w:hAnsi="Arial" w:cs="Arial"/>
          <w:sz w:val="22"/>
          <w:szCs w:val="22"/>
        </w:rPr>
        <w:t xml:space="preserve">in detail </w:t>
      </w:r>
      <w:r w:rsidRPr="001A0367">
        <w:rPr>
          <w:rFonts w:ascii="Arial" w:hAnsi="Arial" w:cs="Arial"/>
          <w:sz w:val="22"/>
          <w:szCs w:val="22"/>
        </w:rPr>
        <w:t xml:space="preserve">the results of the </w:t>
      </w:r>
      <w:r w:rsidR="0019445A">
        <w:rPr>
          <w:rFonts w:ascii="Arial" w:hAnsi="Arial" w:cs="Arial"/>
          <w:i/>
          <w:sz w:val="22"/>
          <w:szCs w:val="22"/>
        </w:rPr>
        <w:t>Found and Grow</w:t>
      </w:r>
      <w:r w:rsidR="00850235">
        <w:rPr>
          <w:rFonts w:ascii="Arial" w:hAnsi="Arial" w:cs="Arial"/>
          <w:sz w:val="22"/>
          <w:szCs w:val="22"/>
        </w:rPr>
        <w:t xml:space="preserve">, </w:t>
      </w:r>
      <w:r w:rsidR="0019445A">
        <w:rPr>
          <w:rFonts w:ascii="Arial" w:hAnsi="Arial" w:cs="Arial"/>
          <w:i/>
          <w:sz w:val="22"/>
          <w:szCs w:val="22"/>
        </w:rPr>
        <w:t>Three Epoch</w:t>
      </w:r>
      <w:r w:rsidR="00850235">
        <w:rPr>
          <w:rFonts w:ascii="Arial" w:hAnsi="Arial" w:cs="Arial"/>
          <w:i/>
          <w:sz w:val="22"/>
          <w:szCs w:val="22"/>
        </w:rPr>
        <w:t xml:space="preserve">, </w:t>
      </w:r>
      <w:r w:rsidR="0019445A">
        <w:rPr>
          <w:rFonts w:ascii="Arial" w:hAnsi="Arial" w:cs="Arial"/>
          <w:i/>
          <w:sz w:val="22"/>
          <w:szCs w:val="22"/>
        </w:rPr>
        <w:t>Two Epoch</w:t>
      </w:r>
      <w:r w:rsidR="00850235">
        <w:rPr>
          <w:rFonts w:ascii="Arial" w:hAnsi="Arial" w:cs="Arial"/>
          <w:i/>
          <w:sz w:val="22"/>
          <w:szCs w:val="22"/>
        </w:rPr>
        <w:t>, and Zhan</w:t>
      </w:r>
      <w:r w:rsidRPr="001A0367">
        <w:rPr>
          <w:rFonts w:ascii="Arial" w:hAnsi="Arial" w:cs="Arial"/>
          <w:sz w:val="22"/>
          <w:szCs w:val="22"/>
        </w:rPr>
        <w:t xml:space="preserve"> models and, where relevant, highlight discrepancies in the inferences that they produce.</w:t>
      </w:r>
    </w:p>
    <w:p w14:paraId="458551EA"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6A468A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1A0367">
      <w:pPr>
        <w:spacing w:line="276" w:lineRule="auto"/>
        <w:rPr>
          <w:rFonts w:ascii="Arial" w:hAnsi="Arial" w:cs="Arial"/>
          <w:i/>
          <w:sz w:val="22"/>
          <w:szCs w:val="22"/>
        </w:rPr>
      </w:pPr>
    </w:p>
    <w:p w14:paraId="5834C883" w14:textId="036E81BC" w:rsidR="00355224" w:rsidRPr="001A0367" w:rsidRDefault="003F0723" w:rsidP="001A0367">
      <w:pPr>
        <w:spacing w:line="276"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Pr="001A0367" w:rsidRDefault="00355224" w:rsidP="001A0367">
      <w:pPr>
        <w:spacing w:line="276" w:lineRule="auto"/>
        <w:jc w:val="center"/>
        <w:rPr>
          <w:rFonts w:ascii="Arial" w:hAnsi="Arial" w:cs="Arial"/>
          <w:b/>
          <w:sz w:val="22"/>
          <w:szCs w:val="22"/>
          <w:u w:val="single"/>
        </w:rPr>
      </w:pPr>
    </w:p>
    <w:p w14:paraId="3B27EEE8" w14:textId="5636C80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0B913E8F" w14:textId="149CE3CA"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s of expansion (Figure 1a).</w:t>
      </w:r>
      <w:r w:rsidR="00A052EC">
        <w:rPr>
          <w:rFonts w:ascii="Arial" w:hAnsi="Arial" w:cs="Arial"/>
          <w:sz w:val="22"/>
          <w:szCs w:val="22"/>
        </w:rPr>
        <w:t xml:space="preserve"> NGSadmix results showed a similar result,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At K = 9, nearly all North American samples were given some degree hybrid ancestry, which is likely a nonsense split of the population with the most genetic diversity.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although we were not able to estimate ΔK for K = 3 due to very low likelihood variance between runs at those Ks (Figure S6)</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A0367">
        <w:rPr>
          <w:rFonts w:ascii="Arial" w:eastAsia="Roboto" w:hAnsi="Arial" w:cs="Arial"/>
          <w:b/>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S3). Genetic diversity (π, H</w:t>
      </w:r>
      <w:r w:rsidRPr="001A0367">
        <w:rPr>
          <w:rFonts w:ascii="Arial" w:hAnsi="Arial" w:cs="Arial"/>
          <w:sz w:val="22"/>
          <w:szCs w:val="22"/>
          <w:vertAlign w:val="subscript"/>
        </w:rPr>
        <w:t>O</w:t>
      </w:r>
      <w:r w:rsidRPr="001A0367">
        <w:rPr>
          <w:rFonts w:ascii="Arial" w:hAnsi="Arial" w:cs="Arial"/>
          <w:sz w:val="22"/>
          <w:szCs w:val="22"/>
        </w:rPr>
        <w:t xml:space="preserve">, and Het/Hom),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NGSadmix results</w:t>
      </w:r>
      <w:r w:rsidRPr="001A0367">
        <w:rPr>
          <w:rFonts w:ascii="Arial" w:hAnsi="Arial" w:cs="Arial"/>
          <w:sz w:val="22"/>
          <w:szCs w:val="22"/>
        </w:rPr>
        <w:t xml:space="preserve"> (Table S2, Figure 1b).</w:t>
      </w:r>
    </w:p>
    <w:p w14:paraId="5E19A746" w14:textId="77777777" w:rsidR="00355224" w:rsidRPr="001A0367" w:rsidRDefault="00355224" w:rsidP="001A0367">
      <w:pPr>
        <w:spacing w:line="276" w:lineRule="auto"/>
        <w:jc w:val="both"/>
        <w:rPr>
          <w:rFonts w:ascii="Arial" w:hAnsi="Arial" w:cs="Arial"/>
          <w:sz w:val="22"/>
          <w:szCs w:val="22"/>
        </w:rPr>
      </w:pPr>
    </w:p>
    <w:p w14:paraId="19331288" w14:textId="5A8873CE"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4BB90853" w14:textId="0338467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strongest between the </w:t>
      </w:r>
      <w:r w:rsidR="001B5296" w:rsidRPr="001A0367">
        <w:rPr>
          <w:rFonts w:ascii="Arial" w:hAnsi="Arial" w:cs="Arial"/>
          <w:sz w:val="22"/>
          <w:szCs w:val="22"/>
        </w:rPr>
        <w:t>Mariana Island</w:t>
      </w:r>
      <w:r w:rsidR="000235BA" w:rsidRPr="001A0367">
        <w:rPr>
          <w:rFonts w:ascii="Arial" w:hAnsi="Arial" w:cs="Arial"/>
          <w:sz w:val="22"/>
          <w:szCs w:val="22"/>
        </w:rPr>
        <w:t xml:space="preserve"> samples (p = 0.001), were present but not significant in Hawaii</w:t>
      </w:r>
      <w:r w:rsidR="00822D7E">
        <w:rPr>
          <w:rFonts w:ascii="Arial" w:hAnsi="Arial" w:cs="Arial"/>
          <w:sz w:val="22"/>
          <w:szCs w:val="22"/>
        </w:rPr>
        <w:t xml:space="preserve"> (p = 0.086)</w:t>
      </w:r>
      <w:r w:rsidR="000235BA" w:rsidRPr="001A0367">
        <w:rPr>
          <w:rFonts w:ascii="Arial" w:hAnsi="Arial" w:cs="Arial"/>
          <w:sz w:val="22"/>
          <w:szCs w:val="22"/>
        </w:rPr>
        <w:t xml:space="preserve"> and Australia (0.07</w:t>
      </w:r>
      <w:r w:rsidR="00822D7E">
        <w:rPr>
          <w:rFonts w:ascii="Arial" w:hAnsi="Arial" w:cs="Arial"/>
          <w:sz w:val="22"/>
          <w:szCs w:val="22"/>
        </w:rPr>
        <w:t>7</w:t>
      </w:r>
      <w:r w:rsidR="001B5296" w:rsidRPr="001A0367">
        <w:rPr>
          <w:rFonts w:ascii="Arial" w:hAnsi="Arial" w:cs="Arial"/>
          <w:sz w:val="22"/>
          <w:szCs w:val="22"/>
        </w:rPr>
        <w:t>) and</w:t>
      </w:r>
      <w:r w:rsidR="000235BA" w:rsidRPr="001A0367">
        <w:rPr>
          <w:rFonts w:ascii="Arial" w:hAnsi="Arial" w:cs="Arial"/>
          <w:sz w:val="22"/>
          <w:szCs w:val="22"/>
        </w:rPr>
        <w:t xml:space="preserve"> were absent in North America (p = 0.489).</w:t>
      </w:r>
    </w:p>
    <w:p w14:paraId="14812AF3"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15D47196"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p>
    <w:p w14:paraId="12163281" w14:textId="4F5900A1"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w:t>
      </w:r>
      <w:r w:rsidR="00850235">
        <w:rPr>
          <w:rFonts w:ascii="Arial" w:hAnsi="Arial" w:cs="Arial"/>
          <w:sz w:val="22"/>
          <w:szCs w:val="22"/>
        </w:rPr>
        <w:t>three</w:t>
      </w:r>
      <w:r w:rsidR="00850235" w:rsidRPr="001A0367">
        <w:rPr>
          <w:rFonts w:ascii="Arial" w:hAnsi="Arial" w:cs="Arial"/>
          <w:sz w:val="22"/>
          <w:szCs w:val="22"/>
        </w:rPr>
        <w:t xml:space="preserve"> </w:t>
      </w:r>
      <w:r w:rsidRPr="001A0367">
        <w:rPr>
          <w:rFonts w:ascii="Arial" w:hAnsi="Arial" w:cs="Arial"/>
          <w:sz w:val="22"/>
          <w:szCs w:val="22"/>
        </w:rPr>
        <w:t>best-performing demographic models (</w:t>
      </w:r>
      <w:r w:rsidR="0019445A">
        <w:rPr>
          <w:rFonts w:ascii="Arial" w:hAnsi="Arial" w:cs="Arial"/>
          <w:sz w:val="22"/>
          <w:szCs w:val="22"/>
        </w:rPr>
        <w:t>Found and Grow</w:t>
      </w:r>
      <w:r w:rsidRPr="001A0367">
        <w:rPr>
          <w:rFonts w:ascii="Arial" w:hAnsi="Arial" w:cs="Arial"/>
          <w:i/>
          <w:sz w:val="22"/>
          <w:szCs w:val="22"/>
        </w:rPr>
        <w:t xml:space="preserve">, </w:t>
      </w:r>
      <w:r w:rsidR="0019445A">
        <w:rPr>
          <w:rFonts w:ascii="Arial" w:hAnsi="Arial" w:cs="Arial"/>
          <w:i/>
          <w:sz w:val="22"/>
          <w:szCs w:val="22"/>
        </w:rPr>
        <w:t>Three Epoch</w:t>
      </w:r>
      <w:r w:rsidR="00850235">
        <w:rPr>
          <w:rFonts w:ascii="Arial" w:hAnsi="Arial" w:cs="Arial"/>
          <w:iCs/>
          <w:sz w:val="22"/>
          <w:szCs w:val="22"/>
        </w:rPr>
        <w:t xml:space="preserve">, and </w:t>
      </w:r>
      <w:r w:rsidR="0019445A">
        <w:rPr>
          <w:rFonts w:ascii="Arial" w:hAnsi="Arial" w:cs="Arial"/>
          <w:i/>
          <w:sz w:val="22"/>
          <w:szCs w:val="22"/>
        </w:rPr>
        <w:t>Two Epoch</w:t>
      </w:r>
      <w:r w:rsidRPr="001A0367">
        <w:rPr>
          <w:rFonts w:ascii="Arial" w:hAnsi="Arial" w:cs="Arial"/>
          <w:sz w:val="22"/>
          <w:szCs w:val="22"/>
        </w:rPr>
        <w:t xml:space="preserve">) </w:t>
      </w:r>
      <w:r w:rsidR="00A16EFC">
        <w:rPr>
          <w:rFonts w:ascii="Arial" w:hAnsi="Arial" w:cs="Arial"/>
          <w:sz w:val="22"/>
          <w:szCs w:val="22"/>
        </w:rPr>
        <w:t xml:space="preserve">and the </w:t>
      </w:r>
      <w:r w:rsidR="00A16EFC">
        <w:rPr>
          <w:rFonts w:ascii="Arial" w:hAnsi="Arial" w:cs="Arial"/>
          <w:i/>
          <w:iCs/>
          <w:sz w:val="22"/>
          <w:szCs w:val="22"/>
        </w:rPr>
        <w:t xml:space="preserve">Zhan </w:t>
      </w:r>
      <w:r w:rsidR="00A16EFC">
        <w:rPr>
          <w:rFonts w:ascii="Arial" w:hAnsi="Arial" w:cs="Arial"/>
          <w:sz w:val="22"/>
          <w:szCs w:val="22"/>
        </w:rPr>
        <w:t xml:space="preserve">model </w:t>
      </w:r>
      <w:r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Pr="001A0367">
        <w:rPr>
          <w:rFonts w:ascii="Arial" w:hAnsi="Arial" w:cs="Arial"/>
          <w:sz w:val="22"/>
          <w:szCs w:val="22"/>
        </w:rPr>
        <w:t xml:space="preserve"> model generally producing much broader estimates for these parameters. For example, the simpler </w:t>
      </w:r>
      <w:r w:rsidR="0019445A">
        <w:rPr>
          <w:rFonts w:ascii="Arial" w:hAnsi="Arial" w:cs="Arial"/>
          <w:i/>
          <w:sz w:val="22"/>
          <w:szCs w:val="22"/>
        </w:rPr>
        <w:t>Found and Grow</w:t>
      </w:r>
      <w:r w:rsidR="00A16EFC">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00850235">
        <w:rPr>
          <w:rFonts w:ascii="Arial" w:hAnsi="Arial" w:cs="Arial"/>
          <w:i/>
          <w:iCs/>
          <w:sz w:val="22"/>
          <w:szCs w:val="22"/>
        </w:rPr>
        <w:t xml:space="preserve"> </w:t>
      </w:r>
      <w:r w:rsidRPr="001A0367">
        <w:rPr>
          <w:rFonts w:ascii="Arial" w:hAnsi="Arial" w:cs="Arial"/>
          <w:sz w:val="22"/>
          <w:szCs w:val="22"/>
        </w:rPr>
        <w:t xml:space="preserve">models were consistent in indicating a founding time of approximately </w:t>
      </w:r>
      <w:r w:rsidR="00A16EFC" w:rsidRPr="00A16EFC">
        <w:rPr>
          <w:rFonts w:ascii="Arial" w:hAnsi="Arial" w:cs="Arial"/>
          <w:sz w:val="22"/>
          <w:szCs w:val="22"/>
        </w:rPr>
        <w:t>10</w:t>
      </w:r>
      <w:r w:rsidR="00A16EFC">
        <w:rPr>
          <w:rFonts w:ascii="Arial" w:hAnsi="Arial" w:cs="Arial"/>
          <w:sz w:val="22"/>
          <w:szCs w:val="22"/>
          <w:vertAlign w:val="superscript"/>
        </w:rPr>
        <w:t>4</w:t>
      </w:r>
      <w:r w:rsidR="00A16EFC">
        <w:rPr>
          <w:rFonts w:ascii="Arial" w:hAnsi="Arial" w:cs="Arial"/>
          <w:sz w:val="22"/>
          <w:szCs w:val="22"/>
        </w:rPr>
        <w:t>-</w:t>
      </w:r>
      <w:r w:rsidRPr="00A16EFC">
        <w:rPr>
          <w:rFonts w:ascii="Arial" w:hAnsi="Arial" w:cs="Arial"/>
          <w:sz w:val="22"/>
          <w:szCs w:val="22"/>
        </w:rPr>
        <w:t>10</w:t>
      </w:r>
      <w:r w:rsidRPr="00A16EFC">
        <w:rPr>
          <w:rFonts w:ascii="Arial" w:hAnsi="Arial" w:cs="Arial"/>
          <w:sz w:val="22"/>
          <w:szCs w:val="22"/>
          <w:vertAlign w:val="superscript"/>
        </w:rPr>
        <w:t>5</w:t>
      </w:r>
      <w:r w:rsidRPr="001A0367">
        <w:rPr>
          <w:rFonts w:ascii="Arial" w:hAnsi="Arial" w:cs="Arial"/>
          <w:sz w:val="22"/>
          <w:szCs w:val="22"/>
        </w:rPr>
        <w:t xml:space="preserve"> years ago, while the </w:t>
      </w:r>
      <w:r w:rsidR="0019445A">
        <w:rPr>
          <w:rFonts w:ascii="Arial" w:hAnsi="Arial" w:cs="Arial"/>
          <w:i/>
          <w:sz w:val="22"/>
          <w:szCs w:val="22"/>
        </w:rPr>
        <w:t>Three Epoch</w:t>
      </w:r>
      <w:r w:rsidRPr="001A0367">
        <w:rPr>
          <w:rFonts w:ascii="Arial" w:hAnsi="Arial" w:cs="Arial"/>
          <w:sz w:val="22"/>
          <w:szCs w:val="22"/>
        </w:rPr>
        <w:t xml:space="preserve"> model suggested establishment times that ranged between approximately 10</w:t>
      </w:r>
      <w:r w:rsidRPr="001A0367">
        <w:rPr>
          <w:rFonts w:ascii="Arial" w:hAnsi="Arial" w:cs="Arial"/>
          <w:sz w:val="22"/>
          <w:szCs w:val="22"/>
          <w:vertAlign w:val="superscript"/>
        </w:rPr>
        <w:t>2</w:t>
      </w:r>
      <w:r w:rsidRPr="001A0367">
        <w:rPr>
          <w:rFonts w:ascii="Arial" w:hAnsi="Arial" w:cs="Arial"/>
          <w:sz w:val="22"/>
          <w:szCs w:val="22"/>
        </w:rPr>
        <w:t xml:space="preserve"> to 10</w:t>
      </w:r>
      <w:r w:rsidRPr="001A0367">
        <w:rPr>
          <w:rFonts w:ascii="Arial" w:hAnsi="Arial" w:cs="Arial"/>
          <w:sz w:val="22"/>
          <w:szCs w:val="22"/>
          <w:vertAlign w:val="superscript"/>
        </w:rPr>
        <w:t>5</w:t>
      </w:r>
      <w:r w:rsidRPr="001A0367">
        <w:rPr>
          <w:rFonts w:ascii="Arial" w:hAnsi="Arial" w:cs="Arial"/>
          <w:sz w:val="22"/>
          <w:szCs w:val="22"/>
        </w:rPr>
        <w:t xml:space="preserve"> years ago (Fig</w:t>
      </w:r>
      <w:r w:rsidR="009A69BA">
        <w:rPr>
          <w:rFonts w:ascii="Arial" w:hAnsi="Arial" w:cs="Arial"/>
          <w:sz w:val="22"/>
          <w:szCs w:val="22"/>
        </w:rPr>
        <w:t>ure 2</w:t>
      </w:r>
      <w:r w:rsidRPr="001A0367">
        <w:rPr>
          <w:rFonts w:ascii="Arial" w:hAnsi="Arial" w:cs="Arial"/>
          <w:sz w:val="22"/>
          <w:szCs w:val="22"/>
        </w:rPr>
        <w:t xml:space="preserve">). Similarly, the </w:t>
      </w:r>
      <w:r w:rsidR="0019445A">
        <w:rPr>
          <w:rFonts w:ascii="Arial" w:hAnsi="Arial" w:cs="Arial"/>
          <w:i/>
          <w:iCs/>
          <w:sz w:val="22"/>
          <w:szCs w:val="22"/>
        </w:rPr>
        <w:t>Found and Grow</w:t>
      </w:r>
      <w:r w:rsidR="00A16EFC">
        <w:rPr>
          <w:rFonts w:ascii="Arial" w:hAnsi="Arial" w:cs="Arial"/>
          <w:sz w:val="22"/>
          <w:szCs w:val="22"/>
        </w:rPr>
        <w:t>,</w:t>
      </w:r>
      <w:r w:rsidR="0045465B">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Pr="001A0367">
        <w:rPr>
          <w:rFonts w:ascii="Arial" w:hAnsi="Arial" w:cs="Arial"/>
          <w:sz w:val="22"/>
          <w:szCs w:val="22"/>
        </w:rPr>
        <w:t>10</w:t>
      </w:r>
      <w:r w:rsidR="00A16EFC">
        <w:rPr>
          <w:rFonts w:ascii="Arial" w:hAnsi="Arial" w:cs="Arial"/>
          <w:sz w:val="22"/>
          <w:szCs w:val="22"/>
          <w:vertAlign w:val="superscript"/>
        </w:rPr>
        <w:t>6</w:t>
      </w:r>
      <w:r w:rsidRPr="001A0367">
        <w:rPr>
          <w:rFonts w:ascii="Arial" w:hAnsi="Arial" w:cs="Arial"/>
          <w:sz w:val="22"/>
          <w:szCs w:val="22"/>
        </w:rPr>
        <w:t xml:space="preserve"> individuals, while the </w:t>
      </w:r>
      <w:r w:rsidR="0019445A">
        <w:rPr>
          <w:rFonts w:ascii="Arial" w:hAnsi="Arial" w:cs="Arial"/>
          <w:i/>
          <w:sz w:val="22"/>
          <w:szCs w:val="22"/>
        </w:rPr>
        <w:t>Three Epoch</w:t>
      </w:r>
      <w:r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Pr="001A0367">
        <w:rPr>
          <w:rFonts w:ascii="Arial" w:hAnsi="Arial" w:cs="Arial"/>
          <w:sz w:val="22"/>
          <w:szCs w:val="22"/>
        </w:rPr>
        <w:t xml:space="preserve">individuals (Figure </w:t>
      </w:r>
      <w:r w:rsidR="009A69BA">
        <w:rPr>
          <w:rFonts w:ascii="Arial" w:hAnsi="Arial" w:cs="Arial"/>
          <w:sz w:val="22"/>
          <w:szCs w:val="22"/>
        </w:rPr>
        <w:t>2</w:t>
      </w:r>
      <w:r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Pr="001A0367">
        <w:rPr>
          <w:rFonts w:ascii="Arial" w:hAnsi="Arial" w:cs="Arial"/>
          <w:sz w:val="22"/>
          <w:szCs w:val="22"/>
        </w:rPr>
        <w:t xml:space="preserv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Pr="001A0367">
        <w:rPr>
          <w:rFonts w:ascii="Arial" w:hAnsi="Arial" w:cs="Arial"/>
          <w:sz w:val="22"/>
          <w:szCs w:val="22"/>
        </w:rPr>
        <w:t xml:space="preserve">model suggesting a large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of around 10</w:t>
      </w:r>
      <w:r w:rsidRPr="001A0367">
        <w:rPr>
          <w:rFonts w:ascii="Arial" w:hAnsi="Arial" w:cs="Arial"/>
          <w:sz w:val="22"/>
          <w:szCs w:val="22"/>
          <w:vertAlign w:val="superscript"/>
        </w:rPr>
        <w:t>6</w:t>
      </w:r>
      <w:r w:rsidRPr="001A0367">
        <w:rPr>
          <w:rFonts w:ascii="Arial" w:hAnsi="Arial" w:cs="Arial"/>
          <w:sz w:val="22"/>
          <w:szCs w:val="22"/>
        </w:rPr>
        <w:t xml:space="preserve"> and the </w:t>
      </w:r>
      <w:r w:rsidR="0019445A">
        <w:rPr>
          <w:rFonts w:ascii="Arial" w:hAnsi="Arial" w:cs="Arial"/>
          <w:i/>
          <w:sz w:val="22"/>
          <w:szCs w:val="22"/>
        </w:rPr>
        <w:t>Three Epoch</w:t>
      </w:r>
      <w:r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Pr="001A0367">
        <w:rPr>
          <w:rFonts w:ascii="Arial" w:hAnsi="Arial" w:cs="Arial"/>
          <w:sz w:val="22"/>
          <w:szCs w:val="22"/>
        </w:rPr>
        <w:t xml:space="preserve">models generally producing estimates of Hawaiian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between 10</w:t>
      </w:r>
      <w:r w:rsidRPr="001A0367">
        <w:rPr>
          <w:rFonts w:ascii="Arial" w:hAnsi="Arial" w:cs="Arial"/>
          <w:sz w:val="22"/>
          <w:szCs w:val="22"/>
          <w:vertAlign w:val="superscript"/>
        </w:rPr>
        <w:t>2</w:t>
      </w:r>
      <w:r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Pr="001A0367">
        <w:rPr>
          <w:rFonts w:ascii="Arial" w:hAnsi="Arial" w:cs="Arial"/>
          <w:sz w:val="22"/>
          <w:szCs w:val="22"/>
        </w:rPr>
        <w:t>(</w:t>
      </w:r>
      <w:r w:rsidR="009A69BA">
        <w:rPr>
          <w:rFonts w:ascii="Arial" w:hAnsi="Arial" w:cs="Arial"/>
          <w:sz w:val="22"/>
          <w:szCs w:val="22"/>
        </w:rPr>
        <w:t>Figure 2</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rare derived alleles in the North American but not the Hawaiian populations (Figure </w:t>
      </w:r>
      <w:r w:rsidR="009A69BA">
        <w:rPr>
          <w:rFonts w:ascii="Arial" w:hAnsi="Arial" w:cs="Arial"/>
          <w:sz w:val="22"/>
          <w:szCs w:val="22"/>
        </w:rPr>
        <w:t>3</w:t>
      </w:r>
      <w:r w:rsidR="0045465B">
        <w:rPr>
          <w:rFonts w:ascii="Arial" w:hAnsi="Arial" w:cs="Arial"/>
          <w:sz w:val="22"/>
          <w:szCs w:val="22"/>
        </w:rPr>
        <w:t xml:space="preserve">, </w:t>
      </w:r>
      <w:r w:rsidR="0045465B" w:rsidRPr="009A69BA">
        <w:rPr>
          <w:rFonts w:ascii="Arial" w:hAnsi="Arial" w:cs="Arial"/>
          <w:sz w:val="22"/>
          <w:szCs w:val="22"/>
        </w:rPr>
        <w:t>Figure S</w:t>
      </w:r>
      <w:r w:rsidR="009A69BA" w:rsidRPr="009A69BA">
        <w:rPr>
          <w:rFonts w:ascii="Arial" w:hAnsi="Arial" w:cs="Arial"/>
          <w:sz w:val="22"/>
          <w:szCs w:val="22"/>
        </w:rPr>
        <w:t>5</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dadi increase drastically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3508D23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the </w:t>
      </w:r>
      <w:r w:rsidR="0019445A">
        <w:rPr>
          <w:rFonts w:ascii="Arial" w:hAnsi="Arial" w:cs="Arial"/>
          <w:i/>
          <w:sz w:val="22"/>
          <w:szCs w:val="22"/>
        </w:rPr>
        <w:t>Found and Grow</w:t>
      </w:r>
      <w:r w:rsidR="00A16EFC">
        <w:rPr>
          <w:rFonts w:ascii="Arial" w:hAnsi="Arial" w:cs="Arial"/>
          <w:i/>
          <w:iCs/>
          <w:sz w:val="22"/>
          <w:szCs w:val="22"/>
        </w:rPr>
        <w:t xml:space="preserve">, </w:t>
      </w:r>
      <w:r w:rsidR="0019445A">
        <w:rPr>
          <w:rFonts w:ascii="Arial" w:hAnsi="Arial" w:cs="Arial"/>
          <w:i/>
          <w:iCs/>
          <w:sz w:val="22"/>
          <w:szCs w:val="22"/>
        </w:rPr>
        <w:t>Two Epoch</w:t>
      </w:r>
      <w:r w:rsidR="00A16EFC">
        <w:rPr>
          <w:rFonts w:ascii="Arial" w:hAnsi="Arial" w:cs="Arial"/>
          <w:i/>
          <w:iCs/>
          <w:sz w:val="22"/>
          <w:szCs w:val="22"/>
        </w:rPr>
        <w:t>,</w:t>
      </w:r>
      <w:r w:rsidR="00A16EFC">
        <w:rPr>
          <w:rFonts w:ascii="Arial" w:hAnsi="Arial" w:cs="Arial"/>
          <w:sz w:val="22"/>
          <w:szCs w:val="22"/>
        </w:rPr>
        <w:t xml:space="preserve"> </w:t>
      </w:r>
      <w:r w:rsidRPr="001A0367">
        <w:rPr>
          <w:rFonts w:ascii="Arial" w:hAnsi="Arial" w:cs="Arial"/>
          <w:sz w:val="22"/>
          <w:szCs w:val="22"/>
        </w:rPr>
        <w:t xml:space="preserve">and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ure 2</w:t>
      </w:r>
      <w:r w:rsidRPr="001A0367">
        <w:rPr>
          <w:rFonts w:ascii="Arial" w:hAnsi="Arial" w:cs="Arial"/>
          <w:sz w:val="22"/>
          <w:szCs w:val="22"/>
        </w:rPr>
        <w:t>). This finding accords with our intuition that trans-oceanic dispersal events in monarchs should be rare.</w:t>
      </w:r>
    </w:p>
    <w:p w14:paraId="1CC533F3" w14:textId="77777777" w:rsidR="00355224" w:rsidRPr="001A0367" w:rsidRDefault="00355224" w:rsidP="001A0367">
      <w:pPr>
        <w:spacing w:line="276" w:lineRule="auto"/>
        <w:rPr>
          <w:rFonts w:ascii="Arial" w:hAnsi="Arial" w:cs="Arial"/>
          <w:sz w:val="22"/>
          <w:szCs w:val="22"/>
        </w:rPr>
      </w:pPr>
    </w:p>
    <w:p w14:paraId="5466BB88"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Discussion</w:t>
      </w:r>
    </w:p>
    <w:p w14:paraId="04352A79"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lastRenderedPageBreak/>
        <w:t xml:space="preserve"> </w:t>
      </w:r>
    </w:p>
    <w:p w14:paraId="06AB242D" w14:textId="627ACEC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pattern of establishment in the Pacific and show that historical estimates of introduction timing overlap with </w:t>
      </w:r>
      <w:r w:rsidR="00822D7E">
        <w:rPr>
          <w:rFonts w:ascii="Arial" w:hAnsi="Arial" w:cs="Arial"/>
          <w:sz w:val="22"/>
          <w:szCs w:val="22"/>
        </w:rPr>
        <w:t xml:space="preserve">some </w:t>
      </w:r>
      <w:r w:rsidRPr="001A0367">
        <w:rPr>
          <w:rFonts w:ascii="Arial" w:hAnsi="Arial" w:cs="Arial"/>
          <w:sz w:val="22"/>
          <w:szCs w:val="22"/>
        </w:rPr>
        <w:t>demographic reconstructions.</w:t>
      </w:r>
      <w:r w:rsidR="000235BA" w:rsidRPr="001A0367">
        <w:rPr>
          <w:rFonts w:ascii="Arial" w:hAnsi="Arial" w:cs="Arial"/>
          <w:sz w:val="22"/>
          <w:szCs w:val="22"/>
        </w:rPr>
        <w:t xml:space="preserve"> Lastly, we find that loss of seasonal migration is accompanied by </w:t>
      </w:r>
      <w:r w:rsidR="006D3592" w:rsidRPr="001A0367">
        <w:rPr>
          <w:rFonts w:ascii="Arial" w:hAnsi="Arial" w:cs="Arial"/>
          <w:sz w:val="22"/>
          <w:szCs w:val="22"/>
        </w:rPr>
        <w:t>increased levels</w:t>
      </w:r>
      <w:r w:rsidR="000235BA" w:rsidRPr="001A0367">
        <w:rPr>
          <w:rFonts w:ascii="Arial" w:hAnsi="Arial" w:cs="Arial"/>
          <w:sz w:val="22"/>
          <w:szCs w:val="22"/>
        </w:rPr>
        <w:t xml:space="preserve"> of isolation by distance</w:t>
      </w:r>
      <w:r w:rsidR="00FA52AC">
        <w:rPr>
          <w:rFonts w:ascii="Arial" w:hAnsi="Arial" w:cs="Arial"/>
          <w:sz w:val="22"/>
          <w:szCs w:val="22"/>
        </w:rPr>
        <w:t>, consistent with other studies of partial migratory species.</w:t>
      </w:r>
    </w:p>
    <w:p w14:paraId="57745E00" w14:textId="61DF8A9D" w:rsidR="00FA52AC" w:rsidRDefault="003F0723" w:rsidP="00FA52AC">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Slatkin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Nei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8024F1D" w:rsidR="00581393" w:rsidRDefault="003F0723" w:rsidP="00FA52AC">
      <w:pPr>
        <w:spacing w:line="276"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Our results are similar to those of Dapporto et al. (2017)</w:t>
      </w:r>
      <w:r w:rsidR="00FA52AC">
        <w:rPr>
          <w:rFonts w:ascii="Arial" w:hAnsi="Arial" w:cs="Arial"/>
          <w:sz w:val="22"/>
          <w:szCs w:val="22"/>
        </w:rPr>
        <w:t xml:space="preserve"> </w:t>
      </w:r>
      <w:r w:rsidR="00FA52AC" w:rsidRPr="00FA52AC">
        <w:rPr>
          <w:rFonts w:ascii="Arial" w:hAnsi="Arial" w:cs="Arial"/>
          <w:sz w:val="22"/>
          <w:szCs w:val="22"/>
        </w:rPr>
        <w:t>and Vodă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from nearby islands, as well as Alvial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5FB05BE" w:rsidR="00355224" w:rsidRPr="001A0367" w:rsidRDefault="00D4633F" w:rsidP="00581393">
      <w:pPr>
        <w:spacing w:line="276"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Talla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w:t>
      </w:r>
      <w:r w:rsidR="003F0723" w:rsidRPr="001A0367">
        <w:rPr>
          <w:rFonts w:ascii="Arial" w:hAnsi="Arial" w:cs="Arial"/>
          <w:sz w:val="22"/>
          <w:szCs w:val="22"/>
        </w:rPr>
        <w:lastRenderedPageBreak/>
        <w:t>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Pacific monarch populations likely have extremely small effective population sizes that are susceptible to very strong genetic drift. </w:t>
      </w:r>
    </w:p>
    <w:p w14:paraId="5CA1FDEB" w14:textId="2F51B828"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3F388A14"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Vanessa cardui</w:t>
      </w:r>
      <w:r w:rsidR="00F51E99" w:rsidRPr="001A0367">
        <w:rPr>
          <w:rFonts w:ascii="Arial" w:hAnsi="Arial" w:cs="Arial"/>
          <w:sz w:val="22"/>
          <w:szCs w:val="22"/>
          <w:highlight w:val="white"/>
        </w:rPr>
        <w:t xml:space="preserve"> (</w:t>
      </w:r>
      <w:r w:rsidR="004728DB" w:rsidRPr="001A0367">
        <w:rPr>
          <w:rFonts w:ascii="Arial" w:hAnsi="Arial" w:cs="Arial"/>
          <w:sz w:val="22"/>
          <w:szCs w:val="22"/>
          <w:highlight w:val="white"/>
        </w:rPr>
        <w:t>Stefanescu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6C6BDF">
        <w:rPr>
          <w:rFonts w:ascii="Arial" w:hAnsi="Arial" w:cs="Arial"/>
          <w:sz w:val="22"/>
          <w:szCs w:val="22"/>
        </w:rPr>
        <w:t>but</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26349570"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Pr="001A0367">
        <w:rPr>
          <w:rFonts w:ascii="Arial" w:hAnsi="Arial" w:cs="Arial"/>
          <w:sz w:val="22"/>
          <w:szCs w:val="22"/>
        </w:rPr>
        <w:t xml:space="preserve"> and the more complicated </w:t>
      </w:r>
      <w:r w:rsidR="0019445A">
        <w:rPr>
          <w:rFonts w:ascii="Arial" w:hAnsi="Arial" w:cs="Arial"/>
          <w:i/>
          <w:sz w:val="22"/>
          <w:szCs w:val="22"/>
        </w:rPr>
        <w:t>Three Epoch</w:t>
      </w:r>
      <w:r w:rsidRPr="001A0367">
        <w:rPr>
          <w:rFonts w:ascii="Arial" w:hAnsi="Arial" w:cs="Arial"/>
          <w:sz w:val="22"/>
          <w:szCs w:val="22"/>
        </w:rPr>
        <w:t xml:space="preserve"> models,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models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Pfeiler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4F1C63EA" w:rsidR="00D255B4"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lastRenderedPageBreak/>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a)</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(Ackery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(Tenger-Trolander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S5).</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081FDB1B" w:rsidR="00355224" w:rsidRPr="001A0367" w:rsidRDefault="00EF0AED" w:rsidP="001A0367">
      <w:pPr>
        <w:spacing w:line="276"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2D34DD4B"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since the model iterations with recent establishments also tended to have smaller establishment population sizes (Figure 2).</w:t>
      </w:r>
    </w:p>
    <w:p w14:paraId="1CA236DA" w14:textId="44B5946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w:t>
      </w:r>
      <w:r w:rsidRPr="001A0367">
        <w:rPr>
          <w:rFonts w:ascii="Arial" w:hAnsi="Arial" w:cs="Arial"/>
          <w:sz w:val="22"/>
          <w:szCs w:val="22"/>
        </w:rPr>
        <w:lastRenderedPageBreak/>
        <w:t xml:space="preserve">(nearly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523DE13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America, and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w:t>
      </w:r>
      <w:r w:rsidR="00245A5A">
        <w:rPr>
          <w:rFonts w:ascii="Arial" w:hAnsi="Arial" w:cs="Arial"/>
          <w:sz w:val="22"/>
          <w:szCs w:val="22"/>
        </w:rPr>
        <w:t>1</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1A0367">
      <w:pPr>
        <w:spacing w:line="276" w:lineRule="auto"/>
        <w:jc w:val="both"/>
        <w:rPr>
          <w:rFonts w:ascii="Arial" w:hAnsi="Arial" w:cs="Arial"/>
          <w:sz w:val="22"/>
          <w:szCs w:val="22"/>
        </w:rPr>
      </w:pPr>
    </w:p>
    <w:p w14:paraId="7C845F11"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1A0367">
      <w:pPr>
        <w:spacing w:line="276" w:lineRule="auto"/>
        <w:jc w:val="center"/>
        <w:rPr>
          <w:rFonts w:ascii="Arial" w:hAnsi="Arial" w:cs="Arial"/>
          <w:sz w:val="22"/>
          <w:szCs w:val="22"/>
        </w:rPr>
      </w:pPr>
    </w:p>
    <w:p w14:paraId="1C199F51"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1A0367">
      <w:pPr>
        <w:spacing w:line="276" w:lineRule="auto"/>
        <w:rPr>
          <w:rFonts w:ascii="Arial" w:hAnsi="Arial" w:cs="Arial"/>
          <w:sz w:val="22"/>
          <w:szCs w:val="22"/>
        </w:rPr>
      </w:pPr>
    </w:p>
    <w:p w14:paraId="41BB9F1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1A0367">
      <w:pPr>
        <w:spacing w:line="276" w:lineRule="auto"/>
        <w:jc w:val="center"/>
        <w:rPr>
          <w:rFonts w:ascii="Arial" w:hAnsi="Arial" w:cs="Arial"/>
          <w:sz w:val="22"/>
          <w:szCs w:val="22"/>
        </w:rPr>
      </w:pPr>
    </w:p>
    <w:p w14:paraId="16498FEB"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1A0367">
      <w:pPr>
        <w:spacing w:line="276" w:lineRule="auto"/>
        <w:jc w:val="both"/>
        <w:rPr>
          <w:rFonts w:ascii="Arial" w:hAnsi="Arial" w:cs="Arial"/>
          <w:sz w:val="22"/>
          <w:szCs w:val="22"/>
        </w:rPr>
      </w:pPr>
    </w:p>
    <w:p w14:paraId="17B6DEBB"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1A0367">
      <w:pPr>
        <w:spacing w:line="276" w:lineRule="auto"/>
        <w:jc w:val="center"/>
        <w:rPr>
          <w:rFonts w:ascii="Arial" w:hAnsi="Arial" w:cs="Arial"/>
          <w:b/>
          <w:sz w:val="22"/>
          <w:szCs w:val="22"/>
        </w:rPr>
      </w:pPr>
    </w:p>
    <w:p w14:paraId="48D1FA0E"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1A0367">
      <w:pPr>
        <w:spacing w:line="276" w:lineRule="auto"/>
        <w:jc w:val="both"/>
        <w:rPr>
          <w:rFonts w:ascii="Arial" w:hAnsi="Arial" w:cs="Arial"/>
          <w:sz w:val="22"/>
          <w:szCs w:val="22"/>
        </w:rPr>
      </w:pPr>
    </w:p>
    <w:p w14:paraId="6072445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1A0367">
      <w:pPr>
        <w:spacing w:line="276" w:lineRule="auto"/>
        <w:jc w:val="center"/>
        <w:rPr>
          <w:rFonts w:ascii="Arial" w:hAnsi="Arial" w:cs="Arial"/>
          <w:b/>
          <w:sz w:val="22"/>
          <w:szCs w:val="22"/>
        </w:rPr>
      </w:pPr>
    </w:p>
    <w:p w14:paraId="2F034923" w14:textId="1A63695E" w:rsidR="00355224" w:rsidRPr="001A0367" w:rsidRDefault="003F0723" w:rsidP="007C6681">
      <w:pPr>
        <w:spacing w:line="276" w:lineRule="auto"/>
        <w:jc w:val="both"/>
        <w:rPr>
          <w:rFonts w:ascii="Arial" w:hAnsi="Arial" w:cs="Arial"/>
          <w:sz w:val="22"/>
          <w:szCs w:val="22"/>
        </w:rPr>
      </w:pPr>
      <w:r w:rsidRPr="001A0367">
        <w:rPr>
          <w:rFonts w:ascii="Arial" w:hAnsi="Arial" w:cs="Arial"/>
          <w:sz w:val="22"/>
          <w:szCs w:val="22"/>
        </w:rPr>
        <w:t xml:space="preserve">We are very grateful to the following people for providing samples used for sequencing: Cheryl Dean and Jessica Aguilar (Hawaii), Louie Yang (western North America), Tyler Flockhart, Ryan Norris, and Samantha Knight (eastern North America). Hugh Dingle, Haldre Rogers, Dan Fagin, </w:t>
      </w:r>
      <w:r w:rsidRPr="001A0367">
        <w:rPr>
          <w:rFonts w:ascii="Arial" w:hAnsi="Arial" w:cs="Arial"/>
          <w:sz w:val="22"/>
          <w:szCs w:val="22"/>
        </w:rPr>
        <w:lastRenderedPageBreak/>
        <w:t>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1A0367">
      <w:pPr>
        <w:spacing w:line="276" w:lineRule="auto"/>
        <w:jc w:val="center"/>
        <w:rPr>
          <w:rFonts w:ascii="Arial" w:hAnsi="Arial" w:cs="Arial"/>
          <w:b/>
          <w:sz w:val="22"/>
          <w:szCs w:val="22"/>
        </w:rPr>
      </w:pPr>
    </w:p>
    <w:p w14:paraId="52362132" w14:textId="032898C2"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Ackery,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Adriaensen, F., and A. A. Dhondt</w:t>
      </w:r>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Erithacus rubecula</w:t>
      </w:r>
      <w:r w:rsidRPr="001A0367">
        <w:rPr>
          <w:rFonts w:eastAsia="Times New Roman"/>
          <w:lang w:val="en-US"/>
        </w:rPr>
        <w:t>) in different habitats. J. Anim. Ecol. 59: 1077–1090.</w:t>
      </w:r>
    </w:p>
    <w:p w14:paraId="6B5D3D70" w14:textId="391C78B8" w:rsidR="007C4E22" w:rsidRDefault="007C4E22" w:rsidP="001A0367">
      <w:pPr>
        <w:pStyle w:val="ListParagraph"/>
        <w:numPr>
          <w:ilvl w:val="0"/>
          <w:numId w:val="1"/>
        </w:numPr>
        <w:rPr>
          <w:rFonts w:eastAsia="Times New Roman"/>
          <w:lang w:val="en-US"/>
        </w:rPr>
      </w:pPr>
      <w:r w:rsidRPr="001A0367">
        <w:rPr>
          <w:rFonts w:eastAsia="Times New Roman"/>
          <w:b/>
          <w:bCs/>
          <w:lang w:val="en-US"/>
        </w:rPr>
        <w:t>Ali, O. A., S. M. O’Rourke, S. J. Amish, M. H. Meek, G. Luikart, C. Jeffres,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394A82">
      <w:pPr>
        <w:pStyle w:val="ListParagraph"/>
        <w:numPr>
          <w:ilvl w:val="0"/>
          <w:numId w:val="1"/>
        </w:numPr>
        <w:rPr>
          <w:sz w:val="24"/>
          <w:szCs w:val="24"/>
        </w:rPr>
      </w:pPr>
      <w:r w:rsidRPr="00394A82">
        <w:rPr>
          <w:b/>
          <w:bCs/>
        </w:rPr>
        <w:t>Alvial, I. E., H. A. Vargas, M. Marinov, C. Esquivel, J. Araya, R. Araya-Donoso, I. Vila, and D. Véliz</w:t>
      </w:r>
      <w:r>
        <w:t xml:space="preserve">. </w:t>
      </w:r>
      <w:r w:rsidRPr="00394A82">
        <w:rPr>
          <w:b/>
          <w:bCs/>
        </w:rPr>
        <w:t>2018</w:t>
      </w:r>
      <w:r>
        <w:t>. Isolation on a remote island: genetic and morphological differentiation of a cosmopolitan odonate. Heredity. 122: 893–905.</w:t>
      </w:r>
    </w:p>
    <w:p w14:paraId="7766844B" w14:textId="3FFD607B"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Berg, J. E., M. Hebblewhite,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Bettin, O., C. Cornejo, P. J. Edwards, and R. Holderegger</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Senecio halleri</w:t>
      </w:r>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Lepid. Soc. 73: 257–267.</w:t>
      </w:r>
    </w:p>
    <w:p w14:paraId="3E0F0226" w14:textId="340854E6"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Chapman, B. B., C. Brönmark,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Charles, K. L., R. C. Bell, D. C. Blackburn, M. Burger, M. K. Fujita, V. Gvoždík, G. F. M. Jongsma, M. T. Kouete, A. D. Leaché, and D. M. Portik</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r w:rsidRPr="001A0367">
        <w:rPr>
          <w:rFonts w:eastAsia="Times New Roman"/>
          <w:i/>
          <w:iCs/>
          <w:lang w:val="en-US"/>
        </w:rPr>
        <w:t>Afrixalus paradorsalis</w:t>
      </w:r>
      <w:r w:rsidRPr="001A0367">
        <w:rPr>
          <w:rFonts w:eastAsia="Times New Roman"/>
          <w:lang w:val="en-US"/>
        </w:rPr>
        <w:t xml:space="preserve"> (Anura: Hyperoliidae) of the Lower Guineo-Congolian rain forest. Journal of Biogeography.</w:t>
      </w:r>
    </w:p>
    <w:p w14:paraId="24C1A24A" w14:textId="31C26E0B"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Cohen, E. B., J. A. Hostetler, M. T. Hallworth, C. S. Rushing, T. S. Sillett, and P. P. Marra</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6C88D7FB" w:rsidR="00CA10DB" w:rsidRDefault="00CA10DB" w:rsidP="001A0367">
      <w:pPr>
        <w:pStyle w:val="ListParagraph"/>
        <w:numPr>
          <w:ilvl w:val="0"/>
          <w:numId w:val="1"/>
        </w:numPr>
        <w:rPr>
          <w:rFonts w:eastAsia="Times New Roman"/>
          <w:lang w:val="en-US"/>
        </w:rPr>
      </w:pPr>
      <w:r w:rsidRPr="001A0367">
        <w:rPr>
          <w:rFonts w:eastAsia="Times New Roman"/>
          <w:b/>
          <w:bCs/>
          <w:lang w:val="en-US"/>
        </w:rPr>
        <w:t>Dapporto, L., A. Cini, M. Menchetti, R. Vodă, S. Bonelli, L. P. Casacci, V. Dincă, S. Scalercio,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3B7F97">
      <w:pPr>
        <w:pStyle w:val="ListParagraph"/>
        <w:numPr>
          <w:ilvl w:val="0"/>
          <w:numId w:val="1"/>
        </w:numPr>
        <w:rPr>
          <w:sz w:val="24"/>
          <w:szCs w:val="24"/>
        </w:rPr>
      </w:pPr>
      <w:r w:rsidRPr="003B7F97">
        <w:rPr>
          <w:b/>
          <w:bCs/>
        </w:rPr>
        <w:t>Dapporto, L., Cini, A., Vodă, R., Dincă, V., Wiemers, M., Menchetti,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Lond. 85: 491–500.</w:t>
      </w:r>
    </w:p>
    <w:p w14:paraId="3760D08C" w14:textId="32DBC84C"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Excoffier, L., M. Foll,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 xml:space="preserve">Fernández-Haeger, J., D. Jordano,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(eds KS Oberhauser, KR Nail, S Altizer), pp. 247-256. Ithaca (NY): Cornell University Press.</w:t>
      </w:r>
    </w:p>
    <w:p w14:paraId="0A676F4E" w14:textId="62078D15" w:rsidR="003E3175" w:rsidRDefault="003E3175" w:rsidP="001A0367">
      <w:pPr>
        <w:pStyle w:val="ListParagraph"/>
        <w:numPr>
          <w:ilvl w:val="0"/>
          <w:numId w:val="1"/>
        </w:numPr>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pophelper: an R package and web app to analyse and visualize population structure. Mol. Ecol. Resour. 17: 27–32.</w:t>
      </w:r>
    </w:p>
    <w:p w14:paraId="56BC4115" w14:textId="55350B2B" w:rsidR="00B51EDA" w:rsidRPr="00B51EDA" w:rsidRDefault="00B51EDA" w:rsidP="00B51EDA">
      <w:pPr>
        <w:pStyle w:val="ListParagraph"/>
        <w:numPr>
          <w:ilvl w:val="0"/>
          <w:numId w:val="1"/>
        </w:numPr>
        <w:rPr>
          <w:sz w:val="24"/>
          <w:szCs w:val="24"/>
        </w:rPr>
      </w:pPr>
      <w:r w:rsidRPr="00B51EDA">
        <w:rPr>
          <w:b/>
          <w:bCs/>
        </w:rPr>
        <w:t>Freedman, M. G., H. Dingle, C. A. Tabuloc, J. C. Chiu, L. H. Yang, and M. P. Zalucki</w:t>
      </w:r>
      <w:r>
        <w:t xml:space="preserve">. </w:t>
      </w:r>
      <w:r w:rsidRPr="00B51EDA">
        <w:rPr>
          <w:b/>
          <w:bCs/>
        </w:rPr>
        <w:t>2018</w:t>
      </w:r>
      <w:r>
        <w:t xml:space="preserve">. Non-migratory monarch butterflies, </w:t>
      </w:r>
      <w:r w:rsidRPr="00B51EDA">
        <w:rPr>
          <w:i/>
          <w:iCs/>
        </w:rPr>
        <w:t>Danaus plexippus</w:t>
      </w:r>
      <w:r>
        <w:t xml:space="preserve"> (L.), retain developmental plasticity and a navigational mechanism associated with migration. Biol. J. Linn. Soc. Lond. 123: 265–278.</w:t>
      </w:r>
    </w:p>
    <w:p w14:paraId="76393C29" w14:textId="7777777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2020a</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245A5A">
      <w:pPr>
        <w:pStyle w:val="ListParagraph"/>
        <w:numPr>
          <w:ilvl w:val="0"/>
          <w:numId w:val="1"/>
        </w:numPr>
        <w:rPr>
          <w:sz w:val="24"/>
          <w:szCs w:val="24"/>
        </w:rPr>
      </w:pPr>
      <w:r w:rsidRPr="00245A5A">
        <w:rPr>
          <w:b/>
          <w:bCs/>
        </w:rPr>
        <w:t>Freedman, M. G., Roode, J. C., Forister, M. L., Kronforst, M. R., Pierce, A. A., Schultz, C. B., … Crone, E. E. 2021.</w:t>
      </w:r>
      <w:r>
        <w:t xml:space="preserve"> Are eastern and western monarch butterflies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Gao, B., J. Hedlund, D. R. Reynolds, B. Zhai,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1A0367">
      <w:pPr>
        <w:pStyle w:val="ListParagraph"/>
        <w:numPr>
          <w:ilvl w:val="0"/>
          <w:numId w:val="1"/>
        </w:numPr>
        <w:rPr>
          <w:rFonts w:eastAsia="Times New Roman"/>
          <w:lang w:val="en-US"/>
        </w:rPr>
      </w:pPr>
      <w:r w:rsidRPr="001A0367">
        <w:rPr>
          <w:rFonts w:eastAsia="Times New Roman"/>
          <w:b/>
          <w:bCs/>
          <w:lang w:val="en-US"/>
        </w:rPr>
        <w:t>Gómez-Bahamón, V., R. Márquez, A. E. Jahn, C. Y. Miyaki, D. T. Tuero, O. Laverde-R,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6705EEFC" w:rsidR="00A34979" w:rsidRDefault="00A34979" w:rsidP="001A0367">
      <w:pPr>
        <w:pStyle w:val="ListParagraph"/>
        <w:numPr>
          <w:ilvl w:val="0"/>
          <w:numId w:val="1"/>
        </w:numPr>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populations. Conserv. Genet. 20: 467–475.</w:t>
      </w:r>
    </w:p>
    <w:p w14:paraId="69AE1FD2" w14:textId="30BBB16F" w:rsidR="001C5583" w:rsidRPr="001C5583" w:rsidRDefault="001C5583" w:rsidP="001C5583">
      <w:pPr>
        <w:pStyle w:val="ListParagraph"/>
        <w:numPr>
          <w:ilvl w:val="0"/>
          <w:numId w:val="1"/>
        </w:numPr>
        <w:spacing w:before="100" w:beforeAutospacing="1" w:after="100" w:afterAutospacing="1"/>
      </w:pPr>
      <w:r w:rsidRPr="001C5583">
        <w:rPr>
          <w:b/>
          <w:bCs/>
        </w:rPr>
        <w:t>Evanno, G., Regnaut, S., &amp; Goudet,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Gutenkunst,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1A0367">
      <w:pPr>
        <w:pStyle w:val="ListParagraph"/>
        <w:numPr>
          <w:ilvl w:val="0"/>
          <w:numId w:val="1"/>
        </w:numPr>
      </w:pPr>
      <w:r w:rsidRPr="001A0367">
        <w:rPr>
          <w:b/>
          <w:bCs/>
        </w:rPr>
        <w:t>Haag-Liautard, C., M. Dorris, X. Maside, S. Macaskill, D. L. Halligan, D. Houle, B. Charlesworth, and P. D. Keightley</w:t>
      </w:r>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380F5C">
      <w:pPr>
        <w:pStyle w:val="ListParagraph"/>
        <w:numPr>
          <w:ilvl w:val="0"/>
          <w:numId w:val="1"/>
        </w:numPr>
        <w:rPr>
          <w:lang w:val="en-US"/>
        </w:rPr>
      </w:pPr>
      <w:r>
        <w:rPr>
          <w:b/>
          <w:bCs/>
        </w:rPr>
        <w:t xml:space="preserve">Hemstrom, W. and M. Jones. 2021. </w:t>
      </w:r>
      <w:r>
        <w:t xml:space="preserve">snpR: user friendly population genomics for SNP datasets with categorical metadata. Authorea. </w:t>
      </w:r>
      <w:r w:rsidRPr="001B5296">
        <w:t>10.22541/au.161264719.94032617/v1</w:t>
      </w:r>
    </w:p>
    <w:p w14:paraId="5B1B6D10" w14:textId="0EB26C5F"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lastRenderedPageBreak/>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Some genetic consequences of ice ages, and their role in divergence and speciation. Biol. J. Linn. Soc. Lond. 58: 247–276.</w:t>
      </w:r>
    </w:p>
    <w:p w14:paraId="6DF4367A" w14:textId="125BFBC0"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r w:rsidRPr="001A0367">
        <w:rPr>
          <w:rFonts w:eastAsia="Times New Roman"/>
          <w:i/>
          <w:iCs/>
          <w:lang w:val="en-US"/>
        </w:rPr>
        <w:t>Wilsonia pusilla</w:t>
      </w:r>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581393">
      <w:pPr>
        <w:pStyle w:val="ListParagraph"/>
        <w:numPr>
          <w:ilvl w:val="0"/>
          <w:numId w:val="1"/>
        </w:numPr>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581393">
      <w:pPr>
        <w:pStyle w:val="ListParagraph"/>
        <w:numPr>
          <w:ilvl w:val="0"/>
          <w:numId w:val="1"/>
        </w:numPr>
        <w:rPr>
          <w:sz w:val="24"/>
          <w:szCs w:val="24"/>
        </w:rPr>
      </w:pPr>
      <w:r w:rsidRPr="00581393">
        <w:rPr>
          <w:b/>
          <w:bCs/>
        </w:rPr>
        <w:t>Keightley, P. D., A. Pinharanda, R. W. Ness, F. Simpson, K. K. Dasmahapatra, J. Mallet, J. W. Davey, and C. D. Jiggins</w:t>
      </w:r>
      <w:r>
        <w:t xml:space="preserve">. </w:t>
      </w:r>
      <w:r w:rsidRPr="00581393">
        <w:rPr>
          <w:b/>
          <w:bCs/>
        </w:rPr>
        <w:t>2015</w:t>
      </w:r>
      <w:r>
        <w:t>. Estimation of the spontaneous mutation rate in Heliconius melpomene. Mol. Biol. Evol. 32: 239–243.</w:t>
      </w:r>
    </w:p>
    <w:p w14:paraId="7334DF27" w14:textId="0D473A5F"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Kondo, B., J. L. Peters, B. B. Rosensteel, and K. E. Omland</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Korneliussen, T. S., A. Albrechtsen,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Kuchta,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r w:rsidRPr="001A0367">
        <w:rPr>
          <w:rFonts w:eastAsia="Times New Roman"/>
          <w:i/>
          <w:iCs/>
          <w:lang w:val="en-US"/>
        </w:rPr>
        <w:t>Taricha granulosa</w:t>
      </w:r>
      <w:r w:rsidRPr="001A0367">
        <w:rPr>
          <w:rFonts w:eastAsia="Times New Roman"/>
          <w:lang w:val="en-US"/>
        </w:rPr>
        <w:t>. Mol. Ecol. 14: 225–244.</w:t>
      </w:r>
    </w:p>
    <w:p w14:paraId="3EBDA4EE" w14:textId="65DB58F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 H., B. Handsaker, A. Wysoker, T. Fennell, J. Ruan, N. Homer, G. Marth, G. Abecasis,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The Sequence Alignment/Map format and SAMtools. Bioinformatics. 25: 2078–2079.</w:t>
      </w:r>
    </w:p>
    <w:p w14:paraId="1E4ED838" w14:textId="618B7EF5"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Linderoth,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lastRenderedPageBreak/>
        <w:t>Menz,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Lepid. Soc. 69: 91–107.</w:t>
      </w:r>
    </w:p>
    <w:p w14:paraId="5C961468" w14:textId="33C4A0E4"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Nei,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Paradis, E., and K. Schliep</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Peter, B. M., and M. Slatkin</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Pfeiler, E., N. O. Nazario-Yepiz, F. Pérez-Gálvez, C. A. Chávez-Mora, M. R. L. Laclette, E. Rendón-Salinas, and T. A. Markow</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Hered. 108: 163–175.</w:t>
      </w:r>
    </w:p>
    <w:p w14:paraId="7FCDE78F" w14:textId="7C3775AF"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Pierce, A. A., M. P. Zalucki, M. Bangura, M. Udawatta, M. R. Kronforst, S. Altizer, J. F. Haeger,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Pierce, A. A., J. C. de Roode, S. Altizer,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Extreme heterogeneity in parasitism despite low population genetic structure among monarch butterflies inhabiting the Hawaiian islands. PLoS ONE.</w:t>
      </w:r>
    </w:p>
    <w:p w14:paraId="7364DDBD" w14:textId="7E2D9343"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Pierce A. A., S. Altizer ,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(eds KS Oberhauser, KR Nail, S Altizer),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Portik, D. M., A. D. Leaché, D. Rivera, M. F. Barej, M. Burger, M. Hirschfeld, M.-O. Rödel,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Evaluating mechanisms of diversification in a Guineo-Congolian tropical forest frog using demographic model selection. Mol. Ecol. 26: 5245–5263.</w:t>
      </w:r>
    </w:p>
    <w:p w14:paraId="01A5652A" w14:textId="61D35A83"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Prince, D. J., S. M. O’Rourke, T. Q. Thompson, O. A. Ali, H. S. Lyman, I. K. Saglam, T. J. Hotaling,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Rousset,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genepop’007: a complete re-implementation of the genepop software for Windows and Linux. Mol. Ecol. Resour. 8: 103–106.</w:t>
      </w:r>
    </w:p>
    <w:p w14:paraId="0868C688" w14:textId="5CA7E3BC" w:rsidR="007C4E22" w:rsidRDefault="007C4E22" w:rsidP="001A0367">
      <w:pPr>
        <w:pStyle w:val="ListParagraph"/>
        <w:numPr>
          <w:ilvl w:val="0"/>
          <w:numId w:val="1"/>
        </w:numPr>
        <w:rPr>
          <w:rFonts w:eastAsia="Times New Roman"/>
          <w:lang w:val="en-US"/>
        </w:rPr>
      </w:pPr>
      <w:r w:rsidRPr="001A0367">
        <w:rPr>
          <w:rFonts w:eastAsia="Times New Roman"/>
          <w:b/>
          <w:bCs/>
          <w:lang w:val="en-US"/>
        </w:rPr>
        <w:t>Saitou, N., and M. Nei</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79F2B590" w:rsidR="00B46F48" w:rsidRPr="00B46F48" w:rsidRDefault="00B46F48" w:rsidP="00B46F48">
      <w:pPr>
        <w:pStyle w:val="ListParagraph"/>
        <w:numPr>
          <w:ilvl w:val="0"/>
          <w:numId w:val="1"/>
        </w:numPr>
        <w:rPr>
          <w:sz w:val="24"/>
          <w:szCs w:val="24"/>
        </w:rPr>
      </w:pPr>
      <w:r w:rsidRPr="00B46F48">
        <w:rPr>
          <w:b/>
          <w:bCs/>
        </w:rPr>
        <w:t>Samarasin, P., Shuter,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 xml:space="preserve">Danaus </w:t>
      </w:r>
      <w:r w:rsidRPr="001A0367">
        <w:rPr>
          <w:rFonts w:eastAsia="Times New Roman"/>
          <w:i/>
          <w:iCs/>
          <w:lang w:val="en-US"/>
        </w:rPr>
        <w:lastRenderedPageBreak/>
        <w:t>plexippus</w:t>
      </w:r>
      <w:r w:rsidRPr="001A0367">
        <w:rPr>
          <w:rFonts w:eastAsia="Times New Roman"/>
          <w:lang w:val="en-US"/>
        </w:rPr>
        <w:t xml:space="preserve"> (L.) (Lepidoptera: Nymphalidae): an exploration using allozyme electrophoresis. Biol. J. Linn. Soc. Lond. 75: 437–452.</w:t>
      </w:r>
    </w:p>
    <w:p w14:paraId="6E456B49" w14:textId="74F6D78F"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Skotte, L., T. S. Korneliussen, and A. Albrechtsen</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Slatkin, M., and L. Excoffier</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1A0367">
      <w:pPr>
        <w:pStyle w:val="ListParagraph"/>
        <w:numPr>
          <w:ilvl w:val="0"/>
          <w:numId w:val="1"/>
        </w:numPr>
        <w:rPr>
          <w:rFonts w:eastAsia="Times New Roman"/>
          <w:lang w:val="en-US"/>
        </w:rPr>
      </w:pPr>
      <w:r w:rsidRPr="001A0367">
        <w:rPr>
          <w:rFonts w:eastAsia="Times New Roman"/>
          <w:b/>
          <w:bCs/>
          <w:lang w:val="en-US"/>
        </w:rPr>
        <w:t>Stefanescu, C., M. Alarcón,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Vanessa cardui</w:t>
      </w:r>
      <w:r w:rsidRPr="001A0367">
        <w:rPr>
          <w:rFonts w:eastAsia="Times New Roman"/>
          <w:lang w:val="en-US"/>
        </w:rPr>
        <w:t>, to north-eastern Spain is aided by African wind currents. J. Anim. Ecol. 76: 888–898.</w:t>
      </w:r>
    </w:p>
    <w:p w14:paraId="0C9DC0A7" w14:textId="090A2534"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Talla, V., A. A. Pierce, K. L. Adams, T. J. B. de Man, S. Nallu, F. X. Villablanca,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Tenger-Trolander,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1A0367">
      <w:pPr>
        <w:pStyle w:val="ListParagraph"/>
        <w:numPr>
          <w:ilvl w:val="0"/>
          <w:numId w:val="1"/>
        </w:numPr>
        <w:rPr>
          <w:rFonts w:eastAsia="Times New Roman"/>
          <w:lang w:val="en-US"/>
        </w:rPr>
      </w:pPr>
      <w:r w:rsidRPr="001A0367">
        <w:rPr>
          <w:rFonts w:eastAsia="Times New Roman"/>
          <w:b/>
          <w:bCs/>
          <w:lang w:val="en-US"/>
        </w:rPr>
        <w:t>Tiedemann, R., K. B. Paulus, M. Scheer, K. G. Von Kistowski, K. Skírnisson,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Somateria mollissima</w:t>
      </w:r>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1A0367">
      <w:pPr>
        <w:pStyle w:val="ListParagraph"/>
        <w:numPr>
          <w:ilvl w:val="0"/>
          <w:numId w:val="1"/>
        </w:numPr>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1A0367">
      <w:pPr>
        <w:pStyle w:val="ListParagraph"/>
        <w:numPr>
          <w:ilvl w:val="0"/>
          <w:numId w:val="1"/>
        </w:numPr>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FA52AC">
      <w:pPr>
        <w:pStyle w:val="ListParagraph"/>
        <w:numPr>
          <w:ilvl w:val="0"/>
          <w:numId w:val="1"/>
        </w:numPr>
        <w:rPr>
          <w:sz w:val="24"/>
          <w:szCs w:val="24"/>
        </w:rPr>
      </w:pPr>
      <w:r w:rsidRPr="00FA52AC">
        <w:rPr>
          <w:b/>
          <w:bCs/>
        </w:rPr>
        <w:t>Vodă, R., Dapporto, L., Dincă, V., Shreeve, T. G., Khaldi, M., Barech,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Waples,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1A0367">
      <w:pPr>
        <w:pStyle w:val="ListParagraph"/>
        <w:numPr>
          <w:ilvl w:val="0"/>
          <w:numId w:val="1"/>
        </w:numPr>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across the Pacific: the Columbus hypothesis revisited. Biol. J. Linn. Soc. Lond. 82: 111–121.</w:t>
      </w:r>
    </w:p>
    <w:p w14:paraId="57D6AF12" w14:textId="7777777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MonarchBase: the monarch butterfly genome database. Nucleic Acids Res. 41: D758–63.</w:t>
      </w:r>
    </w:p>
    <w:p w14:paraId="0513B1E5" w14:textId="00363841" w:rsidR="00355224" w:rsidRPr="00A9423D" w:rsidRDefault="004D1E24" w:rsidP="001A0367">
      <w:pPr>
        <w:pStyle w:val="ListParagraph"/>
        <w:numPr>
          <w:ilvl w:val="0"/>
          <w:numId w:val="1"/>
        </w:numPr>
        <w:rPr>
          <w:rFonts w:ascii="Times New Roman" w:eastAsia="Times New Roman" w:hAnsi="Times New Roman" w:cs="Times New Roman"/>
          <w:sz w:val="24"/>
          <w:szCs w:val="24"/>
          <w:lang w:val="en-US"/>
        </w:rPr>
      </w:pPr>
      <w:r w:rsidRPr="001A0367">
        <w:rPr>
          <w:rFonts w:eastAsia="Times New Roman"/>
          <w:b/>
          <w:bCs/>
          <w:lang w:val="en-US"/>
        </w:rPr>
        <w:lastRenderedPageBreak/>
        <w:t>Zhan, S., W. Zhang, K. Niitepõld, J. Hsu, J. F. Haeger, M. P. Zalucki, S. Altizer,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The genetics of monarch butterfly migration and warning colouration.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rsidTr="00E9183B">
        <w:trPr>
          <w:trHeight w:val="520"/>
          <w:jc w:val="center"/>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Het/Hom</w:t>
            </w:r>
          </w:p>
        </w:tc>
      </w:tr>
      <w:tr w:rsidR="00355224" w14:paraId="4B99BE27"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F43F48" w14:textId="77777777" w:rsidR="00355224" w:rsidRDefault="003F0723" w:rsidP="00E9183B">
            <w:pPr>
              <w:jc w:val="center"/>
              <w:rPr>
                <w:b/>
              </w:rPr>
            </w:pPr>
            <w:r>
              <w:rPr>
                <w:b/>
              </w:rPr>
              <w:t>NAM</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355224" w:rsidRDefault="003F0723" w:rsidP="00E9183B">
            <w:pPr>
              <w:jc w:val="center"/>
            </w:pPr>
            <w:r>
              <w:t>83</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355224" w:rsidRDefault="003F0723" w:rsidP="00E9183B">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355224" w:rsidRDefault="003F0723" w:rsidP="00E9183B">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355224" w:rsidRDefault="003F0723" w:rsidP="00E9183B">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355224" w:rsidRDefault="003F0723" w:rsidP="00E9183B">
            <w:pPr>
              <w:jc w:val="center"/>
            </w:pPr>
            <w:r>
              <w:t>0.059</w:t>
            </w:r>
          </w:p>
        </w:tc>
      </w:tr>
      <w:tr w:rsidR="00355224" w14:paraId="52531E8B"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20CC89" w14:textId="77777777" w:rsidR="00355224" w:rsidRDefault="003F0723" w:rsidP="00E9183B">
            <w:pPr>
              <w:jc w:val="center"/>
              <w:rPr>
                <w:b/>
              </w:rPr>
            </w:pPr>
            <w:r>
              <w:rPr>
                <w:b/>
              </w:rPr>
              <w:t>HAW</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355224" w:rsidRDefault="003F0723" w:rsidP="00E9183B">
            <w:pPr>
              <w:jc w:val="center"/>
            </w:pPr>
            <w:r>
              <w:t>9</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355224" w:rsidRDefault="003F0723" w:rsidP="00E9183B">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355224" w:rsidRDefault="003F0723" w:rsidP="00E9183B">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355224" w:rsidRDefault="003F0723" w:rsidP="00E9183B">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355224" w:rsidRDefault="003F0723" w:rsidP="00E9183B">
            <w:pPr>
              <w:jc w:val="center"/>
            </w:pPr>
            <w:r>
              <w:t>0.051</w:t>
            </w:r>
          </w:p>
        </w:tc>
      </w:tr>
      <w:tr w:rsidR="00355224" w14:paraId="05762E12"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C798E8" w14:textId="77777777" w:rsidR="00355224" w:rsidRDefault="003F0723" w:rsidP="00E9183B">
            <w:pPr>
              <w:jc w:val="center"/>
              <w:rPr>
                <w:b/>
              </w:rPr>
            </w:pPr>
            <w:r>
              <w:rPr>
                <w:b/>
              </w:rPr>
              <w:t>GUA</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355224" w:rsidRDefault="003F0723" w:rsidP="00E9183B">
            <w:pPr>
              <w:jc w:val="center"/>
            </w:pPr>
            <w:r>
              <w:t>19</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355224" w:rsidRDefault="003F0723" w:rsidP="00E9183B">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355224" w:rsidRDefault="003F0723" w:rsidP="00E9183B">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355224" w:rsidRDefault="003F0723" w:rsidP="00E9183B">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355224" w:rsidRDefault="003F0723" w:rsidP="00E9183B">
            <w:pPr>
              <w:jc w:val="center"/>
            </w:pPr>
            <w:r>
              <w:t>0.032</w:t>
            </w:r>
          </w:p>
        </w:tc>
      </w:tr>
      <w:tr w:rsidR="00355224" w14:paraId="3CABFA22"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216EC" w14:textId="77777777" w:rsidR="00355224" w:rsidRDefault="003F0723" w:rsidP="00E9183B">
            <w:pPr>
              <w:jc w:val="center"/>
              <w:rPr>
                <w:b/>
              </w:rPr>
            </w:pPr>
            <w:r>
              <w:rPr>
                <w:b/>
              </w:rPr>
              <w:t>ROT</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355224" w:rsidRDefault="003F0723" w:rsidP="00E9183B">
            <w:pPr>
              <w:jc w:val="center"/>
            </w:pPr>
            <w:r>
              <w:t>16</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355224" w:rsidRDefault="003F0723" w:rsidP="00E9183B">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355224" w:rsidRDefault="003F0723" w:rsidP="00E9183B">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355224" w:rsidRDefault="003F0723" w:rsidP="00E9183B">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355224" w:rsidRDefault="003F0723" w:rsidP="00E9183B">
            <w:pPr>
              <w:jc w:val="center"/>
            </w:pPr>
            <w:r>
              <w:t>0.037</w:t>
            </w:r>
          </w:p>
        </w:tc>
      </w:tr>
      <w:tr w:rsidR="00355224" w14:paraId="1B11C6C0"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A7C6F7" w14:textId="77777777" w:rsidR="00355224" w:rsidRDefault="003F0723" w:rsidP="00E9183B">
            <w:pPr>
              <w:jc w:val="center"/>
              <w:rPr>
                <w:b/>
              </w:rPr>
            </w:pPr>
            <w:r>
              <w:rPr>
                <w:b/>
              </w:rPr>
              <w:t>SAI</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355224" w:rsidRDefault="003F0723" w:rsidP="00E9183B">
            <w:pPr>
              <w:jc w:val="center"/>
            </w:pPr>
            <w:r>
              <w:t>4</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355224" w:rsidRDefault="003F0723" w:rsidP="00E9183B">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355224" w:rsidRDefault="003F0723" w:rsidP="00E9183B">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355224" w:rsidRDefault="003F0723" w:rsidP="00E9183B">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355224" w:rsidRDefault="003F0723" w:rsidP="00E9183B">
            <w:pPr>
              <w:jc w:val="center"/>
            </w:pPr>
            <w:r>
              <w:t>0.023</w:t>
            </w:r>
          </w:p>
        </w:tc>
      </w:tr>
      <w:tr w:rsidR="00355224" w14:paraId="1E09B356"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026295" w14:textId="77777777" w:rsidR="00355224" w:rsidRDefault="003F0723" w:rsidP="00E9183B">
            <w:pPr>
              <w:jc w:val="center"/>
              <w:rPr>
                <w:b/>
              </w:rPr>
            </w:pPr>
            <w:r>
              <w:rPr>
                <w:b/>
              </w:rPr>
              <w:t>QLD</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355224" w:rsidRDefault="003F0723" w:rsidP="00E9183B">
            <w:pPr>
              <w:jc w:val="center"/>
            </w:pPr>
            <w:r>
              <w:t>15</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355224" w:rsidRDefault="003F0723" w:rsidP="00E9183B">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355224" w:rsidRDefault="003F0723" w:rsidP="00E9183B">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355224" w:rsidRDefault="003F0723" w:rsidP="00E9183B">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355224" w:rsidRDefault="003F0723" w:rsidP="00E9183B">
            <w:pPr>
              <w:jc w:val="center"/>
            </w:pPr>
            <w:r>
              <w:t>0.043</w:t>
            </w:r>
          </w:p>
        </w:tc>
      </w:tr>
      <w:tr w:rsidR="00355224" w14:paraId="0BCE5874"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31A9EE" w14:textId="77777777" w:rsidR="00355224" w:rsidRDefault="003F0723" w:rsidP="00E9183B">
            <w:pPr>
              <w:jc w:val="center"/>
              <w:rPr>
                <w:b/>
              </w:rPr>
            </w:pPr>
            <w:r>
              <w:rPr>
                <w:b/>
              </w:rPr>
              <w:t>NSW</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355224" w:rsidRDefault="003F0723" w:rsidP="00E9183B">
            <w:pPr>
              <w:jc w:val="center"/>
            </w:pPr>
            <w:r>
              <w:t>5</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355224" w:rsidRDefault="003F0723" w:rsidP="00E9183B">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355224" w:rsidRDefault="003F0723" w:rsidP="00E9183B">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355224" w:rsidRDefault="003F0723" w:rsidP="00E9183B">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355224" w:rsidRDefault="003F0723" w:rsidP="00E9183B">
            <w:pPr>
              <w:jc w:val="center"/>
            </w:pPr>
            <w:r>
              <w:t>0.039</w:t>
            </w:r>
          </w:p>
        </w:tc>
      </w:tr>
      <w:tr w:rsidR="00355224" w14:paraId="004AF975"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40FCB" w14:textId="77777777" w:rsidR="00355224" w:rsidRDefault="003F0723" w:rsidP="00E9183B">
            <w:pPr>
              <w:jc w:val="center"/>
              <w:rPr>
                <w:b/>
              </w:rPr>
            </w:pPr>
            <w:r>
              <w:rPr>
                <w:b/>
              </w:rPr>
              <w:t>VIC</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355224" w:rsidRDefault="003F0723" w:rsidP="00E9183B">
            <w:pPr>
              <w:jc w:val="center"/>
            </w:pPr>
            <w:r>
              <w:t>2</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355224" w:rsidRDefault="003F0723" w:rsidP="00E9183B">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355224" w:rsidRDefault="003F0723" w:rsidP="00E9183B">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355224" w:rsidRDefault="003F0723" w:rsidP="00E9183B">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355224" w:rsidRDefault="003F0723" w:rsidP="00E9183B">
            <w:pPr>
              <w:jc w:val="center"/>
            </w:pPr>
            <w:r>
              <w:t>0.042</w:t>
            </w:r>
          </w:p>
        </w:tc>
      </w:tr>
    </w:tbl>
    <w:p w14:paraId="5750A092" w14:textId="77777777" w:rsidR="00355224" w:rsidRDefault="00355224"/>
    <w:p w14:paraId="4B2CDB2E" w14:textId="77777777" w:rsidR="00355224" w:rsidRDefault="00355224"/>
    <w:p w14:paraId="12E14948" w14:textId="01DF25A3"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p>
    <w:p w14:paraId="67C51344" w14:textId="77777777" w:rsidR="00355224" w:rsidRDefault="00355224"/>
    <w:p w14:paraId="0E80F5D1" w14:textId="77777777" w:rsidR="00355224" w:rsidRDefault="003F0723">
      <w:r>
        <w:br w:type="page"/>
      </w:r>
    </w:p>
    <w:p w14:paraId="04630BCD" w14:textId="79D89430" w:rsidR="00355224" w:rsidRDefault="003542CD">
      <w:pPr>
        <w:rPr>
          <w:b/>
        </w:rPr>
      </w:pPr>
      <w:r>
        <w:rPr>
          <w:b/>
          <w:noProof/>
        </w:rPr>
        <w:lastRenderedPageBreak/>
        <w:drawing>
          <wp:inline distT="0" distB="0" distL="0" distR="0" wp14:anchorId="04B9EF0D" wp14:editId="3E39CE42">
            <wp:extent cx="5943600" cy="336804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66C865C7" w14:textId="77777777" w:rsidR="00355224" w:rsidRDefault="00355224">
      <w:pPr>
        <w:rPr>
          <w:b/>
        </w:rPr>
      </w:pPr>
    </w:p>
    <w:p w14:paraId="30F566E0" w14:textId="036E0978" w:rsidR="00355224" w:rsidRDefault="003F0723">
      <w:r>
        <w:rPr>
          <w:b/>
        </w:rPr>
        <w:t xml:space="preserve">Figure 1 – </w:t>
      </w:r>
      <w:r>
        <w:t xml:space="preserve">Relatedness among sampled populations.  (a) Map of sampled populations, with pie charts reflecting results from NGSadmix. </w:t>
      </w:r>
      <w:r w:rsidR="003542CD">
        <w:t xml:space="preserve">Note that the geographic positions of the Mariana Islands (ROT, GUA, and SAI) and the Hawaiian Islands (OAH and MAU) are shifted slightly for readability. </w:t>
      </w:r>
      <w:r>
        <w:t xml:space="preserve">(b) NGSadmix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subdivided.(c) Neighbor joining tree. (d) Principal component analysis largely recapitulates the geographical distribution of samples, with PC1 explaining 44.7% of variation and corresponding to the east-west axis of differentiation. </w:t>
      </w:r>
    </w:p>
    <w:p w14:paraId="51786236" w14:textId="77777777" w:rsidR="00355224" w:rsidRDefault="00355224"/>
    <w:p w14:paraId="125C8C5C" w14:textId="77777777" w:rsidR="00355224" w:rsidRDefault="00355224"/>
    <w:p w14:paraId="038157A1" w14:textId="6762C7AE" w:rsidR="00355224" w:rsidRDefault="00FB2144">
      <w:r>
        <w:rPr>
          <w:noProof/>
        </w:rPr>
        <w:lastRenderedPageBreak/>
        <w:drawing>
          <wp:inline distT="0" distB="0" distL="0" distR="0" wp14:anchorId="4B311CFF" wp14:editId="3064EFBC">
            <wp:extent cx="5943600" cy="461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10735"/>
                    </a:xfrm>
                    <a:prstGeom prst="rect">
                      <a:avLst/>
                    </a:prstGeom>
                  </pic:spPr>
                </pic:pic>
              </a:graphicData>
            </a:graphic>
          </wp:inline>
        </w:drawing>
      </w:r>
    </w:p>
    <w:p w14:paraId="140B636E" w14:textId="0DD894B9" w:rsidR="00355224" w:rsidRDefault="003F0723">
      <w:r>
        <w:rPr>
          <w:b/>
        </w:rPr>
        <w:t xml:space="preserve">Figure 2 - </w:t>
      </w:r>
      <w:r>
        <w:t>Results of the dadi optimization runs for the</w:t>
      </w:r>
      <w:r w:rsidR="00FB2144">
        <w:t xml:space="preserve"> (left to right)</w:t>
      </w:r>
      <w:r>
        <w:t xml:space="preserve"> </w:t>
      </w:r>
      <w:r w:rsidR="00FB2144">
        <w:rPr>
          <w:i/>
          <w:iCs/>
        </w:rPr>
        <w:t>Found and Grow</w:t>
      </w:r>
      <w:r w:rsidR="00FB2144">
        <w:t xml:space="preserve">, </w:t>
      </w:r>
      <w:r w:rsidR="00FB2144">
        <w:rPr>
          <w:i/>
          <w:iCs/>
        </w:rPr>
        <w:t>Three Epoch</w:t>
      </w:r>
      <w:r w:rsidR="00FB2144">
        <w:t xml:space="preserve">,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Current effective size estimates in North America and Hawaii. Red dots mark the runs with the lowest AIC scores in each quadrant of the respective parameter space</w:t>
      </w:r>
      <w:r w:rsidR="009A69BA">
        <w:t xml:space="preserve"> based on the (a), corresponding to the heatmaps in Figure 3 and the residuals in Figure S5.</w:t>
      </w:r>
    </w:p>
    <w:p w14:paraId="6AFBC3FB" w14:textId="1929B2AB" w:rsidR="00FB2144" w:rsidRDefault="00FB2144"/>
    <w:p w14:paraId="6FB81832" w14:textId="7574A67F" w:rsidR="00FB2144" w:rsidRDefault="00FB2144"/>
    <w:p w14:paraId="5AB03B35" w14:textId="77777777" w:rsidR="009A69BA" w:rsidRDefault="00FB2144">
      <w:pPr>
        <w:rPr>
          <w:b/>
        </w:rPr>
      </w:pPr>
      <w:r>
        <w:rPr>
          <w:noProof/>
        </w:rPr>
        <w:lastRenderedPageBreak/>
        <w:drawing>
          <wp:inline distT="0" distB="0" distL="0" distR="0" wp14:anchorId="394D90A2" wp14:editId="1DE746D9">
            <wp:extent cx="8497873" cy="36143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8528064" cy="3627161"/>
                    </a:xfrm>
                    <a:prstGeom prst="rect">
                      <a:avLst/>
                    </a:prstGeom>
                  </pic:spPr>
                </pic:pic>
              </a:graphicData>
            </a:graphic>
          </wp:inline>
        </w:drawing>
      </w:r>
      <w:r w:rsidR="009A69BA" w:rsidRPr="009A69BA">
        <w:rPr>
          <w:b/>
        </w:rPr>
        <w:t xml:space="preserve"> </w:t>
      </w:r>
    </w:p>
    <w:p w14:paraId="17244ED9" w14:textId="29568AFB" w:rsidR="00FB2144" w:rsidRPr="009A69BA" w:rsidRDefault="009A69BA">
      <w:r>
        <w:rPr>
          <w:b/>
        </w:rPr>
        <w:lastRenderedPageBreak/>
        <w:t xml:space="preserve">Figure 3 – </w:t>
      </w:r>
      <w:r>
        <w:t xml:space="preserve">Observed (Left) and estimated (Right) derived site frequency spectra for </w:t>
      </w:r>
      <w:bookmarkStart w:id="1" w:name="_Hlk79754147"/>
      <w:r>
        <w:t xml:space="preserve">the </w:t>
      </w:r>
      <w:r>
        <w:rPr>
          <w:i/>
          <w:iCs/>
        </w:rPr>
        <w:t>Found and Grow</w:t>
      </w:r>
      <w:r>
        <w:t xml:space="preserve">, </w:t>
      </w:r>
      <w:r>
        <w:rPr>
          <w:i/>
          <w:iCs/>
        </w:rPr>
        <w:t>Three Epoch</w:t>
      </w:r>
      <w:r>
        <w:t xml:space="preserve">, </w:t>
      </w:r>
      <w:r>
        <w:rPr>
          <w:i/>
          <w:iCs/>
        </w:rPr>
        <w:t>Two Epoch</w:t>
      </w:r>
      <w:r>
        <w:t xml:space="preserve">, and </w:t>
      </w:r>
      <w:r>
        <w:rPr>
          <w:i/>
          <w:iCs/>
        </w:rPr>
        <w:t>Zhan</w:t>
      </w:r>
      <w:r>
        <w:t xml:space="preserve"> models</w:t>
      </w:r>
      <w:bookmarkStart w:id="2" w:name="_Hlk79754112"/>
      <w:bookmarkEnd w:id="1"/>
      <w:r>
        <w:t xml:space="preserve">. Estimated spectra based on the parameters from the runs with the lowest AIC score from each quadrant of the establishment time/founding population size parameter space for each model are shown for comparison </w:t>
      </w:r>
      <w:r>
        <w:rPr>
          <w:bCs/>
        </w:rPr>
        <w:t>(BL: bottom left, BR: bottom right, TL: top left, TR: top right), corresponding to the points marked in red in Figure 2.</w:t>
      </w:r>
      <w:bookmarkEnd w:id="2"/>
    </w:p>
    <w:sectPr w:rsidR="00FB2144" w:rsidRPr="009A69BA" w:rsidSect="00C7675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CEAE6" w14:textId="77777777" w:rsidR="007C303F" w:rsidRDefault="007C303F" w:rsidP="00F644B5">
      <w:r>
        <w:separator/>
      </w:r>
    </w:p>
  </w:endnote>
  <w:endnote w:type="continuationSeparator" w:id="0">
    <w:p w14:paraId="1269A10F" w14:textId="77777777" w:rsidR="007C303F" w:rsidRDefault="007C303F"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1F0F7" w14:textId="77777777" w:rsidR="007C303F" w:rsidRDefault="007C303F" w:rsidP="00F644B5">
      <w:r>
        <w:separator/>
      </w:r>
    </w:p>
  </w:footnote>
  <w:footnote w:type="continuationSeparator" w:id="0">
    <w:p w14:paraId="5664C1A4" w14:textId="77777777" w:rsidR="007C303F" w:rsidRDefault="007C303F"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235BA"/>
    <w:rsid w:val="000240A0"/>
    <w:rsid w:val="00052F36"/>
    <w:rsid w:val="0006299D"/>
    <w:rsid w:val="00076730"/>
    <w:rsid w:val="000A7BBC"/>
    <w:rsid w:val="000E2CEA"/>
    <w:rsid w:val="001108DE"/>
    <w:rsid w:val="0011459D"/>
    <w:rsid w:val="00135EC1"/>
    <w:rsid w:val="00161BA0"/>
    <w:rsid w:val="00173681"/>
    <w:rsid w:val="0019445A"/>
    <w:rsid w:val="001A0367"/>
    <w:rsid w:val="001A0D8A"/>
    <w:rsid w:val="001A48F9"/>
    <w:rsid w:val="001B5296"/>
    <w:rsid w:val="001C5583"/>
    <w:rsid w:val="001D120C"/>
    <w:rsid w:val="001D4674"/>
    <w:rsid w:val="001F0461"/>
    <w:rsid w:val="001F2D34"/>
    <w:rsid w:val="002210E7"/>
    <w:rsid w:val="00223F07"/>
    <w:rsid w:val="002450EB"/>
    <w:rsid w:val="00245A5A"/>
    <w:rsid w:val="0026275F"/>
    <w:rsid w:val="00266FDC"/>
    <w:rsid w:val="002706B4"/>
    <w:rsid w:val="00296E02"/>
    <w:rsid w:val="002D353D"/>
    <w:rsid w:val="002F6DFF"/>
    <w:rsid w:val="003169AB"/>
    <w:rsid w:val="0032621F"/>
    <w:rsid w:val="003542CD"/>
    <w:rsid w:val="00354744"/>
    <w:rsid w:val="00355224"/>
    <w:rsid w:val="00356B86"/>
    <w:rsid w:val="00380F5C"/>
    <w:rsid w:val="003843D2"/>
    <w:rsid w:val="00394A82"/>
    <w:rsid w:val="003A19F1"/>
    <w:rsid w:val="003A7902"/>
    <w:rsid w:val="003B7F97"/>
    <w:rsid w:val="003C021A"/>
    <w:rsid w:val="003D5BED"/>
    <w:rsid w:val="003E3175"/>
    <w:rsid w:val="003F0723"/>
    <w:rsid w:val="003F138A"/>
    <w:rsid w:val="003F2EF0"/>
    <w:rsid w:val="003F4F83"/>
    <w:rsid w:val="0045465B"/>
    <w:rsid w:val="004728DB"/>
    <w:rsid w:val="004D1E24"/>
    <w:rsid w:val="0051365D"/>
    <w:rsid w:val="00546852"/>
    <w:rsid w:val="00581393"/>
    <w:rsid w:val="005A1ECC"/>
    <w:rsid w:val="005A6990"/>
    <w:rsid w:val="005B090F"/>
    <w:rsid w:val="005F3CB8"/>
    <w:rsid w:val="006154EC"/>
    <w:rsid w:val="00637496"/>
    <w:rsid w:val="006776C2"/>
    <w:rsid w:val="006A6F8F"/>
    <w:rsid w:val="006C2257"/>
    <w:rsid w:val="006C6BDF"/>
    <w:rsid w:val="006D3592"/>
    <w:rsid w:val="006D6D7F"/>
    <w:rsid w:val="00721623"/>
    <w:rsid w:val="00736D9A"/>
    <w:rsid w:val="00746734"/>
    <w:rsid w:val="0075175E"/>
    <w:rsid w:val="00752928"/>
    <w:rsid w:val="00765BB8"/>
    <w:rsid w:val="007B4529"/>
    <w:rsid w:val="007C303F"/>
    <w:rsid w:val="007C4E22"/>
    <w:rsid w:val="007C6681"/>
    <w:rsid w:val="007D2ACD"/>
    <w:rsid w:val="007E643D"/>
    <w:rsid w:val="007F045B"/>
    <w:rsid w:val="007F338C"/>
    <w:rsid w:val="007F4083"/>
    <w:rsid w:val="00810F66"/>
    <w:rsid w:val="008170A3"/>
    <w:rsid w:val="00822D7E"/>
    <w:rsid w:val="00834A64"/>
    <w:rsid w:val="00845A6A"/>
    <w:rsid w:val="00850235"/>
    <w:rsid w:val="0089799A"/>
    <w:rsid w:val="008B65A2"/>
    <w:rsid w:val="008C5F7E"/>
    <w:rsid w:val="008C7C3F"/>
    <w:rsid w:val="008E25FF"/>
    <w:rsid w:val="008F276C"/>
    <w:rsid w:val="00962BAE"/>
    <w:rsid w:val="009822D5"/>
    <w:rsid w:val="009A4FD2"/>
    <w:rsid w:val="009A69BA"/>
    <w:rsid w:val="009D7EEE"/>
    <w:rsid w:val="009E556E"/>
    <w:rsid w:val="00A052EC"/>
    <w:rsid w:val="00A16EFC"/>
    <w:rsid w:val="00A34979"/>
    <w:rsid w:val="00A455B3"/>
    <w:rsid w:val="00A56173"/>
    <w:rsid w:val="00A9423D"/>
    <w:rsid w:val="00AA6FF3"/>
    <w:rsid w:val="00B201D2"/>
    <w:rsid w:val="00B26B8E"/>
    <w:rsid w:val="00B437EC"/>
    <w:rsid w:val="00B46F48"/>
    <w:rsid w:val="00B50810"/>
    <w:rsid w:val="00B50CE8"/>
    <w:rsid w:val="00B51EDA"/>
    <w:rsid w:val="00B609B0"/>
    <w:rsid w:val="00B80DEE"/>
    <w:rsid w:val="00BE19DA"/>
    <w:rsid w:val="00BE2665"/>
    <w:rsid w:val="00BE6BC8"/>
    <w:rsid w:val="00BE7EEE"/>
    <w:rsid w:val="00BF55CA"/>
    <w:rsid w:val="00C04D97"/>
    <w:rsid w:val="00C23111"/>
    <w:rsid w:val="00C26F66"/>
    <w:rsid w:val="00C3324A"/>
    <w:rsid w:val="00C57F93"/>
    <w:rsid w:val="00C63C35"/>
    <w:rsid w:val="00C643AD"/>
    <w:rsid w:val="00C74674"/>
    <w:rsid w:val="00C76753"/>
    <w:rsid w:val="00C84467"/>
    <w:rsid w:val="00CA10DB"/>
    <w:rsid w:val="00CB5E4F"/>
    <w:rsid w:val="00CF2590"/>
    <w:rsid w:val="00D01CDC"/>
    <w:rsid w:val="00D255B4"/>
    <w:rsid w:val="00D3337E"/>
    <w:rsid w:val="00D4538B"/>
    <w:rsid w:val="00D4633F"/>
    <w:rsid w:val="00D63034"/>
    <w:rsid w:val="00D6517B"/>
    <w:rsid w:val="00D900D2"/>
    <w:rsid w:val="00DA2D40"/>
    <w:rsid w:val="00DE378C"/>
    <w:rsid w:val="00DE468A"/>
    <w:rsid w:val="00DF379F"/>
    <w:rsid w:val="00DF611A"/>
    <w:rsid w:val="00E421D0"/>
    <w:rsid w:val="00E66D39"/>
    <w:rsid w:val="00E76084"/>
    <w:rsid w:val="00E9183B"/>
    <w:rsid w:val="00EF0AED"/>
    <w:rsid w:val="00F014E6"/>
    <w:rsid w:val="00F134DB"/>
    <w:rsid w:val="00F51E99"/>
    <w:rsid w:val="00F523A6"/>
    <w:rsid w:val="00F52DD9"/>
    <w:rsid w:val="00F613FD"/>
    <w:rsid w:val="00F644B5"/>
    <w:rsid w:val="00F72147"/>
    <w:rsid w:val="00FA52AC"/>
    <w:rsid w:val="00FB2144"/>
    <w:rsid w:val="00FC0157"/>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OQZa" TargetMode="External"/><Relationship Id="rId18" Type="http://schemas.openxmlformats.org/officeDocument/2006/relationships/hyperlink" Target="http://paperpile.com/b/tNxuHC/OQZa"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hYyB" TargetMode="External"/><Relationship Id="rId17" Type="http://schemas.openxmlformats.org/officeDocument/2006/relationships/hyperlink" Target="https://escholarship.org/uc/item/5kp4q40k" TargetMode="Externa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EXi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fontTable" Target="fontTable.xml"/><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24</Pages>
  <Words>9528</Words>
  <Characters>54314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William Hemstrom</cp:lastModifiedBy>
  <cp:revision>61</cp:revision>
  <dcterms:created xsi:type="dcterms:W3CDTF">2020-02-09T22:34:00Z</dcterms:created>
  <dcterms:modified xsi:type="dcterms:W3CDTF">2021-08-21T20:44:00Z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