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w:t>
      </w:r>
      <w:proofErr w:type="gramStart"/>
      <w:r w:rsidRPr="001B063A">
        <w:rPr>
          <w:rFonts w:ascii="Helvetica Neue" w:hAnsi="Helvetica Neue" w:cs="Arial"/>
          <w:color w:val="000000"/>
          <w:vertAlign w:val="superscript"/>
        </w:rPr>
        <w:t>,3</w:t>
      </w:r>
      <w:proofErr w:type="gramEnd"/>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w:t>
      </w:r>
      <w:proofErr w:type="gramStart"/>
      <w:r>
        <w:rPr>
          <w:rFonts w:ascii="Helvetica Neue" w:hAnsi="Helvetica Neue" w:cs="Arial"/>
          <w:color w:val="000000"/>
        </w:rPr>
        <w:t>anthropogenic</w:t>
      </w:r>
      <w:proofErr w:type="gramEnd"/>
      <w:r>
        <w:rPr>
          <w:rFonts w:ascii="Helvetica Neue" w:hAnsi="Helvetica Neue" w:cs="Arial"/>
          <w:color w:val="000000"/>
        </w:rPr>
        <w:t xml:space="preserve">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Dawe</w:t>
      </w:r>
      <w:proofErr w:type="spellEnd"/>
      <w:r w:rsidR="007D59EC">
        <w:rPr>
          <w:rFonts w:ascii="Helvetica Neue" w:hAnsi="Helvetica Neue" w:cs="Arial"/>
          <w:color w:val="000000"/>
        </w:rPr>
        <w:t xml:space="preserve"> and </w:t>
      </w:r>
      <w:proofErr w:type="spellStart"/>
      <w:r w:rsidR="007D59EC">
        <w:rPr>
          <w:rFonts w:ascii="Helvetica Neue" w:hAnsi="Helvetica Neue" w:cs="Arial"/>
          <w:color w:val="000000"/>
        </w:rPr>
        <w:t>Boutin</w:t>
      </w:r>
      <w:proofErr w:type="spellEnd"/>
      <w:r w:rsidR="007D59EC">
        <w:rPr>
          <w:rFonts w:ascii="Helvetica Neue" w:hAnsi="Helvetica Neue" w:cs="Arial"/>
          <w:color w:val="000000"/>
        </w:rPr>
        <w:t xml:space="preserve">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27CEC95"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proofErr w:type="spellStart"/>
      <w:r w:rsidR="009B7DF1" w:rsidRPr="009B7DF1">
        <w:rPr>
          <w:rFonts w:ascii="Helvetica Neue" w:hAnsi="Helvetica Neue" w:cs="Arial"/>
          <w:i/>
          <w:color w:val="000000"/>
        </w:rPr>
        <w:t>Senecio</w:t>
      </w:r>
      <w:proofErr w:type="spellEnd"/>
      <w:r w:rsidR="009B7DF1" w:rsidRPr="009B7DF1">
        <w:rPr>
          <w:rFonts w:ascii="Helvetica Neue" w:hAnsi="Helvetica Neue" w:cs="Arial"/>
          <w:i/>
          <w:color w:val="000000"/>
        </w:rPr>
        <w:t xml:space="preserve">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w:t>
      </w:r>
      <w:proofErr w:type="spellStart"/>
      <w:r w:rsidR="009B7DF1" w:rsidRPr="009B265E">
        <w:rPr>
          <w:rFonts w:ascii="Helvetica Neue" w:hAnsi="Helvetica Neue" w:cs="Arial"/>
          <w:i/>
          <w:color w:val="000000"/>
        </w:rPr>
        <w:t>granulosa</w:t>
      </w:r>
      <w:proofErr w:type="spellEnd"/>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w:t>
      </w:r>
      <w:r w:rsidR="009B7DF1">
        <w:rPr>
          <w:rFonts w:ascii="Helvetica Neue" w:hAnsi="Helvetica Neue" w:cs="Arial"/>
          <w:color w:val="000000"/>
        </w:rPr>
        <w:lastRenderedPageBreak/>
        <w:t>characterized by serial stepwise dispersal (</w:t>
      </w:r>
      <w:proofErr w:type="spellStart"/>
      <w:r w:rsidR="009B7DF1">
        <w:rPr>
          <w:rFonts w:ascii="Helvetica Neue" w:hAnsi="Helvetica Neue" w:cs="Arial"/>
          <w:color w:val="000000"/>
        </w:rPr>
        <w:t>Ramachandran</w:t>
      </w:r>
      <w:proofErr w:type="spellEnd"/>
      <w:r w:rsidR="009B7DF1">
        <w:rPr>
          <w:rFonts w:ascii="Helvetica Neue" w:hAnsi="Helvetica Neue" w:cs="Arial"/>
          <w:color w:val="000000"/>
        </w:rPr>
        <w:t xml:space="preserve"> et al. 2005,</w:t>
      </w:r>
      <w:r w:rsidR="00034711">
        <w:rPr>
          <w:rFonts w:ascii="Helvetica Neue" w:hAnsi="Helvetica Neue" w:cs="Arial"/>
          <w:color w:val="000000"/>
        </w:rPr>
        <w:t xml:space="preserve"> </w:t>
      </w:r>
      <w:proofErr w:type="spellStart"/>
      <w:r w:rsidR="00034711">
        <w:rPr>
          <w:rFonts w:ascii="Helvetica Neue" w:hAnsi="Helvetica Neue" w:cs="Arial"/>
          <w:color w:val="000000"/>
        </w:rPr>
        <w:t>Henn</w:t>
      </w:r>
      <w:proofErr w:type="spellEnd"/>
      <w:r w:rsidR="00034711">
        <w:rPr>
          <w:rFonts w:ascii="Helvetica Neue" w:hAnsi="Helvetica Neue" w:cs="Arial"/>
          <w:color w:val="000000"/>
        </w:rPr>
        <w:t xml:space="preserve"> et al. 2012</w:t>
      </w:r>
      <w:r w:rsidR="009B7DF1">
        <w:rPr>
          <w:rFonts w:ascii="Helvetica Neue" w:hAnsi="Helvetica Neue" w:cs="Arial"/>
          <w:color w:val="000000"/>
        </w:rPr>
        <w:t>).</w:t>
      </w:r>
    </w:p>
    <w:p w14:paraId="2BE59747" w14:textId="7C849BD0"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w:t>
      </w:r>
      <w:proofErr w:type="spellStart"/>
      <w:r w:rsidR="00034711">
        <w:rPr>
          <w:rFonts w:ascii="Helvetica Neue" w:hAnsi="Helvetica Neue" w:cs="Arial"/>
          <w:color w:val="000000"/>
        </w:rPr>
        <w:t>Ackery</w:t>
      </w:r>
      <w:proofErr w:type="spellEnd"/>
      <w:r w:rsidR="00034711">
        <w:rPr>
          <w:rFonts w:ascii="Helvetica Neue" w:hAnsi="Helvetica Neue" w:cs="Arial"/>
          <w:color w:val="000000"/>
        </w:rPr>
        <w:t xml:space="preserve"> and Vane-Wright 1984, </w:t>
      </w:r>
      <w:r w:rsidRPr="001B063A">
        <w:rPr>
          <w:rFonts w:ascii="Helvetica Neue" w:hAnsi="Helvetica Neue" w:cs="Arial"/>
          <w:color w:val="000000"/>
        </w:rPr>
        <w:t>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w:t>
      </w:r>
      <w:proofErr w:type="spellStart"/>
      <w:r w:rsidRPr="001B063A">
        <w:rPr>
          <w:rFonts w:ascii="Helvetica Neue" w:hAnsi="Helvetica Neue" w:cs="Arial"/>
          <w:color w:val="000000"/>
        </w:rPr>
        <w:t>midwestern</w:t>
      </w:r>
      <w:proofErr w:type="spellEnd"/>
      <w:r w:rsidRPr="001B063A">
        <w:rPr>
          <w:rFonts w:ascii="Helvetica Neue" w:hAnsi="Helvetica Neue" w:cs="Arial"/>
          <w:color w:val="000000"/>
        </w:rPr>
        <w:t xml:space="preserve">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 xml:space="preserve">Still, there are a number of </w:t>
      </w:r>
      <w:proofErr w:type="spellStart"/>
      <w:r w:rsidR="00512974">
        <w:rPr>
          <w:rFonts w:ascii="Helvetica Neue" w:hAnsi="Helvetica Neue" w:cs="Arial"/>
          <w:color w:val="000000"/>
        </w:rPr>
        <w:t>unsampled</w:t>
      </w:r>
      <w:proofErr w:type="spellEnd"/>
      <w:r w:rsidR="00512974">
        <w:rPr>
          <w:rFonts w:ascii="Helvetica Neue" w:hAnsi="Helvetica Neue" w:cs="Arial"/>
          <w:color w:val="000000"/>
        </w:rPr>
        <w:t xml:space="preserve">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w:t>
      </w:r>
      <w:proofErr w:type="spellStart"/>
      <w:r w:rsidRPr="001B063A">
        <w:rPr>
          <w:rFonts w:ascii="Helvetica Neue" w:hAnsi="Helvetica Neue" w:cs="Arial"/>
          <w:color w:val="000000"/>
        </w:rPr>
        <w:t>unsampled</w:t>
      </w:r>
      <w:proofErr w:type="spellEnd"/>
      <w:r w:rsidRPr="001B063A">
        <w:rPr>
          <w:rFonts w:ascii="Helvetica Neue" w:hAnsi="Helvetica Neue" w:cs="Arial"/>
          <w:color w:val="000000"/>
        </w:rPr>
        <w:t xml:space="preserve">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w:t>
      </w:r>
      <w:proofErr w:type="gramStart"/>
      <w:r w:rsidRPr="001B063A">
        <w:rPr>
          <w:rFonts w:ascii="Helvetica Neue" w:hAnsi="Helvetica Neue" w:cs="Arial"/>
          <w:color w:val="000000"/>
        </w:rPr>
        <w:t>between 1990 – 2017</w:t>
      </w:r>
      <w:proofErr w:type="gramEnd"/>
      <w:r w:rsidRPr="001B063A">
        <w:rPr>
          <w:rFonts w:ascii="Helvetica Neue" w:hAnsi="Helvetica Neue" w:cs="Arial"/>
          <w:color w:val="000000"/>
        </w:rPr>
        <w:t xml:space="preserve">.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dsDNA</w:t>
      </w:r>
      <w:proofErr w:type="spellEnd"/>
      <w:r w:rsidR="00F81228" w:rsidRPr="00F81228">
        <w:rPr>
          <w:rFonts w:ascii="Helvetica Neue" w:hAnsi="Helvetica Neue" w:cs="Arial"/>
          <w:iCs/>
          <w:color w:val="000000"/>
        </w:rPr>
        <w:t xml:space="preserve"> Reagent (Thermo Fisher Scientific)</w:t>
      </w:r>
      <w:r w:rsidR="00F81228">
        <w:rPr>
          <w:rFonts w:ascii="Helvetica Neue" w:hAnsi="Helvetica Neue" w:cs="Arial"/>
          <w:iCs/>
          <w:color w:val="000000"/>
        </w:rPr>
        <w:t xml:space="preserve"> on </w:t>
      </w:r>
      <w:proofErr w:type="gramStart"/>
      <w:r w:rsidR="00F81228">
        <w:rPr>
          <w:rFonts w:ascii="Helvetica Neue" w:hAnsi="Helvetica Neue" w:cs="Arial"/>
          <w:iCs/>
          <w:color w:val="000000"/>
        </w:rPr>
        <w:t>a</w:t>
      </w:r>
      <w:proofErr w:type="gramEnd"/>
      <w:r w:rsidR="00F81228">
        <w:rPr>
          <w:rFonts w:ascii="Helvetica Neue" w:hAnsi="Helvetica Neue" w:cs="Arial"/>
          <w:iCs/>
          <w:color w:val="000000"/>
        </w:rPr>
        <w:t xml:space="preserve">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lastRenderedPageBreak/>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w:t>
      </w:r>
      <w:proofErr w:type="spellStart"/>
      <w:r w:rsidR="00106869">
        <w:rPr>
          <w:rFonts w:ascii="Helvetica Neue" w:hAnsi="Helvetica Neue" w:cs="Arial"/>
          <w:iCs/>
          <w:color w:val="000000"/>
        </w:rPr>
        <w:t>paralogous</w:t>
      </w:r>
      <w:proofErr w:type="spellEnd"/>
      <w:r w:rsidR="00106869">
        <w:rPr>
          <w:rFonts w:ascii="Helvetica Neue" w:hAnsi="Helvetica Neue" w:cs="Arial"/>
          <w:iCs/>
          <w:color w:val="000000"/>
        </w:rPr>
        <w:t xml:space="preserve">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w:t>
      </w:r>
      <w:proofErr w:type="spellStart"/>
      <w:r w:rsidR="00106869">
        <w:rPr>
          <w:rFonts w:ascii="Helvetica Neue" w:hAnsi="Helvetica Neue" w:cs="Arial"/>
          <w:iCs/>
          <w:color w:val="000000"/>
        </w:rPr>
        <w:t>kilobase</w:t>
      </w:r>
      <w:proofErr w:type="spellEnd"/>
      <w:r w:rsidR="00106869">
        <w:rPr>
          <w:rFonts w:ascii="Helvetica Neue" w:hAnsi="Helvetica Neue" w:cs="Arial"/>
          <w:iCs/>
          <w:color w:val="000000"/>
        </w:rPr>
        <w:t xml:space="preserv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56D5AB28"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w:t>
      </w:r>
      <w:r w:rsidR="007209A4">
        <w:rPr>
          <w:rFonts w:ascii="Helvetica Neue" w:hAnsi="Helvetica Neue" w:cs="Arial"/>
          <w:iCs/>
          <w:color w:val="000000"/>
        </w:rPr>
        <w:t xml:space="preserve">using the R implementation of the GENEPOP software package </w:t>
      </w:r>
      <w:r w:rsidR="007209A4">
        <w:rPr>
          <w:rFonts w:ascii="Helvetica Neue" w:hAnsi="Helvetica Neue" w:cs="Arial"/>
          <w:iCs/>
          <w:color w:val="000000"/>
        </w:rPr>
        <w:fldChar w:fldCharType="begin" w:fldLock="1"/>
      </w:r>
      <w:r w:rsidR="008C5A2F">
        <w:rPr>
          <w:rFonts w:ascii="Helvetica Neue" w:hAnsi="Helvetica Neue" w:cs="Arial"/>
          <w:iCs/>
          <w:color w:val="000000"/>
        </w:rPr>
        <w:instrText>ADDIN CSL_CITATION {"citationItems":[{"id":"ITEM-1","itemData":{"DOI":"10.1111/j.1471-8286.2007.01931.x","abstract":"Abstract This note summarizes developments of the genepop software since its first description in 1995, and in particular those new to version 4.0: an extended input format, several estimators of neighbourhood size under isolation by distance, new estimators and confidence intervals for null allele frequency, and less important extensions to previous options. genepop now runs under Linux as well as under Windows, and can be entirely controlled by batch calls.","author":[{"dropping-particle":"","family":"Rousset","given":"François","non-dropping-particle":"","parse-names":false,"suffix":""}],"container-title":"Molecular Ecology Resources","id":"ITEM-1","issue":"1","issued":{"date-parts":[["2008"]]},"page":"103-106","title":"genepop’007: a complete re-implementation of the genepop software for Windows and Linux","type":"article-journal","volume":"8"},"uris":["http://www.mendeley.com/documents/?uuid=d25e6f7f-628f-42ce-a426-f1451935441a"]}],"mendeley":{"formattedCitation":"(Rousset, 2008)","plainTextFormattedCitation":"(Rousset, 2008)","previouslyFormattedCitation":"(Rousset, 2008)"},"properties":{"noteIndex":0},"schema":"https://github.com/citation-style-language/schema/raw/master/csl-citation.json"}</w:instrText>
      </w:r>
      <w:r w:rsidR="007209A4">
        <w:rPr>
          <w:rFonts w:ascii="Helvetica Neue" w:hAnsi="Helvetica Neue" w:cs="Arial"/>
          <w:iCs/>
          <w:color w:val="000000"/>
        </w:rPr>
        <w:fldChar w:fldCharType="separate"/>
      </w:r>
      <w:r w:rsidR="007209A4" w:rsidRPr="007209A4">
        <w:rPr>
          <w:rFonts w:ascii="Helvetica Neue" w:hAnsi="Helvetica Neue" w:cs="Arial"/>
          <w:iCs/>
          <w:noProof/>
          <w:color w:val="000000"/>
        </w:rPr>
        <w:t>(Rousset, 2008)</w:t>
      </w:r>
      <w:r w:rsidR="007209A4">
        <w:rPr>
          <w:rFonts w:ascii="Helvetica Neue" w:hAnsi="Helvetica Neue" w:cs="Arial"/>
          <w:iCs/>
          <w:color w:val="000000"/>
        </w:rPr>
        <w:fldChar w:fldCharType="end"/>
      </w:r>
      <w:r w:rsidR="007209A4">
        <w:rPr>
          <w:rFonts w:ascii="Helvetica Neue" w:hAnsi="Helvetica Neue" w:cs="Arial"/>
          <w:iCs/>
          <w:color w:val="000000"/>
        </w:rPr>
        <w:t xml:space="preserve"> </w:t>
      </w:r>
      <w:r w:rsidR="00106869">
        <w:rPr>
          <w:rFonts w:ascii="Helvetica Neue" w:hAnsi="Helvetica Neue" w:cs="Arial"/>
          <w:iCs/>
          <w:color w:val="000000"/>
        </w:rPr>
        <w:t>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7209A4">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1989)","previouslyFormattedCitation":"(Tajima,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w:t>
      </w:r>
      <w:proofErr w:type="spellStart"/>
      <w:r w:rsidR="00DD4E8A">
        <w:rPr>
          <w:rFonts w:ascii="Helvetica Neue" w:hAnsi="Helvetica Neue" w:cs="Arial"/>
          <w:iCs/>
          <w:color w:val="000000"/>
        </w:rPr>
        <w:t>paralog</w:t>
      </w:r>
      <w:proofErr w:type="spellEnd"/>
      <w:r w:rsidR="00DD4E8A">
        <w:rPr>
          <w:rFonts w:ascii="Helvetica Neue" w:hAnsi="Helvetica Neue" w:cs="Arial"/>
          <w:iCs/>
          <w:color w:val="000000"/>
        </w:rPr>
        <w:t xml:space="preserve"> filters without removing non-</w:t>
      </w:r>
      <w:proofErr w:type="spellStart"/>
      <w:r w:rsidR="00DD4E8A">
        <w:rPr>
          <w:rFonts w:ascii="Helvetica Neue" w:hAnsi="Helvetica Neue" w:cs="Arial"/>
          <w:iCs/>
          <w:color w:val="000000"/>
        </w:rPr>
        <w:t>paralogous</w:t>
      </w:r>
      <w:proofErr w:type="spellEnd"/>
      <w:r w:rsidR="00DD4E8A">
        <w:rPr>
          <w:rFonts w:ascii="Helvetica Neue" w:hAnsi="Helvetica Neue" w:cs="Arial"/>
          <w:iCs/>
          <w:color w:val="000000"/>
        </w:rPr>
        <w:t xml:space="preserve"> </w:t>
      </w:r>
      <w:r w:rsidR="00FA2743">
        <w:rPr>
          <w:rFonts w:ascii="Helvetica Neue" w:hAnsi="Helvetica Neue" w:cs="Arial"/>
          <w:iCs/>
          <w:color w:val="000000"/>
        </w:rPr>
        <w:t>sites or those with low minor allele frequencies.</w:t>
      </w:r>
      <w:r w:rsidR="007209A4">
        <w:rPr>
          <w:rFonts w:ascii="Helvetica Neue" w:hAnsi="Helvetica Neue" w:cs="Arial"/>
          <w:iCs/>
          <w:color w:val="000000"/>
        </w:rPr>
        <w:t xml:space="preserve"> For each of these statistics, the Western and Eastern North American samples were lumped.</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w:t>
      </w:r>
      <w:proofErr w:type="spellStart"/>
      <w:r w:rsidR="000C4EA1" w:rsidRPr="00621411">
        <w:rPr>
          <w:rFonts w:ascii="Helvetica Neue" w:hAnsi="Helvetica Neue" w:cs="Arial"/>
          <w:iCs/>
          <w:color w:val="000000"/>
        </w:rPr>
        <w:t>Hemstrom</w:t>
      </w:r>
      <w:proofErr w:type="spellEnd"/>
      <w:r w:rsidR="000C4EA1" w:rsidRPr="00621411">
        <w:rPr>
          <w:rFonts w:ascii="Helvetica Neue" w:hAnsi="Helvetica Neue" w:cs="Arial"/>
          <w:iCs/>
          <w:color w:val="000000"/>
        </w:rPr>
        <w:t xml:space="preserve">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DD91EF3"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t>
      </w:r>
      <w:r w:rsidRPr="00621411">
        <w:rPr>
          <w:rFonts w:ascii="Helvetica Neue" w:hAnsi="Helvetica Neue" w:cs="Arial"/>
          <w:iCs/>
          <w:color w:val="000000"/>
        </w:rPr>
        <w:lastRenderedPageBreak/>
        <w:t>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w:t>
      </w:r>
      <w:r w:rsidR="00651F22">
        <w:rPr>
          <w:rFonts w:ascii="Helvetica Neue" w:hAnsi="Helvetica Neue" w:cs="Arial"/>
          <w:iCs/>
          <w:color w:val="000000"/>
        </w:rPr>
        <w:t xml:space="preserve">This resulting 11,384 SNPs were then projected down to a sample size of 100 gene copies from North America and 10 from Hawaii, resulting in 9370 total SNPs. These projection numbers were picked to maximize the remaining number of SNPs in the dataset.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xml:space="preserve">. </w:t>
      </w:r>
      <w:r w:rsidR="00F4022E">
        <w:rPr>
          <w:rFonts w:ascii="Helvetica Neue" w:eastAsia="Times New Roman" w:hAnsi="Helvetica Neue" w:cs="Times New Roman"/>
        </w:rPr>
        <w:t>Individual optimization runs were killed if they took longer than 48hrs to complete, since these runs tended to proceed to take far longer to finish. Most runs completed in under 48hrs</w:t>
      </w:r>
      <w:r w:rsidR="008C5A2F">
        <w:rPr>
          <w:rFonts w:ascii="Helvetica Neue" w:eastAsia="Times New Roman" w:hAnsi="Helvetica Neue" w:cs="Times New Roman"/>
        </w:rPr>
        <w:t xml:space="preserve"> </w:t>
      </w:r>
      <w:r w:rsidR="00F4022E">
        <w:rPr>
          <w:rFonts w:ascii="Helvetica Neue" w:eastAsia="Times New Roman" w:hAnsi="Helvetica Neue" w:cs="Times New Roman"/>
        </w:rPr>
        <w:t xml:space="preserve">and are included in the results. </w:t>
      </w:r>
      <w:r w:rsidR="00D80EA2">
        <w:rPr>
          <w:rFonts w:ascii="Helvetica Neue" w:eastAsia="Times New Roman" w:hAnsi="Helvetica Neue" w:cs="Times New Roman"/>
        </w:rPr>
        <w:t xml:space="preserve">To extract meaningful parameter units from the results, we assumed </w:t>
      </w:r>
      <w:r w:rsidR="008C5A2F">
        <w:rPr>
          <w:rFonts w:ascii="Helvetica Neue" w:eastAsia="Times New Roman" w:hAnsi="Helvetica Neue" w:cs="Times New Roman"/>
        </w:rPr>
        <w:t xml:space="preserve">0.3 years per generation </w:t>
      </w:r>
      <w:r w:rsidR="00D80EA2">
        <w:rPr>
          <w:rFonts w:ascii="Helvetica Neue" w:eastAsia="Times New Roman" w:hAnsi="Helvetica Neue" w:cs="Times New Roman"/>
        </w:rPr>
        <w:t xml:space="preserve">and used the per-base mutation rate </w:t>
      </w:r>
      <w:proofErr w:type="gramStart"/>
      <w:r w:rsidR="00D80EA2">
        <w:rPr>
          <w:rFonts w:ascii="Helvetica Neue" w:eastAsia="Times New Roman" w:hAnsi="Helvetica Neue" w:cs="Times New Roman"/>
        </w:rPr>
        <w:t xml:space="preserve">of  </w:t>
      </w:r>
      <w:r w:rsidR="008C5A2F">
        <w:rPr>
          <w:rFonts w:ascii="Helvetica Neue" w:eastAsia="Times New Roman" w:hAnsi="Helvetica Neue" w:cs="Times New Roman"/>
        </w:rPr>
        <w:t>8.4</w:t>
      </w:r>
      <w:r w:rsidR="00D80EA2">
        <w:rPr>
          <w:rFonts w:ascii="Helvetica Neue" w:eastAsia="Times New Roman" w:hAnsi="Helvetica Neue" w:cs="Times New Roman"/>
        </w:rPr>
        <w:t>x10</w:t>
      </w:r>
      <w:proofErr w:type="gramEnd"/>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w:t>
      </w:r>
      <w:r w:rsidR="008C5A2F">
        <w:rPr>
          <w:rFonts w:ascii="Helvetica Neue" w:eastAsia="Times New Roman" w:hAnsi="Helvetica Neue" w:cs="Times New Roman"/>
        </w:rPr>
        <w:t xml:space="preserve">from </w:t>
      </w:r>
      <w:r w:rsidR="008C5A2F">
        <w:rPr>
          <w:rFonts w:ascii="Helvetica Neue" w:eastAsia="Times New Roman" w:hAnsi="Helvetica Neue" w:cs="Times New Roman"/>
          <w:i/>
          <w:iCs/>
        </w:rPr>
        <w:t xml:space="preserve">Drosophila melanogaster </w:t>
      </w:r>
      <w:r w:rsidR="008C5A2F">
        <w:rPr>
          <w:rFonts w:ascii="Helvetica Neue" w:eastAsia="Times New Roman" w:hAnsi="Helvetica Neue" w:cs="Times New Roman"/>
          <w:i/>
          <w:iCs/>
        </w:rPr>
        <w:fldChar w:fldCharType="begin" w:fldLock="1"/>
      </w:r>
      <w:r w:rsidR="008C5A2F">
        <w:rPr>
          <w:rFonts w:ascii="Helvetica Neue" w:eastAsia="Times New Roman" w:hAnsi="Helvetica Neue" w:cs="Times New Roman"/>
          <w:i/>
          <w:iCs/>
        </w:rPr>
        <w:instrText>ADDIN CSL_CITATION {"citationItems":[{"id":"ITEM-1","itemData":{"DOI":"10.1038/nature05388","ISSN":"1476-4687","abstract":"Many theoretical calculations in genetics rely on an estimate of u, the mutation rate per nucleotide in the genome, but its value has been controversial because only indirect estimates have previously been available. For the first time a direct estimate of the mutation rate per base pair has been obtained in Drosophila, based on scanning the genome of mutation accumulation lines for mutational changes in the DNA. The new estimate is relatively high, implying that selection against deleterious mutations favours the evolution of sex and recombination.","author":[{"dropping-particle":"","family":"Haag-Liautard","given":"Cathy","non-dropping-particle":"","parse-names":false,"suffix":""},{"dropping-particle":"","family":"Dorris","given":"Mark","non-dropping-particle":"","parse-names":false,"suffix":""},{"dropping-particle":"","family":"Maside","given":"Xulio","non-dropping-particle":"","parse-names":false,"suffix":""},{"dropping-particle":"","family":"Macaskill","given":"Steven","non-dropping-particle":"","parse-names":false,"suffix":""},{"dropping-particle":"","family":"Halligan","given":"Daniel L","non-dropping-particle":"","parse-names":false,"suffix":""},{"dropping-particle":"","family":"Charlesworth","given":"Brian","non-dropping-particle":"","parse-names":false,"suffix":""},{"dropping-particle":"","family":"Keightley","given":"Peter D","non-dropping-particle":"","parse-names":false,"suffix":""}],"container-title":"Nature","id":"ITEM-1","issue":"7123","issued":{"date-parts":[["2007"]]},"page":"82-85","title":"Direct estimation of per nucleotide and genomic deleterious mutation rates in Drosophila","type":"article-journal","volume":"445"},"uris":["http://www.mendeley.com/documents/?uuid=1f708fff-7cfb-4992-8234-88f9c311a7ab"]}],"mendeley":{"formattedCitation":"(Haag-Liautard et al., 2007)","plainTextFormattedCitation":"(Haag-Liautard et al., 2007)","previouslyFormattedCitation":"(Haag-Liautard et al., 2007)"},"properties":{"noteIndex":0},"schema":"https://github.com/citation-style-language/schema/raw/master/csl-citation.json"}</w:instrText>
      </w:r>
      <w:r w:rsidR="008C5A2F">
        <w:rPr>
          <w:rFonts w:ascii="Helvetica Neue" w:eastAsia="Times New Roman" w:hAnsi="Helvetica Neue" w:cs="Times New Roman"/>
          <w:i/>
          <w:iCs/>
        </w:rPr>
        <w:fldChar w:fldCharType="separate"/>
      </w:r>
      <w:r w:rsidR="008C5A2F" w:rsidRPr="008C5A2F">
        <w:rPr>
          <w:rFonts w:ascii="Helvetica Neue" w:eastAsia="Times New Roman" w:hAnsi="Helvetica Neue" w:cs="Times New Roman"/>
          <w:iCs/>
          <w:noProof/>
        </w:rPr>
        <w:t>(Haag-Liautard et al., 2007)</w:t>
      </w:r>
      <w:r w:rsidR="008C5A2F">
        <w:rPr>
          <w:rFonts w:ascii="Helvetica Neue" w:eastAsia="Times New Roman" w:hAnsi="Helvetica Neue" w:cs="Times New Roman"/>
          <w:i/>
          <w:iCs/>
        </w:rPr>
        <w:fldChar w:fldCharType="end"/>
      </w:r>
      <w:r w:rsidR="008C5A2F">
        <w:rPr>
          <w:rFonts w:ascii="Helvetica Neue" w:eastAsia="Times New Roman" w:hAnsi="Helvetica Neue" w:cs="Times New Roman"/>
        </w:rPr>
        <w:t xml:space="preserve">. These values match those used by </w:t>
      </w:r>
      <w:r w:rsidR="008C5A2F">
        <w:rPr>
          <w:rFonts w:ascii="Helvetica Neue" w:eastAsia="Times New Roman" w:hAnsi="Helvetica Neue" w:cs="Times New Roman"/>
        </w:rPr>
        <w:fldChar w:fldCharType="begin" w:fldLock="1"/>
      </w:r>
      <w:r w:rsidR="000D6C26">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8C5A2F">
        <w:rPr>
          <w:rFonts w:ascii="Helvetica Neue" w:eastAsia="Times New Roman" w:hAnsi="Helvetica Neue" w:cs="Times New Roman"/>
          <w:noProof/>
        </w:rPr>
        <w:t>Zhan et al.</w:t>
      </w:r>
      <w:r w:rsidR="008C5A2F">
        <w:rPr>
          <w:rFonts w:ascii="Helvetica Neue" w:eastAsia="Times New Roman" w:hAnsi="Helvetica Neue" w:cs="Times New Roman"/>
          <w:noProof/>
        </w:rPr>
        <w:t xml:space="preserve"> (</w:t>
      </w:r>
      <w:r w:rsidR="008C5A2F" w:rsidRPr="008C5A2F">
        <w:rPr>
          <w:rFonts w:ascii="Helvetica Neue" w:eastAsia="Times New Roman" w:hAnsi="Helvetica Neue" w:cs="Times New Roman"/>
          <w:noProof/>
        </w:rPr>
        <w:t>2014)</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Using a possibly more realistic generation time of roughly 7 generations per year results in more recent divergence times, and using the slower mutation rate reported for the more closely related </w:t>
      </w:r>
      <w:proofErr w:type="spellStart"/>
      <w:r w:rsidR="008C5A2F">
        <w:rPr>
          <w:rFonts w:ascii="Helvetica Neue" w:eastAsia="Times New Roman" w:hAnsi="Helvetica Neue" w:cs="Times New Roman"/>
          <w:i/>
          <w:iCs/>
        </w:rPr>
        <w:t>Heliconius</w:t>
      </w:r>
      <w:proofErr w:type="spellEnd"/>
      <w:r w:rsidR="008C5A2F">
        <w:rPr>
          <w:rFonts w:ascii="Helvetica Neue" w:eastAsia="Times New Roman" w:hAnsi="Helvetica Neue" w:cs="Times New Roman"/>
          <w:i/>
          <w:iCs/>
        </w:rPr>
        <w:t xml:space="preserve"> </w:t>
      </w:r>
      <w:proofErr w:type="spellStart"/>
      <w:r w:rsidR="008C5A2F">
        <w:rPr>
          <w:rFonts w:ascii="Helvetica Neue" w:eastAsia="Times New Roman" w:hAnsi="Helvetica Neue" w:cs="Times New Roman"/>
          <w:i/>
          <w:iCs/>
        </w:rPr>
        <w:t>melpomene</w:t>
      </w:r>
      <w:proofErr w:type="spellEnd"/>
      <w:r w:rsidR="008C5A2F">
        <w:rPr>
          <w:rFonts w:ascii="Helvetica Neue" w:eastAsia="Times New Roman" w:hAnsi="Helvetica Neue" w:cs="Times New Roman"/>
          <w:i/>
          <w:iCs/>
        </w:rPr>
        <w:t xml:space="preserve"> </w:t>
      </w:r>
      <w:r w:rsidR="008C5A2F">
        <w:rPr>
          <w:rFonts w:ascii="Helvetica Neue" w:eastAsia="Times New Roman" w:hAnsi="Helvetica Neue" w:cs="Times New Roman"/>
        </w:rPr>
        <w:t>of 2.9x10</w:t>
      </w:r>
      <w:r w:rsidR="008C5A2F">
        <w:rPr>
          <w:rFonts w:ascii="Helvetica Neue" w:eastAsia="Times New Roman" w:hAnsi="Helvetica Neue" w:cs="Times New Roman"/>
          <w:vertAlign w:val="superscript"/>
        </w:rPr>
        <w:t>-9</w:t>
      </w:r>
      <w:r w:rsidR="008C5A2F">
        <w:rPr>
          <w:rFonts w:ascii="Helvetica Neue" w:eastAsia="Times New Roman" w:hAnsi="Helvetica Neue" w:cs="Times New Roman"/>
        </w:rPr>
        <w:t xml:space="preserve"> </w:t>
      </w:r>
      <w:r w:rsidR="008C5A2F">
        <w:rPr>
          <w:rFonts w:ascii="Helvetica Neue" w:eastAsia="Times New Roman" w:hAnsi="Helvetica Neue" w:cs="Times New Roman"/>
        </w:rPr>
        <w:fldChar w:fldCharType="begin" w:fldLock="1"/>
      </w:r>
      <w:r w:rsidR="008C5A2F">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8C5A2F">
        <w:rPr>
          <w:rFonts w:ascii="Helvetica Neue" w:eastAsia="Times New Roman" w:hAnsi="Helvetica Neue" w:cs="Times New Roman"/>
        </w:rPr>
        <w:fldChar w:fldCharType="separate"/>
      </w:r>
      <w:r w:rsidR="008C5A2F" w:rsidRPr="00D80EA2">
        <w:rPr>
          <w:rFonts w:ascii="Helvetica Neue" w:eastAsia="Times New Roman" w:hAnsi="Helvetica Neue" w:cs="Times New Roman"/>
          <w:noProof/>
        </w:rPr>
        <w:t>(Keightley et al., 2015)</w:t>
      </w:r>
      <w:r w:rsidR="008C5A2F">
        <w:rPr>
          <w:rFonts w:ascii="Helvetica Neue" w:eastAsia="Times New Roman" w:hAnsi="Helvetica Neue" w:cs="Times New Roman"/>
        </w:rPr>
        <w:fldChar w:fldCharType="end"/>
      </w:r>
      <w:r w:rsidR="008C5A2F">
        <w:rPr>
          <w:rFonts w:ascii="Helvetica Neue" w:eastAsia="Times New Roman" w:hAnsi="Helvetica Neue" w:cs="Times New Roman"/>
        </w:rPr>
        <w:t xml:space="preserve"> results in large effective size estimates and more distant divergence times, for a net result of slightly more distant divergence times and larger effective sizes, but qualitatively similar results</w:t>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6ECD00CE"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three epoch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three epoch found and grow model is</w:t>
      </w:r>
      <w:r w:rsidR="002647E1">
        <w:rPr>
          <w:rFonts w:ascii="Helvetica Neue" w:hAnsi="Helvetica Neue" w:cs="Arial"/>
          <w:color w:val="000000"/>
        </w:rPr>
        <w:t xml:space="preserve"> a</w:t>
      </w:r>
      <w:r w:rsidR="00DD4E8A">
        <w:rPr>
          <w:rFonts w:ascii="Helvetica Neue" w:hAnsi="Helvetica Neue" w:cs="Arial"/>
          <w:color w:val="000000"/>
        </w:rPr>
        <w:t xml:space="preserve">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w:t>
      </w:r>
      <w:bookmarkStart w:id="0" w:name="_GoBack"/>
      <w:bookmarkEnd w:id="0"/>
      <w:r w:rsidR="00652050">
        <w:rPr>
          <w:rFonts w:ascii="Helvetica Neue" w:hAnsi="Helvetica Neue" w:cs="Arial"/>
          <w:color w:val="000000"/>
        </w:rPr>
        <w:t>nd, where relevant, highlight discrepancies in the inferences that they produce.</w:t>
      </w:r>
    </w:p>
    <w:p w14:paraId="6016C589" w14:textId="1C730298"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 xml:space="preserve">We created </w:t>
      </w:r>
      <w:r w:rsidR="00FA2743">
        <w:rPr>
          <w:rFonts w:ascii="Helvetica Neue" w:eastAsia="Times New Roman" w:hAnsi="Helvetica Neue" w:cs="Times New Roman"/>
        </w:rPr>
        <w:lastRenderedPageBreak/>
        <w:t>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w:t>
      </w:r>
      <w:r w:rsidR="00894E0B">
        <w:rPr>
          <w:rFonts w:ascii="Helvetica Neue" w:eastAsia="Times New Roman" w:hAnsi="Helvetica Neue" w:cs="Times New Roman"/>
        </w:rPr>
        <w:t xml:space="preserve">by projecting populations down to ten gene copies each </w:t>
      </w:r>
      <w:r>
        <w:rPr>
          <w:rFonts w:ascii="Helvetica Neue" w:eastAsia="Times New Roman" w:hAnsi="Helvetica Neue" w:cs="Times New Roman"/>
        </w:rPr>
        <w:t xml:space="preserve">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w:t>
      </w:r>
      <w:proofErr w:type="spellStart"/>
      <w:r>
        <w:rPr>
          <w:rFonts w:ascii="Helvetica Neue" w:eastAsia="Times New Roman" w:hAnsi="Helvetica Neue" w:cs="Times New Roman"/>
        </w:rPr>
        <w:t>Hemstrom</w:t>
      </w:r>
      <w:proofErr w:type="spellEnd"/>
      <w:r>
        <w:rPr>
          <w:rFonts w:ascii="Helvetica Neue" w:eastAsia="Times New Roman" w:hAnsi="Helvetica Neue" w:cs="Times New Roman"/>
        </w:rPr>
        <w:t xml:space="preserve"> et al </w:t>
      </w:r>
      <w:r>
        <w:rPr>
          <w:rFonts w:ascii="Helvetica Neue" w:eastAsia="Times New Roman" w:hAnsi="Helvetica Neue" w:cs="Times New Roman"/>
          <w:i/>
          <w:iCs/>
        </w:rPr>
        <w:t>in prep</w:t>
      </w:r>
      <w:r>
        <w:rPr>
          <w:rFonts w:ascii="Helvetica Neue" w:eastAsia="Times New Roman" w:hAnsi="Helvetica Neue" w:cs="Times New Roman"/>
        </w:rPr>
        <w:t>).</w:t>
      </w:r>
      <w:r w:rsidR="00651F22">
        <w:rPr>
          <w:rFonts w:ascii="Helvetica Neue" w:eastAsia="Times New Roman" w:hAnsi="Helvetica Neue" w:cs="Times New Roman"/>
        </w:rPr>
        <w:t xml:space="preserve"> </w:t>
      </w:r>
      <w:r w:rsidR="00894E0B">
        <w:rPr>
          <w:rFonts w:ascii="Helvetica Neue" w:eastAsia="Times New Roman" w:hAnsi="Helvetica Neue" w:cs="Times New Roman"/>
        </w:rPr>
        <w:t xml:space="preserve">Using 10 gene copies tended to produce the highest number of maintained SNPs in the resulting spectra. </w:t>
      </w:r>
      <w:r w:rsidR="00651F22" w:rsidRPr="00621411">
        <w:rPr>
          <w:rFonts w:ascii="Helvetica Neue" w:hAnsi="Helvetica Neue" w:cs="Arial"/>
          <w:iCs/>
          <w:color w:val="000000"/>
        </w:rPr>
        <w:t xml:space="preserve">The </w:t>
      </w:r>
      <w:r w:rsidR="00651F22">
        <w:rPr>
          <w:rFonts w:ascii="Helvetica Neue" w:hAnsi="Helvetica Neue" w:cs="Arial"/>
          <w:iCs/>
          <w:color w:val="000000"/>
        </w:rPr>
        <w:t>SNPs</w:t>
      </w:r>
      <w:r w:rsidR="00651F22" w:rsidRPr="00621411">
        <w:rPr>
          <w:rFonts w:ascii="Helvetica Neue" w:hAnsi="Helvetica Neue" w:cs="Arial"/>
          <w:iCs/>
          <w:color w:val="000000"/>
        </w:rPr>
        <w:t xml:space="preserve"> were polarized via reference to whole genome sequence data </w:t>
      </w:r>
      <w:r w:rsidR="00651F22" w:rsidRPr="00621411">
        <w:rPr>
          <w:rFonts w:ascii="Helvetica Neue" w:eastAsia="Times New Roman" w:hAnsi="Helvetica Neue" w:cs="Times New Roman"/>
        </w:rPr>
        <w:t>of the best sequenced monarch sister taxa</w:t>
      </w:r>
      <w:r w:rsidR="00651F22" w:rsidRPr="00621411">
        <w:rPr>
          <w:rFonts w:ascii="Helvetica Neue" w:hAnsi="Helvetica Neue" w:cs="Arial"/>
          <w:iCs/>
          <w:color w:val="000000"/>
        </w:rPr>
        <w:t xml:space="preserve"> </w:t>
      </w:r>
      <w:r w:rsidR="00651F22" w:rsidRPr="00621411">
        <w:rPr>
          <w:rFonts w:ascii="Helvetica Neue" w:eastAsia="Times New Roman" w:hAnsi="Helvetica Neue" w:cs="Times New Roman"/>
          <w:i/>
          <w:iCs/>
        </w:rPr>
        <w:t xml:space="preserve">Danaus </w:t>
      </w:r>
      <w:proofErr w:type="spellStart"/>
      <w:r w:rsidR="00651F22" w:rsidRPr="00621411">
        <w:rPr>
          <w:rFonts w:ascii="Helvetica Neue" w:eastAsia="Times New Roman" w:hAnsi="Helvetica Neue" w:cs="Times New Roman"/>
          <w:i/>
          <w:iCs/>
        </w:rPr>
        <w:t>erippus</w:t>
      </w:r>
      <w:proofErr w:type="spellEnd"/>
      <w:r w:rsidR="00651F22" w:rsidRPr="00621411">
        <w:rPr>
          <w:rFonts w:ascii="Helvetica Neue" w:eastAsia="Times New Roman" w:hAnsi="Helvetica Neue" w:cs="Times New Roman"/>
        </w:rPr>
        <w:t xml:space="preserve"> individual from </w:t>
      </w:r>
      <w:r w:rsidR="00651F22" w:rsidRPr="00621411">
        <w:rPr>
          <w:rFonts w:ascii="Helvetica Neue" w:eastAsia="Times New Roman" w:hAnsi="Helvetica Neue" w:cs="Times New Roman"/>
        </w:rPr>
        <w:fldChar w:fldCharType="begin" w:fldLock="1"/>
      </w:r>
      <w:r w:rsidR="00651F22"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651F22" w:rsidRPr="00621411">
        <w:rPr>
          <w:rFonts w:ascii="Helvetica Neue" w:eastAsia="Times New Roman" w:hAnsi="Helvetica Neue" w:cs="Times New Roman"/>
        </w:rPr>
        <w:fldChar w:fldCharType="separate"/>
      </w:r>
      <w:r w:rsidR="00651F22" w:rsidRPr="00621411">
        <w:rPr>
          <w:rFonts w:ascii="Helvetica Neue" w:eastAsia="Times New Roman" w:hAnsi="Helvetica Neue" w:cs="Times New Roman"/>
          <w:noProof/>
        </w:rPr>
        <w:t>Zhan et al. (2014)</w:t>
      </w:r>
      <w:r w:rsidR="00651F22" w:rsidRPr="00621411">
        <w:rPr>
          <w:rFonts w:ascii="Helvetica Neue" w:eastAsia="Times New Roman" w:hAnsi="Helvetica Neue" w:cs="Times New Roman"/>
        </w:rPr>
        <w:fldChar w:fldCharType="end"/>
      </w:r>
      <w:r w:rsidR="00651F22" w:rsidRPr="00621411">
        <w:rPr>
          <w:rFonts w:ascii="Helvetica Neue" w:eastAsia="Times New Roman" w:hAnsi="Helvetica Neue" w:cs="Times New Roman"/>
        </w:rPr>
        <w:t xml:space="preserve"> by alignment to the monarch genome as described above.</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AEBAA75" w:rsidR="00F8441E" w:rsidRPr="007209A4"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xml:space="preserve">. North American monarchs formed </w:t>
      </w:r>
      <w:proofErr w:type="gramStart"/>
      <w:r w:rsidR="00E70B1E" w:rsidRPr="001B063A">
        <w:rPr>
          <w:rFonts w:ascii="Helvetica Neue" w:hAnsi="Helvetica Neue" w:cs="Arial"/>
          <w:color w:val="000000"/>
        </w:rPr>
        <w:t>a single panmic</w:t>
      </w:r>
      <w:r w:rsidR="00F8441E">
        <w:rPr>
          <w:rFonts w:ascii="Helvetica Neue" w:hAnsi="Helvetica Neue" w:cs="Arial"/>
          <w:color w:val="000000"/>
        </w:rPr>
        <w:t>tic populations</w:t>
      </w:r>
      <w:proofErr w:type="gramEnd"/>
      <w:r w:rsidR="00F8441E">
        <w:rPr>
          <w:rFonts w:ascii="Helvetica Neue" w:hAnsi="Helvetica Neue" w:cs="Arial"/>
          <w:color w:val="000000"/>
        </w:rPr>
        <w:t xml:space="preserve">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764127" w:rsidRPr="00764127">
        <w:rPr>
          <w:rFonts w:ascii="Helvetica Neue" w:hAnsi="Helvetica Neue" w:cs="Arial"/>
          <w:color w:val="000000"/>
        </w:rPr>
        <w:t>Figure 3</w:t>
      </w:r>
      <w:r w:rsidRPr="00764127">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proofErr w:type="gramStart"/>
      <w:r w:rsidR="00536404">
        <w:rPr>
          <w:rFonts w:ascii="Helvetica Neue" w:hAnsi="Helvetica Neue" w:cs="Arial"/>
          <w:color w:val="000000"/>
        </w:rPr>
        <w:t>),</w:t>
      </w:r>
      <w:proofErr w:type="gram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r w:rsidR="00646FB0">
        <w:rPr>
          <w:rFonts w:ascii="Helvetica Neue" w:hAnsi="Helvetica Neue" w:cs="Arial"/>
          <w:color w:val="000000"/>
        </w:rPr>
        <w:t xml:space="preserve"> </w:t>
      </w:r>
      <w:r w:rsidR="007209A4">
        <w:rPr>
          <w:rFonts w:ascii="Helvetica Neue" w:hAnsi="Helvetica Neue" w:cs="Arial"/>
          <w:color w:val="000000"/>
        </w:rPr>
        <w:t>Pairwise F</w:t>
      </w:r>
      <w:r w:rsidR="007209A4">
        <w:rPr>
          <w:rFonts w:ascii="Helvetica Neue" w:hAnsi="Helvetica Neue" w:cs="Arial"/>
          <w:color w:val="000000"/>
          <w:vertAlign w:val="subscript"/>
        </w:rPr>
        <w:t>ST</w:t>
      </w:r>
      <w:r w:rsidR="007209A4">
        <w:rPr>
          <w:rFonts w:ascii="Helvetica Neue" w:hAnsi="Helvetica Neue" w:cs="Arial"/>
          <w:color w:val="000000"/>
        </w:rPr>
        <w:t xml:space="preserve"> values were much lower between the different Australian samples than between the other populations. For each other population,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Hawaii. For Hawaii, the lowest F</w:t>
      </w:r>
      <w:r w:rsidR="007209A4">
        <w:rPr>
          <w:rFonts w:ascii="Helvetica Neue" w:hAnsi="Helvetica Neue" w:cs="Arial"/>
          <w:color w:val="000000"/>
          <w:vertAlign w:val="subscript"/>
        </w:rPr>
        <w:t>ST</w:t>
      </w:r>
      <w:r w:rsidR="007209A4">
        <w:rPr>
          <w:rFonts w:ascii="Helvetica Neue" w:hAnsi="Helvetica Neue" w:cs="Arial"/>
          <w:color w:val="000000"/>
        </w:rPr>
        <w:t xml:space="preserve"> value was vs. North America (</w:t>
      </w:r>
      <w:r w:rsidR="007209A4" w:rsidRPr="007209A4">
        <w:rPr>
          <w:rFonts w:ascii="Helvetica Neue" w:hAnsi="Helvetica Neue" w:cs="Arial"/>
          <w:color w:val="000000"/>
          <w:highlight w:val="yellow"/>
        </w:rPr>
        <w:t>see Table XXX</w:t>
      </w:r>
      <w:r w:rsidR="007209A4">
        <w:rPr>
          <w:rFonts w:ascii="Helvetica Neue" w:hAnsi="Helvetica Neue" w:cs="Arial"/>
          <w:color w:val="000000"/>
        </w:rPr>
        <w:t>).</w:t>
      </w:r>
    </w:p>
    <w:p w14:paraId="0B23AFFD" w14:textId="60EE6285"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w:t>
      </w:r>
      <w:r w:rsidR="00764127">
        <w:rPr>
          <w:rFonts w:ascii="Helvetica Neue" w:hAnsi="Helvetica Neue" w:cs="Arial"/>
          <w:color w:val="000000"/>
        </w:rPr>
        <w:t>At</w:t>
      </w:r>
      <w:r w:rsidR="007851D0">
        <w:rPr>
          <w:rFonts w:ascii="Helvetica Neue" w:hAnsi="Helvetica Neue" w:cs="Arial"/>
          <w:color w:val="000000"/>
        </w:rPr>
        <w:t xml:space="preserve"> k = 6 Hawaii is assigned to a unique cluster; </w:t>
      </w:r>
      <w:r w:rsidR="00B0663E">
        <w:rPr>
          <w:rFonts w:ascii="Helvetica Neue" w:hAnsi="Helvetica Neue" w:cs="Arial"/>
          <w:color w:val="000000"/>
        </w:rPr>
        <w:t>at k &lt; 6</w:t>
      </w:r>
      <w:r w:rsidR="007851D0">
        <w:rPr>
          <w:rFonts w:ascii="Helvetica Neue" w:hAnsi="Helvetica Neue" w:cs="Arial"/>
          <w:color w:val="000000"/>
        </w:rPr>
        <w:t xml:space="preserve">,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08A39D3C"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proofErr w:type="gramStart"/>
      <w:r w:rsidR="00FB074A" w:rsidRPr="00FB074A">
        <w:rPr>
          <w:rFonts w:ascii="Helvetica Neue" w:hAnsi="Helvetica Neue" w:cs="Arial"/>
          <w:i/>
          <w:color w:val="000000"/>
        </w:rPr>
        <w:t>three epoch</w:t>
      </w:r>
      <w:proofErr w:type="gramEnd"/>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w:t>
      </w:r>
      <w:r w:rsidR="00B86C53">
        <w:rPr>
          <w:rFonts w:ascii="Helvetica Neue" w:hAnsi="Helvetica Neue" w:cs="Arial"/>
          <w:color w:val="000000"/>
        </w:rPr>
        <w:lastRenderedPageBreak/>
        <w:t>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0663E">
        <w:rPr>
          <w:rFonts w:ascii="Helvetica Neue" w:hAnsi="Helvetica Neue" w:cs="Arial"/>
          <w:color w:val="000000"/>
        </w:rPr>
        <w:t xml:space="preserve"> generations ago (Fig. 4a, 4</w:t>
      </w:r>
      <w:r w:rsidR="00B86C53">
        <w:rPr>
          <w:rFonts w:ascii="Helvetica Neue" w:hAnsi="Helvetica Neue" w:cs="Arial"/>
          <w:color w:val="000000"/>
        </w:rPr>
        <w:t>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0663E">
        <w:rPr>
          <w:rFonts w:ascii="Helvetica Neue" w:hAnsi="Helvetica Neue" w:cs="Arial"/>
          <w:color w:val="000000"/>
        </w:rPr>
        <w:t xml:space="preserve"> individuals (Fig. 4a, 4</w:t>
      </w:r>
      <w:r w:rsidR="00B86C53">
        <w:rPr>
          <w:rFonts w:ascii="Helvetica Neue" w:hAnsi="Helvetica Neue" w:cs="Arial"/>
          <w:color w:val="000000"/>
        </w:rPr>
        <w:t xml:space="preserve">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B0663E">
        <w:rPr>
          <w:rFonts w:ascii="Helvetica Neue" w:hAnsi="Helvetica Neue" w:cs="Arial"/>
          <w:color w:val="000000"/>
        </w:rPr>
        <w:t xml:space="preserve"> (Fig. 4c, 4</w:t>
      </w:r>
      <w:r w:rsidR="00FD18CC">
        <w:rPr>
          <w:rFonts w:ascii="Helvetica Neue" w:hAnsi="Helvetica Neue" w:cs="Arial"/>
          <w:color w:val="000000"/>
        </w:rPr>
        <w:t>d).</w:t>
      </w:r>
    </w:p>
    <w:p w14:paraId="3D4FC076" w14:textId="5643412E"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B0663E">
        <w:rPr>
          <w:rFonts w:ascii="Helvetica Neue" w:hAnsi="Helvetica Neue" w:cs="Arial"/>
          <w:color w:val="000000"/>
        </w:rPr>
        <w:t>ividuals per generation (Fig. 4</w:t>
      </w:r>
      <w:r w:rsidR="00FD18CC">
        <w:rPr>
          <w:rFonts w:ascii="Helvetica Neue" w:hAnsi="Helvetica Neue" w:cs="Arial"/>
          <w:color w:val="000000"/>
        </w:rPr>
        <w:t>e</w:t>
      </w:r>
      <w:r w:rsidR="00B0663E">
        <w:rPr>
          <w:rFonts w:ascii="Helvetica Neue" w:hAnsi="Helvetica Neue" w:cs="Arial"/>
          <w:color w:val="000000"/>
        </w:rPr>
        <w:t>, 4</w:t>
      </w:r>
      <w:r>
        <w:rPr>
          <w:rFonts w:ascii="Helvetica Neue" w:hAnsi="Helvetica Neue" w:cs="Arial"/>
          <w:color w:val="000000"/>
        </w:rPr>
        <w:t>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xml:space="preserve">. The other previously </w:t>
      </w:r>
      <w:proofErr w:type="spellStart"/>
      <w:r w:rsidR="009B2AE0">
        <w:rPr>
          <w:rFonts w:ascii="Helvetica Neue" w:hAnsi="Helvetica Neue" w:cs="Arial"/>
          <w:color w:val="000000"/>
        </w:rPr>
        <w:t>unsampled</w:t>
      </w:r>
      <w:proofErr w:type="spellEnd"/>
      <w:r w:rsidR="009B2AE0">
        <w:rPr>
          <w:rFonts w:ascii="Helvetica Neue" w:hAnsi="Helvetica Neue" w:cs="Arial"/>
          <w:color w:val="000000"/>
        </w:rPr>
        <w:t xml:space="preserve">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w:t>
      </w:r>
      <w:r>
        <w:rPr>
          <w:rFonts w:ascii="Helvetica Neue" w:hAnsi="Helvetica Neue" w:cs="Arial"/>
          <w:color w:val="000000"/>
        </w:rPr>
        <w:lastRenderedPageBreak/>
        <w:t xml:space="preserve">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w:t>
      </w:r>
      <w:proofErr w:type="spellStart"/>
      <w:r>
        <w:rPr>
          <w:rFonts w:ascii="Helvetica Neue" w:hAnsi="Helvetica Neue" w:cs="Arial"/>
          <w:color w:val="000000"/>
        </w:rPr>
        <w:t>Shephard</w:t>
      </w:r>
      <w:proofErr w:type="spellEnd"/>
      <w:r>
        <w:rPr>
          <w:rFonts w:ascii="Helvetica Neue" w:hAnsi="Helvetica Neue" w:cs="Arial"/>
          <w:color w:val="000000"/>
        </w:rPr>
        <w:t xml:space="preserve">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2B866409"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w:t>
      </w:r>
      <w:proofErr w:type="spellStart"/>
      <w:r w:rsidR="00873DA2">
        <w:rPr>
          <w:rFonts w:ascii="Helvetica Neue" w:hAnsi="Helvetica Neue" w:cs="Arial"/>
          <w:color w:val="000000"/>
        </w:rPr>
        <w:t>Panmixia</w:t>
      </w:r>
      <w:proofErr w:type="spellEnd"/>
      <w:r w:rsidR="00873DA2">
        <w:rPr>
          <w:rFonts w:ascii="Helvetica Neue" w:hAnsi="Helvetica Neue" w:cs="Arial"/>
          <w:color w:val="000000"/>
        </w:rPr>
        <w:t xml:space="preserve">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w:t>
      </w:r>
      <w:r w:rsidR="00034711">
        <w:rPr>
          <w:rFonts w:ascii="Helvetica Neue" w:hAnsi="Helvetica Neue" w:cs="Arial"/>
          <w:color w:val="000000"/>
        </w:rPr>
        <w:t>taxa including bats (Peel et al. 2013), birds (Kraus et al. 2013), and eels (</w:t>
      </w:r>
      <w:proofErr w:type="spellStart"/>
      <w:r w:rsidR="00034711">
        <w:rPr>
          <w:rFonts w:ascii="Helvetica Neue" w:hAnsi="Helvetica Neue" w:cs="Arial"/>
          <w:color w:val="000000"/>
        </w:rPr>
        <w:t>Als</w:t>
      </w:r>
      <w:proofErr w:type="spellEnd"/>
      <w:r w:rsidR="00034711">
        <w:rPr>
          <w:rFonts w:ascii="Helvetica Neue" w:hAnsi="Helvetica Neue" w:cs="Arial"/>
          <w:color w:val="000000"/>
        </w:rPr>
        <w:t xml:space="preserve"> et al. 2011)</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Hawaiian </w:t>
      </w:r>
      <w:proofErr w:type="gramStart"/>
      <w:r>
        <w:rPr>
          <w:rFonts w:ascii="Helvetica Neue" w:hAnsi="Helvetica Neue" w:cs="Arial"/>
          <w:color w:val="000000"/>
        </w:rPr>
        <w:t>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 xml:space="preserve">cale of </w:t>
      </w:r>
      <w:r w:rsidR="00333EB3">
        <w:rPr>
          <w:rFonts w:ascii="Helvetica Neue" w:hAnsi="Helvetica Neue" w:cs="Arial"/>
          <w:color w:val="000000"/>
        </w:rPr>
        <w:lastRenderedPageBreak/>
        <w:t>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xml:space="preserve">, Freedman et al. 2018, </w:t>
      </w:r>
      <w:proofErr w:type="spellStart"/>
      <w:r w:rsidR="00333EB3">
        <w:rPr>
          <w:rFonts w:ascii="Helvetica Neue" w:hAnsi="Helvetica Neue" w:cs="Arial"/>
          <w:color w:val="000000"/>
        </w:rPr>
        <w:t>Hemstrom</w:t>
      </w:r>
      <w:proofErr w:type="spellEnd"/>
      <w:r w:rsidR="00333EB3">
        <w:rPr>
          <w:rFonts w:ascii="Helvetica Neue" w:hAnsi="Helvetica Neue" w:cs="Arial"/>
          <w:color w:val="000000"/>
        </w:rPr>
        <w:t xml:space="preserve"> et al. in prep) that might explain the lack of differentiation seen there.</w:t>
      </w:r>
    </w:p>
    <w:p w14:paraId="2503016F" w14:textId="75BD2153" w:rsidR="00E1737F" w:rsidRDefault="00E1737F" w:rsidP="009B2AE0">
      <w:pPr>
        <w:jc w:val="both"/>
        <w:rPr>
          <w:rFonts w:ascii="Helvetica Neue" w:hAnsi="Helvetica Neue" w:cs="Arial"/>
          <w:color w:val="000000"/>
        </w:rPr>
      </w:pPr>
      <w:r>
        <w:rPr>
          <w:rFonts w:ascii="Helvetica Neue" w:hAnsi="Helvetica Neue" w:cs="Arial"/>
          <w:color w:val="000000"/>
        </w:rPr>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 xml:space="preserve">0.07, 0.08, </w:t>
      </w:r>
      <w:r w:rsidR="00547769">
        <w:rPr>
          <w:rFonts w:ascii="Helvetica Neue" w:hAnsi="Helvetica Neue" w:cs="Arial"/>
          <w:color w:val="000000"/>
        </w:rPr>
        <w:t xml:space="preserve">and </w:t>
      </w:r>
      <w:r w:rsidR="008F42B9">
        <w:rPr>
          <w:rFonts w:ascii="Helvetica Neue" w:hAnsi="Helvetica Neue" w:cs="Arial"/>
          <w:color w:val="000000"/>
        </w:rPr>
        <w:t>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5604E504" w14:textId="728A2C84" w:rsidR="00B8273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for </w:t>
      </w:r>
      <w:r w:rsidR="00B82734">
        <w:rPr>
          <w:rFonts w:ascii="Helvetica Neue" w:hAnsi="Helvetica Neue" w:cs="Arial"/>
          <w:color w:val="000000"/>
        </w:rPr>
        <w:t>two</w:t>
      </w:r>
      <w:r w:rsidR="00063421">
        <w:rPr>
          <w:rFonts w:ascii="Helvetica Neue" w:hAnsi="Helvetica Neue" w:cs="Arial"/>
          <w:color w:val="000000"/>
        </w:rPr>
        <w:t xml:space="preserv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w:t>
      </w:r>
      <w:r w:rsidR="00B82734">
        <w:rPr>
          <w:rFonts w:ascii="Helvetica Neue" w:hAnsi="Helvetica Neue" w:cs="Arial"/>
          <w:color w:val="000000"/>
        </w:rPr>
        <w:t>, and</w:t>
      </w:r>
      <w:r w:rsidR="00063421">
        <w:rPr>
          <w:rFonts w:ascii="Helvetica Neue" w:hAnsi="Helvetica Neue" w:cs="Arial"/>
          <w:color w:val="000000"/>
        </w:rPr>
        <w:t xml:space="preserve"> (</w:t>
      </w:r>
      <w:r w:rsidR="00B82734">
        <w:rPr>
          <w:rFonts w:ascii="Helvetica Neue" w:hAnsi="Helvetica Neue" w:cs="Arial"/>
          <w:color w:val="000000"/>
        </w:rPr>
        <w:t>2</w:t>
      </w:r>
      <w:r w:rsidR="00063421">
        <w:rPr>
          <w:rFonts w:ascii="Helvetica Neue" w:hAnsi="Helvetica Neue" w:cs="Arial"/>
          <w:color w:val="000000"/>
        </w:rPr>
        <w:t>) this model structure produces parameter estimates that match our prior understanding for how and when monarch range expansion may have occurred.</w:t>
      </w:r>
      <w:r w:rsidR="000A25FC">
        <w:rPr>
          <w:rFonts w:ascii="Helvetica Neue" w:hAnsi="Helvetica Neue" w:cs="Arial"/>
          <w:color w:val="000000"/>
        </w:rPr>
        <w:t xml:space="preserve"> The latter point is likely due to the former: because a North American population expansion is not allowed until after the founding of Hawaii in the </w:t>
      </w:r>
      <w:r w:rsidR="000A25FC">
        <w:rPr>
          <w:rFonts w:ascii="Helvetica Neue" w:hAnsi="Helvetica Neue" w:cs="Arial"/>
          <w:i/>
          <w:iCs/>
          <w:color w:val="000000"/>
        </w:rPr>
        <w:t>found and grow</w:t>
      </w:r>
      <w:r w:rsidR="000A25FC">
        <w:rPr>
          <w:rFonts w:ascii="Helvetica Neue" w:hAnsi="Helvetica Neue" w:cs="Arial"/>
          <w:color w:val="000000"/>
        </w:rPr>
        <w:t xml:space="preserve"> model, the model forces an ancient founding of the Hawaiian population in o</w:t>
      </w:r>
      <w:r w:rsidR="004C52F5">
        <w:rPr>
          <w:rFonts w:ascii="Helvetica Neue" w:hAnsi="Helvetica Neue" w:cs="Arial"/>
          <w:color w:val="000000"/>
        </w:rPr>
        <w:t>rder to allow for the ancient growth of the North American population.</w:t>
      </w:r>
      <w:r w:rsidR="00063421">
        <w:rPr>
          <w:rFonts w:ascii="Helvetica Neue" w:hAnsi="Helvetica Neue" w:cs="Arial"/>
          <w:color w:val="000000"/>
        </w:rPr>
        <w:t xml:space="preserve">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119A144" w:rsidR="00171572" w:rsidRDefault="00B82734" w:rsidP="00B82734">
      <w:pPr>
        <w:ind w:firstLine="720"/>
        <w:jc w:val="both"/>
        <w:rPr>
          <w:rFonts w:ascii="Helvetica Neue" w:hAnsi="Helvetica Neue" w:cs="Arial"/>
          <w:color w:val="000000"/>
        </w:rPr>
      </w:pPr>
      <w:r>
        <w:rPr>
          <w:rFonts w:ascii="Helvetica Neue" w:hAnsi="Helvetica Neue" w:cs="Arial"/>
          <w:color w:val="000000"/>
        </w:rPr>
        <w:t>In general</w:t>
      </w:r>
      <w:r w:rsidR="000A25FC">
        <w:rPr>
          <w:rFonts w:ascii="Helvetica Neue" w:hAnsi="Helvetica Neue" w:cs="Arial"/>
          <w:color w:val="000000"/>
        </w:rPr>
        <w:t>,</w:t>
      </w:r>
      <w:r>
        <w:rPr>
          <w:rFonts w:ascii="Helvetica Neue" w:hAnsi="Helvetica Neue" w:cs="Arial"/>
          <w:color w:val="000000"/>
        </w:rPr>
        <w:t xml:space="preserve"> our demographic results do not exclude a recent,</w:t>
      </w:r>
      <w:r w:rsidR="00063421">
        <w:rPr>
          <w:rFonts w:ascii="Helvetica Neue" w:hAnsi="Helvetica Neue" w:cs="Arial"/>
          <w:color w:val="000000"/>
        </w:rPr>
        <w:t xml:space="preserve"> </w:t>
      </w:r>
      <w:r>
        <w:rPr>
          <w:rFonts w:ascii="Helvetica Neue" w:hAnsi="Helvetica Neue" w:cs="Arial"/>
          <w:color w:val="000000"/>
        </w:rPr>
        <w:t xml:space="preserve">founding of the </w:t>
      </w:r>
      <w:r w:rsidR="00063421">
        <w:rPr>
          <w:rFonts w:ascii="Helvetica Neue" w:hAnsi="Helvetica Neue" w:cs="Arial"/>
          <w:color w:val="000000"/>
        </w:rPr>
        <w:t>Hawaii</w:t>
      </w:r>
      <w:r>
        <w:rPr>
          <w:rFonts w:ascii="Helvetica Neue" w:hAnsi="Helvetica Neue" w:cs="Arial"/>
          <w:color w:val="000000"/>
        </w:rPr>
        <w:t xml:space="preserve">an population </w:t>
      </w:r>
      <w:r w:rsidR="004C52F5">
        <w:rPr>
          <w:rFonts w:ascii="Helvetica Neue" w:hAnsi="Helvetica Neue" w:cs="Arial"/>
          <w:color w:val="000000"/>
        </w:rPr>
        <w:t>by</w:t>
      </w:r>
      <w:r>
        <w:rPr>
          <w:rFonts w:ascii="Helvetica Neue" w:hAnsi="Helvetica Neue" w:cs="Arial"/>
          <w:color w:val="000000"/>
        </w:rPr>
        <w:t xml:space="preserve"> North American monarchs</w:t>
      </w:r>
      <w:r w:rsidR="00063421">
        <w:rPr>
          <w:rFonts w:ascii="Helvetica Neue" w:hAnsi="Helvetica Neue" w:cs="Arial"/>
          <w:color w:val="000000"/>
        </w:rPr>
        <w:t xml:space="preserve"> (Fig </w:t>
      </w:r>
      <w:r w:rsidR="00F3704A">
        <w:rPr>
          <w:rFonts w:ascii="Helvetica Neue" w:hAnsi="Helvetica Neue" w:cs="Arial"/>
          <w:color w:val="000000"/>
        </w:rPr>
        <w:t>3d)</w:t>
      </w:r>
      <w:r>
        <w:rPr>
          <w:rFonts w:ascii="Helvetica Neue" w:hAnsi="Helvetica Neue" w:cs="Arial"/>
          <w:color w:val="000000"/>
        </w:rPr>
        <w:t>.</w:t>
      </w:r>
      <w:r w:rsidR="00063421">
        <w:rPr>
          <w:rFonts w:ascii="Helvetica Neue" w:hAnsi="Helvetica Neue" w:cs="Arial"/>
          <w:color w:val="000000"/>
        </w:rPr>
        <w:t xml:space="preserve"> </w:t>
      </w:r>
      <w:r w:rsidR="000A25FC">
        <w:rPr>
          <w:rFonts w:ascii="Helvetica Neue" w:hAnsi="Helvetica Neue" w:cs="Arial"/>
          <w:color w:val="000000"/>
        </w:rPr>
        <w:t xml:space="preserve">While our model optimizations span several orders of magnitude for both of these parameters, a substantial portion of the iterations settled on introductions less than 200 years ago. </w:t>
      </w:r>
      <w:r w:rsidR="004C52F5">
        <w:rPr>
          <w:rFonts w:ascii="Helvetica Neue" w:hAnsi="Helvetica Neue" w:cs="Arial"/>
          <w:color w:val="000000"/>
        </w:rPr>
        <w:t>Since the earliest historical records of monarchs on Hawaii date to roughly 200 years ago, we are inclined to believe the results of these iterations over those with longer estimated divergence times. That the</w:t>
      </w:r>
      <w:r w:rsidR="00171572">
        <w:rPr>
          <w:rFonts w:ascii="Helvetica Neue" w:hAnsi="Helvetica Neue" w:cs="Arial"/>
          <w:color w:val="000000"/>
        </w:rPr>
        <w:t xml:space="preserve"> </w:t>
      </w:r>
      <w:r w:rsidR="000A25FC">
        <w:rPr>
          <w:rFonts w:ascii="Helvetica Neue" w:hAnsi="Helvetica Neue" w:cs="Arial"/>
          <w:color w:val="000000"/>
        </w:rPr>
        <w:t xml:space="preserve">presence of </w:t>
      </w:r>
      <w:r w:rsidR="00171572">
        <w:rPr>
          <w:rFonts w:ascii="Helvetica Neue" w:hAnsi="Helvetica Neue" w:cs="Arial"/>
          <w:color w:val="000000"/>
        </w:rPr>
        <w:t>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w:t>
      </w:r>
      <w:r w:rsidR="000A25FC">
        <w:rPr>
          <w:rFonts w:ascii="Helvetica Neue" w:hAnsi="Helvetica Neue" w:cs="Arial"/>
          <w:color w:val="000000"/>
        </w:rPr>
        <w:t>on Hawaii is</w:t>
      </w:r>
      <w:r w:rsidR="00171572">
        <w:rPr>
          <w:rFonts w:ascii="Helvetica Neue" w:hAnsi="Helvetica Neue" w:cs="Arial"/>
          <w:color w:val="000000"/>
        </w:rPr>
        <w:t xml:space="preserve"> almost certainly</w:t>
      </w:r>
      <w:r w:rsidR="000A25FC">
        <w:rPr>
          <w:rFonts w:ascii="Helvetica Neue" w:hAnsi="Helvetica Neue" w:cs="Arial"/>
          <w:color w:val="000000"/>
        </w:rPr>
        <w:t xml:space="preserve"> due</w:t>
      </w:r>
      <w:r w:rsidR="00171572">
        <w:rPr>
          <w:rFonts w:ascii="Helvetica Neue" w:hAnsi="Helvetica Neue" w:cs="Arial"/>
          <w:color w:val="000000"/>
        </w:rPr>
        <w:t xml:space="preserve">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0A25FC">
        <w:rPr>
          <w:rFonts w:ascii="Helvetica Neue" w:hAnsi="Helvetica Neue" w:cs="Arial"/>
          <w:color w:val="000000"/>
        </w:rPr>
        <w:t xml:space="preserve"> also suggests a recent monarch establishment</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r w:rsidR="004C52F5" w:rsidRPr="004C52F5">
        <w:rPr>
          <w:rFonts w:ascii="Helvetica Neue" w:hAnsi="Helvetica Neue" w:cs="Arial"/>
          <w:color w:val="000000"/>
        </w:rPr>
        <w:t xml:space="preserve"> </w:t>
      </w:r>
      <w:commentRangeStart w:id="1"/>
      <w:r w:rsidR="004C52F5">
        <w:rPr>
          <w:rFonts w:ascii="Helvetica Neue" w:hAnsi="Helvetica Neue" w:cs="Arial"/>
          <w:color w:val="000000"/>
        </w:rPr>
        <w:t xml:space="preserve">Given this, </w:t>
      </w:r>
      <w:commentRangeStart w:id="2"/>
      <w:r w:rsidR="004C52F5">
        <w:rPr>
          <w:rFonts w:ascii="Helvetica Neue" w:hAnsi="Helvetica Neue" w:cs="Arial"/>
          <w:color w:val="000000"/>
        </w:rPr>
        <w:t>along with phenotypic evidence for contemporary differentiation between Pacific and North American populations (Freedman et al., in review),</w:t>
      </w:r>
      <w:commentRangeEnd w:id="2"/>
      <w:r w:rsidR="004C52F5">
        <w:rPr>
          <w:rStyle w:val="CommentReference"/>
        </w:rPr>
        <w:commentReference w:id="2"/>
      </w:r>
      <w:r w:rsidR="004C52F5">
        <w:rPr>
          <w:rFonts w:ascii="Helvetica Neue" w:hAnsi="Helvetica Neue" w:cs="Arial"/>
          <w:color w:val="000000"/>
        </w:rPr>
        <w:t xml:space="preserve"> </w:t>
      </w:r>
      <w:commentRangeEnd w:id="1"/>
      <w:r w:rsidR="00FD577D">
        <w:rPr>
          <w:rStyle w:val="CommentReference"/>
        </w:rPr>
        <w:commentReference w:id="1"/>
      </w:r>
      <w:r w:rsidR="004C52F5">
        <w:rPr>
          <w:rFonts w:ascii="Helvetica Neue" w:hAnsi="Helvetica Neue" w:cs="Arial"/>
          <w:color w:val="000000"/>
        </w:rPr>
        <w:t xml:space="preserve">we suggest accepting the historical records to </w:t>
      </w:r>
      <w:r w:rsidR="004C52F5">
        <w:rPr>
          <w:rFonts w:ascii="Helvetica Neue" w:hAnsi="Helvetica Neue" w:cs="Arial"/>
          <w:color w:val="000000"/>
        </w:rPr>
        <w:lastRenderedPageBreak/>
        <w:t>infer the approximate establishment timing for Pacific populations.</w:t>
      </w:r>
      <w:r w:rsidR="000D6C26">
        <w:rPr>
          <w:rFonts w:ascii="Helvetica Neue" w:hAnsi="Helvetica Neue" w:cs="Arial"/>
          <w:color w:val="000000"/>
        </w:rPr>
        <w:t xml:space="preserve"> Interestingly, our re-implementation of the model used by </w:t>
      </w:r>
      <w:r w:rsidR="000D6C26">
        <w:rPr>
          <w:rFonts w:ascii="Helvetica Neue" w:hAnsi="Helvetica Neue" w:cs="Arial"/>
          <w:color w:val="000000"/>
        </w:rPr>
        <w:fldChar w:fldCharType="begin" w:fldLock="1"/>
      </w:r>
      <w:r w:rsidR="000D6C26">
        <w:rPr>
          <w:rFonts w:ascii="Helvetica Neue" w:hAnsi="Helvetica Neue" w:cs="Arial"/>
          <w:color w:val="000000"/>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2014)"},"properties":{"noteIndex":0},"schema":"https://github.com/citation-style-language/schema/raw/master/csl-citation.json"}</w:instrText>
      </w:r>
      <w:r w:rsidR="000D6C26">
        <w:rPr>
          <w:rFonts w:ascii="Helvetica Neue" w:hAnsi="Helvetica Neue" w:cs="Arial"/>
          <w:color w:val="000000"/>
        </w:rPr>
        <w:fldChar w:fldCharType="separate"/>
      </w:r>
      <w:r w:rsidR="000D6C26" w:rsidRPr="000D6C26">
        <w:rPr>
          <w:rFonts w:ascii="Helvetica Neue" w:hAnsi="Helvetica Neue" w:cs="Arial"/>
          <w:noProof/>
          <w:color w:val="000000"/>
        </w:rPr>
        <w:t>Zhan et al.</w:t>
      </w:r>
      <w:r w:rsidR="000D6C26">
        <w:rPr>
          <w:rFonts w:ascii="Helvetica Neue" w:hAnsi="Helvetica Neue" w:cs="Arial"/>
          <w:noProof/>
          <w:color w:val="000000"/>
        </w:rPr>
        <w:t xml:space="preserve"> (</w:t>
      </w:r>
      <w:r w:rsidR="000D6C26" w:rsidRPr="000D6C26">
        <w:rPr>
          <w:rFonts w:ascii="Helvetica Neue" w:hAnsi="Helvetica Neue" w:cs="Arial"/>
          <w:noProof/>
          <w:color w:val="000000"/>
        </w:rPr>
        <w:t>2014)</w:t>
      </w:r>
      <w:r w:rsidR="000D6C26">
        <w:rPr>
          <w:rFonts w:ascii="Helvetica Neue" w:hAnsi="Helvetica Neue" w:cs="Arial"/>
          <w:color w:val="000000"/>
        </w:rPr>
        <w:fldChar w:fldCharType="end"/>
      </w:r>
      <w:r w:rsidR="000D6C26">
        <w:rPr>
          <w:rFonts w:ascii="Helvetica Neue" w:hAnsi="Helvetica Neue" w:cs="Arial"/>
          <w:color w:val="000000"/>
        </w:rPr>
        <w:t xml:space="preserve"> produced results that were similar to theirs, with the vast majority of model iterations supporting an introduction time of roughly 1000+ years ago (</w:t>
      </w:r>
      <w:r w:rsidR="000D6C26" w:rsidRPr="000D6C26">
        <w:rPr>
          <w:rFonts w:ascii="Helvetica Neue" w:hAnsi="Helvetica Neue" w:cs="Arial"/>
          <w:color w:val="000000"/>
          <w:highlight w:val="yellow"/>
        </w:rPr>
        <w:t>figure SXXX)</w:t>
      </w:r>
      <w:r w:rsidR="000D6C26">
        <w:rPr>
          <w:rFonts w:ascii="Helvetica Neue" w:hAnsi="Helvetica Neue" w:cs="Arial"/>
          <w:color w:val="000000"/>
        </w:rPr>
        <w:t>. This highlights the need to run a range of possible demographic models when attempting to infer demographic history, since failing to account for underlying complexity in population histories can result in very divergent parameter estimates.</w:t>
      </w:r>
    </w:p>
    <w:p w14:paraId="44CCF79E" w14:textId="6B7ABB1B" w:rsidR="00E82EB8" w:rsidRDefault="00E77EF4" w:rsidP="00E82EB8">
      <w:pPr>
        <w:jc w:val="both"/>
        <w:rPr>
          <w:ins w:id="3" w:author="Micah Freedman" w:date="2019-11-07T12:08:00Z"/>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w:t>
      </w:r>
      <w:ins w:id="4" w:author="Micah Freedman" w:date="2019-11-07T12:04:00Z">
        <w:r w:rsidR="00E82EB8">
          <w:rPr>
            <w:rFonts w:ascii="Helvetica Neue" w:hAnsi="Helvetica Neue" w:cs="Arial"/>
            <w:color w:val="000000"/>
          </w:rPr>
          <w:t xml:space="preserve">The extremely wide range of parameter estimates for founding population size and timing </w:t>
        </w:r>
      </w:ins>
      <w:ins w:id="5" w:author="Micah Freedman" w:date="2019-11-07T12:01:00Z">
        <w:r w:rsidR="00E82EB8">
          <w:rPr>
            <w:rFonts w:ascii="Helvetica Neue" w:hAnsi="Helvetica Neue" w:cs="Arial"/>
            <w:color w:val="000000"/>
          </w:rPr>
          <w:t xml:space="preserve">may reflect that, in practice, it is difficult to distinguish between a very recent strong bottleneck versus a more distant but less severe bottleneck. </w:t>
        </w:r>
      </w:ins>
      <w:ins w:id="6" w:author="Micah Freedman" w:date="2019-11-07T12:07:00Z">
        <w:r w:rsidR="00E82EB8">
          <w:rPr>
            <w:rFonts w:ascii="Helvetica Neue" w:hAnsi="Helvetica Neue" w:cs="Arial"/>
            <w:color w:val="000000"/>
          </w:rPr>
          <w:t>We also note that a single</w:t>
        </w:r>
      </w:ins>
      <w:del w:id="7" w:author="Micah Freedman" w:date="2019-11-07T12:07:00Z">
        <w:r w:rsidDel="00E82EB8">
          <w:rPr>
            <w:rFonts w:ascii="Helvetica Neue" w:hAnsi="Helvetica Neue" w:cs="Arial"/>
            <w:color w:val="000000"/>
          </w:rPr>
          <w:delText>A</w:delText>
        </w:r>
        <w:r w:rsidR="00FB61F8" w:rsidDel="00E82EB8">
          <w:rPr>
            <w:rFonts w:ascii="Helvetica Neue" w:hAnsi="Helvetica Neue" w:cs="Arial"/>
            <w:color w:val="000000"/>
          </w:rPr>
          <w:delText xml:space="preserve"> single</w:delText>
        </w:r>
      </w:del>
      <w:r w:rsidR="00FB61F8">
        <w:rPr>
          <w:rFonts w:ascii="Helvetica Neue" w:hAnsi="Helvetica Neue" w:cs="Arial"/>
          <w:color w:val="000000"/>
        </w:rPr>
        <w:t xml:space="preserv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xml:space="preserve">), </w:t>
      </w:r>
      <w:ins w:id="8" w:author="Micah Freedman" w:date="2019-11-07T12:08:00Z">
        <w:r w:rsidR="00E82EB8">
          <w:rPr>
            <w:rFonts w:ascii="Helvetica Neue" w:hAnsi="Helvetica Neue" w:cs="Arial"/>
            <w:color w:val="000000"/>
          </w:rPr>
          <w:t>potentially mitigating some of the strong post-establishment genetic drift that normally accompanies population bottlenecks.</w:t>
        </w:r>
      </w:ins>
    </w:p>
    <w:p w14:paraId="05547CD3" w14:textId="77777777" w:rsidR="00E82EB8" w:rsidRDefault="00E82EB8" w:rsidP="00E82EB8">
      <w:pPr>
        <w:jc w:val="both"/>
        <w:rPr>
          <w:ins w:id="9" w:author="Micah Freedman" w:date="2019-11-07T12:08:00Z"/>
          <w:rFonts w:ascii="Helvetica Neue" w:hAnsi="Helvetica Neue" w:cs="Arial"/>
          <w:color w:val="000000"/>
        </w:rPr>
      </w:pPr>
    </w:p>
    <w:p w14:paraId="30B44DD2" w14:textId="06444D41" w:rsidR="000D6C26" w:rsidRDefault="00E77EF4" w:rsidP="00E82EB8">
      <w:pPr>
        <w:jc w:val="both"/>
        <w:rPr>
          <w:rFonts w:ascii="Helvetica Neue" w:hAnsi="Helvetica Neue" w:cs="Arial"/>
          <w:color w:val="000000"/>
        </w:rPr>
      </w:pPr>
      <w:commentRangeStart w:id="10"/>
      <w:proofErr w:type="gramStart"/>
      <w:r>
        <w:rPr>
          <w:rFonts w:ascii="Helvetica Neue" w:hAnsi="Helvetica Neue" w:cs="Arial"/>
          <w:color w:val="000000"/>
        </w:rPr>
        <w:t>potentially</w:t>
      </w:r>
      <w:proofErr w:type="gramEnd"/>
      <w:r>
        <w:rPr>
          <w:rFonts w:ascii="Helvetica Neue" w:hAnsi="Helvetica Neue" w:cs="Arial"/>
          <w:color w:val="000000"/>
        </w:rPr>
        <w:t xml:space="preserve"> mitigating some of</w:t>
      </w:r>
      <w:r w:rsidR="008C4E05">
        <w:rPr>
          <w:rFonts w:ascii="Helvetica Neue" w:hAnsi="Helvetica Neue" w:cs="Arial"/>
          <w:color w:val="000000"/>
        </w:rPr>
        <w:t xml:space="preserve"> the bottleneck effects associated with initial establishment (any references from other systems to support this?)</w:t>
      </w:r>
      <w:commentRangeEnd w:id="10"/>
      <w:r w:rsidR="00547769">
        <w:rPr>
          <w:rStyle w:val="CommentReference"/>
        </w:rPr>
        <w:commentReference w:id="10"/>
      </w:r>
      <w:r w:rsidR="008C4E05">
        <w:rPr>
          <w:rFonts w:ascii="Helvetica Neue" w:hAnsi="Helvetica Neue" w:cs="Arial"/>
          <w:color w:val="000000"/>
        </w:rPr>
        <w:t>.</w:t>
      </w:r>
      <w:r w:rsidR="008F42B9">
        <w:rPr>
          <w:rFonts w:ascii="Helvetica Neue" w:hAnsi="Helvetica Neue" w:cs="Arial"/>
          <w:color w:val="000000"/>
        </w:rPr>
        <w:t xml:space="preserve"> </w:t>
      </w:r>
      <w:r w:rsidR="004C52F5">
        <w:rPr>
          <w:rFonts w:ascii="Helvetica Neue" w:hAnsi="Helvetica Neue" w:cs="Arial"/>
          <w:color w:val="000000"/>
        </w:rPr>
        <w:t>Our model results do provide some support for this, since the model iterations with recent establishments also tended to have smaller establishment population sizes.</w:t>
      </w:r>
    </w:p>
    <w:p w14:paraId="5E0D1F3D" w14:textId="30EDF75B"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w:t>
      </w:r>
      <w:r w:rsidR="004C52F5">
        <w:rPr>
          <w:rFonts w:ascii="Helvetica Neue" w:hAnsi="Helvetica Neue" w:cs="Arial"/>
          <w:color w:val="000000"/>
        </w:rPr>
        <w:t xml:space="preserve"> and vice versa</w:t>
      </w:r>
      <w:r>
        <w:rPr>
          <w:rFonts w:ascii="Helvetica Neue" w:hAnsi="Helvetica Neue" w:cs="Arial"/>
          <w:color w:val="000000"/>
        </w:rPr>
        <w:t>).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w:t>
      </w:r>
      <w:ins w:id="11" w:author="Micah Freedman" w:date="2019-11-07T12:05:00Z">
        <w:r w:rsidR="00E82EB8">
          <w:rPr>
            <w:rFonts w:ascii="Helvetica Neue" w:hAnsi="Helvetica Neue" w:cs="Arial"/>
            <w:color w:val="000000"/>
          </w:rPr>
          <w:t xml:space="preserve">regular </w:t>
        </w:r>
      </w:ins>
      <w:r w:rsidR="00F3704A">
        <w:rPr>
          <w:rFonts w:ascii="Helvetica Neue" w:hAnsi="Helvetica Neue" w:cs="Arial"/>
          <w:color w:val="000000"/>
        </w:rPr>
        <w:t xml:space="preserve">North America </w:t>
      </w:r>
      <w:r w:rsidR="008F42B9">
        <w:rPr>
          <w:rFonts w:ascii="Helvetica Neue" w:hAnsi="Helvetica Neue" w:cs="Arial"/>
          <w:color w:val="000000"/>
        </w:rPr>
        <w:t>-</w:t>
      </w:r>
      <w:r w:rsidR="00F3704A">
        <w:rPr>
          <w:rFonts w:ascii="Helvetica Neue" w:hAnsi="Helvetica Neue" w:cs="Arial"/>
          <w:color w:val="000000"/>
        </w:rPr>
        <w:t xml:space="preserve">&gt; Hawaii </w:t>
      </w:r>
      <w:del w:id="12" w:author="Micah Freedman" w:date="2019-11-07T12:05:00Z">
        <w:r w:rsidR="00F3704A" w:rsidDel="00E82EB8">
          <w:rPr>
            <w:rFonts w:ascii="Helvetica Neue" w:hAnsi="Helvetica Neue" w:cs="Arial"/>
            <w:color w:val="000000"/>
          </w:rPr>
          <w:delText>movement</w:delText>
        </w:r>
      </w:del>
      <w:ins w:id="13" w:author="Micah Freedman" w:date="2019-11-07T12:05:00Z">
        <w:r w:rsidR="00E82EB8">
          <w:rPr>
            <w:rFonts w:ascii="Helvetica Neue" w:hAnsi="Helvetica Neue" w:cs="Arial"/>
            <w:color w:val="000000"/>
          </w:rPr>
          <w:t>establishment</w:t>
        </w:r>
      </w:ins>
      <w:r w:rsidR="00F3704A">
        <w:rPr>
          <w:rFonts w:ascii="Helvetica Neue" w:hAnsi="Helvetica Neue" w:cs="Arial"/>
          <w:color w:val="000000"/>
        </w:rPr>
        <w: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w:t>
      </w:r>
      <w:r>
        <w:rPr>
          <w:rFonts w:ascii="Helvetica Neue" w:hAnsi="Helvetica Neue" w:cs="Arial"/>
          <w:color w:val="000000"/>
        </w:rPr>
        <w:lastRenderedPageBreak/>
        <w:t xml:space="preserve">the scale of islands within an archipelago, as seen in comparisons between the islands of Guam and Rota. This is in stark contrast to the continent-wide </w:t>
      </w:r>
      <w:proofErr w:type="spellStart"/>
      <w:r>
        <w:rPr>
          <w:rFonts w:ascii="Helvetica Neue" w:hAnsi="Helvetica Neue" w:cs="Arial"/>
          <w:color w:val="000000"/>
        </w:rPr>
        <w:t>panmixia</w:t>
      </w:r>
      <w:proofErr w:type="spellEnd"/>
      <w:r>
        <w:rPr>
          <w:rFonts w:ascii="Helvetica Neue" w:hAnsi="Helvetica Neue" w:cs="Arial"/>
          <w:color w:val="000000"/>
        </w:rPr>
        <w:t xml:space="preserve">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065A864F" w14:textId="71F659D0" w:rsidR="00034711" w:rsidRPr="00034711" w:rsidRDefault="00034711" w:rsidP="004A5E76">
      <w:pPr>
        <w:pStyle w:val="ListParagraph"/>
        <w:numPr>
          <w:ilvl w:val="0"/>
          <w:numId w:val="2"/>
        </w:numPr>
        <w:rPr>
          <w:rFonts w:ascii="Helvetica" w:eastAsia="Times New Roman" w:hAnsi="Helvetica" w:cs="Times New Roman"/>
        </w:rPr>
      </w:pPr>
      <w:proofErr w:type="spellStart"/>
      <w:r>
        <w:rPr>
          <w:rFonts w:ascii="Helvetica" w:eastAsia="Times New Roman" w:hAnsi="Helvetica" w:cs="Times New Roman"/>
        </w:rPr>
        <w:t>Ackery</w:t>
      </w:r>
      <w:proofErr w:type="spellEnd"/>
      <w:r>
        <w:rPr>
          <w:rFonts w:ascii="Helvetica" w:eastAsia="Times New Roman" w:hAnsi="Helvetica" w:cs="Times New Roman"/>
        </w:rPr>
        <w:t>, P.R. &amp;</w:t>
      </w:r>
      <w:r w:rsidRPr="00034711">
        <w:rPr>
          <w:rFonts w:ascii="Helvetica" w:eastAsia="Times New Roman" w:hAnsi="Helvetica" w:cs="Times New Roman"/>
        </w:rPr>
        <w:t xml:space="preserve"> Vane-Wright, R.I. (1984). </w:t>
      </w:r>
      <w:r>
        <w:rPr>
          <w:rFonts w:ascii="Helvetica" w:eastAsia="Times New Roman" w:hAnsi="Helvetica" w:cs="Times New Roman"/>
          <w:i/>
          <w:iCs/>
        </w:rPr>
        <w:t>Milkweed Butterflies: Their Cladistics and Biology</w:t>
      </w:r>
      <w:r>
        <w:rPr>
          <w:rFonts w:ascii="Helvetica" w:eastAsia="Times New Roman" w:hAnsi="Helvetica" w:cs="Times New Roman"/>
          <w:iCs/>
        </w:rPr>
        <w:t>.</w:t>
      </w:r>
      <w:r w:rsidRPr="00034711">
        <w:rPr>
          <w:rFonts w:ascii="Helvetica" w:eastAsia="Times New Roman" w:hAnsi="Helvetica" w:cs="Times New Roman"/>
        </w:rPr>
        <w:t xml:space="preserve"> </w:t>
      </w:r>
      <w:r>
        <w:rPr>
          <w:rFonts w:ascii="Helvetica" w:eastAsia="Times New Roman" w:hAnsi="Helvetica" w:cs="Times New Roman"/>
        </w:rPr>
        <w:t>Cornell University Press, Ithaca, NY, USA.</w:t>
      </w:r>
    </w:p>
    <w:p w14:paraId="6EF68090" w14:textId="538E4D8F" w:rsidR="0092399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5DB87EA4" w14:textId="48C64926"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Als</w:t>
      </w:r>
      <w:proofErr w:type="spellEnd"/>
      <w:r w:rsidRPr="00034711">
        <w:rPr>
          <w:rFonts w:ascii="Helvetica" w:eastAsia="Times New Roman" w:hAnsi="Helvetica" w:cs="Times New Roman"/>
        </w:rPr>
        <w:t xml:space="preserve">, T.D., Hansen, M.M., </w:t>
      </w:r>
      <w:proofErr w:type="spellStart"/>
      <w:r w:rsidRPr="00034711">
        <w:rPr>
          <w:rFonts w:ascii="Helvetica" w:eastAsia="Times New Roman" w:hAnsi="Helvetica" w:cs="Times New Roman"/>
        </w:rPr>
        <w:t>Maes</w:t>
      </w:r>
      <w:proofErr w:type="spellEnd"/>
      <w:r w:rsidRPr="00034711">
        <w:rPr>
          <w:rFonts w:ascii="Helvetica" w:eastAsia="Times New Roman" w:hAnsi="Helvetica" w:cs="Times New Roman"/>
        </w:rPr>
        <w:t xml:space="preserve">, G.E., </w:t>
      </w:r>
      <w:proofErr w:type="spellStart"/>
      <w:r w:rsidRPr="00034711">
        <w:rPr>
          <w:rFonts w:ascii="Helvetica" w:eastAsia="Times New Roman" w:hAnsi="Helvetica" w:cs="Times New Roman"/>
        </w:rPr>
        <w:t>Castonguay</w:t>
      </w:r>
      <w:proofErr w:type="spellEnd"/>
      <w:r w:rsidRPr="00034711">
        <w:rPr>
          <w:rFonts w:ascii="Helvetica" w:eastAsia="Times New Roman" w:hAnsi="Helvetica" w:cs="Times New Roman"/>
        </w:rPr>
        <w:t xml:space="preserve">, M., Riemann, L., </w:t>
      </w:r>
      <w:proofErr w:type="spellStart"/>
      <w:r w:rsidRPr="00034711">
        <w:rPr>
          <w:rFonts w:ascii="Helvetica" w:eastAsia="Times New Roman" w:hAnsi="Helvetica" w:cs="Times New Roman"/>
        </w:rPr>
        <w:t>Aarestrup</w:t>
      </w:r>
      <w:proofErr w:type="spellEnd"/>
      <w:r w:rsidRPr="00034711">
        <w:rPr>
          <w:rFonts w:ascii="Helvetica" w:eastAsia="Times New Roman" w:hAnsi="Helvetica" w:cs="Times New Roman"/>
        </w:rPr>
        <w:t xml:space="preserve">, K., </w:t>
      </w:r>
      <w:r w:rsidRPr="00034711">
        <w:rPr>
          <w:rFonts w:ascii="Helvetica" w:eastAsia="Times New Roman" w:hAnsi="Helvetica" w:cs="Times New Roman"/>
          <w:i/>
          <w:iCs/>
        </w:rPr>
        <w:t>et al.</w:t>
      </w:r>
      <w:r w:rsidRPr="00034711">
        <w:rPr>
          <w:rFonts w:ascii="Helvetica" w:eastAsia="Times New Roman" w:hAnsi="Helvetica" w:cs="Times New Roman"/>
        </w:rPr>
        <w:t xml:space="preserve"> (2011). All roads lead to home: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European eel in the Sargasso Sea. </w:t>
      </w:r>
      <w:r w:rsidRPr="00034711">
        <w:rPr>
          <w:rFonts w:ascii="Helvetica" w:eastAsia="Times New Roman" w:hAnsi="Helvetica" w:cs="Times New Roman"/>
          <w:i/>
          <w:iCs/>
        </w:rPr>
        <w:t>Mol. Ecol.</w:t>
      </w:r>
      <w:r w:rsidRPr="00034711">
        <w:rPr>
          <w:rFonts w:ascii="Helvetica" w:eastAsia="Times New Roman" w:hAnsi="Helvetica" w:cs="Times New Roman"/>
        </w:rPr>
        <w:t>, 20, 1333–1346.</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w:t>
      </w:r>
      <w:proofErr w:type="spellStart"/>
      <w:r w:rsidRPr="00D704D0">
        <w:rPr>
          <w:rFonts w:ascii="Helvetica" w:eastAsia="Times New Roman" w:hAnsi="Helvetica" w:cs="Times New Roman"/>
        </w:rPr>
        <w:t>Cornejo</w:t>
      </w:r>
      <w:proofErr w:type="spellEnd"/>
      <w:r w:rsidRPr="00D704D0">
        <w:rPr>
          <w:rFonts w:ascii="Helvetica" w:eastAsia="Times New Roman" w:hAnsi="Helvetica" w:cs="Times New Roman"/>
        </w:rPr>
        <w:t xml:space="preserve">,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proofErr w:type="spellStart"/>
      <w:r w:rsidRPr="00D704D0">
        <w:rPr>
          <w:rFonts w:ascii="Helvetica" w:eastAsia="Times New Roman" w:hAnsi="Helvetica" w:cs="Times New Roman"/>
          <w:i/>
        </w:rPr>
        <w:t>Senecio</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Dawe</w:t>
      </w:r>
      <w:proofErr w:type="spellEnd"/>
      <w:r w:rsidRPr="007D59EC">
        <w:rPr>
          <w:rFonts w:ascii="Helvetica" w:eastAsia="Times New Roman" w:hAnsi="Helvetica" w:cs="Times New Roman"/>
        </w:rPr>
        <w:t xml:space="preserve">, K.L. &amp; </w:t>
      </w:r>
      <w:proofErr w:type="spellStart"/>
      <w:r w:rsidRPr="007D59EC">
        <w:rPr>
          <w:rFonts w:ascii="Helvetica" w:eastAsia="Times New Roman" w:hAnsi="Helvetica" w:cs="Times New Roman"/>
        </w:rPr>
        <w:t>Boutin</w:t>
      </w:r>
      <w:proofErr w:type="spellEnd"/>
      <w:r w:rsidRPr="007D59EC">
        <w:rPr>
          <w:rFonts w:ascii="Helvetica" w:eastAsia="Times New Roman" w:hAnsi="Helvetica" w:cs="Times New Roman"/>
        </w:rPr>
        <w:t>, S. (2016). Climate change is the primary driver of white-tailed deer (</w:t>
      </w:r>
      <w:proofErr w:type="spellStart"/>
      <w:r w:rsidRPr="007D59EC">
        <w:rPr>
          <w:rFonts w:ascii="Helvetica" w:eastAsia="Times New Roman" w:hAnsi="Helvetica" w:cs="Times New Roman"/>
          <w:i/>
        </w:rPr>
        <w:t>Odocoileus</w:t>
      </w:r>
      <w:proofErr w:type="spellEnd"/>
      <w:r w:rsidRPr="007D59EC">
        <w:rPr>
          <w:rFonts w:ascii="Helvetica" w:eastAsia="Times New Roman" w:hAnsi="Helvetica" w:cs="Times New Roman"/>
          <w:i/>
        </w:rPr>
        <w:t xml:space="preserve"> </w:t>
      </w:r>
      <w:proofErr w:type="spellStart"/>
      <w:r w:rsidRPr="007D59EC">
        <w:rPr>
          <w:rFonts w:ascii="Helvetica" w:eastAsia="Times New Roman" w:hAnsi="Helvetica" w:cs="Times New Roman"/>
          <w:i/>
        </w:rPr>
        <w:t>virginianus</w:t>
      </w:r>
      <w:proofErr w:type="spellEnd"/>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proofErr w:type="gramStart"/>
      <w:r w:rsidRPr="007D59EC">
        <w:rPr>
          <w:rFonts w:ascii="Helvetica" w:eastAsia="Times New Roman" w:hAnsi="Helvetica" w:cs="Times New Roman"/>
          <w:i/>
          <w:iCs/>
        </w:rPr>
        <w:t>.</w:t>
      </w:r>
      <w:r w:rsidRPr="007D59EC">
        <w:rPr>
          <w:rFonts w:ascii="Helvetica" w:eastAsia="Times New Roman" w:hAnsi="Helvetica" w:cs="Times New Roman"/>
        </w:rPr>
        <w:t>,</w:t>
      </w:r>
      <w:proofErr w:type="gramEnd"/>
      <w:r w:rsidRPr="007D59EC">
        <w:rPr>
          <w:rFonts w:ascii="Helvetica" w:eastAsia="Times New Roman" w:hAnsi="Helvetica" w:cs="Times New Roman"/>
        </w:rPr>
        <w:t xml:space="preserve">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proofErr w:type="gramStart"/>
      <w:r w:rsidRPr="00D704D0">
        <w:rPr>
          <w:rFonts w:ascii="Helvetica" w:eastAsia="Times New Roman" w:hAnsi="Helvetica" w:cs="Times New Roman"/>
        </w:rPr>
        <w:t>pophelper</w:t>
      </w:r>
      <w:proofErr w:type="spellEnd"/>
      <w:proofErr w:type="gramEnd"/>
      <w:r w:rsidRPr="00D704D0">
        <w:rPr>
          <w:rFonts w:ascii="Helvetica" w:eastAsia="Times New Roman" w:hAnsi="Helvetica" w:cs="Times New Roman"/>
        </w:rPr>
        <w:t xml:space="preserve">: an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 e1000695.</w:t>
      </w:r>
    </w:p>
    <w:p w14:paraId="5367E9B0" w14:textId="5B97BCC9" w:rsidR="004A5E76"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w:t>
      </w:r>
      <w:proofErr w:type="spellStart"/>
      <w:r w:rsidRPr="00D704D0">
        <w:rPr>
          <w:rFonts w:ascii="Helvetica" w:eastAsia="Times New Roman" w:hAnsi="Helvetica" w:cs="Times New Roman"/>
        </w:rPr>
        <w:t>Anthropocene</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1D8CF3A3" w14:textId="76CC8D29" w:rsidR="00034711" w:rsidRPr="00034711" w:rsidRDefault="00034711" w:rsidP="004A5E76">
      <w:pPr>
        <w:pStyle w:val="ListParagraph"/>
        <w:numPr>
          <w:ilvl w:val="0"/>
          <w:numId w:val="2"/>
        </w:numPr>
        <w:rPr>
          <w:rFonts w:ascii="Helvetica" w:eastAsia="Times New Roman" w:hAnsi="Helvetica" w:cs="Times New Roman"/>
        </w:rPr>
      </w:pPr>
      <w:proofErr w:type="spellStart"/>
      <w:r w:rsidRPr="00034711">
        <w:rPr>
          <w:rFonts w:ascii="Helvetica" w:eastAsia="Times New Roman" w:hAnsi="Helvetica" w:cs="Times New Roman"/>
        </w:rPr>
        <w:t>Henn</w:t>
      </w:r>
      <w:proofErr w:type="spellEnd"/>
      <w:r w:rsidRPr="00034711">
        <w:rPr>
          <w:rFonts w:ascii="Helvetica" w:eastAsia="Times New Roman" w:hAnsi="Helvetica" w:cs="Times New Roman"/>
        </w:rPr>
        <w:t xml:space="preserve">, B.M., </w:t>
      </w:r>
      <w:proofErr w:type="spellStart"/>
      <w:r w:rsidRPr="00034711">
        <w:rPr>
          <w:rFonts w:ascii="Helvetica" w:eastAsia="Times New Roman" w:hAnsi="Helvetica" w:cs="Times New Roman"/>
        </w:rPr>
        <w:t>Cavalli</w:t>
      </w:r>
      <w:proofErr w:type="spellEnd"/>
      <w:r w:rsidRPr="00034711">
        <w:rPr>
          <w:rFonts w:ascii="Helvetica" w:eastAsia="Times New Roman" w:hAnsi="Helvetica" w:cs="Times New Roman"/>
        </w:rPr>
        <w:t xml:space="preserve">-Sforza, L.L. &amp; Feldman, M.W. (2012). The great human expansion. </w:t>
      </w:r>
      <w:r w:rsidRPr="00034711">
        <w:rPr>
          <w:rFonts w:ascii="Helvetica" w:eastAsia="Times New Roman" w:hAnsi="Helvetica" w:cs="Times New Roman"/>
          <w:i/>
          <w:iCs/>
        </w:rPr>
        <w:t>Proc. Natl. Acad. Sci. U. S. A.</w:t>
      </w:r>
      <w:r w:rsidRPr="00034711">
        <w:rPr>
          <w:rFonts w:ascii="Helvetica" w:eastAsia="Times New Roman" w:hAnsi="Helvetica" w:cs="Times New Roman"/>
        </w:rPr>
        <w:t>, 109, 17758–17764.</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lastRenderedPageBreak/>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James, D.G. (1993). Migration biology of the monarch butterfly in Australia.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Malcolm, S.B. &amp; Zalucki, M.P.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79F1069A" w14:textId="54E1FBC5"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Kraus, R.H.S., van </w:t>
      </w:r>
      <w:proofErr w:type="spellStart"/>
      <w:r w:rsidRPr="00034711">
        <w:rPr>
          <w:rFonts w:ascii="Helvetica" w:eastAsia="Times New Roman" w:hAnsi="Helvetica" w:cs="Times New Roman"/>
        </w:rPr>
        <w:t>Hooft</w:t>
      </w:r>
      <w:proofErr w:type="spellEnd"/>
      <w:r w:rsidRPr="00034711">
        <w:rPr>
          <w:rFonts w:ascii="Helvetica" w:eastAsia="Times New Roman" w:hAnsi="Helvetica" w:cs="Times New Roman"/>
        </w:rPr>
        <w:t xml:space="preserve">, P., </w:t>
      </w:r>
      <w:proofErr w:type="spellStart"/>
      <w:r w:rsidRPr="00034711">
        <w:rPr>
          <w:rFonts w:ascii="Helvetica" w:eastAsia="Times New Roman" w:hAnsi="Helvetica" w:cs="Times New Roman"/>
        </w:rPr>
        <w:t>Megens</w:t>
      </w:r>
      <w:proofErr w:type="spellEnd"/>
      <w:r w:rsidRPr="00034711">
        <w:rPr>
          <w:rFonts w:ascii="Helvetica" w:eastAsia="Times New Roman" w:hAnsi="Helvetica" w:cs="Times New Roman"/>
        </w:rPr>
        <w:t>, H</w:t>
      </w:r>
      <w:proofErr w:type="gramStart"/>
      <w:r w:rsidRPr="00034711">
        <w:rPr>
          <w:rFonts w:ascii="Helvetica" w:eastAsia="Times New Roman" w:hAnsi="Helvetica" w:cs="Times New Roman"/>
        </w:rPr>
        <w:t>.-</w:t>
      </w:r>
      <w:proofErr w:type="gramEnd"/>
      <w:r w:rsidRPr="00034711">
        <w:rPr>
          <w:rFonts w:ascii="Helvetica" w:eastAsia="Times New Roman" w:hAnsi="Helvetica" w:cs="Times New Roman"/>
        </w:rPr>
        <w:t xml:space="preserve">J., </w:t>
      </w:r>
      <w:proofErr w:type="spellStart"/>
      <w:r w:rsidRPr="00034711">
        <w:rPr>
          <w:rFonts w:ascii="Helvetica" w:eastAsia="Times New Roman" w:hAnsi="Helvetica" w:cs="Times New Roman"/>
        </w:rPr>
        <w:t>Tsvey</w:t>
      </w:r>
      <w:proofErr w:type="spellEnd"/>
      <w:r w:rsidRPr="00034711">
        <w:rPr>
          <w:rFonts w:ascii="Helvetica" w:eastAsia="Times New Roman" w:hAnsi="Helvetica" w:cs="Times New Roman"/>
        </w:rPr>
        <w:t xml:space="preserve">, A., </w:t>
      </w:r>
      <w:proofErr w:type="spellStart"/>
      <w:r w:rsidRPr="00034711">
        <w:rPr>
          <w:rFonts w:ascii="Helvetica" w:eastAsia="Times New Roman" w:hAnsi="Helvetica" w:cs="Times New Roman"/>
        </w:rPr>
        <w:t>Fokin</w:t>
      </w:r>
      <w:proofErr w:type="spellEnd"/>
      <w:r w:rsidRPr="00034711">
        <w:rPr>
          <w:rFonts w:ascii="Helvetica" w:eastAsia="Times New Roman" w:hAnsi="Helvetica" w:cs="Times New Roman"/>
        </w:rPr>
        <w:t xml:space="preserve">, S.Y., </w:t>
      </w:r>
      <w:proofErr w:type="spellStart"/>
      <w:r w:rsidRPr="00034711">
        <w:rPr>
          <w:rFonts w:ascii="Helvetica" w:eastAsia="Times New Roman" w:hAnsi="Helvetica" w:cs="Times New Roman"/>
        </w:rPr>
        <w:t>Ydenberg</w:t>
      </w:r>
      <w:proofErr w:type="spellEnd"/>
      <w:r w:rsidRPr="00034711">
        <w:rPr>
          <w:rFonts w:ascii="Helvetica" w:eastAsia="Times New Roman" w:hAnsi="Helvetica" w:cs="Times New Roman"/>
        </w:rPr>
        <w:t xml:space="preserve">, R.C., </w:t>
      </w:r>
      <w:r w:rsidRPr="00034711">
        <w:rPr>
          <w:rFonts w:ascii="Helvetica" w:eastAsia="Times New Roman" w:hAnsi="Helvetica" w:cs="Times New Roman"/>
          <w:i/>
          <w:iCs/>
        </w:rPr>
        <w:t>et al.</w:t>
      </w:r>
      <w:r w:rsidRPr="00034711">
        <w:rPr>
          <w:rFonts w:ascii="Helvetica" w:eastAsia="Times New Roman" w:hAnsi="Helvetica" w:cs="Times New Roman"/>
        </w:rPr>
        <w:t xml:space="preserve"> (2013). Global lack of flyway structure in a cosmopolitan bird revealed by a genome wide survey of single nucleotide polymorphisms. </w:t>
      </w:r>
      <w:r w:rsidRPr="00034711">
        <w:rPr>
          <w:rFonts w:ascii="Helvetica" w:eastAsia="Times New Roman" w:hAnsi="Helvetica" w:cs="Times New Roman"/>
          <w:i/>
          <w:iCs/>
        </w:rPr>
        <w:t>Mol. Ecol.</w:t>
      </w:r>
      <w:r w:rsidRPr="00034711">
        <w:rPr>
          <w:rFonts w:ascii="Helvetica" w:eastAsia="Times New Roman" w:hAnsi="Helvetica" w:cs="Times New Roman"/>
        </w:rPr>
        <w:t>, 22, 41–55.</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S.R. &amp; Tan, A</w:t>
      </w:r>
      <w:proofErr w:type="gramStart"/>
      <w:r w:rsidRPr="00D704D0">
        <w:rPr>
          <w:rFonts w:ascii="Helvetica" w:eastAsia="Times New Roman" w:hAnsi="Helvetica" w:cs="Times New Roman"/>
        </w:rPr>
        <w:t>.-</w:t>
      </w:r>
      <w:proofErr w:type="gramEnd"/>
      <w:r w:rsidRPr="00D704D0">
        <w:rPr>
          <w:rFonts w:ascii="Helvetica" w:eastAsia="Times New Roman" w:hAnsi="Helvetica" w:cs="Times New Roman"/>
        </w:rPr>
        <w:t xml:space="preserve">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granulosa</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w:t>
      </w:r>
      <w:proofErr w:type="spellStart"/>
      <w:r w:rsidRPr="00D704D0">
        <w:rPr>
          <w:rFonts w:ascii="Helvetica" w:eastAsia="Times New Roman" w:hAnsi="Helvetica" w:cs="Times New Roman"/>
        </w:rPr>
        <w:t>Voorhies</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K.J.</w:t>
      </w:r>
      <w:proofErr w:type="gramEnd"/>
      <w:r w:rsidRPr="00D704D0">
        <w:rPr>
          <w:rFonts w:ascii="Helvetica" w:eastAsia="Times New Roman" w:hAnsi="Helvetica" w:cs="Times New Roman"/>
        </w:rPr>
        <w:t xml:space="preserve">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Paradis</w:t>
      </w:r>
      <w:proofErr w:type="spellEnd"/>
      <w:r w:rsidRPr="00D704D0">
        <w:rPr>
          <w:rFonts w:ascii="Helvetica" w:eastAsia="Times New Roman" w:hAnsi="Helvetica" w:cs="Times New Roman"/>
        </w:rPr>
        <w:t xml:space="preserve">,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w:t>
      </w:r>
      <w:proofErr w:type="gramStart"/>
      <w:r w:rsidRPr="00D704D0">
        <w:rPr>
          <w:rFonts w:ascii="Helvetica" w:eastAsia="Times New Roman" w:hAnsi="Helvetica" w:cs="Times New Roman"/>
        </w:rPr>
        <w:t>ape</w:t>
      </w:r>
      <w:proofErr w:type="gramEnd"/>
      <w:r w:rsidRPr="00D704D0">
        <w:rPr>
          <w:rFonts w:ascii="Helvetica" w:eastAsia="Times New Roman" w:hAnsi="Helvetica" w:cs="Times New Roman"/>
        </w:rPr>
        <w:t xml:space="preserve"> 5.0: an environment for modern </w:t>
      </w:r>
      <w:proofErr w:type="spellStart"/>
      <w:r w:rsidRPr="00D704D0">
        <w:rPr>
          <w:rFonts w:ascii="Helvetica" w:eastAsia="Times New Roman" w:hAnsi="Helvetica" w:cs="Times New Roman"/>
        </w:rPr>
        <w:t>phylogenetics</w:t>
      </w:r>
      <w:proofErr w:type="spellEnd"/>
      <w:r w:rsidRPr="00D704D0">
        <w:rPr>
          <w:rFonts w:ascii="Helvetica" w:eastAsia="Times New Roman" w:hAnsi="Helvetica" w:cs="Times New Roman"/>
        </w:rPr>
        <w:t xml:space="preserve">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2241921D" w14:textId="2CE7B3C7" w:rsidR="00034711" w:rsidRPr="00034711" w:rsidRDefault="00034711" w:rsidP="004A5E76">
      <w:pPr>
        <w:pStyle w:val="ListParagraph"/>
        <w:numPr>
          <w:ilvl w:val="0"/>
          <w:numId w:val="2"/>
        </w:numPr>
        <w:rPr>
          <w:rFonts w:ascii="Helvetica" w:eastAsia="Times New Roman" w:hAnsi="Helvetica" w:cs="Times New Roman"/>
        </w:rPr>
      </w:pPr>
      <w:r w:rsidRPr="00034711">
        <w:rPr>
          <w:rFonts w:ascii="Helvetica" w:eastAsia="Times New Roman" w:hAnsi="Helvetica" w:cs="Times New Roman"/>
        </w:rPr>
        <w:t xml:space="preserve">Peel, A.J., </w:t>
      </w:r>
      <w:proofErr w:type="spellStart"/>
      <w:r w:rsidRPr="00034711">
        <w:rPr>
          <w:rFonts w:ascii="Helvetica" w:eastAsia="Times New Roman" w:hAnsi="Helvetica" w:cs="Times New Roman"/>
        </w:rPr>
        <w:t>Sargan</w:t>
      </w:r>
      <w:proofErr w:type="spellEnd"/>
      <w:r w:rsidRPr="00034711">
        <w:rPr>
          <w:rFonts w:ascii="Helvetica" w:eastAsia="Times New Roman" w:hAnsi="Helvetica" w:cs="Times New Roman"/>
        </w:rPr>
        <w:t xml:space="preserve">, D.R., Baker, K.S., Hayman, D.T.S., Barr, J.A., </w:t>
      </w:r>
      <w:proofErr w:type="spellStart"/>
      <w:r w:rsidRPr="00034711">
        <w:rPr>
          <w:rFonts w:ascii="Helvetica" w:eastAsia="Times New Roman" w:hAnsi="Helvetica" w:cs="Times New Roman"/>
        </w:rPr>
        <w:t>Crameri</w:t>
      </w:r>
      <w:proofErr w:type="spellEnd"/>
      <w:r w:rsidRPr="00034711">
        <w:rPr>
          <w:rFonts w:ascii="Helvetica" w:eastAsia="Times New Roman" w:hAnsi="Helvetica" w:cs="Times New Roman"/>
        </w:rPr>
        <w:t xml:space="preserve">, G., </w:t>
      </w:r>
      <w:proofErr w:type="gramStart"/>
      <w:r w:rsidRPr="00034711">
        <w:rPr>
          <w:rFonts w:ascii="Helvetica" w:eastAsia="Times New Roman" w:hAnsi="Helvetica" w:cs="Times New Roman"/>
          <w:i/>
          <w:iCs/>
        </w:rPr>
        <w:t>et al.</w:t>
      </w:r>
      <w:proofErr w:type="gramEnd"/>
      <w:r w:rsidRPr="00034711">
        <w:rPr>
          <w:rFonts w:ascii="Helvetica" w:eastAsia="Times New Roman" w:hAnsi="Helvetica" w:cs="Times New Roman"/>
        </w:rPr>
        <w:t xml:space="preserve"> (2013). Continent-wide </w:t>
      </w:r>
      <w:proofErr w:type="spellStart"/>
      <w:r w:rsidRPr="00034711">
        <w:rPr>
          <w:rFonts w:ascii="Helvetica" w:eastAsia="Times New Roman" w:hAnsi="Helvetica" w:cs="Times New Roman"/>
        </w:rPr>
        <w:t>panmixia</w:t>
      </w:r>
      <w:proofErr w:type="spellEnd"/>
      <w:r w:rsidRPr="00034711">
        <w:rPr>
          <w:rFonts w:ascii="Helvetica" w:eastAsia="Times New Roman" w:hAnsi="Helvetica" w:cs="Times New Roman"/>
        </w:rPr>
        <w:t xml:space="preserve"> of an African fruit bat facilitates transmission of potentially zoonotic viruses. </w:t>
      </w:r>
      <w:r w:rsidRPr="00034711">
        <w:rPr>
          <w:rFonts w:ascii="Helvetica" w:eastAsia="Times New Roman" w:hAnsi="Helvetica" w:cs="Times New Roman"/>
          <w:i/>
          <w:iCs/>
        </w:rPr>
        <w:t xml:space="preserve">Nat. </w:t>
      </w:r>
      <w:proofErr w:type="spellStart"/>
      <w:r w:rsidRPr="00034711">
        <w:rPr>
          <w:rFonts w:ascii="Helvetica" w:eastAsia="Times New Roman" w:hAnsi="Helvetica" w:cs="Times New Roman"/>
          <w:i/>
          <w:iCs/>
        </w:rPr>
        <w:t>Commun</w:t>
      </w:r>
      <w:proofErr w:type="spellEnd"/>
      <w:proofErr w:type="gramStart"/>
      <w:r w:rsidRPr="00034711">
        <w:rPr>
          <w:rFonts w:ascii="Helvetica" w:eastAsia="Times New Roman" w:hAnsi="Helvetica" w:cs="Times New Roman"/>
          <w:i/>
          <w:iCs/>
        </w:rPr>
        <w:t>.</w:t>
      </w:r>
      <w:r w:rsidRPr="00034711">
        <w:rPr>
          <w:rFonts w:ascii="Helvetica" w:eastAsia="Times New Roman" w:hAnsi="Helvetica" w:cs="Times New Roman"/>
        </w:rPr>
        <w:t>,</w:t>
      </w:r>
      <w:proofErr w:type="gramEnd"/>
      <w:r w:rsidRPr="00034711">
        <w:rPr>
          <w:rFonts w:ascii="Helvetica" w:eastAsia="Times New Roman" w:hAnsi="Helvetica" w:cs="Times New Roman"/>
        </w:rPr>
        <w:t xml:space="preserve"> 4, 2770.</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xml:space="preserve">, E., </w:t>
      </w:r>
      <w:proofErr w:type="spellStart"/>
      <w:r w:rsidRPr="00D704D0">
        <w:rPr>
          <w:rFonts w:ascii="Helvetica" w:eastAsia="Times New Roman" w:hAnsi="Helvetica" w:cs="Times New Roman"/>
        </w:rPr>
        <w:t>Nazario-Yepiz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Roode,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Zalucki, M.P., </w:t>
      </w:r>
      <w:proofErr w:type="spellStart"/>
      <w:r w:rsidRPr="00D704D0">
        <w:rPr>
          <w:rFonts w:ascii="Helvetica" w:eastAsia="Times New Roman" w:hAnsi="Helvetica" w:cs="Times New Roman"/>
        </w:rPr>
        <w:t>Bangura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S.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xml:space="preserve">, Cornell University Press, Ithaca, NY, </w:t>
      </w:r>
      <w:proofErr w:type="gramStart"/>
      <w:r w:rsidRPr="00D704D0">
        <w:rPr>
          <w:rFonts w:ascii="Helvetica" w:eastAsia="Times New Roman" w:hAnsi="Helvetica" w:cs="Times New Roman"/>
        </w:rPr>
        <w:t>pp</w:t>
      </w:r>
      <w:proofErr w:type="gramEnd"/>
      <w:r w:rsidRPr="00D704D0">
        <w:rPr>
          <w:rFonts w:ascii="Helvetica" w:eastAsia="Times New Roman" w:hAnsi="Helvetica" w:cs="Times New Roman"/>
        </w:rPr>
        <w:t>.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w:t>
      </w:r>
      <w:proofErr w:type="spellStart"/>
      <w:r w:rsidRPr="00D704D0">
        <w:rPr>
          <w:rFonts w:ascii="Helvetica" w:eastAsia="Times New Roman" w:hAnsi="Helvetica" w:cs="Times New Roman"/>
        </w:rPr>
        <w:t>Hirschfeld</w:t>
      </w:r>
      <w:proofErr w:type="spellEnd"/>
      <w:r w:rsidRPr="00D704D0">
        <w:rPr>
          <w:rFonts w:ascii="Helvetica" w:eastAsia="Times New Roman" w:hAnsi="Helvetica" w:cs="Times New Roman"/>
        </w:rPr>
        <w:t xml:space="preserve">,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Shephard</w:t>
      </w:r>
      <w:proofErr w:type="spellEnd"/>
      <w:r w:rsidRPr="00D704D0">
        <w:rPr>
          <w:rFonts w:ascii="Helvetica" w:eastAsia="Times New Roman" w:hAnsi="Helvetica" w:cs="Times New Roman"/>
        </w:rPr>
        <w:t xml:space="preserve">,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w:t>
      </w:r>
      <w:proofErr w:type="spellStart"/>
      <w:r w:rsidRPr="00D704D0">
        <w:rPr>
          <w:rFonts w:ascii="Helvetica" w:eastAsia="Times New Roman" w:hAnsi="Helvetica" w:cs="Times New Roman"/>
        </w:rPr>
        <w:t>Scheer</w:t>
      </w:r>
      <w:proofErr w:type="spellEnd"/>
      <w:r w:rsidRPr="00D704D0">
        <w:rPr>
          <w:rFonts w:ascii="Helvetica" w:eastAsia="Times New Roman" w:hAnsi="Helvetica" w:cs="Times New Roman"/>
        </w:rPr>
        <w:t xml:space="preserve">,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w:t>
      </w:r>
      <w:proofErr w:type="gramStart"/>
      <w:r w:rsidRPr="00D704D0">
        <w:rPr>
          <w:rFonts w:ascii="Helvetica" w:eastAsia="Times New Roman" w:hAnsi="Helvetica" w:cs="Times New Roman"/>
        </w:rPr>
        <w:t>in</w:t>
      </w:r>
      <w:proofErr w:type="gramEnd"/>
      <w:r w:rsidRPr="00D704D0">
        <w:rPr>
          <w:rFonts w:ascii="Helvetica" w:eastAsia="Times New Roman" w:hAnsi="Helvetica" w:cs="Times New Roman"/>
        </w:rPr>
        <w:t xml:space="preserve"> Zalucki, M.P. &amp; S.B. Malcolm, (</w:t>
      </w:r>
      <w:proofErr w:type="spellStart"/>
      <w:r w:rsidRPr="00D704D0">
        <w:rPr>
          <w:rFonts w:ascii="Helvetica" w:eastAsia="Times New Roman" w:hAnsi="Helvetica" w:cs="Times New Roman"/>
        </w:rPr>
        <w:t>eds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Weir, B.S. &amp; </w:t>
      </w:r>
      <w:proofErr w:type="spellStart"/>
      <w:r w:rsidRPr="00D704D0">
        <w:rPr>
          <w:rFonts w:ascii="Helvetica" w:eastAsia="Times New Roman" w:hAnsi="Helvetica" w:cs="Times New Roman"/>
        </w:rPr>
        <w:t>Cockerham</w:t>
      </w:r>
      <w:proofErr w:type="spellEnd"/>
      <w:r w:rsidRPr="00D704D0">
        <w:rPr>
          <w:rFonts w:ascii="Helvetica" w:eastAsia="Times New Roman" w:hAnsi="Helvetica" w:cs="Times New Roman"/>
        </w:rPr>
        <w:t xml:space="preserve">,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proofErr w:type="gramStart"/>
      <w:r w:rsidRPr="00D704D0">
        <w:rPr>
          <w:rFonts w:ascii="Helvetica" w:eastAsia="Times New Roman" w:hAnsi="Helvetica" w:cs="Times New Roman"/>
          <w:i/>
          <w:iCs/>
        </w:rPr>
        <w:t>.</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1755A5FD" w14:textId="05DC4F6C" w:rsidR="004A5E76" w:rsidRPr="002647E1" w:rsidRDefault="0059671D"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Zalucki,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20347AA2" w14:textId="77777777" w:rsidR="00B0663E" w:rsidRDefault="00B0663E">
      <w:pPr>
        <w:rPr>
          <w:rFonts w:ascii="Helvetica Neue" w:hAnsi="Helvetica Neue" w:cs="Arial"/>
          <w:color w:val="000000"/>
        </w:rPr>
      </w:pPr>
      <w:r>
        <w:rPr>
          <w:rFonts w:ascii="Helvetica Neue" w:hAnsi="Helvetica Neue" w:cs="Arial"/>
          <w:color w:val="000000"/>
        </w:rPr>
        <w:br w:type="page"/>
      </w:r>
    </w:p>
    <w:p w14:paraId="511AF01C" w14:textId="22C8C6A6" w:rsidR="002647E1" w:rsidRDefault="00B0663E">
      <w:pPr>
        <w:rPr>
          <w:rFonts w:ascii="Helvetica Neue" w:hAnsi="Helvetica Neue" w:cs="Arial"/>
          <w:color w:val="000000"/>
        </w:rPr>
      </w:pPr>
      <w:r>
        <w:rPr>
          <w:rFonts w:ascii="Helvetica Neue" w:hAnsi="Helvetica Neue" w:cs="Arial"/>
          <w:noProof/>
          <w:color w:val="000000"/>
        </w:rPr>
        <w:lastRenderedPageBreak/>
        <mc:AlternateContent>
          <mc:Choice Requires="wps">
            <w:drawing>
              <wp:anchor distT="0" distB="0" distL="114300" distR="114300" simplePos="0" relativeHeight="251663360" behindDoc="0" locked="0" layoutInCell="1" allowOverlap="1" wp14:anchorId="0B79A201" wp14:editId="60E87BA5">
                <wp:simplePos x="0" y="0"/>
                <wp:positionH relativeFrom="column">
                  <wp:posOffset>-685800</wp:posOffset>
                </wp:positionH>
                <wp:positionV relativeFrom="paragraph">
                  <wp:posOffset>2057400</wp:posOffset>
                </wp:positionV>
                <wp:extent cx="65151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5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F7BBB2" w14:textId="016547E8" w:rsidR="00FD577D" w:rsidRPr="00B0663E" w:rsidRDefault="00FD577D">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53.95pt;margin-top:162pt;width:513pt;height: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UutNACAAAV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" filled="f" stroked="f">
                <v:textbox>
                  <w:txbxContent>
                    <w:p w14:paraId="5EF7BBB2" w14:textId="016547E8" w:rsidR="00FD577D" w:rsidRPr="00B0663E" w:rsidRDefault="00FD577D">
                      <w:pPr>
                        <w:rPr>
                          <w:rFonts w:ascii="Cambria" w:hAnsi="Cambria"/>
                        </w:rPr>
                      </w:pPr>
                      <w:r w:rsidRPr="00B0663E">
                        <w:rPr>
                          <w:rFonts w:ascii="Cambria" w:hAnsi="Cambria" w:cs="Helvetica Neue"/>
                          <w:b/>
                          <w:bCs/>
                          <w:color w:val="000000"/>
                        </w:rPr>
                        <w:t xml:space="preserve">Figure 1 </w:t>
                      </w:r>
                      <w:r w:rsidRPr="00B0663E">
                        <w:rPr>
                          <w:rFonts w:ascii="Cambria" w:hAnsi="Cambria" w:cs="Helvetica Neue"/>
                          <w:color w:val="000000"/>
                        </w:rPr>
                        <w:t>- Map of sampling locations for monarchs included in our sequencing design. Points in purple correspond to locations previously sampled in Zhan et al. (2014) and Pierce et al. (2014a). Points in turquoise represent sampling locations with no previous genetic polymorphism data.</w:t>
                      </w:r>
                    </w:p>
                  </w:txbxContent>
                </v:textbox>
                <w10:wrap type="square"/>
              </v:shape>
            </w:pict>
          </mc:Fallback>
        </mc:AlternateContent>
      </w:r>
      <w:r>
        <w:rPr>
          <w:rFonts w:ascii="Helvetica Neue" w:hAnsi="Helvetica Neue" w:cs="Arial"/>
          <w:noProof/>
          <w:color w:val="000000"/>
        </w:rPr>
        <w:drawing>
          <wp:anchor distT="0" distB="0" distL="114300" distR="114300" simplePos="0" relativeHeight="251662336" behindDoc="0" locked="0" layoutInCell="1" allowOverlap="1" wp14:anchorId="1777DE73" wp14:editId="28CD9FD7">
            <wp:simplePos x="0" y="0"/>
            <wp:positionH relativeFrom="column">
              <wp:posOffset>-688340</wp:posOffset>
            </wp:positionH>
            <wp:positionV relativeFrom="paragraph">
              <wp:posOffset>-571500</wp:posOffset>
            </wp:positionV>
            <wp:extent cx="6631940" cy="2628900"/>
            <wp:effectExtent l="0" t="0" r="0" b="1270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194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E76">
        <w:rPr>
          <w:rFonts w:ascii="Helvetica Neue" w:hAnsi="Helvetica Neue" w:cs="Arial"/>
          <w:color w:val="000000"/>
        </w:rPr>
        <w:br w:type="page"/>
      </w:r>
      <w:r w:rsidR="000F23E4">
        <w:rPr>
          <w:rFonts w:ascii="Helvetica Neue" w:hAnsi="Helvetica Neue" w:cs="Arial"/>
          <w:noProof/>
          <w:color w:val="000000"/>
        </w:rPr>
        <w:lastRenderedPageBreak/>
        <mc:AlternateContent>
          <mc:Choice Requires="wps">
            <w:drawing>
              <wp:anchor distT="0" distB="0" distL="114300" distR="114300" simplePos="0" relativeHeight="251661312" behindDoc="0" locked="0" layoutInCell="1" allowOverlap="1" wp14:anchorId="0A7907C6" wp14:editId="03CDB1F3">
                <wp:simplePos x="0" y="0"/>
                <wp:positionH relativeFrom="column">
                  <wp:posOffset>-685800</wp:posOffset>
                </wp:positionH>
                <wp:positionV relativeFrom="paragraph">
                  <wp:posOffset>4343400</wp:posOffset>
                </wp:positionV>
                <wp:extent cx="6515100" cy="1485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FE530" w14:textId="0C54A9D6" w:rsidR="00FD577D" w:rsidRDefault="00FD577D">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53.95pt;margin-top:342pt;width:513pt;height:1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" filled="f" stroked="f">
                <v:textbox>
                  <w:txbxContent>
                    <w:p w14:paraId="1A4FE530" w14:textId="0C54A9D6" w:rsidR="00FD577D" w:rsidRDefault="00FD577D">
                      <w:r w:rsidRPr="00764127">
                        <w:rPr>
                          <w:b/>
                        </w:rPr>
                        <w:t>Figure 2</w:t>
                      </w:r>
                      <w:r>
                        <w:t xml:space="preserve"> – Relatedness among sampled population. (a) Principal component analysis largely recapitulates the geographical distribution of samples, with PC1 explaining 44.7% of variation and corresponding to the east-west axis of differentiation.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w:t>
                      </w:r>
                      <w:proofErr w:type="spellStart"/>
                      <w:r>
                        <w:t>NGSadmix</w:t>
                      </w:r>
                      <w:proofErr w:type="spellEnd"/>
                      <w:r>
                        <w:t>.</w:t>
                      </w:r>
                    </w:p>
                  </w:txbxContent>
                </v:textbox>
                <w10:wrap type="square"/>
              </v:shape>
            </w:pict>
          </mc:Fallback>
        </mc:AlternateContent>
      </w:r>
      <w:commentRangeStart w:id="14"/>
      <w:r w:rsidR="000F23E4">
        <w:rPr>
          <w:rFonts w:ascii="Helvetica Neue" w:hAnsi="Helvetica Neue" w:cs="Arial"/>
          <w:noProof/>
          <w:color w:val="000000"/>
        </w:rPr>
        <w:drawing>
          <wp:anchor distT="0" distB="0" distL="114300" distR="114300" simplePos="0" relativeHeight="251660288" behindDoc="0" locked="0" layoutInCell="1" allowOverlap="1" wp14:anchorId="30761441" wp14:editId="3B39CB64">
            <wp:simplePos x="0" y="0"/>
            <wp:positionH relativeFrom="column">
              <wp:posOffset>-685800</wp:posOffset>
            </wp:positionH>
            <wp:positionV relativeFrom="paragraph">
              <wp:posOffset>-571500</wp:posOffset>
            </wp:positionV>
            <wp:extent cx="6629400" cy="4899025"/>
            <wp:effectExtent l="0" t="0" r="0" b="317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489902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4"/>
      <w:r w:rsidR="001E6764">
        <w:rPr>
          <w:rStyle w:val="CommentReference"/>
        </w:rPr>
        <w:commentReference w:id="14"/>
      </w:r>
      <w:r w:rsidR="002647E1">
        <w:rPr>
          <w:rFonts w:ascii="Helvetica Neue" w:hAnsi="Helvetica Neue" w:cs="Arial"/>
          <w:color w:val="000000"/>
        </w:rPr>
        <w:br w:type="page"/>
      </w:r>
    </w:p>
    <w:p w14:paraId="5307EBA8" w14:textId="7C257E5E" w:rsidR="004A5E76" w:rsidRDefault="002647E1" w:rsidP="004A5E76">
      <w:pPr>
        <w:rPr>
          <w:rFonts w:ascii="Helvetica Neue" w:hAnsi="Helvetica Neue" w:cs="Arial"/>
          <w:color w:val="000000"/>
        </w:rPr>
      </w:pPr>
      <w:commentRangeStart w:id="15"/>
      <w:r>
        <w:rPr>
          <w:rFonts w:ascii="Helvetica Neue" w:hAnsi="Helvetica Neue" w:cs="Arial"/>
          <w:noProof/>
          <w:color w:val="000000"/>
        </w:rPr>
        <w:lastRenderedPageBreak/>
        <w:drawing>
          <wp:inline distT="0" distB="0" distL="0" distR="0" wp14:anchorId="46204DB8" wp14:editId="0EB6C0E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commentRangeEnd w:id="15"/>
      <w:r w:rsidR="005C3817">
        <w:rPr>
          <w:rStyle w:val="CommentReference"/>
        </w:rPr>
        <w:commentReference w:id="15"/>
      </w:r>
    </w:p>
    <w:p w14:paraId="17B963A5" w14:textId="3947701B" w:rsidR="004A5E76" w:rsidRDefault="002647E1">
      <w:pPr>
        <w:rPr>
          <w:rFonts w:ascii="Helvetica Neue" w:hAnsi="Helvetica Neue" w:cs="Arial"/>
          <w:color w:val="000000"/>
        </w:rPr>
      </w:pPr>
      <w:r>
        <w:rPr>
          <w:rFonts w:ascii="Helvetica Neue" w:hAnsi="Helvetica Neue" w:cs="Arial"/>
          <w:noProof/>
          <w:color w:val="000000"/>
        </w:rPr>
        <mc:AlternateContent>
          <mc:Choice Requires="wps">
            <w:drawing>
              <wp:anchor distT="0" distB="0" distL="114300" distR="114300" simplePos="0" relativeHeight="251659264" behindDoc="0" locked="0" layoutInCell="1" allowOverlap="1" wp14:anchorId="04A49EA5" wp14:editId="127497FF">
                <wp:simplePos x="0" y="0"/>
                <wp:positionH relativeFrom="column">
                  <wp:posOffset>0</wp:posOffset>
                </wp:positionH>
                <wp:positionV relativeFrom="paragraph">
                  <wp:posOffset>0</wp:posOffset>
                </wp:positionV>
                <wp:extent cx="4914900" cy="1028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914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D3980" w14:textId="5AC5EF5A" w:rsidR="00FD577D" w:rsidRDefault="00FD577D">
                            <w:r>
                              <w:t xml:space="preserve">Figure 3 – Pairwise site frequency spectra for well-sampled monarch populations from our dataset.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0;margin-top:0;width:387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" filled="f" stroked="f">
                <v:textbox>
                  <w:txbxContent>
                    <w:p w14:paraId="560D3980" w14:textId="5AC5EF5A" w:rsidR="00FD577D" w:rsidRDefault="00FD577D">
                      <w:r>
                        <w:t xml:space="preserve">Figure 3 – Pairwise site frequency spectra for well-sampled monarch populations from our dataset. </w:t>
                      </w:r>
                    </w:p>
                  </w:txbxContent>
                </v:textbox>
                <w10:wrap type="square"/>
              </v:shape>
            </w:pict>
          </mc:Fallback>
        </mc:AlternateContent>
      </w: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3DA5E01E" w:rsidR="00B0663E" w:rsidRDefault="00625A53" w:rsidP="00625A53">
      <w:pPr>
        <w:spacing w:after="240"/>
        <w:rPr>
          <w:rFonts w:ascii="Helvetica Neue" w:eastAsia="Times New Roman" w:hAnsi="Helvetica Neue" w:cs="Arial"/>
        </w:rPr>
      </w:pPr>
      <w:r w:rsidRPr="001B063A">
        <w:rPr>
          <w:rFonts w:ascii="Helvetica Neue" w:eastAsia="Times New Roman" w:hAnsi="Helvetica Neue" w:cs="Arial"/>
        </w:rPr>
        <w:br/>
      </w:r>
      <w:r w:rsidRPr="001B063A">
        <w:rPr>
          <w:rFonts w:ascii="Helvetica Neue" w:eastAsia="Times New Roman" w:hAnsi="Helvetica Neue" w:cs="Arial"/>
        </w:rPr>
        <w:br/>
      </w:r>
    </w:p>
    <w:p w14:paraId="1F93C3FB" w14:textId="373ACC8D" w:rsidR="00B0663E" w:rsidRDefault="00B0663E">
      <w:pPr>
        <w:rPr>
          <w:rFonts w:ascii="Helvetica Neue" w:eastAsia="Times New Roman" w:hAnsi="Helvetica Neue" w:cs="Arial"/>
        </w:rPr>
      </w:pPr>
      <w:r>
        <w:rPr>
          <w:rFonts w:ascii="Helvetica Neue" w:eastAsia="Times New Roman" w:hAnsi="Helvetica Neue" w:cs="Arial"/>
        </w:rPr>
        <w:br w:type="page"/>
      </w:r>
      <w:commentRangeStart w:id="16"/>
      <w:r>
        <w:rPr>
          <w:rFonts w:ascii="Helvetica Neue" w:eastAsia="Times New Roman" w:hAnsi="Helvetica Neue" w:cs="Arial"/>
          <w:noProof/>
        </w:rPr>
        <w:lastRenderedPageBreak/>
        <w:drawing>
          <wp:inline distT="0" distB="0" distL="0" distR="0" wp14:anchorId="6AE17DB5" wp14:editId="29F1C41B">
            <wp:extent cx="5943600" cy="5943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commentRangeEnd w:id="16"/>
      <w:r w:rsidR="005C3817">
        <w:rPr>
          <w:rStyle w:val="CommentReference"/>
        </w:rPr>
        <w:commentReference w:id="16"/>
      </w:r>
    </w:p>
    <w:p w14:paraId="53B40EBA" w14:textId="5D528609" w:rsidR="00625A53" w:rsidRDefault="00B0663E" w:rsidP="00625A53">
      <w:pPr>
        <w:spacing w:after="240"/>
        <w:rPr>
          <w:rFonts w:ascii="Helvetica Neue" w:eastAsia="Times New Roman" w:hAnsi="Helvetica Neue" w:cs="Arial"/>
        </w:rPr>
      </w:pPr>
      <w:r>
        <w:rPr>
          <w:rFonts w:ascii="Helvetica Neue" w:eastAsia="Times New Roman" w:hAnsi="Helvetica Neue" w:cs="Arial"/>
          <w:noProof/>
        </w:rPr>
        <mc:AlternateContent>
          <mc:Choice Requires="wps">
            <w:drawing>
              <wp:anchor distT="0" distB="0" distL="114300" distR="114300" simplePos="0" relativeHeight="251664384" behindDoc="0" locked="0" layoutInCell="1" allowOverlap="1" wp14:anchorId="41ED015E" wp14:editId="769E5ECE">
                <wp:simplePos x="0" y="0"/>
                <wp:positionH relativeFrom="column">
                  <wp:posOffset>0</wp:posOffset>
                </wp:positionH>
                <wp:positionV relativeFrom="paragraph">
                  <wp:posOffset>0</wp:posOffset>
                </wp:positionV>
                <wp:extent cx="58293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12B7F" w14:textId="34A80377" w:rsidR="00FD577D" w:rsidRDefault="00FD577D">
                            <w:r>
                              <w:t xml:space="preserve">Figure 4 -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0;margin-top:0;width:459pt;height:1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CRN9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" filled="f" stroked="f">
                <v:textbox>
                  <w:txbxContent>
                    <w:p w14:paraId="1E712B7F" w14:textId="34A80377" w:rsidR="00FD577D" w:rsidRDefault="00FD577D">
                      <w:r>
                        <w:t xml:space="preserve">Figure 4 - </w:t>
                      </w:r>
                    </w:p>
                  </w:txbxContent>
                </v:textbox>
                <w10:wrap type="square"/>
              </v:shape>
            </w:pict>
          </mc:Fallback>
        </mc:AlternateContent>
      </w:r>
    </w:p>
    <w:p w14:paraId="3AFD0591" w14:textId="77777777" w:rsidR="00B0663E" w:rsidRDefault="00B0663E" w:rsidP="00625A53">
      <w:pPr>
        <w:spacing w:after="240"/>
        <w:rPr>
          <w:rFonts w:ascii="Helvetica Neue" w:eastAsia="Times New Roman" w:hAnsi="Helvetica Neue" w:cs="Arial"/>
        </w:rPr>
      </w:pPr>
    </w:p>
    <w:p w14:paraId="17CB69A3" w14:textId="77777777" w:rsidR="00B0663E" w:rsidRDefault="00B0663E" w:rsidP="00625A53">
      <w:pPr>
        <w:spacing w:after="240"/>
        <w:rPr>
          <w:rFonts w:ascii="Helvetica Neue" w:eastAsia="Times New Roman" w:hAnsi="Helvetica Neue" w:cs="Arial"/>
        </w:rPr>
      </w:pPr>
    </w:p>
    <w:p w14:paraId="71A06382" w14:textId="77777777" w:rsidR="00B0663E" w:rsidRDefault="00B0663E" w:rsidP="00625A53">
      <w:pPr>
        <w:spacing w:after="240"/>
        <w:rPr>
          <w:rFonts w:ascii="Helvetica Neue" w:eastAsia="Times New Roman" w:hAnsi="Helvetica Neue" w:cs="Arial"/>
        </w:rPr>
      </w:pPr>
    </w:p>
    <w:p w14:paraId="31167581" w14:textId="77777777" w:rsidR="00B0663E" w:rsidRDefault="00B0663E" w:rsidP="00625A53">
      <w:pPr>
        <w:spacing w:after="240"/>
        <w:rPr>
          <w:rFonts w:ascii="Helvetica Neue" w:eastAsia="Times New Roman" w:hAnsi="Helvetica Neue" w:cs="Arial"/>
        </w:rPr>
      </w:pPr>
    </w:p>
    <w:p w14:paraId="45A69255" w14:textId="77777777" w:rsidR="00B0663E" w:rsidRPr="001B063A" w:rsidRDefault="00B0663E" w:rsidP="00625A53">
      <w:pPr>
        <w:spacing w:after="240"/>
        <w:rPr>
          <w:rFonts w:ascii="Helvetica Neue" w:eastAsia="Times New Roman" w:hAnsi="Helvetica Neue" w:cs="Arial"/>
        </w:rPr>
      </w:pP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proofErr w:type="spellStart"/>
            <w:r w:rsidRPr="001B063A">
              <w:rPr>
                <w:rFonts w:ascii="Helvetica Neue" w:eastAsia="Times New Roman" w:hAnsi="Helvetica Neue" w:cs="Arial"/>
              </w:rPr>
              <w:t>Viti</w:t>
            </w:r>
            <w:proofErr w:type="spellEnd"/>
            <w:r w:rsidRPr="001B063A">
              <w:rPr>
                <w:rFonts w:ascii="Helvetica Neue" w:eastAsia="Times New Roman" w:hAnsi="Helvetica Neue" w:cs="Arial"/>
              </w:rPr>
              <w:t xml:space="preserve">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William Hemstrom" w:date="2019-11-06T14:46:00Z" w:initials="WH">
    <w:p w14:paraId="7E731E3C" w14:textId="77777777" w:rsidR="00FD577D" w:rsidRDefault="00FD577D" w:rsidP="004C52F5">
      <w:pPr>
        <w:pStyle w:val="CommentText"/>
      </w:pPr>
      <w:r>
        <w:rPr>
          <w:rStyle w:val="CommentReference"/>
        </w:rPr>
        <w:annotationRef/>
      </w:r>
      <w:r>
        <w:t>Could you be a bit more explicit with this part? How does phenotypic divergence suggest a recent establishment?</w:t>
      </w:r>
    </w:p>
  </w:comment>
  <w:comment w:id="1" w:author="Micah Freedman" w:date="2019-11-07T12:24:00Z" w:initials="MF">
    <w:p w14:paraId="1835AA3B" w14:textId="77067AB0" w:rsidR="00FD577D" w:rsidRDefault="00FD577D">
      <w:pPr>
        <w:pStyle w:val="CommentText"/>
      </w:pPr>
      <w:r>
        <w:rPr>
          <w:rStyle w:val="CommentReference"/>
        </w:rPr>
        <w:annotationRef/>
      </w:r>
      <w:r>
        <w:t xml:space="preserve">Talk about phenotypic differentiation – Pacific and North American populations are indistinguishable versus </w:t>
      </w:r>
      <w:proofErr w:type="spellStart"/>
      <w:r>
        <w:t>Cariibean</w:t>
      </w:r>
      <w:proofErr w:type="spellEnd"/>
      <w:r>
        <w:t>/ South American populations which are very obviously different</w:t>
      </w:r>
    </w:p>
  </w:comment>
  <w:comment w:id="10" w:author="William Hemstrom" w:date="2019-11-05T12:44:00Z" w:initials="WH">
    <w:p w14:paraId="7F97D171" w14:textId="77777777" w:rsidR="00FD577D" w:rsidRDefault="00FD577D">
      <w:pPr>
        <w:pStyle w:val="CommentText"/>
      </w:pPr>
      <w:r>
        <w:rPr>
          <w:rStyle w:val="CommentReference"/>
        </w:rPr>
        <w:annotationRef/>
      </w:r>
      <w:r>
        <w:t>I’m not sure about this. Variance Ne should remain really small in this case. However, rapid growth should reduce the loss of diversity by maintaining any diversity present in the initial bottleneck without further loss, and thus the diversity loss might not be as severe as with a sustained bottleneck. Basically, variance Ne will be low due to the initial bottleneck but not get additionally reduced by drift over time and thus appear larger than in a classic bottleneck situation.</w:t>
      </w:r>
    </w:p>
    <w:p w14:paraId="7BD6C9B9" w14:textId="77777777" w:rsidR="00FD577D" w:rsidRDefault="00FD577D">
      <w:pPr>
        <w:pStyle w:val="CommentText"/>
      </w:pPr>
    </w:p>
    <w:p w14:paraId="68BD914B" w14:textId="5956EEBD" w:rsidR="00FD577D" w:rsidRDefault="00FD577D">
      <w:pPr>
        <w:pStyle w:val="CommentText"/>
      </w:pPr>
      <w:r>
        <w:t xml:space="preserve">It’s also maybe just worth mentioning that our models, given the same data, optimize to wildly different ending points when provided with permuted starting points. The ending points tend to have very similar AIC scores (2100-2200 most of the time, we can show that data if you want), and so aren’t much better one way or the other. I suspect that this is because a really strong bottleneck makes it difficult to disentangle stuff like bottleneck size/timing/growth rates.  Note that the optimized parameter combinations of establishment time and size are correlated: stronger </w:t>
      </w:r>
      <w:proofErr w:type="spellStart"/>
      <w:r>
        <w:t>bottlnecks</w:t>
      </w:r>
      <w:proofErr w:type="spellEnd"/>
      <w:r>
        <w:t xml:space="preserve"> optimize to more recent introductions over all! Basically, our model can’t exclude a recent, small introduction, since some runs did optimize to that parameter space with really similar AIC scores to the best scores!</w:t>
      </w:r>
    </w:p>
  </w:comment>
  <w:comment w:id="14" w:author="Micah Freedman" w:date="2019-11-07T11:25:00Z" w:initials="MF">
    <w:p w14:paraId="27042679" w14:textId="413F25D8" w:rsidR="00FD577D" w:rsidRDefault="00FD577D">
      <w:pPr>
        <w:pStyle w:val="CommentText"/>
      </w:pPr>
      <w:r>
        <w:rPr>
          <w:rStyle w:val="CommentReference"/>
        </w:rPr>
        <w:annotationRef/>
      </w:r>
      <w:r>
        <w:t>For the map in part D, maybe we should just use the k = 5 or k = 6 values, since anything beyond this becomes mostly uninformative. I would be inclined to show k = 5 ancestry proportions, since that reflects Hawaii as intermediate between all other populations.</w:t>
      </w:r>
    </w:p>
  </w:comment>
  <w:comment w:id="15" w:author="Micah Freedman" w:date="2019-11-07T12:18:00Z" w:initials="MF">
    <w:p w14:paraId="7835B3C4" w14:textId="407F8D41" w:rsidR="00FD577D" w:rsidRDefault="00FD577D">
      <w:pPr>
        <w:pStyle w:val="CommentText"/>
      </w:pPr>
      <w:r>
        <w:rPr>
          <w:rStyle w:val="CommentReference"/>
        </w:rPr>
        <w:annotationRef/>
      </w:r>
      <w:proofErr w:type="gramStart"/>
      <w:r>
        <w:t>don’t</w:t>
      </w:r>
      <w:proofErr w:type="gramEnd"/>
      <w:r>
        <w:t xml:space="preserve"> need axis labels at all</w:t>
      </w:r>
    </w:p>
  </w:comment>
  <w:comment w:id="16" w:author="Micah Freedman" w:date="2019-11-07T12:19:00Z" w:initials="MF">
    <w:p w14:paraId="221167C9" w14:textId="77777777" w:rsidR="00FD577D" w:rsidRDefault="00FD577D">
      <w:pPr>
        <w:pStyle w:val="CommentText"/>
      </w:pPr>
      <w:r>
        <w:rPr>
          <w:rStyle w:val="CommentReference"/>
        </w:rPr>
        <w:annotationRef/>
      </w:r>
      <w:proofErr w:type="gramStart"/>
      <w:r>
        <w:t>axis</w:t>
      </w:r>
      <w:proofErr w:type="gramEnd"/>
      <w:r>
        <w:t xml:space="preserve"> labels overlapping</w:t>
      </w:r>
    </w:p>
    <w:p w14:paraId="484C8EC3" w14:textId="77777777" w:rsidR="00FD577D" w:rsidRDefault="00FD577D">
      <w:pPr>
        <w:pStyle w:val="CommentText"/>
      </w:pPr>
    </w:p>
    <w:p w14:paraId="785AC2F6" w14:textId="3C0DB5A4" w:rsidR="00FD577D" w:rsidRDefault="00FD577D">
      <w:pPr>
        <w:pStyle w:val="CommentText"/>
      </w:pPr>
      <w:proofErr w:type="gramStart"/>
      <w:r>
        <w:t>add</w:t>
      </w:r>
      <w:proofErr w:type="gramEnd"/>
      <w:r>
        <w:t xml:space="preserve"> panel labels (</w:t>
      </w:r>
      <w:proofErr w:type="spellStart"/>
      <w:r>
        <w:t>abc</w:t>
      </w:r>
      <w:proofErr w:type="spellEnd"/>
      <w:r>
        <w:t xml:space="preserve"> for found and grow, </w:t>
      </w:r>
      <w:proofErr w:type="spellStart"/>
      <w:r>
        <w:t>def</w:t>
      </w:r>
      <w:proofErr w:type="spellEnd"/>
      <w:r>
        <w:t xml:space="preserve"> for three epoch)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31E3C" w15:done="0"/>
  <w15:commentEx w15:paraId="68BD9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31E3C" w16cid:durableId="216D5B2D"/>
  <w16cid:commentId w16cid:paraId="68BD914B" w16cid:durableId="216BED2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73907" w14:textId="77777777" w:rsidR="00FD577D" w:rsidRDefault="00FD577D" w:rsidP="003B1AAE">
      <w:r>
        <w:separator/>
      </w:r>
    </w:p>
  </w:endnote>
  <w:endnote w:type="continuationSeparator" w:id="0">
    <w:p w14:paraId="72A0BCB5" w14:textId="77777777" w:rsidR="00FD577D" w:rsidRDefault="00FD577D"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Noteworthy Light">
    <w:panose1 w:val="02000400000000000000"/>
    <w:charset w:val="00"/>
    <w:family w:val="auto"/>
    <w:pitch w:val="variable"/>
    <w:sig w:usb0="8000006F" w:usb1="08000048" w:usb2="146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4962C" w14:textId="77777777" w:rsidR="00FD577D" w:rsidRDefault="00FD577D" w:rsidP="003B1AAE">
      <w:r>
        <w:separator/>
      </w:r>
    </w:p>
  </w:footnote>
  <w:footnote w:type="continuationSeparator" w:id="0">
    <w:p w14:paraId="2D96751A" w14:textId="77777777" w:rsidR="00FD577D" w:rsidRDefault="00FD577D" w:rsidP="003B1A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AD" w15:userId="S::whemstrom@ucdavis.edu::e51021d6-8722-4663-b59e-2b0146ecd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53"/>
    <w:rsid w:val="0002009C"/>
    <w:rsid w:val="00034711"/>
    <w:rsid w:val="00063421"/>
    <w:rsid w:val="00081A26"/>
    <w:rsid w:val="000867B1"/>
    <w:rsid w:val="000A25FC"/>
    <w:rsid w:val="000A27A6"/>
    <w:rsid w:val="000B1142"/>
    <w:rsid w:val="000C4EA1"/>
    <w:rsid w:val="000D6C26"/>
    <w:rsid w:val="000F0C5E"/>
    <w:rsid w:val="000F23E4"/>
    <w:rsid w:val="00106869"/>
    <w:rsid w:val="001222A7"/>
    <w:rsid w:val="00171572"/>
    <w:rsid w:val="00191C48"/>
    <w:rsid w:val="001B063A"/>
    <w:rsid w:val="001E6764"/>
    <w:rsid w:val="001F1D1D"/>
    <w:rsid w:val="00207A66"/>
    <w:rsid w:val="00242F9B"/>
    <w:rsid w:val="002647E1"/>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2F5"/>
    <w:rsid w:val="004C5A87"/>
    <w:rsid w:val="004C5CDD"/>
    <w:rsid w:val="00512974"/>
    <w:rsid w:val="0052292B"/>
    <w:rsid w:val="00536404"/>
    <w:rsid w:val="00547769"/>
    <w:rsid w:val="00553E1A"/>
    <w:rsid w:val="00590EB4"/>
    <w:rsid w:val="0059671D"/>
    <w:rsid w:val="005A227C"/>
    <w:rsid w:val="005C3817"/>
    <w:rsid w:val="00621411"/>
    <w:rsid w:val="00625A53"/>
    <w:rsid w:val="00633533"/>
    <w:rsid w:val="0064060B"/>
    <w:rsid w:val="00646FB0"/>
    <w:rsid w:val="00651F22"/>
    <w:rsid w:val="00652050"/>
    <w:rsid w:val="006A1B71"/>
    <w:rsid w:val="007209A4"/>
    <w:rsid w:val="00764127"/>
    <w:rsid w:val="007851D0"/>
    <w:rsid w:val="007C2C9D"/>
    <w:rsid w:val="007D59EC"/>
    <w:rsid w:val="00846222"/>
    <w:rsid w:val="00873DA2"/>
    <w:rsid w:val="00894E0B"/>
    <w:rsid w:val="008C23FC"/>
    <w:rsid w:val="008C2E8F"/>
    <w:rsid w:val="008C4E05"/>
    <w:rsid w:val="008C5A2F"/>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0663E"/>
    <w:rsid w:val="00B13D33"/>
    <w:rsid w:val="00B23719"/>
    <w:rsid w:val="00B33433"/>
    <w:rsid w:val="00B82734"/>
    <w:rsid w:val="00B83B68"/>
    <w:rsid w:val="00B86C53"/>
    <w:rsid w:val="00B91792"/>
    <w:rsid w:val="00BB5658"/>
    <w:rsid w:val="00BC40C3"/>
    <w:rsid w:val="00C37519"/>
    <w:rsid w:val="00C748B1"/>
    <w:rsid w:val="00C91212"/>
    <w:rsid w:val="00D01287"/>
    <w:rsid w:val="00D06EE7"/>
    <w:rsid w:val="00D704D0"/>
    <w:rsid w:val="00D7319C"/>
    <w:rsid w:val="00D80EA2"/>
    <w:rsid w:val="00DD4E8A"/>
    <w:rsid w:val="00E1737F"/>
    <w:rsid w:val="00E302B1"/>
    <w:rsid w:val="00E37B4C"/>
    <w:rsid w:val="00E46C9F"/>
    <w:rsid w:val="00E52322"/>
    <w:rsid w:val="00E70B1E"/>
    <w:rsid w:val="00E77EF4"/>
    <w:rsid w:val="00E82EB8"/>
    <w:rsid w:val="00E85F07"/>
    <w:rsid w:val="00EF22AE"/>
    <w:rsid w:val="00F3704A"/>
    <w:rsid w:val="00F4022E"/>
    <w:rsid w:val="00F81228"/>
    <w:rsid w:val="00F8441E"/>
    <w:rsid w:val="00FA2743"/>
    <w:rsid w:val="00FB074A"/>
    <w:rsid w:val="00FB2746"/>
    <w:rsid w:val="00FB61F8"/>
    <w:rsid w:val="00FD18CC"/>
    <w:rsid w:val="00FD577D"/>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27E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196740824">
      <w:bodyDiv w:val="1"/>
      <w:marLeft w:val="0"/>
      <w:marRight w:val="0"/>
      <w:marTop w:val="0"/>
      <w:marBottom w:val="0"/>
      <w:divBdr>
        <w:top w:val="none" w:sz="0" w:space="0" w:color="auto"/>
        <w:left w:val="none" w:sz="0" w:space="0" w:color="auto"/>
        <w:bottom w:val="none" w:sz="0" w:space="0" w:color="auto"/>
        <w:right w:val="none" w:sz="0" w:space="0" w:color="auto"/>
      </w:divBdr>
    </w:div>
    <w:div w:id="292057768">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63299471">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190073029">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1871991333">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7F82B-A223-7245-8FCE-D747CB7D8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10431</TotalTime>
  <Pages>20</Pages>
  <Words>15794</Words>
  <Characters>90026</Characters>
  <Application>Microsoft Macintosh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105609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35</cp:revision>
  <dcterms:created xsi:type="dcterms:W3CDTF">2019-07-22T21:19:00Z</dcterms:created>
  <dcterms:modified xsi:type="dcterms:W3CDTF">2019-11-07T20:54:00Z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