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2E0D5195" w:rsidR="00355224"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9F0367">
      <w:pPr>
        <w:suppressLineNumbers/>
        <w:spacing w:line="480" w:lineRule="auto"/>
        <w:rPr>
          <w:rFonts w:ascii="Arial" w:hAnsi="Arial" w:cs="Arial"/>
          <w:bCs/>
          <w:sz w:val="22"/>
          <w:szCs w:val="22"/>
        </w:rPr>
      </w:pPr>
    </w:p>
    <w:p w14:paraId="0DBAFDD9" w14:textId="0EC0BFDC"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9F0367">
      <w:pPr>
        <w:suppressLineNumbers/>
        <w:spacing w:line="480" w:lineRule="auto"/>
        <w:rPr>
          <w:rFonts w:ascii="Arial" w:hAnsi="Arial" w:cs="Arial"/>
          <w:bCs/>
          <w:sz w:val="22"/>
          <w:szCs w:val="22"/>
        </w:rPr>
      </w:pPr>
    </w:p>
    <w:p w14:paraId="46D33B84" w14:textId="0A283E6E" w:rsidR="00F644B5" w:rsidRPr="009F0367" w:rsidRDefault="00F644B5" w:rsidP="009F0367">
      <w:pPr>
        <w:suppressLineNumbers/>
        <w:spacing w:line="480"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1E51F226" w14:textId="48C35CEB" w:rsidR="00F644B5" w:rsidRPr="00052F36" w:rsidRDefault="00F644B5" w:rsidP="009F0367">
      <w:pPr>
        <w:suppressLineNumbers/>
        <w:spacing w:line="480"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9F0367">
      <w:pPr>
        <w:suppressLineNumbers/>
        <w:spacing w:line="480" w:lineRule="auto"/>
        <w:rPr>
          <w:rFonts w:ascii="Arial" w:hAnsi="Arial" w:cs="Arial"/>
          <w:bCs/>
          <w:sz w:val="22"/>
          <w:szCs w:val="22"/>
        </w:rPr>
      </w:pPr>
    </w:p>
    <w:p w14:paraId="508630A1" w14:textId="30048DE9"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1DED376D" w14:textId="687E0D5B" w:rsidR="00355224" w:rsidRPr="001A0367" w:rsidRDefault="00F644B5" w:rsidP="009F0367">
      <w:pPr>
        <w:suppressLineNumbers/>
        <w:spacing w:line="480"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9F0367">
      <w:pPr>
        <w:suppressLineNumbers/>
        <w:spacing w:line="480" w:lineRule="auto"/>
        <w:rPr>
          <w:rFonts w:ascii="Arial" w:hAnsi="Arial" w:cs="Arial"/>
          <w:bCs/>
          <w:sz w:val="22"/>
          <w:szCs w:val="22"/>
        </w:rPr>
      </w:pPr>
    </w:p>
    <w:p w14:paraId="08E21EAA" w14:textId="6B016820" w:rsidR="00052F36" w:rsidRPr="007A4FD5" w:rsidRDefault="00052F36" w:rsidP="009F0367">
      <w:pPr>
        <w:suppressLineNumbers/>
        <w:spacing w:line="480" w:lineRule="auto"/>
        <w:rPr>
          <w:rFonts w:ascii="Arial" w:hAnsi="Arial" w:cs="Arial"/>
          <w:b/>
          <w:sz w:val="22"/>
          <w:szCs w:val="22"/>
        </w:rPr>
      </w:pPr>
      <w:r w:rsidRPr="00052F36">
        <w:rPr>
          <w:rFonts w:ascii="Arial" w:hAnsi="Arial" w:cs="Arial"/>
          <w:b/>
          <w:sz w:val="22"/>
          <w:szCs w:val="22"/>
        </w:rPr>
        <w:t>Corresponding Author Information:</w:t>
      </w:r>
    </w:p>
    <w:p w14:paraId="54DD0115" w14:textId="77777777" w:rsidR="00052F36" w:rsidRDefault="00052F36" w:rsidP="009F0367">
      <w:pPr>
        <w:suppressLineNumbers/>
        <w:spacing w:line="480"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9F0367">
      <w:pPr>
        <w:suppressLineNumbers/>
        <w:spacing w:line="480"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419E48B7" w:rsidR="00C84467" w:rsidRPr="001A0367" w:rsidRDefault="000E2CEA" w:rsidP="009F0367">
      <w:pPr>
        <w:spacing w:line="480"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 xml:space="preserve">for long-distance </w:t>
      </w:r>
      <w:r w:rsidR="006E2582">
        <w:rPr>
          <w:rFonts w:ascii="Arial" w:hAnsi="Arial" w:cs="Arial"/>
          <w:color w:val="000000"/>
          <w:sz w:val="22"/>
          <w:szCs w:val="22"/>
        </w:rPr>
        <w:t xml:space="preserve">seasonal </w:t>
      </w:r>
      <w:r w:rsidR="00845A6A" w:rsidRPr="001A0367">
        <w:rPr>
          <w:rFonts w:ascii="Arial" w:hAnsi="Arial" w:cs="Arial"/>
          <w:color w:val="000000"/>
          <w:sz w:val="22"/>
          <w:szCs w:val="22"/>
        </w:rPr>
        <w:t xml:space="preserve">migration </w:t>
      </w:r>
      <w:r w:rsidR="00DF407F">
        <w:rPr>
          <w:rFonts w:ascii="Arial" w:hAnsi="Arial" w:cs="Arial"/>
          <w:color w:val="000000"/>
          <w:sz w:val="22"/>
          <w:szCs w:val="22"/>
        </w:rPr>
        <w:t>with</w:t>
      </w:r>
      <w:r w:rsidR="00845A6A" w:rsidRPr="001A0367">
        <w:rPr>
          <w:rFonts w:ascii="Arial" w:hAnsi="Arial" w:cs="Arial"/>
          <w:color w:val="000000"/>
          <w:sz w:val="22"/>
          <w:szCs w:val="22"/>
        </w:rPr>
        <w:t>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stepwise </w:t>
      </w:r>
      <w:r w:rsidR="005D301A">
        <w:rPr>
          <w:rFonts w:ascii="Arial" w:hAnsi="Arial" w:cs="Arial"/>
          <w:color w:val="000000"/>
          <w:sz w:val="22"/>
          <w:szCs w:val="22"/>
        </w:rPr>
        <w:t>expansion across the Pacific</w:t>
      </w:r>
      <w:r w:rsidR="00C84467" w:rsidRPr="001A0367">
        <w:rPr>
          <w:rFonts w:ascii="Arial" w:hAnsi="Arial" w:cs="Arial"/>
          <w:color w:val="000000"/>
          <w:sz w:val="22"/>
          <w:szCs w:val="22"/>
        </w:rPr>
        <w:t>,</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w:t>
      </w:r>
      <w:r w:rsidR="005D301A">
        <w:rPr>
          <w:rFonts w:ascii="Arial" w:hAnsi="Arial" w:cs="Arial"/>
          <w:color w:val="000000"/>
          <w:sz w:val="22"/>
          <w:szCs w:val="22"/>
        </w:rPr>
        <w:t>expansion</w:t>
      </w:r>
      <w:r w:rsidR="00C84467" w:rsidRPr="001A0367">
        <w:rPr>
          <w:rFonts w:ascii="Arial" w:hAnsi="Arial" w:cs="Arial"/>
          <w:color w:val="000000"/>
          <w:sz w:val="22"/>
          <w:szCs w:val="22"/>
        </w:rPr>
        <w:t xml:space="preserve">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 xml:space="preserve">consequences of migration loss. Here, we present reduced-representation sequencing data </w:t>
      </w:r>
      <w:r w:rsidR="005D301A">
        <w:rPr>
          <w:rFonts w:ascii="Arial" w:hAnsi="Arial" w:cs="Arial"/>
          <w:color w:val="000000"/>
          <w:sz w:val="22"/>
          <w:szCs w:val="22"/>
        </w:rPr>
        <w:t>for</w:t>
      </w:r>
      <w:r w:rsidR="00C84467" w:rsidRPr="001A0367">
        <w:rPr>
          <w:rFonts w:ascii="Arial" w:hAnsi="Arial" w:cs="Arial"/>
          <w:color w:val="000000"/>
          <w:sz w:val="22"/>
          <w:szCs w:val="22"/>
        </w:rPr>
        <w:t xml:space="preserve"> </w:t>
      </w:r>
      <w:r w:rsidR="00750C1B">
        <w:rPr>
          <w:rFonts w:ascii="Arial" w:hAnsi="Arial" w:cs="Arial"/>
          <w:color w:val="000000"/>
          <w:sz w:val="22"/>
          <w:szCs w:val="22"/>
        </w:rPr>
        <w:t>275</w:t>
      </w:r>
      <w:r w:rsidR="00C84467" w:rsidRPr="001A0367">
        <w:rPr>
          <w:rFonts w:ascii="Arial" w:hAnsi="Arial" w:cs="Arial"/>
          <w:color w:val="000000"/>
          <w:sz w:val="22"/>
          <w:szCs w:val="22"/>
        </w:rPr>
        <w:t xml:space="preserve"> monarchs </w:t>
      </w:r>
      <w:r w:rsidR="008F4C30">
        <w:rPr>
          <w:rFonts w:ascii="Arial" w:hAnsi="Arial" w:cs="Arial"/>
          <w:color w:val="000000"/>
          <w:sz w:val="22"/>
          <w:szCs w:val="22"/>
        </w:rPr>
        <w:t>from</w:t>
      </w:r>
      <w:r w:rsidR="00C84467" w:rsidRPr="001A0367">
        <w:rPr>
          <w:rFonts w:ascii="Arial" w:hAnsi="Arial" w:cs="Arial"/>
          <w:color w:val="000000"/>
          <w:sz w:val="22"/>
          <w:szCs w:val="22"/>
        </w:rPr>
        <w:t xml:space="preserve"> North America</w:t>
      </w:r>
      <w:r w:rsidR="00750C1B">
        <w:rPr>
          <w:rFonts w:ascii="Arial" w:hAnsi="Arial" w:cs="Arial"/>
          <w:color w:val="000000"/>
          <w:sz w:val="22"/>
          <w:szCs w:val="22"/>
        </w:rPr>
        <w:t xml:space="preserve"> (n = 85)</w:t>
      </w:r>
      <w:r w:rsidR="008F4C30">
        <w:rPr>
          <w:rFonts w:ascii="Arial" w:hAnsi="Arial" w:cs="Arial"/>
          <w:color w:val="000000"/>
          <w:sz w:val="22"/>
          <w:szCs w:val="22"/>
        </w:rPr>
        <w:t>,</w:t>
      </w:r>
      <w:r w:rsidR="00C84467" w:rsidRPr="001A0367">
        <w:rPr>
          <w:rFonts w:ascii="Arial" w:hAnsi="Arial" w:cs="Arial"/>
          <w:color w:val="000000"/>
          <w:sz w:val="22"/>
          <w:szCs w:val="22"/>
        </w:rPr>
        <w:t xml:space="preserve"> </w:t>
      </w:r>
      <w:r w:rsidR="008F4C30" w:rsidRPr="001A0367">
        <w:rPr>
          <w:rFonts w:ascii="Arial" w:hAnsi="Arial" w:cs="Arial"/>
          <w:color w:val="000000"/>
          <w:sz w:val="22"/>
          <w:szCs w:val="22"/>
        </w:rPr>
        <w:t>1</w:t>
      </w:r>
      <w:r w:rsidR="008F4C30">
        <w:rPr>
          <w:rFonts w:ascii="Arial" w:hAnsi="Arial" w:cs="Arial"/>
          <w:color w:val="000000"/>
          <w:sz w:val="22"/>
          <w:szCs w:val="22"/>
        </w:rPr>
        <w:t>2 Pacific Islands</w:t>
      </w:r>
      <w:r w:rsidR="00750C1B">
        <w:rPr>
          <w:rFonts w:ascii="Arial" w:hAnsi="Arial" w:cs="Arial"/>
          <w:color w:val="000000"/>
          <w:sz w:val="22"/>
          <w:szCs w:val="22"/>
        </w:rPr>
        <w:t xml:space="preserve"> (n = 136)</w:t>
      </w:r>
      <w:r w:rsidR="008F4C30">
        <w:rPr>
          <w:rFonts w:ascii="Arial" w:hAnsi="Arial" w:cs="Arial"/>
          <w:color w:val="000000"/>
          <w:sz w:val="22"/>
          <w:szCs w:val="22"/>
        </w:rPr>
        <w:t xml:space="preserve">, </w:t>
      </w:r>
      <w:r w:rsidR="006E2582">
        <w:rPr>
          <w:rFonts w:ascii="Arial" w:hAnsi="Arial" w:cs="Arial"/>
          <w:color w:val="000000"/>
          <w:sz w:val="22"/>
          <w:szCs w:val="22"/>
        </w:rPr>
        <w:t xml:space="preserve">and </w:t>
      </w:r>
      <w:r w:rsidR="008F4C30">
        <w:rPr>
          <w:rFonts w:ascii="Arial" w:hAnsi="Arial" w:cs="Arial"/>
          <w:color w:val="000000"/>
          <w:sz w:val="22"/>
          <w:szCs w:val="22"/>
        </w:rPr>
        <w:t>three locations in Australia</w:t>
      </w:r>
      <w:r w:rsidR="00750C1B">
        <w:rPr>
          <w:rFonts w:ascii="Arial" w:hAnsi="Arial" w:cs="Arial"/>
          <w:color w:val="000000"/>
          <w:sz w:val="22"/>
          <w:szCs w:val="22"/>
        </w:rPr>
        <w:t xml:space="preserve"> (n = 54)</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spatial patterns of differentiation. We find support for previously described stepwise dispersal across the Pacific</w:t>
      </w:r>
      <w:r w:rsidR="005D301A">
        <w:rPr>
          <w:rFonts w:ascii="Arial" w:hAnsi="Arial" w:cs="Arial"/>
          <w:color w:val="000000"/>
          <w:sz w:val="22"/>
          <w:szCs w:val="22"/>
        </w:rPr>
        <w:t xml:space="preserve"> and </w:t>
      </w:r>
      <w:r w:rsidR="00C84467" w:rsidRPr="001A0367">
        <w:rPr>
          <w:rFonts w:ascii="Arial" w:hAnsi="Arial" w:cs="Arial"/>
          <w:color w:val="000000"/>
          <w:sz w:val="22"/>
          <w:szCs w:val="22"/>
        </w:rPr>
        <w:t>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w:t>
      </w:r>
      <w:r w:rsidR="0013530C">
        <w:rPr>
          <w:rFonts w:ascii="Arial" w:hAnsi="Arial" w:cs="Arial"/>
          <w:color w:val="000000"/>
          <w:sz w:val="22"/>
          <w:szCs w:val="22"/>
        </w:rPr>
        <w:t>Nonmigratory monarchs</w:t>
      </w:r>
      <w:r w:rsidR="00C84467" w:rsidRPr="001A0367">
        <w:rPr>
          <w:rFonts w:ascii="Arial" w:hAnsi="Arial" w:cs="Arial"/>
          <w:color w:val="000000"/>
          <w:sz w:val="22"/>
          <w:szCs w:val="22"/>
        </w:rPr>
        <w:t xml:space="preserve">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form a single genetically panmictic population</w:t>
      </w:r>
      <w:r w:rsidR="006E2582">
        <w:rPr>
          <w:rFonts w:ascii="Arial" w:hAnsi="Arial" w:cs="Arial"/>
          <w:color w:val="000000"/>
          <w:sz w:val="22"/>
          <w:szCs w:val="22"/>
        </w:rPr>
        <w:t xml:space="preserve"> across the continent</w:t>
      </w:r>
      <w:r w:rsidR="00C84467" w:rsidRPr="001A0367">
        <w:rPr>
          <w:rFonts w:ascii="Arial" w:hAnsi="Arial" w:cs="Arial"/>
          <w:color w:val="000000"/>
          <w:sz w:val="22"/>
          <w:szCs w:val="22"/>
        </w:rPr>
        <w:t xml:space="preserve">. </w:t>
      </w:r>
      <w:r w:rsidR="006E2582">
        <w:rPr>
          <w:rFonts w:ascii="Arial" w:hAnsi="Arial" w:cs="Arial"/>
          <w:color w:val="000000"/>
          <w:sz w:val="22"/>
          <w:szCs w:val="22"/>
        </w:rPr>
        <w:t>Estimates of Pacific establishment timing</w:t>
      </w:r>
      <w:r w:rsidR="00135EC1">
        <w:rPr>
          <w:rFonts w:ascii="Arial" w:hAnsi="Arial" w:cs="Arial"/>
          <w:color w:val="000000"/>
          <w:sz w:val="22"/>
          <w:szCs w:val="22"/>
        </w:rPr>
        <w:t xml:space="preserve"> </w:t>
      </w:r>
      <w:r w:rsidR="006E2582">
        <w:rPr>
          <w:rFonts w:ascii="Arial" w:hAnsi="Arial" w:cs="Arial"/>
          <w:color w:val="000000"/>
          <w:sz w:val="22"/>
          <w:szCs w:val="22"/>
        </w:rPr>
        <w:t>are highly uncertain</w:t>
      </w:r>
      <w:r w:rsidR="00FD28ED">
        <w:rPr>
          <w:rFonts w:ascii="Arial" w:hAnsi="Arial" w:cs="Arial"/>
          <w:color w:val="000000"/>
          <w:sz w:val="22"/>
          <w:szCs w:val="22"/>
        </w:rPr>
        <w:t xml:space="preserve">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w:t>
      </w:r>
      <w:r w:rsidR="00CF2590">
        <w:rPr>
          <w:rFonts w:ascii="Arial" w:hAnsi="Arial" w:cs="Arial"/>
          <w:color w:val="000000"/>
          <w:sz w:val="22"/>
          <w:szCs w:val="22"/>
        </w:rPr>
        <w:t xml:space="preserve">overlap with historical records </w:t>
      </w:r>
      <w:r w:rsidR="005D301A">
        <w:rPr>
          <w:rFonts w:ascii="Arial" w:hAnsi="Arial" w:cs="Arial"/>
          <w:color w:val="000000"/>
          <w:sz w:val="22"/>
          <w:szCs w:val="22"/>
        </w:rPr>
        <w:t xml:space="preserve">that </w:t>
      </w:r>
      <w:r w:rsidR="006E2582">
        <w:rPr>
          <w:rFonts w:ascii="Arial" w:hAnsi="Arial" w:cs="Arial"/>
          <w:color w:val="000000"/>
          <w:sz w:val="22"/>
          <w:szCs w:val="22"/>
        </w:rPr>
        <w:t>indicate</w:t>
      </w:r>
      <w:r w:rsidR="00CF2590">
        <w:rPr>
          <w:rFonts w:ascii="Arial" w:hAnsi="Arial" w:cs="Arial"/>
          <w:color w:val="000000"/>
          <w:sz w:val="22"/>
          <w:szCs w:val="22"/>
        </w:rPr>
        <w:t xml:space="preserv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w:t>
      </w:r>
      <w:r w:rsidR="006E2582">
        <w:rPr>
          <w:rFonts w:ascii="Arial" w:hAnsi="Arial" w:cs="Arial"/>
          <w:color w:val="000000"/>
          <w:sz w:val="22"/>
          <w:szCs w:val="22"/>
        </w:rPr>
        <w:t>the</w:t>
      </w:r>
      <w:r w:rsidR="00B50CE8">
        <w:rPr>
          <w:rFonts w:ascii="Arial" w:hAnsi="Arial" w:cs="Arial"/>
          <w:color w:val="000000"/>
          <w:sz w:val="22"/>
          <w:szCs w:val="22"/>
        </w:rPr>
        <w:t xml:space="preserve"> evolution of partial migration can drive population differentiation over contemporary time scales.</w:t>
      </w:r>
    </w:p>
    <w:p w14:paraId="6B1037C9" w14:textId="77777777" w:rsidR="00355224" w:rsidRPr="001A0367" w:rsidRDefault="00355224" w:rsidP="009F0367">
      <w:pPr>
        <w:spacing w:line="480" w:lineRule="auto"/>
        <w:ind w:firstLine="720"/>
        <w:jc w:val="both"/>
        <w:rPr>
          <w:rFonts w:ascii="Arial" w:hAnsi="Arial" w:cs="Arial"/>
          <w:sz w:val="22"/>
          <w:szCs w:val="22"/>
        </w:rPr>
      </w:pPr>
    </w:p>
    <w:p w14:paraId="1658095F" w14:textId="16846B65" w:rsidR="007A4FD5" w:rsidRPr="007A4FD5" w:rsidRDefault="003F0723" w:rsidP="007A4FD5">
      <w:pPr>
        <w:spacing w:line="480"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0C18448B" w14:textId="67BBC8C3" w:rsidR="00355224" w:rsidRDefault="00355224" w:rsidP="009F0367">
      <w:pPr>
        <w:spacing w:line="480" w:lineRule="auto"/>
        <w:jc w:val="center"/>
        <w:rPr>
          <w:rFonts w:ascii="Arial" w:hAnsi="Arial" w:cs="Arial"/>
          <w:b/>
          <w:sz w:val="22"/>
          <w:szCs w:val="22"/>
          <w:u w:val="single"/>
        </w:rPr>
      </w:pPr>
    </w:p>
    <w:p w14:paraId="2A11D2E2" w14:textId="77777777" w:rsidR="007A4FD5" w:rsidRPr="001A0367" w:rsidRDefault="007A4FD5" w:rsidP="009F0367">
      <w:pPr>
        <w:spacing w:line="480" w:lineRule="auto"/>
        <w:jc w:val="center"/>
        <w:rPr>
          <w:rFonts w:ascii="Arial" w:hAnsi="Arial" w:cs="Arial"/>
          <w:b/>
          <w:sz w:val="22"/>
          <w:szCs w:val="22"/>
          <w:u w:val="single"/>
        </w:rPr>
      </w:pPr>
    </w:p>
    <w:p w14:paraId="6902B9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b/>
          <w:sz w:val="22"/>
          <w:szCs w:val="22"/>
          <w:u w:val="single"/>
        </w:rPr>
        <w:lastRenderedPageBreak/>
        <w:t xml:space="preserve">Introduction </w:t>
      </w:r>
      <w:r w:rsidRPr="001A0367">
        <w:rPr>
          <w:rFonts w:ascii="Arial" w:hAnsi="Arial" w:cs="Arial"/>
          <w:sz w:val="22"/>
          <w:szCs w:val="22"/>
        </w:rPr>
        <w:t xml:space="preserve">    </w:t>
      </w:r>
    </w:p>
    <w:p w14:paraId="288388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6E788A8C" w14:textId="087FE91E" w:rsidR="00C84467" w:rsidRPr="001A0367" w:rsidRDefault="00C84467"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Over extended time scales, geographic range expansions generally involve decreasing relatedness and increasing contributions of genetic drift in populations further from the original source population</w:t>
      </w:r>
      <w:r w:rsidR="000E1B16">
        <w:rPr>
          <w:rFonts w:ascii="Arial" w:hAnsi="Arial" w:cs="Arial"/>
          <w:color w:val="000000"/>
          <w:sz w:val="22"/>
          <w:szCs w:val="22"/>
        </w:rPr>
        <w:t xml:space="preserve"> </w:t>
      </w:r>
      <w:r w:rsidRPr="001A0367">
        <w:rPr>
          <w:rFonts w:ascii="Arial" w:hAnsi="Arial" w:cs="Arial"/>
          <w:color w:val="000000"/>
          <w:sz w:val="22"/>
          <w:szCs w:val="22"/>
        </w:rPr>
        <w:t xml:space="preserve">(Hewitt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w:t>
      </w:r>
      <w:r w:rsidR="00345243">
        <w:rPr>
          <w:rFonts w:ascii="Arial" w:hAnsi="Arial" w:cs="Arial"/>
          <w:color w:val="000000"/>
          <w:sz w:val="22"/>
          <w:szCs w:val="22"/>
        </w:rPr>
        <w:t xml:space="preserve">especially </w:t>
      </w:r>
      <w:r w:rsidRPr="001A0367">
        <w:rPr>
          <w:rFonts w:ascii="Arial" w:hAnsi="Arial" w:cs="Arial"/>
          <w:color w:val="000000"/>
          <w:sz w:val="22"/>
          <w:szCs w:val="22"/>
        </w:rPr>
        <w:t xml:space="preserve">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003B7F97">
        <w:rPr>
          <w:rFonts w:ascii="Arial" w:hAnsi="Arial" w:cs="Arial"/>
          <w:sz w:val="22"/>
          <w:szCs w:val="22"/>
        </w:rPr>
        <w:t>, and European butterflies (</w:t>
      </w:r>
      <w:proofErr w:type="spellStart"/>
      <w:r w:rsidR="003B7F97">
        <w:rPr>
          <w:rFonts w:ascii="Arial" w:hAnsi="Arial" w:cs="Arial"/>
          <w:sz w:val="22"/>
          <w:szCs w:val="22"/>
        </w:rPr>
        <w:t>Dapporto</w:t>
      </w:r>
      <w:proofErr w:type="spellEnd"/>
      <w:r w:rsidR="003B7F97">
        <w:rPr>
          <w:rFonts w:ascii="Arial" w:hAnsi="Arial" w:cs="Arial"/>
          <w:sz w:val="22"/>
          <w:szCs w:val="22"/>
        </w:rPr>
        <w:t xml:space="preserve"> et al. 2019)</w:t>
      </w:r>
      <w:r w:rsidRPr="001A0367">
        <w:rPr>
          <w:rFonts w:ascii="Arial" w:hAnsi="Arial" w:cs="Arial"/>
          <w:color w:val="000000"/>
          <w:sz w:val="22"/>
          <w:szCs w:val="22"/>
        </w:rPr>
        <w:t xml:space="preserve">. </w:t>
      </w:r>
    </w:p>
    <w:p w14:paraId="3FA71294" w14:textId="0331C18E" w:rsidR="00C643AD" w:rsidRPr="001A0367" w:rsidRDefault="00845A6A" w:rsidP="009F0367">
      <w:pPr>
        <w:pStyle w:val="NormalWeb"/>
        <w:spacing w:before="0" w:beforeAutospacing="0" w:after="0" w:afterAutospacing="0" w:line="480"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w:t>
      </w:r>
      <w:r w:rsidR="00161BA0" w:rsidRPr="00AA32FB">
        <w:rPr>
          <w:rFonts w:ascii="Arial" w:hAnsi="Arial" w:cs="Arial"/>
          <w:i/>
          <w:iCs/>
          <w:color w:val="000000"/>
          <w:sz w:val="22"/>
          <w:szCs w:val="22"/>
        </w:rPr>
        <w:t>e.g.</w:t>
      </w:r>
      <w:r w:rsidR="00AA32FB">
        <w:rPr>
          <w:rFonts w:ascii="Arial" w:hAnsi="Arial" w:cs="Arial"/>
          <w:color w:val="000000"/>
          <w:sz w:val="22"/>
          <w:szCs w:val="22"/>
        </w:rPr>
        <w:t>,</w:t>
      </w:r>
      <w:r w:rsidR="00161BA0" w:rsidRPr="001A0367">
        <w:rPr>
          <w:rFonts w:ascii="Arial" w:hAnsi="Arial" w:cs="Arial"/>
          <w:color w:val="000000"/>
          <w:sz w:val="22"/>
          <w:szCs w:val="22"/>
        </w:rPr>
        <w:t xml:space="preserve">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xml:space="preserve">) that share common spawning grounds but migrate to disparate areas across </w:t>
      </w:r>
      <w:r w:rsidR="00DF379F" w:rsidRPr="001A0367">
        <w:rPr>
          <w:rFonts w:ascii="Arial" w:hAnsi="Arial" w:cs="Arial"/>
          <w:bCs/>
          <w:color w:val="000000"/>
          <w:sz w:val="22"/>
          <w:szCs w:val="22"/>
        </w:rPr>
        <w:lastRenderedPageBreak/>
        <w:t>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23301F6B" w:rsidR="00C84467" w:rsidRPr="001A0367" w:rsidRDefault="00131BBF" w:rsidP="00131BBF">
      <w:pPr>
        <w:pStyle w:val="NormalWeb"/>
        <w:spacing w:before="0" w:beforeAutospacing="0" w:after="0" w:afterAutospacing="0" w:line="480" w:lineRule="auto"/>
        <w:ind w:firstLine="720"/>
        <w:jc w:val="both"/>
        <w:rPr>
          <w:rFonts w:ascii="Arial" w:hAnsi="Arial" w:cs="Arial"/>
          <w:color w:val="000000"/>
          <w:sz w:val="22"/>
          <w:szCs w:val="22"/>
        </w:rPr>
      </w:pPr>
      <w:r>
        <w:rPr>
          <w:rFonts w:ascii="Arial" w:hAnsi="Arial" w:cs="Arial"/>
          <w:color w:val="000000"/>
          <w:sz w:val="22"/>
          <w:szCs w:val="22"/>
        </w:rPr>
        <w:t xml:space="preserve">Migratory species that show evidence for partial migration, </w:t>
      </w:r>
      <w:r w:rsidRPr="001A0367">
        <w:rPr>
          <w:rFonts w:ascii="Arial" w:hAnsi="Arial" w:cs="Arial"/>
          <w:color w:val="000000"/>
          <w:sz w:val="22"/>
          <w:szCs w:val="22"/>
        </w:rPr>
        <w:t>whereby species are comprised of both migratory and non-migratory populations (Chapman et al. 2011)</w:t>
      </w:r>
      <w:r>
        <w:rPr>
          <w:rFonts w:ascii="Arial" w:hAnsi="Arial" w:cs="Arial"/>
          <w:color w:val="000000"/>
          <w:sz w:val="22"/>
          <w:szCs w:val="22"/>
        </w:rPr>
        <w:t>, often feature populations that are highly differentiated, both phenotypically (</w:t>
      </w:r>
      <w:r w:rsidRPr="00131BBF">
        <w:rPr>
          <w:rFonts w:ascii="Arial" w:hAnsi="Arial" w:cs="Arial"/>
          <w:i/>
          <w:iCs/>
          <w:color w:val="000000"/>
          <w:sz w:val="22"/>
          <w:szCs w:val="22"/>
        </w:rPr>
        <w:t>e.g.</w:t>
      </w:r>
      <w:r>
        <w:rPr>
          <w:rFonts w:ascii="Arial" w:hAnsi="Arial" w:cs="Arial"/>
          <w:color w:val="000000"/>
          <w:sz w:val="22"/>
          <w:szCs w:val="22"/>
        </w:rPr>
        <w:t xml:space="preserve">, Dingle </w:t>
      </w:r>
      <w:r w:rsidR="009563AB">
        <w:rPr>
          <w:rFonts w:ascii="Arial" w:hAnsi="Arial" w:cs="Arial"/>
          <w:color w:val="000000"/>
          <w:sz w:val="22"/>
          <w:szCs w:val="22"/>
        </w:rPr>
        <w:t xml:space="preserve">et al. </w:t>
      </w:r>
      <w:r>
        <w:rPr>
          <w:rFonts w:ascii="Arial" w:hAnsi="Arial" w:cs="Arial"/>
          <w:color w:val="000000"/>
          <w:sz w:val="22"/>
          <w:szCs w:val="22"/>
        </w:rPr>
        <w:t xml:space="preserve">1980, </w:t>
      </w:r>
      <w:proofErr w:type="spellStart"/>
      <w:r>
        <w:rPr>
          <w:rFonts w:ascii="Arial" w:hAnsi="Arial" w:cs="Arial"/>
          <w:color w:val="000000"/>
          <w:sz w:val="22"/>
          <w:szCs w:val="22"/>
        </w:rPr>
        <w:t>Altizer</w:t>
      </w:r>
      <w:proofErr w:type="spellEnd"/>
      <w:r>
        <w:rPr>
          <w:rFonts w:ascii="Arial" w:hAnsi="Arial" w:cs="Arial"/>
          <w:color w:val="000000"/>
          <w:sz w:val="22"/>
          <w:szCs w:val="22"/>
        </w:rPr>
        <w:t xml:space="preserve"> and Davis 2010) and genetically (</w:t>
      </w:r>
      <w:r>
        <w:rPr>
          <w:rFonts w:ascii="Arial" w:hAnsi="Arial" w:cs="Arial"/>
          <w:i/>
          <w:iCs/>
          <w:color w:val="000000"/>
          <w:sz w:val="22"/>
          <w:szCs w:val="22"/>
        </w:rPr>
        <w:t>e.g.</w:t>
      </w:r>
      <w:r>
        <w:rPr>
          <w:rFonts w:ascii="Arial" w:hAnsi="Arial" w:cs="Arial"/>
          <w:color w:val="000000"/>
          <w:sz w:val="22"/>
          <w:szCs w:val="22"/>
        </w:rPr>
        <w:t>, Zhan et al. 2014</w:t>
      </w:r>
      <w:r w:rsidR="009563AB">
        <w:rPr>
          <w:rFonts w:ascii="Arial" w:hAnsi="Arial" w:cs="Arial"/>
          <w:color w:val="000000"/>
          <w:sz w:val="22"/>
          <w:szCs w:val="22"/>
        </w:rPr>
        <w:t>, Gomez-</w:t>
      </w:r>
      <w:proofErr w:type="spellStart"/>
      <w:r w:rsidR="009563AB">
        <w:rPr>
          <w:rFonts w:ascii="Arial" w:hAnsi="Arial" w:cs="Arial"/>
          <w:color w:val="000000"/>
          <w:sz w:val="22"/>
          <w:szCs w:val="22"/>
        </w:rPr>
        <w:t>Bahamon</w:t>
      </w:r>
      <w:proofErr w:type="spellEnd"/>
      <w:r w:rsidR="009563AB">
        <w:rPr>
          <w:rFonts w:ascii="Arial" w:hAnsi="Arial" w:cs="Arial"/>
          <w:color w:val="000000"/>
          <w:sz w:val="22"/>
          <w:szCs w:val="22"/>
        </w:rPr>
        <w:t xml:space="preserve"> et al. 2020</w:t>
      </w:r>
      <w:r>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00D900D2"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00D900D2" w:rsidRPr="001A0367">
        <w:rPr>
          <w:rFonts w:ascii="Arial" w:hAnsi="Arial" w:cs="Arial"/>
          <w:color w:val="000000"/>
          <w:sz w:val="22"/>
          <w:szCs w:val="22"/>
        </w:rPr>
        <w:t>(</w:t>
      </w:r>
      <w:r w:rsidR="00D900D2" w:rsidRPr="00AA32FB">
        <w:rPr>
          <w:rFonts w:ascii="Arial" w:hAnsi="Arial" w:cs="Arial"/>
          <w:i/>
          <w:iCs/>
          <w:color w:val="000000"/>
          <w:sz w:val="22"/>
          <w:szCs w:val="22"/>
        </w:rPr>
        <w:t>e.g.</w:t>
      </w:r>
      <w:r w:rsidR="00AA32FB">
        <w:rPr>
          <w:rFonts w:ascii="Arial" w:hAnsi="Arial" w:cs="Arial"/>
          <w:color w:val="000000"/>
          <w:sz w:val="22"/>
          <w:szCs w:val="22"/>
        </w:rPr>
        <w:t>,</w:t>
      </w:r>
      <w:r w:rsidR="00D900D2" w:rsidRPr="001A0367">
        <w:rPr>
          <w:rFonts w:ascii="Arial" w:hAnsi="Arial" w:cs="Arial"/>
          <w:color w:val="000000"/>
          <w:sz w:val="22"/>
          <w:szCs w:val="22"/>
        </w:rPr>
        <w:t xml:space="preserve"> </w:t>
      </w:r>
      <w:r w:rsidR="00356B86" w:rsidRPr="001A0367">
        <w:rPr>
          <w:rFonts w:ascii="Arial" w:hAnsi="Arial" w:cs="Arial"/>
          <w:color w:val="000000"/>
          <w:sz w:val="22"/>
          <w:szCs w:val="22"/>
        </w:rPr>
        <w:t xml:space="preserve">Kondo et al. 2008, </w:t>
      </w:r>
      <w:r w:rsidR="00D900D2" w:rsidRPr="001A0367">
        <w:rPr>
          <w:rFonts w:ascii="Arial" w:hAnsi="Arial" w:cs="Arial"/>
          <w:color w:val="000000"/>
          <w:sz w:val="22"/>
          <w:szCs w:val="22"/>
        </w:rPr>
        <w:t>Gomez-</w:t>
      </w:r>
      <w:proofErr w:type="spellStart"/>
      <w:r w:rsidR="00D900D2"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00D900D2"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00D900D2" w:rsidRPr="001A0367">
        <w:rPr>
          <w:rFonts w:ascii="Arial" w:hAnsi="Arial" w:cs="Arial"/>
          <w:color w:val="000000"/>
          <w:sz w:val="22"/>
          <w:szCs w:val="22"/>
        </w:rPr>
        <w:t>)</w:t>
      </w:r>
      <w:r w:rsidR="0013530C">
        <w:rPr>
          <w:rFonts w:ascii="Arial" w:hAnsi="Arial" w:cs="Arial"/>
          <w:color w:val="000000"/>
          <w:sz w:val="22"/>
          <w:szCs w:val="22"/>
        </w:rPr>
        <w:t xml:space="preserve"> and may also contribute to diversification of other groups</w:t>
      </w:r>
      <w:r w:rsidR="00D900D2" w:rsidRPr="001A0367">
        <w:rPr>
          <w:rFonts w:ascii="Arial" w:hAnsi="Arial" w:cs="Arial"/>
          <w:color w:val="000000"/>
          <w:sz w:val="22"/>
          <w:szCs w:val="22"/>
        </w:rPr>
        <w:t>.</w:t>
      </w:r>
    </w:p>
    <w:p w14:paraId="25450409" w14:textId="71E87F62"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w:t>
      </w:r>
      <w:r w:rsidR="009A4FD2" w:rsidRPr="001A0367">
        <w:rPr>
          <w:rFonts w:ascii="Arial" w:hAnsi="Arial" w:cs="Arial"/>
          <w:color w:val="000000"/>
          <w:sz w:val="22"/>
          <w:szCs w:val="22"/>
        </w:rPr>
        <w:lastRenderedPageBreak/>
        <w:t>move seasonally and form overwintering clusters akin to those observed in western North America (Wise 1980, James 1993).</w:t>
      </w:r>
      <w:r w:rsidRPr="001A0367">
        <w:rPr>
          <w:rFonts w:ascii="Arial" w:hAnsi="Arial" w:cs="Arial"/>
          <w:color w:val="000000"/>
          <w:sz w:val="22"/>
          <w:szCs w:val="22"/>
        </w:rPr>
        <w:t xml:space="preserve"> In this paper, we focus exclusively on the monarch’s expansion and subsequent loss of migration in </w:t>
      </w:r>
      <w:r w:rsidR="005B44B7">
        <w:rPr>
          <w:rFonts w:ascii="Arial" w:hAnsi="Arial" w:cs="Arial"/>
          <w:color w:val="000000"/>
          <w:sz w:val="22"/>
          <w:szCs w:val="22"/>
        </w:rPr>
        <w:t>populations</w:t>
      </w:r>
      <w:r w:rsidRPr="001A0367">
        <w:rPr>
          <w:rFonts w:ascii="Arial" w:hAnsi="Arial" w:cs="Arial"/>
          <w:color w:val="000000"/>
          <w:sz w:val="22"/>
          <w:szCs w:val="22"/>
        </w:rPr>
        <w:t xml:space="preserve"> across the Pacific.</w:t>
      </w:r>
    </w:p>
    <w:p w14:paraId="385B0F1F" w14:textId="6F41CA9A" w:rsidR="00C84467" w:rsidRPr="001A0367" w:rsidRDefault="00356B86"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w:t>
      </w:r>
      <w:proofErr w:type="spellStart"/>
      <w:r w:rsidR="000A7BBC">
        <w:rPr>
          <w:rFonts w:ascii="Arial" w:hAnsi="Arial" w:cs="Arial"/>
          <w:color w:val="000000"/>
          <w:sz w:val="22"/>
          <w:szCs w:val="22"/>
        </w:rPr>
        <w:t>Samarasin</w:t>
      </w:r>
      <w:proofErr w:type="spellEnd"/>
      <w:r w:rsidR="000A7BBC">
        <w:rPr>
          <w:rFonts w:ascii="Arial" w:hAnsi="Arial" w:cs="Arial"/>
          <w:color w:val="000000"/>
          <w:sz w:val="22"/>
          <w:szCs w:val="22"/>
        </w:rPr>
        <w:t xml:space="preserve"> et al. 2017)</w:t>
      </w:r>
      <w:r w:rsidR="00C84467" w:rsidRPr="001A0367">
        <w:rPr>
          <w:rFonts w:ascii="Arial" w:hAnsi="Arial" w:cs="Arial"/>
          <w:color w:val="000000"/>
          <w:sz w:val="22"/>
          <w:szCs w:val="22"/>
        </w:rPr>
        <w:t xml:space="preserve">. Two studies have </w:t>
      </w:r>
      <w:r w:rsidR="00885F6B">
        <w:rPr>
          <w:rFonts w:ascii="Arial" w:hAnsi="Arial" w:cs="Arial"/>
          <w:color w:val="000000"/>
          <w:sz w:val="22"/>
          <w:szCs w:val="22"/>
        </w:rPr>
        <w:t xml:space="preserve">indirectly </w:t>
      </w:r>
      <w:r w:rsidR="00C84467" w:rsidRPr="001A0367">
        <w:rPr>
          <w:rFonts w:ascii="Arial" w:hAnsi="Arial" w:cs="Arial"/>
          <w:color w:val="000000"/>
          <w:sz w:val="22"/>
          <w:szCs w:val="22"/>
        </w:rPr>
        <w:t>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w:t>
      </w:r>
      <w:r w:rsidR="00023E35">
        <w:rPr>
          <w:rFonts w:ascii="Arial" w:hAnsi="Arial" w:cs="Arial"/>
          <w:color w:val="000000"/>
          <w:sz w:val="22"/>
          <w:szCs w:val="22"/>
        </w:rPr>
        <w:t xml:space="preserve"> </w:t>
      </w:r>
      <w:r w:rsidR="00664EBC">
        <w:rPr>
          <w:rFonts w:ascii="Arial" w:hAnsi="Arial" w:cs="Arial"/>
          <w:color w:val="000000"/>
          <w:sz w:val="22"/>
          <w:szCs w:val="22"/>
        </w:rPr>
        <w:t>Further demographic model</w:t>
      </w:r>
      <w:r w:rsidR="00D91451">
        <w:rPr>
          <w:rFonts w:ascii="Arial" w:hAnsi="Arial" w:cs="Arial"/>
          <w:color w:val="000000"/>
          <w:sz w:val="22"/>
          <w:szCs w:val="22"/>
        </w:rPr>
        <w:t>i</w:t>
      </w:r>
      <w:r w:rsidR="00664EBC">
        <w:rPr>
          <w:rFonts w:ascii="Arial" w:hAnsi="Arial" w:cs="Arial"/>
          <w:color w:val="000000"/>
          <w:sz w:val="22"/>
          <w:szCs w:val="22"/>
        </w:rPr>
        <w:t>ng that accommodates a broad range of potential establishment scenarios</w:t>
      </w:r>
      <w:r w:rsidR="00D91451">
        <w:rPr>
          <w:rFonts w:ascii="Arial" w:hAnsi="Arial" w:cs="Arial"/>
          <w:color w:val="000000"/>
          <w:sz w:val="22"/>
          <w:szCs w:val="22"/>
        </w:rPr>
        <w:t>—including variable establishment timing, founding population sizes, and past changes in population size—</w:t>
      </w:r>
      <w:r w:rsidR="00664EBC">
        <w:rPr>
          <w:rFonts w:ascii="Arial" w:hAnsi="Arial" w:cs="Arial"/>
          <w:color w:val="000000"/>
          <w:sz w:val="22"/>
          <w:szCs w:val="22"/>
        </w:rPr>
        <w:t>might help to resolve the discrepancy between historical and model-based estimates of expansion timing</w:t>
      </w:r>
      <w:r w:rsidR="00E25E4F">
        <w:rPr>
          <w:rFonts w:ascii="Arial" w:hAnsi="Arial" w:cs="Arial"/>
          <w:color w:val="000000"/>
          <w:sz w:val="22"/>
          <w:szCs w:val="22"/>
        </w:rPr>
        <w:t>.</w:t>
      </w:r>
    </w:p>
    <w:p w14:paraId="185FDA34" w14:textId="4005AC47"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w:t>
      </w:r>
      <w:r w:rsidR="00BC5B76">
        <w:rPr>
          <w:rFonts w:ascii="Arial" w:hAnsi="Arial" w:cs="Arial"/>
          <w:color w:val="000000"/>
          <w:sz w:val="22"/>
          <w:szCs w:val="22"/>
        </w:rPr>
        <w:t>275</w:t>
      </w:r>
      <w:r w:rsidRPr="001A0367">
        <w:rPr>
          <w:rFonts w:ascii="Arial" w:hAnsi="Arial" w:cs="Arial"/>
          <w:color w:val="000000"/>
          <w:sz w:val="22"/>
          <w:szCs w:val="22"/>
        </w:rPr>
        <w:t xml:space="preserve"> monarch butterflies at &gt;70,000 highly variable genomic sites from the ancestral North American population and many Pacific Island populations, including a number of previously unsampled </w:t>
      </w:r>
      <w:r w:rsidR="005B44B7">
        <w:rPr>
          <w:rFonts w:ascii="Arial" w:hAnsi="Arial" w:cs="Arial"/>
          <w:color w:val="000000"/>
          <w:sz w:val="22"/>
          <w:szCs w:val="22"/>
        </w:rPr>
        <w:t>populations</w:t>
      </w:r>
      <w:r w:rsidRPr="001A0367">
        <w:rPr>
          <w:rFonts w:ascii="Arial" w:hAnsi="Arial" w:cs="Arial"/>
          <w:color w:val="000000"/>
          <w:sz w:val="22"/>
          <w:szCs w:val="22"/>
        </w:rPr>
        <w:t>: the Mariana Islands (Guam, Rota, and Saipan)</w:t>
      </w:r>
      <w:r w:rsidR="00885F6B">
        <w:rPr>
          <w:rFonts w:ascii="Arial" w:hAnsi="Arial" w:cs="Arial"/>
          <w:color w:val="000000"/>
          <w:sz w:val="22"/>
          <w:szCs w:val="22"/>
        </w:rPr>
        <w:t xml:space="preserve">, </w:t>
      </w:r>
      <w:r w:rsidRPr="001A0367">
        <w:rPr>
          <w:rFonts w:ascii="Arial" w:hAnsi="Arial" w:cs="Arial"/>
          <w:color w:val="000000"/>
          <w:sz w:val="22"/>
          <w:szCs w:val="22"/>
        </w:rPr>
        <w:t>Norfolk Island</w:t>
      </w:r>
      <w:r w:rsidR="00885F6B">
        <w:rPr>
          <w:rFonts w:ascii="Arial" w:hAnsi="Arial" w:cs="Arial"/>
          <w:color w:val="000000"/>
          <w:sz w:val="22"/>
          <w:szCs w:val="22"/>
        </w:rPr>
        <w:t>, Victoria, and New South Wales</w:t>
      </w:r>
      <w:r w:rsidRPr="001A0367">
        <w:rPr>
          <w:rFonts w:ascii="Arial" w:hAnsi="Arial" w:cs="Arial"/>
          <w:color w:val="000000"/>
          <w:sz w:val="22"/>
          <w:szCs w:val="22"/>
        </w:rPr>
        <w:t xml:space="preserve">. The goals of this study were to understand (1) overall patterns of </w:t>
      </w:r>
      <w:r w:rsidR="00164667">
        <w:rPr>
          <w:rFonts w:ascii="Arial" w:hAnsi="Arial" w:cs="Arial"/>
          <w:color w:val="000000"/>
          <w:sz w:val="22"/>
          <w:szCs w:val="22"/>
        </w:rPr>
        <w:t xml:space="preserve">genetic </w:t>
      </w:r>
      <w:r w:rsidRPr="001A0367">
        <w:rPr>
          <w:rFonts w:ascii="Arial" w:hAnsi="Arial" w:cs="Arial"/>
          <w:color w:val="000000"/>
          <w:sz w:val="22"/>
          <w:szCs w:val="22"/>
        </w:rPr>
        <w:t xml:space="preserve">relatedness among Pacific and North American populations; (2) the timing of range expansion and the amount of ongoing gene flow between North American and </w:t>
      </w:r>
      <w:r w:rsidRPr="001A0367">
        <w:rPr>
          <w:rFonts w:ascii="Arial" w:hAnsi="Arial" w:cs="Arial"/>
          <w:color w:val="000000"/>
          <w:sz w:val="22"/>
          <w:szCs w:val="22"/>
        </w:rPr>
        <w:lastRenderedPageBreak/>
        <w:t xml:space="preserve">Pacific </w:t>
      </w:r>
      <w:r w:rsidR="006E7177">
        <w:rPr>
          <w:rFonts w:ascii="Arial" w:hAnsi="Arial" w:cs="Arial"/>
          <w:color w:val="000000"/>
          <w:sz w:val="22"/>
          <w:szCs w:val="22"/>
        </w:rPr>
        <w:t>populations</w:t>
      </w:r>
      <w:r w:rsidRPr="001A0367">
        <w:rPr>
          <w:rFonts w:ascii="Arial" w:hAnsi="Arial" w:cs="Arial"/>
          <w:color w:val="000000"/>
          <w:sz w:val="22"/>
          <w:szCs w:val="22"/>
        </w:rPr>
        <w:t xml:space="preserve">;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9F0367">
      <w:pPr>
        <w:spacing w:line="480" w:lineRule="auto"/>
        <w:jc w:val="both"/>
        <w:rPr>
          <w:rFonts w:ascii="Arial" w:hAnsi="Arial" w:cs="Arial"/>
          <w:sz w:val="22"/>
          <w:szCs w:val="22"/>
        </w:rPr>
      </w:pPr>
    </w:p>
    <w:p w14:paraId="74157DEB" w14:textId="48B6988C"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9F0367">
      <w:pPr>
        <w:spacing w:line="480" w:lineRule="auto"/>
        <w:jc w:val="both"/>
        <w:rPr>
          <w:rFonts w:ascii="Arial" w:hAnsi="Arial" w:cs="Arial"/>
          <w:sz w:val="22"/>
          <w:szCs w:val="22"/>
        </w:rPr>
      </w:pPr>
    </w:p>
    <w:p w14:paraId="68E7B9EC"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Sample preparation and sequencing</w:t>
      </w:r>
    </w:p>
    <w:p w14:paraId="1CD48BE5"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21079F05" w14:textId="53085382" w:rsidR="00355224" w:rsidRPr="001A0367" w:rsidRDefault="003F0723" w:rsidP="009F0367">
      <w:pPr>
        <w:spacing w:line="480" w:lineRule="auto"/>
        <w:jc w:val="both"/>
        <w:rPr>
          <w:rFonts w:ascii="Arial" w:hAnsi="Arial" w:cs="Arial"/>
          <w:sz w:val="22"/>
          <w:szCs w:val="22"/>
        </w:rPr>
      </w:pPr>
      <w:r w:rsidRPr="001A0367">
        <w:rPr>
          <w:rFonts w:ascii="Arial" w:hAnsi="Arial" w:cs="Arial"/>
          <w:i/>
          <w:sz w:val="22"/>
          <w:szCs w:val="22"/>
        </w:rPr>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w:t>
      </w:r>
      <w:r w:rsidRPr="001A0367">
        <w:rPr>
          <w:rFonts w:ascii="Arial" w:hAnsi="Arial" w:cs="Arial"/>
          <w:sz w:val="22"/>
          <w:szCs w:val="22"/>
        </w:rPr>
        <w:t>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5583DA97" w14:textId="38E916C9" w:rsidR="00FE6279"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r w:rsidR="0003273D" w:rsidRPr="0003273D">
        <w:rPr>
          <w:rFonts w:ascii="Arial" w:hAnsi="Arial" w:cs="Arial"/>
          <w:b/>
          <w:bCs/>
          <w:sz w:val="22"/>
          <w:szCs w:val="22"/>
          <w:vertAlign w:val="subscript"/>
        </w:rPr>
        <w:t>SAMTOOLS</w:t>
      </w:r>
      <w:r w:rsidRPr="001A0367">
        <w:rPr>
          <w:rFonts w:ascii="Arial" w:hAnsi="Arial" w:cs="Arial"/>
          <w:sz w:val="22"/>
          <w:szCs w:val="22"/>
        </w:rPr>
        <w:t xml:space="preserve"> </w:t>
      </w:r>
      <w:hyperlink r:id="rId10">
        <w:r w:rsidR="00F134DB" w:rsidRPr="001A0367">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w:t>
      </w:r>
      <w:r w:rsidR="00C71837">
        <w:rPr>
          <w:rFonts w:ascii="Arial" w:hAnsi="Arial" w:cs="Arial"/>
          <w:sz w:val="22"/>
          <w:szCs w:val="22"/>
        </w:rPr>
        <w:t>We first removed</w:t>
      </w:r>
      <w:r w:rsidR="00C71837" w:rsidRPr="00FE6279">
        <w:rPr>
          <w:rFonts w:ascii="Arial" w:hAnsi="Arial" w:cs="Arial"/>
          <w:sz w:val="22"/>
          <w:szCs w:val="22"/>
        </w:rPr>
        <w:t xml:space="preserve"> </w:t>
      </w:r>
      <w:r w:rsidR="00C71837" w:rsidRPr="001A0367">
        <w:rPr>
          <w:rFonts w:ascii="Arial" w:hAnsi="Arial" w:cs="Arial"/>
          <w:sz w:val="22"/>
          <w:szCs w:val="22"/>
        </w:rPr>
        <w:t xml:space="preserve">potential paralogous sites using the </w:t>
      </w:r>
      <w:proofErr w:type="spellStart"/>
      <w:r w:rsidR="00C71837" w:rsidRPr="001A0367">
        <w:rPr>
          <w:rFonts w:ascii="Arial" w:hAnsi="Arial" w:cs="Arial"/>
          <w:sz w:val="22"/>
          <w:szCs w:val="22"/>
        </w:rPr>
        <w:t>ngsParalog</w:t>
      </w:r>
      <w:proofErr w:type="spellEnd"/>
      <w:r w:rsidR="00C71837" w:rsidRPr="001A0367">
        <w:rPr>
          <w:rFonts w:ascii="Arial" w:hAnsi="Arial" w:cs="Arial"/>
          <w:sz w:val="22"/>
          <w:szCs w:val="22"/>
        </w:rPr>
        <w:t xml:space="preserve"> tool by removing all sites within a kilobase of any SNP with a log ratio test statistic of &gt; 10 in any population </w:t>
      </w:r>
      <w:hyperlink r:id="rId11">
        <w:r w:rsidR="00C71837" w:rsidRPr="001A0367">
          <w:t>(</w:t>
        </w:r>
        <w:proofErr w:type="spellStart"/>
      </w:hyperlink>
      <w:r w:rsidR="00C71837" w:rsidRPr="001A0367">
        <w:rPr>
          <w:rFonts w:ascii="Arial" w:hAnsi="Arial" w:cs="Arial"/>
          <w:color w:val="000000"/>
          <w:sz w:val="22"/>
          <w:szCs w:val="22"/>
        </w:rPr>
        <w:t>Linderoth</w:t>
      </w:r>
      <w:proofErr w:type="spellEnd"/>
      <w:r w:rsidR="00C71837" w:rsidRPr="001A0367">
        <w:rPr>
          <w:rFonts w:ascii="Arial" w:hAnsi="Arial" w:cs="Arial"/>
          <w:color w:val="000000"/>
          <w:sz w:val="22"/>
          <w:szCs w:val="22"/>
        </w:rPr>
        <w:t xml:space="preserve"> 2018)</w:t>
      </w:r>
      <w:r w:rsidR="00C71837" w:rsidRPr="001A0367">
        <w:rPr>
          <w:rFonts w:ascii="Arial" w:hAnsi="Arial" w:cs="Arial"/>
          <w:sz w:val="22"/>
          <w:szCs w:val="22"/>
        </w:rPr>
        <w:t>.</w:t>
      </w:r>
      <w:r w:rsidR="00C71837">
        <w:rPr>
          <w:rFonts w:ascii="Arial" w:hAnsi="Arial" w:cs="Arial"/>
          <w:sz w:val="22"/>
          <w:szCs w:val="22"/>
        </w:rPr>
        <w:t xml:space="preserve"> </w:t>
      </w:r>
      <w:r w:rsidR="00FE6279">
        <w:rPr>
          <w:rFonts w:ascii="Arial" w:hAnsi="Arial" w:cs="Arial"/>
          <w:sz w:val="22"/>
          <w:szCs w:val="22"/>
        </w:rPr>
        <w:t>From this, we created five different datasets using different filtering schemes appropriate for different downstream analysis</w:t>
      </w:r>
      <w:r w:rsidR="00C71837">
        <w:rPr>
          <w:rFonts w:ascii="Arial" w:hAnsi="Arial" w:cs="Arial"/>
          <w:sz w:val="22"/>
          <w:szCs w:val="22"/>
        </w:rPr>
        <w:t>.</w:t>
      </w:r>
    </w:p>
    <w:p w14:paraId="63CE5944" w14:textId="77777777" w:rsidR="00AF1698" w:rsidRDefault="00AF1698" w:rsidP="009F0367">
      <w:pPr>
        <w:spacing w:line="480" w:lineRule="auto"/>
        <w:jc w:val="both"/>
        <w:rPr>
          <w:rFonts w:ascii="Arial" w:hAnsi="Arial" w:cs="Arial"/>
          <w:sz w:val="22"/>
          <w:szCs w:val="22"/>
        </w:rPr>
      </w:pPr>
    </w:p>
    <w:p w14:paraId="3391B92D" w14:textId="57122FC1" w:rsidR="00FE6279" w:rsidRDefault="00FE6279" w:rsidP="00AF1698">
      <w:pPr>
        <w:spacing w:line="480" w:lineRule="auto"/>
        <w:jc w:val="center"/>
        <w:rPr>
          <w:rFonts w:ascii="Arial" w:hAnsi="Arial" w:cs="Arial"/>
          <w:i/>
          <w:iCs/>
          <w:sz w:val="22"/>
          <w:szCs w:val="22"/>
        </w:rPr>
      </w:pPr>
      <w:r w:rsidRPr="00CA2D2D">
        <w:rPr>
          <w:rFonts w:ascii="Arial" w:hAnsi="Arial" w:cs="Arial"/>
          <w:b/>
          <w:bCs/>
          <w:i/>
          <w:iCs/>
          <w:sz w:val="22"/>
          <w:szCs w:val="22"/>
        </w:rPr>
        <w:lastRenderedPageBreak/>
        <w:t>Datasets</w:t>
      </w:r>
      <w:r>
        <w:rPr>
          <w:rFonts w:ascii="Arial" w:hAnsi="Arial" w:cs="Arial"/>
          <w:i/>
          <w:iCs/>
          <w:sz w:val="22"/>
          <w:szCs w:val="22"/>
        </w:rPr>
        <w:t>:</w:t>
      </w:r>
    </w:p>
    <w:p w14:paraId="6FBEEFC4" w14:textId="77777777" w:rsidR="00AF1698" w:rsidRDefault="00AF1698" w:rsidP="00AF1698">
      <w:pPr>
        <w:spacing w:line="480" w:lineRule="auto"/>
        <w:jc w:val="center"/>
        <w:rPr>
          <w:rFonts w:ascii="Arial" w:hAnsi="Arial" w:cs="Arial"/>
          <w:sz w:val="22"/>
          <w:szCs w:val="22"/>
        </w:rPr>
      </w:pPr>
    </w:p>
    <w:p w14:paraId="64626441" w14:textId="0B5B6F9A" w:rsidR="00FE6279" w:rsidRDefault="00FE6279" w:rsidP="00FE6279">
      <w:pPr>
        <w:pStyle w:val="ListParagraph"/>
        <w:numPr>
          <w:ilvl w:val="0"/>
          <w:numId w:val="3"/>
        </w:numPr>
        <w:spacing w:line="480" w:lineRule="auto"/>
        <w:jc w:val="both"/>
      </w:pPr>
      <w:r w:rsidRPr="001A0367">
        <w:t>For use in demographic reconstruction</w:t>
      </w:r>
      <w:r w:rsidR="00010CA2">
        <w:t xml:space="preserve"> and </w:t>
      </w:r>
      <w:r w:rsidR="00010CA2" w:rsidRPr="001A0367">
        <w:t>directionality index (</w:t>
      </w:r>
      <w:r w:rsidR="00010CA2" w:rsidRPr="00010CA2">
        <w:rPr>
          <w:bCs/>
          <w:i/>
          <w:color w:val="222222"/>
          <w:highlight w:val="white"/>
        </w:rPr>
        <w:t>ψ</w:t>
      </w:r>
      <w:r w:rsidR="00010CA2" w:rsidRPr="001A0367">
        <w:t>)</w:t>
      </w:r>
      <w:r w:rsidR="00010CA2">
        <w:t xml:space="preserve"> calculation</w:t>
      </w:r>
      <w:r w:rsidRPr="001A0367">
        <w:t xml:space="preserve">, </w:t>
      </w:r>
      <w:r w:rsidR="00010CA2">
        <w:t>we</w:t>
      </w:r>
      <w:r w:rsidRPr="001A0367">
        <w:t xml:space="preserve"> called </w:t>
      </w:r>
      <w:r w:rsidR="00010CA2">
        <w:t xml:space="preserve">genotypes </w:t>
      </w:r>
      <w:r w:rsidRPr="001A0367">
        <w:t xml:space="preserve">using the </w:t>
      </w:r>
      <w:r w:rsidR="0003273D" w:rsidRPr="0003273D">
        <w:rPr>
          <w:b/>
          <w:bCs/>
          <w:vertAlign w:val="subscript"/>
        </w:rPr>
        <w:t>SAMTOOLS</w:t>
      </w:r>
      <w:r w:rsidRPr="001A0367">
        <w:t xml:space="preserve"> genotype likelihood model </w:t>
      </w:r>
      <w:hyperlink r:id="rId12">
        <w:r w:rsidRPr="001A0367">
          <w:rPr>
            <w:color w:val="000000"/>
          </w:rPr>
          <w:t>(Li</w:t>
        </w:r>
      </w:hyperlink>
      <w:r w:rsidRPr="001A0367">
        <w:rPr>
          <w:color w:val="000000"/>
        </w:rPr>
        <w:t xml:space="preserve"> et al. 2009)</w:t>
      </w:r>
      <w:r w:rsidRPr="001A0367">
        <w:t xml:space="preserve"> as implemented in the </w:t>
      </w:r>
      <w:r w:rsidRPr="0003273D">
        <w:rPr>
          <w:b/>
          <w:bCs/>
          <w:vertAlign w:val="subscript"/>
        </w:rPr>
        <w:t>ANGSD</w:t>
      </w:r>
      <w:r w:rsidRPr="001A0367">
        <w:t xml:space="preserve"> software package with a minimum mapping and base call quality score of 20, a SNP </w:t>
      </w:r>
      <w:r w:rsidRPr="001A0367">
        <w:rPr>
          <w:i/>
        </w:rPr>
        <w:t>p</w:t>
      </w:r>
      <w:r w:rsidRPr="001A0367">
        <w:t xml:space="preserve">-value of 1e-8, a uniform genotype prior, and a posterior genotype probability cutoff of 0.95 </w:t>
      </w:r>
      <w:hyperlink r:id="rId13">
        <w:r w:rsidRPr="001A0367">
          <w:rPr>
            <w:color w:val="000000"/>
          </w:rPr>
          <w:t>(</w:t>
        </w:r>
        <w:proofErr w:type="spellStart"/>
        <w:r w:rsidRPr="001A0367">
          <w:rPr>
            <w:color w:val="000000"/>
          </w:rPr>
          <w:t>Korne</w:t>
        </w:r>
      </w:hyperlink>
      <w:r w:rsidRPr="001A0367">
        <w:rPr>
          <w:color w:val="000000"/>
        </w:rPr>
        <w:t>liussen</w:t>
      </w:r>
      <w:proofErr w:type="spellEnd"/>
      <w:r w:rsidRPr="001A0367">
        <w:rPr>
          <w:color w:val="000000"/>
        </w:rPr>
        <w:t xml:space="preserve"> et al. 2014)</w:t>
      </w:r>
      <w:r w:rsidRPr="001A0367">
        <w:t>.</w:t>
      </w:r>
      <w:r>
        <w:t xml:space="preserve"> </w:t>
      </w:r>
      <w:r w:rsidRPr="00FE6279">
        <w:t>In order to reduce potential bias due to linkage for demographic analyses, we</w:t>
      </w:r>
      <w:r>
        <w:t xml:space="preserve"> </w:t>
      </w:r>
      <w:r w:rsidRPr="00FE6279">
        <w:t xml:space="preserve">randomly subsampled </w:t>
      </w:r>
      <w:r>
        <w:t xml:space="preserve">SNPs </w:t>
      </w:r>
      <w:r w:rsidRPr="00FE6279">
        <w:t xml:space="preserve">such that no locus was within 10,000 bp of another using a custom </w:t>
      </w:r>
      <w:r w:rsidRPr="0003273D">
        <w:rPr>
          <w:b/>
          <w:bCs/>
          <w:vertAlign w:val="subscript"/>
        </w:rPr>
        <w:t>R</w:t>
      </w:r>
      <w:r w:rsidRPr="00FE6279">
        <w:t xml:space="preserve"> script. </w:t>
      </w:r>
      <w:r w:rsidR="00010CA2" w:rsidRPr="00FE6279">
        <w:t xml:space="preserve">The </w:t>
      </w:r>
      <w:r w:rsidR="001B470C">
        <w:t>resulting SNPs</w:t>
      </w:r>
      <w:r w:rsidR="00010CA2" w:rsidRPr="00FE6279">
        <w:t xml:space="preserve"> were</w:t>
      </w:r>
      <w:r w:rsidR="00E46E34">
        <w:t xml:space="preserve"> used to calculate Site Frequency Spectra (SFS) and</w:t>
      </w:r>
      <w:r w:rsidR="00010CA2" w:rsidRPr="00FE6279">
        <w:t xml:space="preserve"> then projected down to a sample size of 100 gene copies from North America and 10 from Hawaii</w:t>
      </w:r>
      <w:r w:rsidR="00010CA2">
        <w:t xml:space="preserve"> for demographic analysis and down to 10 gene copies in each population for </w:t>
      </w:r>
      <w:r w:rsidR="00010CA2" w:rsidRPr="00010CA2">
        <w:rPr>
          <w:bCs/>
          <w:i/>
          <w:color w:val="222222"/>
          <w:highlight w:val="white"/>
        </w:rPr>
        <w:t>ψ</w:t>
      </w:r>
      <w:r w:rsidR="00010CA2">
        <w:t xml:space="preserve"> calculation using the </w:t>
      </w:r>
      <w:r w:rsidR="00010CA2" w:rsidRPr="001A0367">
        <w:t xml:space="preserve">methods described by </w:t>
      </w:r>
      <w:proofErr w:type="spellStart"/>
      <w:r w:rsidR="00010CA2" w:rsidRPr="001A0367">
        <w:t>Gutenkunst</w:t>
      </w:r>
      <w:proofErr w:type="spellEnd"/>
      <w:r w:rsidR="00010CA2" w:rsidRPr="001A0367">
        <w:t xml:space="preserve"> et al. (2009)</w:t>
      </w:r>
      <w:r w:rsidR="00010CA2" w:rsidRPr="00FE6279">
        <w:t>.</w:t>
      </w:r>
      <w:r w:rsidR="00E46E34" w:rsidRPr="00E46E34">
        <w:t xml:space="preserve"> </w:t>
      </w:r>
      <w:r w:rsidR="00E46E34" w:rsidRPr="00FE6279">
        <w:t>These projection numbers were picked to maximize the remaining number of SNPs in the dataset.</w:t>
      </w:r>
      <w:r w:rsidR="00E46E34">
        <w:t xml:space="preserve"> </w:t>
      </w:r>
      <w:r w:rsidR="00E46E34" w:rsidRPr="00010CA2">
        <w:t xml:space="preserve">The </w:t>
      </w:r>
      <w:r w:rsidR="00E46E34">
        <w:t>SFS was</w:t>
      </w:r>
      <w:r w:rsidR="00E46E34" w:rsidRPr="00010CA2">
        <w:t xml:space="preserve"> polarized via reference to whole genome sequence data of the best-sequenced individual of the monarch</w:t>
      </w:r>
      <w:r w:rsidR="00C71837">
        <w:t>’s</w:t>
      </w:r>
      <w:r w:rsidR="00E46E34" w:rsidRPr="00010CA2">
        <w:t xml:space="preserve"> sister </w:t>
      </w:r>
      <w:r w:rsidR="00C71837">
        <w:t>species</w:t>
      </w:r>
      <w:r w:rsidR="00E46E34" w:rsidRPr="00010CA2">
        <w:t xml:space="preserve"> </w:t>
      </w:r>
      <w:r w:rsidR="00E46E34" w:rsidRPr="00C94AC1">
        <w:rPr>
          <w:i/>
          <w:iCs/>
        </w:rPr>
        <w:t xml:space="preserve">Danaus </w:t>
      </w:r>
      <w:proofErr w:type="spellStart"/>
      <w:r w:rsidR="00E46E34" w:rsidRPr="00C94AC1">
        <w:rPr>
          <w:i/>
          <w:iCs/>
        </w:rPr>
        <w:t>erippus</w:t>
      </w:r>
      <w:proofErr w:type="spellEnd"/>
      <w:r w:rsidR="00E46E34" w:rsidRPr="00010CA2">
        <w:t xml:space="preserve"> (Zhan et al. 2014) by alignment to the monarch genome as described above.</w:t>
      </w:r>
      <w:r w:rsidR="00E46E34">
        <w:t xml:space="preserve"> </w:t>
      </w:r>
      <w:r w:rsidR="00274D6B">
        <w:t>While we did not use a Hardy-</w:t>
      </w:r>
      <w:proofErr w:type="spellStart"/>
      <w:r w:rsidR="00274D6B">
        <w:t>Weinburg</w:t>
      </w:r>
      <w:proofErr w:type="spellEnd"/>
      <w:r w:rsidR="00274D6B">
        <w:t xml:space="preserve"> </w:t>
      </w:r>
      <w:proofErr w:type="spellStart"/>
      <w:r w:rsidR="00274D6B">
        <w:t>Equlibrium</w:t>
      </w:r>
      <w:proofErr w:type="spellEnd"/>
      <w:r w:rsidR="00274D6B">
        <w:t xml:space="preserve"> (HWE) filter here, only a very small proportion of our loci were consistently not in HWE across populations (p &lt; 1x10</w:t>
      </w:r>
      <w:r w:rsidR="00274D6B">
        <w:rPr>
          <w:vertAlign w:val="superscript"/>
        </w:rPr>
        <w:t>-6</w:t>
      </w:r>
      <w:r w:rsidR="00274D6B">
        <w:t xml:space="preserve"> in only 86 out of 11,384</w:t>
      </w:r>
      <w:r w:rsidR="00B05E8F">
        <w:t xml:space="preserve"> loci</w:t>
      </w:r>
      <w:r w:rsidR="005F4058">
        <w:t xml:space="preserve">, calculated using </w:t>
      </w:r>
      <w:r w:rsidR="00C71837">
        <w:t>the method of Wigginton et al. [2005]</w:t>
      </w:r>
      <w:r w:rsidR="00274D6B">
        <w:t>).</w:t>
      </w:r>
    </w:p>
    <w:p w14:paraId="2E3BA8B3" w14:textId="1EDEF4FF" w:rsidR="00FE6279" w:rsidRDefault="00FE6279" w:rsidP="00D717DA">
      <w:pPr>
        <w:pStyle w:val="ListParagraph"/>
        <w:numPr>
          <w:ilvl w:val="0"/>
          <w:numId w:val="3"/>
        </w:numPr>
        <w:spacing w:line="480" w:lineRule="auto"/>
        <w:jc w:val="both"/>
      </w:pPr>
      <w:r>
        <w:t xml:space="preserve">For use in calculating </w:t>
      </w:r>
      <w:r w:rsidRPr="001A0367">
        <w:t>basic diversity statistics</w:t>
      </w:r>
      <w:r w:rsidR="005636A1">
        <w:t>,</w:t>
      </w:r>
      <w:r w:rsidRPr="001A0367">
        <w:t xml:space="preserve"> (</w:t>
      </w:r>
      <w:r>
        <w:t xml:space="preserve">the average number of pairwise differences, or </w:t>
      </w:r>
      <w:r w:rsidRPr="001A0367">
        <w:t>π,</w:t>
      </w:r>
      <w:r>
        <w:t xml:space="preserve"> observed heterozygosity, or </w:t>
      </w:r>
      <w:r w:rsidRPr="001A0367">
        <w:t>H</w:t>
      </w:r>
      <w:r w:rsidRPr="005636A1">
        <w:rPr>
          <w:vertAlign w:val="subscript"/>
        </w:rPr>
        <w:t>O</w:t>
      </w:r>
      <w:r w:rsidRPr="001A0367">
        <w:t>, and</w:t>
      </w:r>
      <w:r>
        <w:t xml:space="preserve"> the ratio of within-sample heterozygous to homozygous loci, or</w:t>
      </w:r>
      <w:r w:rsidRPr="001A0367">
        <w:t xml:space="preserve"> Het/</w:t>
      </w:r>
      <w:proofErr w:type="spellStart"/>
      <w:r w:rsidRPr="001A0367">
        <w:t>Hom</w:t>
      </w:r>
      <w:proofErr w:type="spellEnd"/>
      <w:r w:rsidRPr="001A0367">
        <w:t>)</w:t>
      </w:r>
      <w:r>
        <w:t>,</w:t>
      </w:r>
      <w:r w:rsidR="005636A1">
        <w:t xml:space="preserve"> the fixation index (F</w:t>
      </w:r>
      <w:r w:rsidR="005636A1">
        <w:rPr>
          <w:vertAlign w:val="subscript"/>
        </w:rPr>
        <w:t>ST</w:t>
      </w:r>
      <w:r w:rsidR="005636A1">
        <w:t>), and Isolation-by-Distance (IBD),</w:t>
      </w:r>
      <w:r>
        <w:t xml:space="preserve"> we called genotypes as in dataset 1, then removed individuals genotyped at less than</w:t>
      </w:r>
      <w:r w:rsidR="003F0723" w:rsidRPr="00FE6279">
        <w:t xml:space="preserve"> 75% of </w:t>
      </w:r>
      <w:r>
        <w:t>loci</w:t>
      </w:r>
      <w:r w:rsidR="003F0723" w:rsidRPr="00FE6279">
        <w:t xml:space="preserve">. Since strong bottlenecks are likely to </w:t>
      </w:r>
      <w:r w:rsidR="00BD2B17" w:rsidRPr="00FE6279">
        <w:t xml:space="preserve">cause large differences in allele frequencies between populations, which, in conjunction with very </w:t>
      </w:r>
      <w:r w:rsidR="00BD2B17" w:rsidRPr="00FE6279">
        <w:lastRenderedPageBreak/>
        <w:t xml:space="preserve">different sample sizes between populations, can result in loci with very low overall minor allele frequencies having </w:t>
      </w:r>
      <w:r w:rsidR="009E4EEA">
        <w:t>relatively high</w:t>
      </w:r>
      <w:r w:rsidR="00BD2B17" w:rsidRPr="00FE6279">
        <w:t xml:space="preserve"> frequencies in individual populations</w:t>
      </w:r>
      <w:r w:rsidR="003F0723" w:rsidRPr="00FE6279">
        <w:t>, we did not use a minor allele frequency filter when calling genotypes</w:t>
      </w:r>
      <w:r>
        <w:t xml:space="preserve">. </w:t>
      </w:r>
      <w:r w:rsidR="00010CA2">
        <w:t xml:space="preserve">Some populations did not remain in the analysis after </w:t>
      </w:r>
      <w:r w:rsidR="00B05E8F">
        <w:t xml:space="preserve">this </w:t>
      </w:r>
      <w:r w:rsidR="00010CA2">
        <w:t>filtering</w:t>
      </w:r>
      <w:r w:rsidR="00B05E8F">
        <w:t xml:space="preserve"> step.</w:t>
      </w:r>
    </w:p>
    <w:p w14:paraId="01D11BFA" w14:textId="09AE7FEE" w:rsidR="00B05E8F" w:rsidRDefault="005636A1" w:rsidP="009F0367">
      <w:pPr>
        <w:pStyle w:val="ListParagraph"/>
        <w:numPr>
          <w:ilvl w:val="0"/>
          <w:numId w:val="3"/>
        </w:numPr>
        <w:spacing w:line="480" w:lineRule="auto"/>
        <w:jc w:val="both"/>
      </w:pPr>
      <w:r>
        <w:t xml:space="preserve">For calculating Tajima’s D, we </w:t>
      </w:r>
      <w:r w:rsidR="00B05E8F">
        <w:t xml:space="preserve">implemented the same filtering steps as described for Dataset 2, but </w:t>
      </w:r>
      <w:r w:rsidR="00AF1698">
        <w:t xml:space="preserve">without using a SNP p-value filter in </w:t>
      </w:r>
      <w:r w:rsidR="00AF1698" w:rsidRPr="00926009">
        <w:rPr>
          <w:b/>
          <w:bCs/>
          <w:vertAlign w:val="subscript"/>
        </w:rPr>
        <w:t>ANGSD</w:t>
      </w:r>
      <w:r w:rsidR="00AF1698">
        <w:t>.</w:t>
      </w:r>
      <w:r w:rsidR="00B05E8F">
        <w:t xml:space="preserve"> </w:t>
      </w:r>
    </w:p>
    <w:p w14:paraId="282E10DF" w14:textId="758DA12F" w:rsidR="005636A1" w:rsidRPr="005F4058" w:rsidRDefault="005636A1" w:rsidP="009F0367">
      <w:pPr>
        <w:pStyle w:val="ListParagraph"/>
        <w:numPr>
          <w:ilvl w:val="0"/>
          <w:numId w:val="3"/>
        </w:numPr>
        <w:spacing w:line="480" w:lineRule="auto"/>
        <w:jc w:val="both"/>
      </w:pPr>
      <w:r>
        <w:t>For analyses that did not require called genotypes (</w:t>
      </w:r>
      <w:r w:rsidR="00010CA2">
        <w:t xml:space="preserve">Principal Component Analysis, or </w:t>
      </w:r>
      <w:r>
        <w:t xml:space="preserve">PCA, </w:t>
      </w:r>
      <w:proofErr w:type="spellStart"/>
      <w:r>
        <w:t>NGSadmix</w:t>
      </w:r>
      <w:proofErr w:type="spellEnd"/>
      <w:r>
        <w:t xml:space="preserve">, and </w:t>
      </w:r>
      <w:r w:rsidR="00010CA2">
        <w:t>a</w:t>
      </w:r>
      <w:r>
        <w:t xml:space="preserve"> neighbor-joining tree), we used </w:t>
      </w:r>
      <w:r w:rsidRPr="0003273D">
        <w:rPr>
          <w:b/>
          <w:bCs/>
          <w:vertAlign w:val="subscript"/>
        </w:rPr>
        <w:t>ANGSD</w:t>
      </w:r>
      <w:r>
        <w:t xml:space="preserve"> as in dataset 1, but did not call genotypes and instead estimated the likelihoods with a minor allele frequency filter of 0.05</w:t>
      </w:r>
      <w:r w:rsidR="00010CA2">
        <w:t>. For the PCA and neighbor-joining tree, the input</w:t>
      </w:r>
      <w:r w:rsidR="00010CA2" w:rsidRPr="001A0367">
        <w:t xml:space="preserve"> distance matrix was created using the Identity-by-State approach in </w:t>
      </w:r>
      <w:r w:rsidR="00010CA2" w:rsidRPr="0003273D">
        <w:rPr>
          <w:b/>
          <w:bCs/>
          <w:vertAlign w:val="subscript"/>
        </w:rPr>
        <w:t>ANGSD</w:t>
      </w:r>
      <w:r w:rsidR="00010CA2" w:rsidRPr="001A0367">
        <w:t xml:space="preserve"> (</w:t>
      </w:r>
      <w:proofErr w:type="spellStart"/>
      <w:r w:rsidR="00010CA2" w:rsidRPr="001A0367">
        <w:t>Korneliussen</w:t>
      </w:r>
      <w:proofErr w:type="spellEnd"/>
      <w:r w:rsidR="00010CA2" w:rsidRPr="001A0367">
        <w:t xml:space="preserve"> </w:t>
      </w:r>
      <w:r w:rsidR="00010CA2" w:rsidRPr="001A0367">
        <w:rPr>
          <w:color w:val="000000"/>
        </w:rPr>
        <w:t>et al. 2014)</w:t>
      </w:r>
      <w:r w:rsidR="00010CA2">
        <w:rPr>
          <w:color w:val="000000"/>
        </w:rPr>
        <w:t>. No individuals were removed for these analyses.</w:t>
      </w:r>
    </w:p>
    <w:p w14:paraId="556D82F5" w14:textId="11CFC71A" w:rsidR="005F4058" w:rsidRPr="003E49B1" w:rsidRDefault="005F4058" w:rsidP="005F4058">
      <w:pPr>
        <w:spacing w:line="480" w:lineRule="auto"/>
        <w:jc w:val="both"/>
        <w:rPr>
          <w:rFonts w:ascii="Arial" w:hAnsi="Arial" w:cs="Arial"/>
          <w:sz w:val="22"/>
          <w:szCs w:val="22"/>
        </w:rPr>
      </w:pPr>
      <w:r>
        <w:t xml:space="preserve"> </w:t>
      </w:r>
      <w:r w:rsidRPr="003E49B1">
        <w:rPr>
          <w:rFonts w:ascii="Arial" w:hAnsi="Arial" w:cs="Arial"/>
          <w:sz w:val="22"/>
          <w:szCs w:val="22"/>
        </w:rPr>
        <w:t xml:space="preserve">We also generated more </w:t>
      </w:r>
      <w:r w:rsidR="00AF1698">
        <w:rPr>
          <w:rFonts w:ascii="Arial" w:hAnsi="Arial" w:cs="Arial"/>
          <w:sz w:val="22"/>
          <w:szCs w:val="22"/>
        </w:rPr>
        <w:t>thoroughly</w:t>
      </w:r>
      <w:r w:rsidRPr="003E49B1">
        <w:rPr>
          <w:rFonts w:ascii="Arial" w:hAnsi="Arial" w:cs="Arial"/>
          <w:sz w:val="22"/>
          <w:szCs w:val="22"/>
        </w:rPr>
        <w:t xml:space="preserve"> filtered versions of datasets 3 and 4 (see </w:t>
      </w:r>
      <w:r w:rsidR="00B05E8F" w:rsidRPr="00B05E8F">
        <w:rPr>
          <w:rFonts w:ascii="Arial" w:hAnsi="Arial" w:cs="Arial"/>
          <w:i/>
          <w:iCs/>
          <w:sz w:val="22"/>
          <w:szCs w:val="22"/>
        </w:rPr>
        <w:t>Supplementary Methods, Filtered Datasets</w:t>
      </w:r>
      <w:r w:rsidRPr="003E49B1">
        <w:rPr>
          <w:rFonts w:ascii="Arial" w:hAnsi="Arial" w:cs="Arial"/>
          <w:sz w:val="22"/>
          <w:szCs w:val="22"/>
        </w:rPr>
        <w:t xml:space="preserve">), </w:t>
      </w:r>
      <w:r w:rsidR="00AF1698">
        <w:rPr>
          <w:rFonts w:ascii="Arial" w:hAnsi="Arial" w:cs="Arial"/>
          <w:sz w:val="22"/>
          <w:szCs w:val="22"/>
        </w:rPr>
        <w:t>although these additional filtering steps</w:t>
      </w:r>
      <w:r w:rsidRPr="003E49B1">
        <w:rPr>
          <w:rFonts w:ascii="Arial" w:hAnsi="Arial" w:cs="Arial"/>
          <w:sz w:val="22"/>
          <w:szCs w:val="22"/>
        </w:rPr>
        <w:t xml:space="preserve"> did not </w:t>
      </w:r>
      <w:r w:rsidR="00B05E8F">
        <w:rPr>
          <w:rFonts w:ascii="Arial" w:hAnsi="Arial" w:cs="Arial"/>
          <w:sz w:val="22"/>
          <w:szCs w:val="22"/>
        </w:rPr>
        <w:t>meaningfully influence our inferences.</w:t>
      </w:r>
    </w:p>
    <w:p w14:paraId="5D10D31F" w14:textId="08DAE9C6" w:rsidR="005636A1" w:rsidRPr="005636A1" w:rsidRDefault="005636A1" w:rsidP="005636A1">
      <w:pPr>
        <w:spacing w:line="480" w:lineRule="auto"/>
        <w:jc w:val="both"/>
      </w:pPr>
    </w:p>
    <w:p w14:paraId="28F6CC53"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Patterns of relatedness among monarch populations</w:t>
      </w:r>
    </w:p>
    <w:p w14:paraId="17FF47C8" w14:textId="77777777" w:rsidR="0049017D" w:rsidRDefault="003F0723" w:rsidP="0049017D">
      <w:pPr>
        <w:spacing w:line="480" w:lineRule="auto"/>
        <w:rPr>
          <w:rFonts w:ascii="Arial" w:hAnsi="Arial" w:cs="Arial"/>
          <w:sz w:val="22"/>
          <w:szCs w:val="22"/>
        </w:rPr>
      </w:pPr>
      <w:r w:rsidRPr="001A0367">
        <w:rPr>
          <w:rFonts w:ascii="Arial" w:hAnsi="Arial" w:cs="Arial"/>
          <w:sz w:val="22"/>
          <w:szCs w:val="22"/>
        </w:rPr>
        <w:t xml:space="preserve"> </w:t>
      </w:r>
    </w:p>
    <w:p w14:paraId="42C37F2D" w14:textId="5A80BDD4" w:rsidR="00355224" w:rsidRPr="0049017D" w:rsidRDefault="003F0723" w:rsidP="0049017D">
      <w:pPr>
        <w:spacing w:line="480" w:lineRule="auto"/>
        <w:ind w:firstLine="720"/>
        <w:jc w:val="both"/>
        <w:rPr>
          <w:rFonts w:ascii="Arial" w:hAnsi="Arial" w:cs="Arial"/>
          <w:sz w:val="22"/>
          <w:szCs w:val="22"/>
        </w:rPr>
      </w:pPr>
      <w:r w:rsidRPr="001A0367">
        <w:rPr>
          <w:rFonts w:ascii="Arial" w:hAnsi="Arial" w:cs="Arial"/>
          <w:sz w:val="22"/>
          <w:szCs w:val="22"/>
        </w:rPr>
        <w:t xml:space="preserve">We calculated </w:t>
      </w:r>
      <w:r w:rsidR="006E7177">
        <w:rPr>
          <w:rFonts w:ascii="Arial" w:hAnsi="Arial" w:cs="Arial"/>
          <w:sz w:val="22"/>
          <w:szCs w:val="22"/>
        </w:rPr>
        <w:t>π</w:t>
      </w:r>
      <w:r w:rsidRPr="001A0367">
        <w:rPr>
          <w:rFonts w:ascii="Arial" w:hAnsi="Arial" w:cs="Arial"/>
          <w:sz w:val="22"/>
          <w:szCs w:val="22"/>
        </w:rPr>
        <w:t>, H</w:t>
      </w:r>
      <w:r w:rsidRPr="001A0367">
        <w:rPr>
          <w:rFonts w:ascii="Arial" w:hAnsi="Arial" w:cs="Arial"/>
          <w:sz w:val="22"/>
          <w:szCs w:val="22"/>
          <w:vertAlign w:val="subscript"/>
        </w:rPr>
        <w:t>o</w:t>
      </w:r>
      <w:r w:rsidRPr="001A0367">
        <w:rPr>
          <w:rFonts w:ascii="Arial" w:hAnsi="Arial" w:cs="Arial"/>
          <w:sz w:val="22"/>
          <w:szCs w:val="22"/>
        </w:rPr>
        <w:t>,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t>
      </w:r>
      <w:r w:rsidR="006E7177">
        <w:rPr>
          <w:rFonts w:ascii="Arial" w:hAnsi="Arial" w:cs="Arial"/>
          <w:sz w:val="22"/>
          <w:szCs w:val="22"/>
        </w:rPr>
        <w:t xml:space="preserve">and </w:t>
      </w:r>
      <w:r w:rsidRPr="001A0367">
        <w:rPr>
          <w:rFonts w:ascii="Arial" w:hAnsi="Arial" w:cs="Arial"/>
          <w:sz w:val="22"/>
          <w:szCs w:val="22"/>
        </w:rPr>
        <w:t>Tajima’s D</w:t>
      </w:r>
      <w:r w:rsidR="006E7177">
        <w:rPr>
          <w:rFonts w:ascii="Arial" w:hAnsi="Arial" w:cs="Arial"/>
          <w:sz w:val="22"/>
          <w:szCs w:val="22"/>
        </w:rPr>
        <w:t xml:space="preserve"> </w:t>
      </w:r>
      <w:r w:rsidR="006E7177">
        <w:rPr>
          <w:rFonts w:ascii="Arial" w:hAnsi="Arial" w:cs="Arial"/>
          <w:sz w:val="22"/>
          <w:szCs w:val="22"/>
        </w:rPr>
        <w:fldChar w:fldCharType="begin" w:fldLock="1"/>
      </w:r>
      <w:r w:rsidR="006E7177">
        <w:rPr>
          <w:rFonts w:ascii="Arial" w:hAnsi="Arial" w:cs="Arial"/>
          <w:sz w:val="22"/>
          <w:szCs w:val="22"/>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(Tajima, 1989)</w:t>
      </w:r>
      <w:r w:rsidR="006E7177">
        <w:rPr>
          <w:rFonts w:ascii="Arial" w:hAnsi="Arial" w:cs="Arial"/>
          <w:sz w:val="22"/>
          <w:szCs w:val="22"/>
        </w:rPr>
        <w:fldChar w:fldCharType="end"/>
      </w:r>
      <w:r w:rsidR="006E7177">
        <w:rPr>
          <w:rFonts w:ascii="Arial" w:hAnsi="Arial" w:cs="Arial"/>
          <w:sz w:val="22"/>
          <w:szCs w:val="22"/>
        </w:rPr>
        <w:t xml:space="preserve"> </w:t>
      </w:r>
      <w:r w:rsidR="005B44B7">
        <w:rPr>
          <w:rFonts w:ascii="Arial" w:hAnsi="Arial" w:cs="Arial"/>
          <w:sz w:val="22"/>
          <w:szCs w:val="22"/>
        </w:rPr>
        <w:t>within</w:t>
      </w:r>
      <w:r w:rsidR="006E7177">
        <w:rPr>
          <w:rFonts w:ascii="Arial" w:hAnsi="Arial" w:cs="Arial"/>
          <w:sz w:val="22"/>
          <w:szCs w:val="22"/>
        </w:rPr>
        <w:t xml:space="preserve"> each population</w:t>
      </w:r>
      <w:r w:rsidR="005636A1">
        <w:rPr>
          <w:rFonts w:ascii="Arial" w:hAnsi="Arial" w:cs="Arial"/>
          <w:sz w:val="22"/>
          <w:szCs w:val="22"/>
        </w:rPr>
        <w:t xml:space="preserve"> using </w:t>
      </w:r>
      <w:r w:rsidRPr="001A0367">
        <w:rPr>
          <w:rFonts w:ascii="Arial" w:hAnsi="Arial" w:cs="Arial"/>
          <w:sz w:val="22"/>
          <w:szCs w:val="22"/>
        </w:rPr>
        <w:t xml:space="preserve">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(Hemstrom</w:t>
      </w:r>
      <w:r w:rsidR="0011459D">
        <w:rPr>
          <w:rFonts w:ascii="Arial" w:hAnsi="Arial" w:cs="Arial"/>
          <w:sz w:val="22"/>
          <w:szCs w:val="22"/>
        </w:rPr>
        <w:t xml:space="preserve"> and Jones 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w:t>
      </w:r>
      <w:r w:rsidR="005B44B7">
        <w:rPr>
          <w:rFonts w:ascii="Arial" w:hAnsi="Arial" w:cs="Arial"/>
          <w:sz w:val="22"/>
          <w:szCs w:val="22"/>
        </w:rPr>
        <w:t xml:space="preserve">between populations </w:t>
      </w:r>
      <w:r w:rsidRPr="001A0367">
        <w:rPr>
          <w:rFonts w:ascii="Arial" w:hAnsi="Arial" w:cs="Arial"/>
          <w:sz w:val="22"/>
          <w:szCs w:val="22"/>
        </w:rPr>
        <w:t xml:space="preserve">using the </w:t>
      </w:r>
      <w:r w:rsidRPr="0003273D">
        <w:rPr>
          <w:rFonts w:ascii="Arial" w:hAnsi="Arial" w:cs="Arial"/>
          <w:b/>
          <w:bCs/>
          <w:sz w:val="22"/>
          <w:szCs w:val="22"/>
          <w:vertAlign w:val="subscript"/>
        </w:rPr>
        <w:t>R</w:t>
      </w:r>
      <w:r w:rsidRPr="001A0367">
        <w:rPr>
          <w:rFonts w:ascii="Arial" w:hAnsi="Arial" w:cs="Arial"/>
          <w:sz w:val="22"/>
          <w:szCs w:val="22"/>
        </w:rPr>
        <w:t xml:space="preserve"> implementation of the </w:t>
      </w:r>
      <w:r w:rsidRPr="0090398A">
        <w:rPr>
          <w:rFonts w:ascii="Arial" w:hAnsi="Arial" w:cs="Arial"/>
          <w:b/>
          <w:bCs/>
          <w:vertAlign w:val="subscript"/>
        </w:rPr>
        <w:t>GENEPOP</w:t>
      </w:r>
      <w:r w:rsidRPr="001A0367">
        <w:rPr>
          <w:rFonts w:ascii="Arial" w:hAnsi="Arial" w:cs="Arial"/>
          <w:sz w:val="22"/>
          <w:szCs w:val="22"/>
        </w:rPr>
        <w:t xml:space="preserve"> software package </w:t>
      </w:r>
      <w:hyperlink r:id="rId14">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w:t>
      </w:r>
      <w:r w:rsidR="009E556E">
        <w:rPr>
          <w:rFonts w:ascii="Arial" w:hAnsi="Arial" w:cs="Arial"/>
          <w:sz w:val="22"/>
          <w:szCs w:val="22"/>
        </w:rPr>
        <w:t xml:space="preserve"> and </w:t>
      </w:r>
      <w:r w:rsidR="00C04D97">
        <w:rPr>
          <w:rFonts w:ascii="Arial" w:hAnsi="Arial" w:cs="Arial"/>
          <w:sz w:val="22"/>
          <w:szCs w:val="22"/>
        </w:rPr>
        <w:t>bootstrapped</w:t>
      </w:r>
      <w:r w:rsidR="009E556E">
        <w:rPr>
          <w:rFonts w:ascii="Arial" w:hAnsi="Arial" w:cs="Arial"/>
          <w:sz w:val="22"/>
          <w:szCs w:val="22"/>
        </w:rPr>
        <w:t xml:space="preserve"> individuals between populations randomly 1000 times to calculate F</w:t>
      </w:r>
      <w:r w:rsidR="009E556E">
        <w:rPr>
          <w:rFonts w:ascii="Arial" w:hAnsi="Arial" w:cs="Arial"/>
          <w:sz w:val="22"/>
          <w:szCs w:val="22"/>
          <w:vertAlign w:val="subscript"/>
        </w:rPr>
        <w:t>ST</w:t>
      </w:r>
      <w:r w:rsidR="009E556E">
        <w:rPr>
          <w:rFonts w:ascii="Arial" w:hAnsi="Arial" w:cs="Arial"/>
          <w:sz w:val="22"/>
          <w:szCs w:val="22"/>
        </w:rPr>
        <w:t xml:space="preserve"> significance levels</w:t>
      </w:r>
      <w:r w:rsidR="005636A1">
        <w:rPr>
          <w:rFonts w:ascii="Arial" w:hAnsi="Arial" w:cs="Arial"/>
          <w:sz w:val="22"/>
          <w:szCs w:val="22"/>
        </w:rPr>
        <w:t xml:space="preserve"> using the </w:t>
      </w:r>
      <w:proofErr w:type="spellStart"/>
      <w:r w:rsidR="005636A1">
        <w:rPr>
          <w:rFonts w:ascii="Arial" w:hAnsi="Arial" w:cs="Arial"/>
          <w:sz w:val="22"/>
          <w:szCs w:val="22"/>
        </w:rPr>
        <w:t>snpR</w:t>
      </w:r>
      <w:proofErr w:type="spellEnd"/>
      <w:r w:rsidR="005636A1">
        <w:rPr>
          <w:rFonts w:ascii="Arial" w:hAnsi="Arial" w:cs="Arial"/>
          <w:sz w:val="22"/>
          <w:szCs w:val="22"/>
        </w:rPr>
        <w:t xml:space="preserve"> package </w:t>
      </w:r>
      <w:r w:rsidR="005636A1">
        <w:rPr>
          <w:rFonts w:ascii="Arial" w:hAnsi="Arial" w:cs="Arial"/>
          <w:sz w:val="22"/>
          <w:szCs w:val="22"/>
        </w:rPr>
        <w:fldChar w:fldCharType="begin" w:fldLock="1"/>
      </w:r>
      <w:r w:rsidR="00E46E34">
        <w:rPr>
          <w:rFonts w:ascii="Arial" w:hAnsi="Arial" w:cs="Arial"/>
          <w:sz w:val="22"/>
          <w:szCs w:val="22"/>
        </w:rPr>
        <w:instrText>ADDIN CSL_CITATION {"citationItems":[{"id":"ITEM-1","itemData":{"DOI":"10.22541/au.161264719.94032617/v1","author":[{"dropping-particle":"","family":"Hemstrom","given":"William","non-dropping-particle":"","parse-names":false,"suffix":""},{"dropping-particle":"","family":"Jones","given":"Melissa","non-dropping-particle":"","parse-names":false,"suffix":""}],"id":"ITEM-1","issued":{"date-parts":[["2021","2"]]},"publisher":"Authorea, Inc.","title":"snpR: user friendly population genomics for SNP datasets with categorical metadata","type":"article-journal"},"uris":["http://www.mendeley.com/documents/?uuid=70e485a7-ab61-4a4b-85a2-2dccf1479413"]}],"mendeley":{"formattedCitation":"(Hemstrom &amp; Jones, 2021)","plainTextFormattedCitation":"(Hemstrom &amp; Jones, 2021)","previouslyFormattedCitation":"(Hemstrom &amp; Jones, 2021)"},"properties":{"noteIndex":0},"schema":"https://github.com/citation-style-language/schema/raw/master/csl-citation.json"}</w:instrText>
      </w:r>
      <w:r w:rsidR="005636A1">
        <w:rPr>
          <w:rFonts w:ascii="Arial" w:hAnsi="Arial" w:cs="Arial"/>
          <w:sz w:val="22"/>
          <w:szCs w:val="22"/>
        </w:rPr>
        <w:fldChar w:fldCharType="separate"/>
      </w:r>
      <w:r w:rsidR="005636A1" w:rsidRPr="005636A1">
        <w:rPr>
          <w:rFonts w:ascii="Arial" w:hAnsi="Arial" w:cs="Arial"/>
          <w:noProof/>
          <w:sz w:val="22"/>
          <w:szCs w:val="22"/>
        </w:rPr>
        <w:t>(Hemstrom &amp; Jones, 2021)</w:t>
      </w:r>
      <w:r w:rsidR="005636A1">
        <w:rPr>
          <w:rFonts w:ascii="Arial" w:hAnsi="Arial" w:cs="Arial"/>
          <w:sz w:val="22"/>
          <w:szCs w:val="22"/>
        </w:rPr>
        <w:fldChar w:fldCharType="end"/>
      </w:r>
      <w:r w:rsidR="009E556E">
        <w:rPr>
          <w:rFonts w:ascii="Arial" w:hAnsi="Arial" w:cs="Arial"/>
          <w:sz w:val="22"/>
          <w:szCs w:val="22"/>
        </w:rPr>
        <w:t xml:space="preserve">. </w:t>
      </w:r>
      <w:r w:rsidRPr="001A0367">
        <w:rPr>
          <w:rFonts w:ascii="Arial" w:hAnsi="Arial" w:cs="Arial"/>
          <w:sz w:val="22"/>
          <w:szCs w:val="22"/>
        </w:rPr>
        <w:t xml:space="preserve">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r w:rsidR="005B44B7">
        <w:rPr>
          <w:rFonts w:ascii="Arial" w:hAnsi="Arial" w:cs="Arial"/>
          <w:sz w:val="22"/>
          <w:szCs w:val="22"/>
        </w:rPr>
        <w:t xml:space="preserve">, based on results from previous studies (Lyons et al. 2012, </w:t>
      </w:r>
      <w:proofErr w:type="spellStart"/>
      <w:r w:rsidR="005B44B7">
        <w:rPr>
          <w:rFonts w:ascii="Arial" w:hAnsi="Arial" w:cs="Arial"/>
          <w:sz w:val="22"/>
          <w:szCs w:val="22"/>
        </w:rPr>
        <w:t>Talla</w:t>
      </w:r>
      <w:proofErr w:type="spellEnd"/>
      <w:r w:rsidR="005B44B7">
        <w:rPr>
          <w:rFonts w:ascii="Arial" w:hAnsi="Arial" w:cs="Arial"/>
          <w:sz w:val="22"/>
          <w:szCs w:val="22"/>
        </w:rPr>
        <w:t xml:space="preserve"> et al. 2020)</w:t>
      </w:r>
      <w:r w:rsidR="005636A1">
        <w:rPr>
          <w:rFonts w:ascii="Arial" w:hAnsi="Arial" w:cs="Arial"/>
          <w:sz w:val="22"/>
          <w:szCs w:val="22"/>
        </w:rPr>
        <w:t>.</w:t>
      </w:r>
      <w:r w:rsidR="0049017D">
        <w:rPr>
          <w:rFonts w:ascii="Arial" w:hAnsi="Arial" w:cs="Arial"/>
          <w:sz w:val="22"/>
          <w:szCs w:val="22"/>
        </w:rPr>
        <w:t xml:space="preserve"> To determine if our relatively </w:t>
      </w:r>
      <w:r w:rsidR="0049017D">
        <w:rPr>
          <w:rFonts w:ascii="Arial" w:hAnsi="Arial" w:cs="Arial"/>
          <w:sz w:val="22"/>
          <w:szCs w:val="22"/>
        </w:rPr>
        <w:lastRenderedPageBreak/>
        <w:t>light filtering approach biased our results, we also re-ran the diversity statistics π</w:t>
      </w:r>
      <w:r w:rsidR="0049017D" w:rsidRPr="001A0367">
        <w:rPr>
          <w:rFonts w:ascii="Arial" w:hAnsi="Arial" w:cs="Arial"/>
          <w:sz w:val="22"/>
          <w:szCs w:val="22"/>
        </w:rPr>
        <w:t>, H</w:t>
      </w:r>
      <w:r w:rsidR="0049017D" w:rsidRPr="001A0367">
        <w:rPr>
          <w:rFonts w:ascii="Arial" w:hAnsi="Arial" w:cs="Arial"/>
          <w:sz w:val="22"/>
          <w:szCs w:val="22"/>
          <w:vertAlign w:val="subscript"/>
        </w:rPr>
        <w:t>o</w:t>
      </w:r>
      <w:r w:rsidR="0049017D" w:rsidRPr="001A0367">
        <w:rPr>
          <w:rFonts w:ascii="Arial" w:hAnsi="Arial" w:cs="Arial"/>
          <w:sz w:val="22"/>
          <w:szCs w:val="22"/>
        </w:rPr>
        <w:t>, Het/</w:t>
      </w:r>
      <w:proofErr w:type="spellStart"/>
      <w:r w:rsidR="0049017D" w:rsidRPr="001A0367">
        <w:rPr>
          <w:rFonts w:ascii="Arial" w:hAnsi="Arial" w:cs="Arial"/>
          <w:sz w:val="22"/>
          <w:szCs w:val="22"/>
        </w:rPr>
        <w:t>Hom</w:t>
      </w:r>
      <w:proofErr w:type="spellEnd"/>
      <w:r w:rsidR="0049017D" w:rsidRPr="001A0367">
        <w:rPr>
          <w:rFonts w:ascii="Arial" w:hAnsi="Arial" w:cs="Arial"/>
          <w:sz w:val="22"/>
          <w:szCs w:val="22"/>
        </w:rPr>
        <w:t xml:space="preserve">, </w:t>
      </w:r>
      <w:r w:rsidR="0049017D">
        <w:rPr>
          <w:rFonts w:ascii="Arial" w:hAnsi="Arial" w:cs="Arial"/>
          <w:sz w:val="22"/>
          <w:szCs w:val="22"/>
        </w:rPr>
        <w:t xml:space="preserve">and </w:t>
      </w:r>
      <w:r w:rsidR="0049017D" w:rsidRPr="001A0367">
        <w:rPr>
          <w:rFonts w:ascii="Arial" w:hAnsi="Arial" w:cs="Arial"/>
          <w:sz w:val="22"/>
          <w:szCs w:val="22"/>
        </w:rPr>
        <w:t>Tajima’s D</w:t>
      </w:r>
      <w:r w:rsidR="0049017D">
        <w:rPr>
          <w:rFonts w:ascii="Arial" w:hAnsi="Arial" w:cs="Arial"/>
          <w:sz w:val="22"/>
          <w:szCs w:val="22"/>
        </w:rPr>
        <w:t>, F</w:t>
      </w:r>
      <w:r w:rsidR="0049017D">
        <w:rPr>
          <w:rFonts w:ascii="Arial" w:hAnsi="Arial" w:cs="Arial"/>
          <w:sz w:val="22"/>
          <w:szCs w:val="22"/>
          <w:vertAlign w:val="subscript"/>
        </w:rPr>
        <w:t>ST</w:t>
      </w:r>
      <w:r w:rsidR="0049017D">
        <w:rPr>
          <w:rFonts w:ascii="Arial" w:hAnsi="Arial" w:cs="Arial"/>
          <w:sz w:val="22"/>
          <w:szCs w:val="22"/>
        </w:rPr>
        <w:t>, and IBD analyses using more heavily filtered datasets, as described in the Supplementary Methods.</w:t>
      </w:r>
    </w:p>
    <w:p w14:paraId="24659FFE" w14:textId="6DE57647" w:rsidR="0049017D" w:rsidRDefault="003F0723" w:rsidP="001A0EC8">
      <w:pPr>
        <w:spacing w:line="480"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w:t>
      </w:r>
      <w:r w:rsidRPr="0003273D">
        <w:rPr>
          <w:rFonts w:ascii="Arial" w:hAnsi="Arial" w:cs="Arial"/>
          <w:b/>
          <w:bCs/>
          <w:sz w:val="22"/>
          <w:szCs w:val="22"/>
          <w:vertAlign w:val="subscript"/>
        </w:rPr>
        <w:t>R</w:t>
      </w:r>
      <w:r w:rsidRPr="001A0367">
        <w:rPr>
          <w:rFonts w:ascii="Arial" w:hAnsi="Arial" w:cs="Arial"/>
          <w:sz w:val="22"/>
          <w:szCs w:val="22"/>
        </w:rPr>
        <w:t xml:space="preserve"> package v.5.0 </w:t>
      </w:r>
      <w:hyperlink r:id="rId15">
        <w:r w:rsidR="002450EB" w:rsidRPr="001A0367">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00010CA2">
        <w:rPr>
          <w:rFonts w:ascii="Arial" w:hAnsi="Arial" w:cs="Arial"/>
          <w:color w:val="000000"/>
          <w:sz w:val="22"/>
          <w:szCs w:val="22"/>
        </w:rPr>
        <w:t xml:space="preserve"> and conducted a PCA. </w:t>
      </w:r>
      <w:r w:rsidRPr="001A0367">
        <w:rPr>
          <w:rFonts w:ascii="Arial" w:hAnsi="Arial" w:cs="Arial"/>
          <w:sz w:val="22"/>
          <w:szCs w:val="22"/>
        </w:rPr>
        <w:t xml:space="preserve">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xml:space="preserve">. Each value of k was run 10 times, and the results were collapsed into consensus plots using </w:t>
      </w:r>
      <w:r w:rsidRPr="0003273D">
        <w:rPr>
          <w:rFonts w:ascii="Arial" w:hAnsi="Arial" w:cs="Arial"/>
          <w:b/>
          <w:bCs/>
          <w:sz w:val="22"/>
          <w:szCs w:val="22"/>
          <w:vertAlign w:val="subscript"/>
        </w:rPr>
        <w:t>CLUMPP</w:t>
      </w:r>
      <w:r w:rsidR="002450EB" w:rsidRPr="001A0367">
        <w:rPr>
          <w:rFonts w:ascii="Arial" w:hAnsi="Arial" w:cs="Arial"/>
          <w:sz w:val="22"/>
          <w:szCs w:val="22"/>
        </w:rPr>
        <w:t xml:space="preserve"> (Jakobsson 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(Hemstrom </w:t>
      </w:r>
      <w:r w:rsidR="00380F5C">
        <w:rPr>
          <w:rFonts w:ascii="Arial" w:hAnsi="Arial" w:cs="Arial"/>
          <w:sz w:val="22"/>
          <w:szCs w:val="22"/>
        </w:rPr>
        <w:t>and Jones 2021</w:t>
      </w:r>
      <w:r w:rsidRPr="001A0367">
        <w:rPr>
          <w:rFonts w:ascii="Arial" w:hAnsi="Arial" w:cs="Arial"/>
          <w:sz w:val="22"/>
          <w:szCs w:val="22"/>
        </w:rPr>
        <w:t xml:space="preserve">) </w:t>
      </w:r>
      <w:r w:rsidRPr="00BC5B76">
        <w:rPr>
          <w:rFonts w:ascii="Arial" w:hAnsi="Arial" w:cs="Arial"/>
          <w:b/>
          <w:bCs/>
          <w:sz w:val="22"/>
          <w:szCs w:val="22"/>
          <w:vertAlign w:val="subscript"/>
        </w:rPr>
        <w:t>R</w:t>
      </w:r>
      <w:r w:rsidRPr="001A0367">
        <w:rPr>
          <w:rFonts w:ascii="Arial" w:hAnsi="Arial" w:cs="Arial"/>
          <w:sz w:val="22"/>
          <w:szCs w:val="22"/>
        </w:rPr>
        <w:t xml:space="preserve"> packages were used to </w:t>
      </w:r>
      <w:r w:rsidR="006E7177">
        <w:rPr>
          <w:rFonts w:ascii="Arial" w:hAnsi="Arial" w:cs="Arial"/>
          <w:sz w:val="22"/>
          <w:szCs w:val="22"/>
        </w:rPr>
        <w:t>run</w:t>
      </w:r>
      <w:r w:rsidRPr="001A0367">
        <w:rPr>
          <w:rFonts w:ascii="Arial" w:hAnsi="Arial" w:cs="Arial"/>
          <w:sz w:val="22"/>
          <w:szCs w:val="22"/>
        </w:rPr>
        <w:t xml:space="preserve"> these analyses. </w:t>
      </w:r>
      <w:r w:rsidR="0026275F">
        <w:rPr>
          <w:rFonts w:ascii="Arial" w:hAnsi="Arial" w:cs="Arial"/>
          <w:sz w:val="22"/>
          <w:szCs w:val="22"/>
        </w:rPr>
        <w:t xml:space="preserve">We used the method of </w:t>
      </w:r>
      <w:r w:rsidR="0026275F">
        <w:rPr>
          <w:rFonts w:ascii="Arial" w:hAnsi="Arial" w:cs="Arial"/>
          <w:sz w:val="22"/>
          <w:szCs w:val="22"/>
        </w:rPr>
        <w:fldChar w:fldCharType="begin" w:fldLock="1"/>
      </w:r>
      <w:r w:rsidR="006E7177">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2005)","manualFormatting":"Evanno et al. (2005)","plainTextFormattedCitation":"(Evanno et al., 2005)","previouslyFormattedCitation":"(Evanno et al., 2005)"},"properties":{"noteIndex":0},"schema":"https://github.com/citation-style-language/schema/raw/master/csl-citation.json"}</w:instrText>
      </w:r>
      <w:r w:rsidR="0026275F">
        <w:rPr>
          <w:rFonts w:ascii="Arial" w:hAnsi="Arial" w:cs="Arial"/>
          <w:sz w:val="22"/>
          <w:szCs w:val="22"/>
        </w:rPr>
        <w:fldChar w:fldCharType="separate"/>
      </w:r>
      <w:r w:rsidR="0026275F" w:rsidRPr="0026275F">
        <w:rPr>
          <w:rFonts w:ascii="Arial" w:hAnsi="Arial" w:cs="Arial"/>
          <w:noProof/>
          <w:sz w:val="22"/>
          <w:szCs w:val="22"/>
        </w:rPr>
        <w:t>Evanno et al.</w:t>
      </w:r>
      <w:r w:rsidR="0026275F">
        <w:rPr>
          <w:rFonts w:ascii="Arial" w:hAnsi="Arial" w:cs="Arial"/>
          <w:noProof/>
          <w:sz w:val="22"/>
          <w:szCs w:val="22"/>
        </w:rPr>
        <w:t xml:space="preserve"> (</w:t>
      </w:r>
      <w:r w:rsidR="0026275F" w:rsidRPr="0026275F">
        <w:rPr>
          <w:rFonts w:ascii="Arial" w:hAnsi="Arial" w:cs="Arial"/>
          <w:noProof/>
          <w:sz w:val="22"/>
          <w:szCs w:val="22"/>
        </w:rPr>
        <w:t>2005)</w:t>
      </w:r>
      <w:r w:rsidR="0026275F">
        <w:rPr>
          <w:rFonts w:ascii="Arial" w:hAnsi="Arial" w:cs="Arial"/>
          <w:sz w:val="22"/>
          <w:szCs w:val="22"/>
        </w:rPr>
        <w:fldChar w:fldCharType="end"/>
      </w:r>
      <w:r w:rsidR="0026275F">
        <w:rPr>
          <w:rFonts w:ascii="Arial" w:hAnsi="Arial" w:cs="Arial"/>
          <w:sz w:val="22"/>
          <w:szCs w:val="22"/>
        </w:rPr>
        <w:t xml:space="preserve"> to detect the number of clusters present from the results</w:t>
      </w:r>
      <w:r w:rsidR="006E7177">
        <w:rPr>
          <w:rFonts w:ascii="Arial" w:hAnsi="Arial" w:cs="Arial"/>
          <w:sz w:val="22"/>
          <w:szCs w:val="22"/>
        </w:rPr>
        <w:t xml:space="preserve">; however, since this method has reproducibility issues </w:t>
      </w:r>
      <w:r w:rsidR="006E7177">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{"citationItems":[{"id":"ITEM-1","itemData":{"DOI":"https://doi.org/10.1111/j.1365-294X.2012.05754.x","ISSN":"0962-1083","abstract":"Abstract Reproducibility is the benchmark for results and conclusions drawn from scientific studies, but systematic studies on the reproducibility of scientific results are surprisingly rare. Moreover, many modern statistical methods make use of ?random walk? model fitting procedures, and these are inherently stochastic in their output. Does the combination of these statistical procedures and current standards of data archiving and method reporting permit the reproduction of the authors' results? To test this, we reanalysed data sets gathered from papers using the software package structure to identify genetically similar clusters of individuals. We find that reproducing structure results can be difficult despite the straightforward requirements of the program. Our results indicate that 30% of analyses were unable to reproduce the same number of population clusters. To improve this, we make recommendations for future use of the software and for reporting structure analyses and results in published works.","author":[{"dropping-particle":"","family":"Gilbert","given":"Kimberly J","non-dropping-particle":"","parse-names":false,"suffix":""},{"dropping-particle":"","family":"Andrew","given":"Rose L","non-dropping-particle":"","parse-names":false,"suffix":""},{"dropping-particle":"","family":"Bock","given":"Dan G","non-dropping-particle":"","parse-names":false,"suffix":""},{"dropping-particle":"","family":"Franklin","given":"Michelle T","non-dropping-particle":"","parse-names":false,"suffix":""},{"dropping-particle":"","family":"Kane","given":"Nolan C","non-dropping-particle":"","parse-names":false,"suffix":""},{"dropping-particle":"","family":"Moore","given":"Jean-Sébastien","non-dropping-particle":"","parse-names":false,"suffix":""},{"dropping-particle":"","family":"Moyers","given":"Brook T","non-dropping-particle":"","parse-names":false,"suffix":""},{"dropping-particle":"","family":"Renaut","given":"Sébastien","non-dropping-particle":"","parse-names":false,"suffix":""},{"dropping-particle":"","family":"Rennison","given":"Diana J","non-dropping-particle":"","parse-names":false,"suffix":""},{"dropping-particle":"","family":"Veen","given":"Thor","non-dropping-particle":"","parse-names":false,"suffix":""},{"dropping-particle":"","family":"Vines","given":"Timothy H","non-dropping-particle":"","parse-names":false,"suffix":""}],"container-title":"Molecular Ecology","id":"ITEM-1","issue":"20","issued":{"date-parts":[["2012","10","1"]]},"note":"https://doi.org/10.1111/j.1365-294X.2012.05754.x","page":"4925-4930","publisher":"John Wiley &amp; Sons, Ltd","title":"Recommendations for utilizing and reporting population genetic analyses: the reproducibility of genetic clustering using the program structure","type":"article-journal","volume":"21"},"uris":["http://www.mendeley.com/documents/?uuid=39618533-a266-4e9e-b3ca-332255dfabe9"]}],"mendeley":{"formattedCitation":"(Gilbert et al., 2012)","plainTextFormattedCitation":"(Gilbert et al., 2012)","previouslyFormattedCitation":"(Gilbert et al., 2012)"},"properties":{"noteIndex":0},"schema":"https://github.com/citation-style-language/schema/raw/master/csl-citation.json"}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(Gilbert et al., 2012)</w:t>
      </w:r>
      <w:r w:rsidR="006E7177">
        <w:rPr>
          <w:rFonts w:ascii="Arial" w:hAnsi="Arial" w:cs="Arial"/>
          <w:sz w:val="22"/>
          <w:szCs w:val="22"/>
        </w:rPr>
        <w:fldChar w:fldCharType="end"/>
      </w:r>
      <w:r w:rsidR="00A564E5">
        <w:rPr>
          <w:rFonts w:ascii="Arial" w:hAnsi="Arial" w:cs="Arial"/>
          <w:sz w:val="22"/>
          <w:szCs w:val="22"/>
        </w:rPr>
        <w:t xml:space="preserve">, tends to underestimate the true </w:t>
      </w:r>
      <w:r w:rsidR="001E52AD">
        <w:rPr>
          <w:rFonts w:ascii="Arial" w:hAnsi="Arial" w:cs="Arial"/>
          <w:sz w:val="22"/>
          <w:szCs w:val="22"/>
        </w:rPr>
        <w:t>k</w:t>
      </w:r>
      <w:r w:rsidR="00A564E5">
        <w:rPr>
          <w:rFonts w:ascii="Arial" w:hAnsi="Arial" w:cs="Arial"/>
          <w:sz w:val="22"/>
          <w:szCs w:val="22"/>
        </w:rPr>
        <w:t xml:space="preserve"> unless in the context of a complex hierarchical examination </w:t>
      </w:r>
      <w:r w:rsidR="00A564E5">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{"citationItems":[{"id":"ITEM-1","itemData":{"DOI":"https://doi.org/10.1111/mec.14187","ISSN":"0962-1083","abstract":"Assessments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?K method was proposed to assist in the identification of the ?true? number of clusters. In our review of 1,264 studies using structure to explore population subdivision, studies that used ?K were more likely to identify K = 2 (54%, 443/822) than studies that did not use ?K (21%, 82/386). A troubling finding was that very few studies performed the hierarchical analysis recommended by the authors of both ?K and structure to fully explore population subdivision. Furthermore, extensions of earlier simulations indicate that, with a representative number of markers, ?K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biology.","author":[{"dropping-particle":"","family":"Janes","given":"Jasmine K","non-dropping-particle":"","parse-names":false,"suffix":""},{"dropping-particle":"","family":"Miller","given":"Joshua M","non-dropping-particle":"","parse-names":false,"suffix":""},{"dropping-particle":"","family":"Dupuis","given":"Julian R","non-dropping-particle":"","parse-names":false,"suffix":""},{"dropping-particle":"","family":"Malenfant","given":"René M","non-dropping-particle":"","parse-names":false,"suffix":""},{"dropping-particle":"","family":"Gorrell","given":"Jamieson C","non-dropping-particle":"","parse-names":false,"suffix":""},{"dropping-particle":"","family":"Cullingham","given":"Catherine I","non-dropping-particle":"","parse-names":false,"suffix":""},{"dropping-particle":"","family":"Andrew","given":"Rose L","non-dropping-particle":"","parse-names":false,"suffix":""}],"container-title":"Molecular Ecology","id":"ITEM-1","issue":"14","issued":{"date-parts":[["2017","7","1"]]},"note":"https://doi.org/10.1111/mec.14187","page":"3594-3602","publisher":"John Wiley &amp; Sons, Ltd","title":"The K = 2 conundrum","type":"article-journal","volume":"26"},"uris":["http://www.mendeley.com/documents/?uuid=3c6bde97-1bd8-4b08-bda4-ceb1a7238014"]}],"mendeley":{"formattedCitation":"(Janes et al., 2017)","plainTextFormattedCitation":"(Janes et al., 2017)","previouslyFormattedCitation":"(Janes et al., 2017)"},"properties":{"noteIndex":0},"schema":"https://github.com/citation-style-language/schema/raw/master/csl-citation.json"}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(Janes et al., 2017)</w:t>
      </w:r>
      <w:r w:rsidR="00A564E5">
        <w:rPr>
          <w:rFonts w:ascii="Arial" w:hAnsi="Arial" w:cs="Arial"/>
          <w:sz w:val="22"/>
          <w:szCs w:val="22"/>
        </w:rPr>
        <w:fldChar w:fldCharType="end"/>
      </w:r>
      <w:r w:rsidR="00A564E5">
        <w:rPr>
          <w:rFonts w:ascii="Arial" w:hAnsi="Arial" w:cs="Arial"/>
          <w:sz w:val="22"/>
          <w:szCs w:val="22"/>
        </w:rPr>
        <w:t xml:space="preserve">, and generally does not improve estimates of </w:t>
      </w:r>
      <w:r w:rsidR="001E52AD">
        <w:rPr>
          <w:rFonts w:ascii="Arial" w:hAnsi="Arial" w:cs="Arial"/>
          <w:sz w:val="22"/>
          <w:szCs w:val="22"/>
        </w:rPr>
        <w:t>k</w:t>
      </w:r>
      <w:r w:rsidR="00A564E5">
        <w:rPr>
          <w:rFonts w:ascii="Arial" w:hAnsi="Arial" w:cs="Arial"/>
          <w:sz w:val="22"/>
          <w:szCs w:val="22"/>
        </w:rPr>
        <w:t xml:space="preserve"> </w:t>
      </w:r>
      <w:r w:rsidR="00A564E5">
        <w:rPr>
          <w:rFonts w:ascii="Arial" w:hAnsi="Arial" w:cs="Arial"/>
          <w:sz w:val="22"/>
          <w:szCs w:val="22"/>
        </w:rPr>
        <w:fldChar w:fldCharType="begin" w:fldLock="1"/>
      </w:r>
      <w:r w:rsidR="00F93CF0">
        <w:rPr>
          <w:rFonts w:ascii="Arial" w:hAnsi="Arial" w:cs="Arial"/>
          <w:sz w:val="22"/>
          <w:szCs w:val="22"/>
        </w:rPr>
        <w:instrText>ADDIN CSL_CITATION {"citationItems":[{"id":"ITEM-1","itemData":{"DOI":"https://doi.org/10.1111/j.1365-294X.2006.02890.x","ISSN":"0962-1083","abstract":"Abstract We review commonly used population definitions under both the ecological paradigm (which emphasizes demographic cohesion) and the evolutionary paradigm (which emphasizes reproductive cohesion) and find that none are truly operational. We suggest several quantitative criteria that might be used to determine when groups of individuals are different enough to be considered ?populations?. Units for these criteria are migration rate (m) for the ecological paradigm and migrants per generation (Nm) for the evolutionary paradigm. These criteria are then evaluated by applying analytical methods to simulated genetic data for a finite island model. Under the standard parameter set that includes L = 20 High mutation (microsatellite-like) loci and samples of S = 50 individuals from each of n = 4 subpopulations, power to detect departures from panmixia was very high (?100%; P &lt; 0.001) even with high gene flow (Nm = 25). A new method, comparing the number of correct population assignments with the random expectation, performed as well as a multilocus contingency test and warrants further consideration. Use of Low mutation (allozyme-like) markers reduced power more than did halving S or L. Under the standard parameter set, power to detect restricted gene flow below a certain level X (H0: Nm &lt; X) can also be high, provided that true Nm ≤ 0.5X. Developing the appropriate test criterion, however, requires assumptions about several key parameters that are difficult to estimate in most natural populations. Methods that cluster individuals without using a priori sampling information detected the true number of populations only under conditions of moderate or low gene flow (Nm ≤ 5), and power dropped sharply with smaller samples of loci and individuals. A simple algorithm based on a multilocus contingency test of allele frequencies in pairs of samples has high power to detect the true number of populations even with Nm = 25 but requires more rigorous statistical evaluation. The ecological paradigm remains challenging for evaluations using genetic markers, because the transition from demographic dependence to independence occurs in a region of high migration where genetic methods have relatively little power. Some recent theoretical developments and continued advances in computational power provide hope that this situation may change in the future.","author":[{"dropping-particle":"","family":"Waples","given":"Robin S","non-dropping-particle":"","parse-names":false,"suffix":""},{"dropping-particle":"","family":"Gaggiotti","given":"Oscar","non-dropping-particle":"","parse-names":false,"suffix":""}],"container-title":"Molecular Ecology","id":"ITEM-1","issue":"6","issued":{"date-parts":[["2006","5","1"]]},"note":"https://doi.org/10.1111/j.1365-294X.2006.02890.x","page":"1419-1439","publisher":"John Wiley &amp; Sons, Ltd","title":"INVITED REVIEW: What is a population? An empirical evaluation of some genetic methods for identifying the number of gene pools and their degree of connectivity","type":"article-journal","volume":"15"},"uris":["http://www.mendeley.com/documents/?uuid=777e3f06-503d-42a8-8f76-9ef3c0a766dc"]}],"mendeley":{"formattedCitation":"(Waples &amp; Gaggiotti, 2006)","plainTextFormattedCitation":"(Waples &amp; Gaggiotti, 2006)","previouslyFormattedCitation":"(Waples &amp; Gaggiotti, 2006)"},"properties":{"noteIndex":0},"schema":"https://github.com/citation-style-language/schema/raw/master/csl-citation.json"}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(Waples &amp; Gaggiotti, 2006)</w:t>
      </w:r>
      <w:r w:rsidR="00A564E5">
        <w:rPr>
          <w:rFonts w:ascii="Arial" w:hAnsi="Arial" w:cs="Arial"/>
          <w:sz w:val="22"/>
          <w:szCs w:val="22"/>
        </w:rPr>
        <w:fldChar w:fldCharType="end"/>
      </w:r>
      <w:r w:rsidR="00A564E5">
        <w:rPr>
          <w:rFonts w:ascii="Arial" w:hAnsi="Arial" w:cs="Arial"/>
          <w:sz w:val="22"/>
          <w:szCs w:val="22"/>
        </w:rPr>
        <w:t xml:space="preserve">, we also looked at </w:t>
      </w:r>
      <w:r w:rsidR="001E52AD">
        <w:rPr>
          <w:rFonts w:ascii="Arial" w:hAnsi="Arial" w:cs="Arial"/>
          <w:sz w:val="22"/>
          <w:szCs w:val="22"/>
        </w:rPr>
        <w:t>patterns of clustering in general across a range of k values.</w:t>
      </w:r>
    </w:p>
    <w:p w14:paraId="16F780A6" w14:textId="77777777" w:rsidR="001A0EC8" w:rsidRDefault="001A0EC8" w:rsidP="001A0EC8">
      <w:pPr>
        <w:spacing w:line="480" w:lineRule="auto"/>
        <w:ind w:firstLine="720"/>
        <w:jc w:val="both"/>
        <w:rPr>
          <w:rFonts w:ascii="Arial" w:hAnsi="Arial" w:cs="Arial"/>
          <w:sz w:val="22"/>
          <w:szCs w:val="22"/>
        </w:rPr>
      </w:pPr>
    </w:p>
    <w:p w14:paraId="1470ACF0" w14:textId="15243AD9" w:rsidR="0049017D" w:rsidRDefault="00E568B5" w:rsidP="001A0EC8">
      <w:pPr>
        <w:spacing w:line="480" w:lineRule="auto"/>
        <w:jc w:val="center"/>
        <w:rPr>
          <w:rFonts w:ascii="Arial" w:hAnsi="Arial" w:cs="Arial"/>
          <w:i/>
          <w:iCs/>
          <w:sz w:val="22"/>
          <w:szCs w:val="22"/>
        </w:rPr>
      </w:pPr>
      <w:r>
        <w:rPr>
          <w:rFonts w:ascii="Arial" w:hAnsi="Arial" w:cs="Arial"/>
          <w:i/>
          <w:iCs/>
          <w:sz w:val="22"/>
          <w:szCs w:val="22"/>
        </w:rPr>
        <w:t>Serial expansion</w:t>
      </w:r>
    </w:p>
    <w:p w14:paraId="29F24A76" w14:textId="77777777" w:rsidR="00AF1698" w:rsidRPr="001A0EC8" w:rsidRDefault="00AF1698" w:rsidP="001A0EC8">
      <w:pPr>
        <w:spacing w:line="480" w:lineRule="auto"/>
        <w:jc w:val="center"/>
        <w:rPr>
          <w:rFonts w:ascii="Arial" w:hAnsi="Arial" w:cs="Arial"/>
          <w:i/>
          <w:iCs/>
          <w:sz w:val="22"/>
          <w:szCs w:val="22"/>
        </w:rPr>
      </w:pPr>
    </w:p>
    <w:p w14:paraId="59718437" w14:textId="7FADAD7C"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quantify the direction and strength of population spread across the Pacific, we calculated </w:t>
      </w:r>
      <w:r w:rsidRPr="00010CA2">
        <w:rPr>
          <w:rFonts w:ascii="Arial" w:hAnsi="Arial" w:cs="Arial"/>
          <w:bCs/>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(Hemstrom </w:t>
      </w:r>
      <w:r w:rsidR="00380F5C">
        <w:rPr>
          <w:rFonts w:ascii="Arial" w:hAnsi="Arial" w:cs="Arial"/>
          <w:sz w:val="22"/>
          <w:szCs w:val="22"/>
        </w:rPr>
        <w:t>and Jones 2021</w:t>
      </w:r>
      <w:r w:rsidRPr="001A0367">
        <w:rPr>
          <w:rFonts w:ascii="Arial" w:hAnsi="Arial" w:cs="Arial"/>
          <w:sz w:val="22"/>
          <w:szCs w:val="22"/>
        </w:rPr>
        <w:t xml:space="preserve">). </w:t>
      </w:r>
    </w:p>
    <w:p w14:paraId="7B8E7E2C" w14:textId="4B0D7F16" w:rsidR="001A0EC8" w:rsidRDefault="001A0EC8" w:rsidP="001A0EC8">
      <w:pPr>
        <w:spacing w:line="480" w:lineRule="auto"/>
        <w:jc w:val="both"/>
        <w:rPr>
          <w:rFonts w:ascii="Arial" w:hAnsi="Arial" w:cs="Arial"/>
          <w:sz w:val="22"/>
          <w:szCs w:val="22"/>
        </w:rPr>
      </w:pPr>
    </w:p>
    <w:p w14:paraId="27F2316E" w14:textId="686BB1BC" w:rsidR="001A0EC8" w:rsidRDefault="001A0EC8" w:rsidP="001A0EC8">
      <w:pPr>
        <w:spacing w:line="480" w:lineRule="auto"/>
        <w:jc w:val="center"/>
        <w:rPr>
          <w:rFonts w:ascii="Arial" w:hAnsi="Arial" w:cs="Arial"/>
          <w:i/>
          <w:iCs/>
          <w:sz w:val="22"/>
          <w:szCs w:val="22"/>
        </w:rPr>
      </w:pPr>
      <w:r>
        <w:rPr>
          <w:rFonts w:ascii="Arial" w:hAnsi="Arial" w:cs="Arial"/>
          <w:i/>
          <w:iCs/>
          <w:sz w:val="22"/>
          <w:szCs w:val="22"/>
        </w:rPr>
        <w:t>Genetic variation across space in migratory vs. non-migratory populations</w:t>
      </w:r>
    </w:p>
    <w:p w14:paraId="068E5DDB" w14:textId="77777777" w:rsidR="00AF1698" w:rsidRDefault="00AF1698" w:rsidP="001A0EC8">
      <w:pPr>
        <w:spacing w:line="480" w:lineRule="auto"/>
        <w:jc w:val="center"/>
        <w:rPr>
          <w:rFonts w:ascii="Arial" w:hAnsi="Arial" w:cs="Arial"/>
          <w:i/>
          <w:iCs/>
          <w:sz w:val="22"/>
          <w:szCs w:val="22"/>
        </w:rPr>
      </w:pPr>
    </w:p>
    <w:p w14:paraId="78F5B786" w14:textId="170AB2A9" w:rsidR="001A0EC8" w:rsidRPr="001A0EC8" w:rsidRDefault="001A0EC8" w:rsidP="001A0EC8">
      <w:pPr>
        <w:spacing w:line="480" w:lineRule="auto"/>
        <w:ind w:firstLine="720"/>
        <w:jc w:val="both"/>
        <w:rPr>
          <w:rFonts w:ascii="Arial" w:hAnsi="Arial" w:cs="Arial"/>
          <w:sz w:val="22"/>
          <w:szCs w:val="22"/>
        </w:rPr>
      </w:pPr>
      <w:r>
        <w:rPr>
          <w:rFonts w:ascii="Arial" w:hAnsi="Arial" w:cs="Arial"/>
          <w:sz w:val="22"/>
          <w:szCs w:val="22"/>
        </w:rPr>
        <w:lastRenderedPageBreak/>
        <w:t xml:space="preserve">We </w:t>
      </w:r>
      <w:r w:rsidRPr="001A0367">
        <w:rPr>
          <w:rFonts w:ascii="Arial" w:hAnsi="Arial" w:cs="Arial"/>
          <w:sz w:val="22"/>
          <w:szCs w:val="22"/>
        </w:rPr>
        <w:t>looked for evidence of isolation by distance (IBD) between samples from the Mariana Islands</w:t>
      </w:r>
      <w:r>
        <w:rPr>
          <w:rFonts w:ascii="Arial" w:hAnsi="Arial" w:cs="Arial"/>
          <w:sz w:val="22"/>
          <w:szCs w:val="22"/>
        </w:rPr>
        <w:t xml:space="preserve"> (non-migratory)</w:t>
      </w:r>
      <w:r w:rsidRPr="001A0367">
        <w:rPr>
          <w:rFonts w:ascii="Arial" w:hAnsi="Arial" w:cs="Arial"/>
          <w:sz w:val="22"/>
          <w:szCs w:val="22"/>
        </w:rPr>
        <w:t>, Hawaii</w:t>
      </w:r>
      <w:r>
        <w:rPr>
          <w:rFonts w:ascii="Arial" w:hAnsi="Arial" w:cs="Arial"/>
          <w:sz w:val="22"/>
          <w:szCs w:val="22"/>
        </w:rPr>
        <w:t xml:space="preserve"> (non-migratory), </w:t>
      </w:r>
      <w:r w:rsidRPr="001A0367">
        <w:rPr>
          <w:rFonts w:ascii="Arial" w:hAnsi="Arial" w:cs="Arial"/>
          <w:sz w:val="22"/>
          <w:szCs w:val="22"/>
        </w:rPr>
        <w:t>Australia</w:t>
      </w:r>
      <w:r>
        <w:rPr>
          <w:rFonts w:ascii="Arial" w:hAnsi="Arial" w:cs="Arial"/>
          <w:sz w:val="22"/>
          <w:szCs w:val="22"/>
        </w:rPr>
        <w:t xml:space="preserve"> (partially migratory), and </w:t>
      </w:r>
      <w:r w:rsidRPr="001A0367">
        <w:rPr>
          <w:rFonts w:ascii="Arial" w:hAnsi="Arial" w:cs="Arial"/>
          <w:sz w:val="22"/>
          <w:szCs w:val="22"/>
        </w:rPr>
        <w:t>North America</w:t>
      </w:r>
      <w:r>
        <w:rPr>
          <w:rFonts w:ascii="Arial" w:hAnsi="Arial" w:cs="Arial"/>
          <w:sz w:val="22"/>
          <w:szCs w:val="22"/>
        </w:rPr>
        <w:t xml:space="preserve"> (migratory)</w:t>
      </w:r>
      <w:r w:rsidRPr="001A0367">
        <w:rPr>
          <w:rFonts w:ascii="Arial" w:hAnsi="Arial" w:cs="Arial"/>
          <w:sz w:val="22"/>
          <w:szCs w:val="22"/>
        </w:rPr>
        <w:t xml:space="preserve">. </w:t>
      </w:r>
      <w:r>
        <w:rPr>
          <w:rFonts w:ascii="Arial" w:hAnsi="Arial" w:cs="Arial"/>
          <w:sz w:val="22"/>
          <w:szCs w:val="22"/>
        </w:rPr>
        <w:t xml:space="preserve">To do so, we </w:t>
      </w:r>
      <w:r w:rsidRPr="001A0367">
        <w:rPr>
          <w:rFonts w:ascii="Arial" w:hAnsi="Arial" w:cs="Arial"/>
          <w:sz w:val="22"/>
          <w:szCs w:val="22"/>
        </w:rPr>
        <w:t>calculated Edwards’ angular genetic distance (Edwards 1971) between each pair of samples from the given populations</w:t>
      </w:r>
      <w:r>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 (Mantel 1967).</w:t>
      </w:r>
      <w:r>
        <w:rPr>
          <w:rFonts w:ascii="Arial" w:hAnsi="Arial" w:cs="Arial"/>
          <w:sz w:val="22"/>
          <w:szCs w:val="22"/>
        </w:rPr>
        <w:t xml:space="preserve"> Here, we expect for stronger patterns of IBD within locations where monarchs have ceased seasonal migration. As with F</w:t>
      </w:r>
      <w:r>
        <w:rPr>
          <w:rFonts w:ascii="Arial" w:hAnsi="Arial" w:cs="Arial"/>
          <w:sz w:val="22"/>
          <w:szCs w:val="22"/>
          <w:vertAlign w:val="subscript"/>
        </w:rPr>
        <w:t>ST</w:t>
      </w:r>
      <w:r>
        <w:rPr>
          <w:rFonts w:ascii="Arial" w:hAnsi="Arial" w:cs="Arial"/>
          <w:sz w:val="22"/>
          <w:szCs w:val="22"/>
        </w:rPr>
        <w:t>, we used dataset 2 with an additional minor allele frequency</w:t>
      </w:r>
      <w:r w:rsidR="00AF1698">
        <w:rPr>
          <w:rFonts w:ascii="Arial" w:hAnsi="Arial" w:cs="Arial"/>
          <w:sz w:val="22"/>
          <w:szCs w:val="22"/>
        </w:rPr>
        <w:t xml:space="preserve"> cutoff</w:t>
      </w:r>
      <w:r>
        <w:rPr>
          <w:rFonts w:ascii="Arial" w:hAnsi="Arial" w:cs="Arial"/>
          <w:sz w:val="22"/>
          <w:szCs w:val="22"/>
        </w:rPr>
        <w:t xml:space="preserve"> of 0.05.</w:t>
      </w:r>
    </w:p>
    <w:p w14:paraId="07DD3CF3" w14:textId="77777777" w:rsidR="0049017D" w:rsidRPr="001A0367" w:rsidRDefault="0049017D" w:rsidP="0049017D">
      <w:pPr>
        <w:spacing w:line="480" w:lineRule="auto"/>
        <w:ind w:firstLine="720"/>
        <w:jc w:val="both"/>
        <w:rPr>
          <w:rFonts w:ascii="Arial" w:hAnsi="Arial" w:cs="Arial"/>
          <w:sz w:val="22"/>
          <w:szCs w:val="22"/>
        </w:rPr>
      </w:pPr>
    </w:p>
    <w:p w14:paraId="17FC8727"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Demographic history of the monarch’s expansion</w:t>
      </w:r>
    </w:p>
    <w:p w14:paraId="4DD9A93A" w14:textId="77777777" w:rsidR="00355224" w:rsidRPr="001A0367" w:rsidRDefault="00355224" w:rsidP="009F0367">
      <w:pPr>
        <w:spacing w:line="480" w:lineRule="auto"/>
        <w:ind w:firstLine="720"/>
        <w:rPr>
          <w:rFonts w:ascii="Arial" w:hAnsi="Arial" w:cs="Arial"/>
          <w:sz w:val="22"/>
          <w:szCs w:val="22"/>
        </w:rPr>
      </w:pPr>
    </w:p>
    <w:p w14:paraId="323DE98B" w14:textId="2BA90F9D"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describe the patterns of establishment and migration between North America and the Pacific, the demographic reconstruction program </w:t>
      </w:r>
      <w:proofErr w:type="spellStart"/>
      <w:r w:rsidR="000E1B16" w:rsidRPr="0003273D">
        <w:rPr>
          <w:rFonts w:ascii="Arial" w:hAnsi="Arial" w:cs="Arial"/>
          <w:b/>
          <w:bCs/>
          <w:sz w:val="22"/>
          <w:szCs w:val="22"/>
          <w:vertAlign w:val="subscript"/>
        </w:rPr>
        <w:t>δaδi</w:t>
      </w:r>
      <w:proofErr w:type="spellEnd"/>
      <w:r w:rsidR="00F72147" w:rsidRPr="001A0367">
        <w:rPr>
          <w:rFonts w:ascii="Arial" w:hAnsi="Arial" w:cs="Arial"/>
          <w:sz w:val="22"/>
          <w:szCs w:val="22"/>
        </w:rPr>
        <w:t xml:space="preserve"> (</w:t>
      </w:r>
      <w:r w:rsidR="000E1B16">
        <w:rPr>
          <w:rFonts w:ascii="Arial" w:hAnsi="Arial" w:cs="Arial"/>
          <w:sz w:val="22"/>
          <w:szCs w:val="22"/>
        </w:rPr>
        <w:t xml:space="preserve">hereafter </w:t>
      </w:r>
      <w:r w:rsidR="000E1B16" w:rsidRPr="00FF43D3">
        <w:rPr>
          <w:rFonts w:ascii="Arial" w:hAnsi="Arial" w:cs="Arial"/>
          <w:b/>
          <w:bCs/>
          <w:sz w:val="22"/>
          <w:szCs w:val="22"/>
          <w:vertAlign w:val="subscript"/>
        </w:rPr>
        <w:t>dadi</w:t>
      </w:r>
      <w:r w:rsidR="000E1B16">
        <w:rPr>
          <w:rFonts w:ascii="Arial" w:hAnsi="Arial" w:cs="Arial"/>
          <w:sz w:val="22"/>
          <w:szCs w:val="22"/>
        </w:rPr>
        <w:t xml:space="preserve">,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w:t>
      </w:r>
      <w:r w:rsidRPr="0013530C">
        <w:rPr>
          <w:rFonts w:ascii="Arial" w:hAnsi="Arial" w:cs="Arial"/>
          <w:sz w:val="22"/>
          <w:szCs w:val="22"/>
        </w:rPr>
        <w:t>.</w:t>
      </w:r>
      <w:r w:rsidR="00546852" w:rsidRPr="0013530C">
        <w:rPr>
          <w:rFonts w:ascii="Arial" w:hAnsi="Arial" w:cs="Arial"/>
          <w:sz w:val="22"/>
          <w:szCs w:val="22"/>
        </w:rPr>
        <w:t xml:space="preserve"> </w:t>
      </w:r>
      <w:r w:rsidR="000E1B16" w:rsidRPr="000E1B16">
        <w:rPr>
          <w:rFonts w:ascii="Arial" w:hAnsi="Arial" w:cs="Arial"/>
          <w:sz w:val="22"/>
          <w:szCs w:val="22"/>
        </w:rPr>
        <w:t>Briefly,</w:t>
      </w:r>
      <w:r w:rsidR="000E1B16">
        <w:rPr>
          <w:rFonts w:ascii="Arial" w:hAnsi="Arial" w:cs="Arial"/>
          <w:sz w:val="22"/>
          <w:szCs w:val="22"/>
        </w:rPr>
        <w:t xml:space="preserve"> </w:t>
      </w:r>
      <w:r w:rsidR="00DC27E7">
        <w:rPr>
          <w:rFonts w:ascii="Arial" w:hAnsi="Arial" w:cs="Arial"/>
          <w:sz w:val="22"/>
          <w:szCs w:val="22"/>
        </w:rPr>
        <w:t>s</w:t>
      </w:r>
      <w:r w:rsidR="00DC27E7" w:rsidRPr="000E1B16">
        <w:rPr>
          <w:rFonts w:ascii="Arial" w:hAnsi="Arial" w:cs="Arial"/>
          <w:sz w:val="22"/>
          <w:szCs w:val="22"/>
        </w:rPr>
        <w:t>ince demographic processes influence the frequency of common or rare alleles across loci,</w:t>
      </w:r>
      <w:r w:rsidR="00DC27E7">
        <w:rPr>
          <w:rFonts w:ascii="Arial" w:hAnsi="Arial" w:cs="Arial"/>
          <w:sz w:val="22"/>
          <w:szCs w:val="22"/>
        </w:rPr>
        <w:t xml:space="preserve"> and </w:t>
      </w:r>
      <w:r w:rsidR="00AF1698">
        <w:rPr>
          <w:rFonts w:ascii="Arial" w:hAnsi="Arial" w:cs="Arial"/>
          <w:sz w:val="22"/>
          <w:szCs w:val="22"/>
        </w:rPr>
        <w:t>the</w:t>
      </w:r>
      <w:r w:rsidR="00DC27E7">
        <w:rPr>
          <w:rFonts w:ascii="Arial" w:hAnsi="Arial" w:cs="Arial"/>
          <w:sz w:val="22"/>
          <w:szCs w:val="22"/>
        </w:rPr>
        <w:t xml:space="preserve"> SFS </w:t>
      </w:r>
      <w:r w:rsidR="00DC27E7" w:rsidRPr="000E1B16">
        <w:rPr>
          <w:rFonts w:ascii="Arial" w:hAnsi="Arial" w:cs="Arial"/>
          <w:sz w:val="22"/>
          <w:szCs w:val="22"/>
        </w:rPr>
        <w:t xml:space="preserve">describes how many individual loci fall into each possible allele </w:t>
      </w:r>
      <w:r w:rsidR="00DC27E7">
        <w:rPr>
          <w:rFonts w:ascii="Arial" w:hAnsi="Arial" w:cs="Arial"/>
          <w:sz w:val="22"/>
          <w:szCs w:val="22"/>
        </w:rPr>
        <w:t>rarity</w:t>
      </w:r>
      <w:r w:rsidR="00DC27E7" w:rsidRPr="000E1B16">
        <w:rPr>
          <w:rFonts w:ascii="Arial" w:hAnsi="Arial" w:cs="Arial"/>
          <w:sz w:val="22"/>
          <w:szCs w:val="22"/>
        </w:rPr>
        <w:t xml:space="preserve"> in each population</w:t>
      </w:r>
      <w:r w:rsidR="00DC27E7">
        <w:rPr>
          <w:rFonts w:ascii="Arial" w:hAnsi="Arial" w:cs="Arial"/>
          <w:sz w:val="22"/>
          <w:szCs w:val="22"/>
        </w:rPr>
        <w:t>,</w:t>
      </w:r>
      <w:r w:rsidR="00DC27E7" w:rsidRPr="000E1B16">
        <w:rPr>
          <w:rFonts w:ascii="Arial" w:hAnsi="Arial" w:cs="Arial"/>
          <w:sz w:val="22"/>
          <w:szCs w:val="22"/>
        </w:rPr>
        <w:t xml:space="preserve"> </w:t>
      </w:r>
      <w:r w:rsidR="00AF1698">
        <w:rPr>
          <w:rFonts w:ascii="Arial" w:hAnsi="Arial" w:cs="Arial"/>
          <w:sz w:val="22"/>
          <w:szCs w:val="22"/>
        </w:rPr>
        <w:t>the</w:t>
      </w:r>
      <w:r w:rsidR="00DC27E7" w:rsidRPr="000E1B16">
        <w:rPr>
          <w:rFonts w:ascii="Arial" w:hAnsi="Arial" w:cs="Arial"/>
          <w:sz w:val="22"/>
          <w:szCs w:val="22"/>
        </w:rPr>
        <w:t xml:space="preserve"> SFS can be used to infer historic population processes.</w:t>
      </w:r>
      <w:r w:rsidR="00DC27E7">
        <w:rPr>
          <w:rFonts w:ascii="Arial" w:hAnsi="Arial" w:cs="Arial"/>
          <w:sz w:val="22"/>
          <w:szCs w:val="22"/>
        </w:rPr>
        <w:t xml:space="preserve"> </w:t>
      </w:r>
      <w:r w:rsidR="000E1B16" w:rsidRPr="00FF43D3">
        <w:rPr>
          <w:rFonts w:ascii="Arial" w:hAnsi="Arial" w:cs="Arial"/>
          <w:b/>
          <w:bCs/>
          <w:sz w:val="22"/>
          <w:szCs w:val="22"/>
          <w:vertAlign w:val="subscript"/>
        </w:rPr>
        <w:t>dadi</w:t>
      </w:r>
      <w:r w:rsidR="00DC27E7">
        <w:rPr>
          <w:rFonts w:ascii="Arial" w:hAnsi="Arial" w:cs="Arial"/>
          <w:sz w:val="22"/>
          <w:szCs w:val="22"/>
        </w:rPr>
        <w:t xml:space="preserve"> therefore</w:t>
      </w:r>
      <w:r w:rsidR="000E1B16">
        <w:rPr>
          <w:rFonts w:ascii="Arial" w:hAnsi="Arial" w:cs="Arial"/>
          <w:sz w:val="22"/>
          <w:szCs w:val="22"/>
        </w:rPr>
        <w:t xml:space="preserve"> uses simulation to compare the SFS predicted under a specific demographic history to the SFS observed from the data in order to evaluate the likelihood of a demographic model and </w:t>
      </w:r>
      <w:r w:rsidR="0063026C">
        <w:rPr>
          <w:rFonts w:ascii="Arial" w:hAnsi="Arial" w:cs="Arial"/>
          <w:sz w:val="22"/>
          <w:szCs w:val="22"/>
        </w:rPr>
        <w:t xml:space="preserve">to </w:t>
      </w:r>
      <w:r w:rsidR="000E1B16">
        <w:rPr>
          <w:rFonts w:ascii="Arial" w:hAnsi="Arial" w:cs="Arial"/>
          <w:sz w:val="22"/>
          <w:szCs w:val="22"/>
        </w:rPr>
        <w:t xml:space="preserve">optimize the parameters of that model. </w:t>
      </w:r>
      <w:r w:rsidR="00546852" w:rsidRPr="0013530C">
        <w:rPr>
          <w:rFonts w:ascii="Arial" w:hAnsi="Arial" w:cs="Arial"/>
          <w:sz w:val="22"/>
          <w:szCs w:val="22"/>
        </w:rPr>
        <w:t xml:space="preserve">We chose to focus on Hawaii since prior work has suggested that </w:t>
      </w:r>
      <w:r w:rsidR="00E3626E">
        <w:rPr>
          <w:rFonts w:ascii="Arial" w:hAnsi="Arial" w:cs="Arial"/>
          <w:sz w:val="22"/>
          <w:szCs w:val="22"/>
        </w:rPr>
        <w:t>this</w:t>
      </w:r>
      <w:r w:rsidR="00546852" w:rsidRPr="0013530C">
        <w:rPr>
          <w:rFonts w:ascii="Arial" w:hAnsi="Arial" w:cs="Arial"/>
          <w:sz w:val="22"/>
          <w:szCs w:val="22"/>
        </w:rPr>
        <w:t xml:space="preserve"> island </w:t>
      </w:r>
      <w:r w:rsidR="00E3626E">
        <w:rPr>
          <w:rFonts w:ascii="Arial" w:hAnsi="Arial" w:cs="Arial"/>
          <w:sz w:val="22"/>
          <w:szCs w:val="22"/>
        </w:rPr>
        <w:t>group</w:t>
      </w:r>
      <w:r w:rsidR="00546852" w:rsidRPr="0013530C">
        <w:rPr>
          <w:rFonts w:ascii="Arial" w:hAnsi="Arial" w:cs="Arial"/>
          <w:sz w:val="22"/>
          <w:szCs w:val="22"/>
        </w:rPr>
        <w:t xml:space="preserve"> was likely the first in the Pacific colonized by monarchs (</w:t>
      </w:r>
      <w:r w:rsidR="00E3626E">
        <w:rPr>
          <w:rFonts w:ascii="Arial" w:hAnsi="Arial" w:cs="Arial"/>
          <w:sz w:val="22"/>
          <w:szCs w:val="22"/>
        </w:rPr>
        <w:t xml:space="preserve">Zalucki and Clarke 2004, </w:t>
      </w:r>
      <w:r w:rsidR="00546852" w:rsidRPr="0013530C">
        <w:rPr>
          <w:rFonts w:ascii="Arial" w:hAnsi="Arial" w:cs="Arial"/>
          <w:sz w:val="22"/>
          <w:szCs w:val="22"/>
        </w:rPr>
        <w:t xml:space="preserve">Zhan et al. 2014), and thus the timing of the monarch introduction there represents the </w:t>
      </w:r>
      <w:r w:rsidR="001E52AD">
        <w:rPr>
          <w:rFonts w:ascii="Arial" w:hAnsi="Arial" w:cs="Arial"/>
          <w:sz w:val="22"/>
          <w:szCs w:val="22"/>
        </w:rPr>
        <w:t>earliest possible</w:t>
      </w:r>
      <w:r w:rsidR="00546852" w:rsidRPr="0013530C">
        <w:rPr>
          <w:rFonts w:ascii="Arial" w:hAnsi="Arial" w:cs="Arial"/>
          <w:sz w:val="22"/>
          <w:szCs w:val="22"/>
        </w:rPr>
        <w:t xml:space="preserve"> time for any introductions in the Pacific.</w:t>
      </w:r>
      <w:r w:rsidR="000E1B16">
        <w:rPr>
          <w:rFonts w:ascii="Arial" w:hAnsi="Arial" w:cs="Arial"/>
          <w:sz w:val="22"/>
          <w:szCs w:val="22"/>
        </w:rPr>
        <w:t xml:space="preserve"> </w:t>
      </w:r>
      <w:r w:rsidR="007B3A8C">
        <w:rPr>
          <w:rFonts w:ascii="Arial" w:hAnsi="Arial" w:cs="Arial"/>
          <w:sz w:val="22"/>
          <w:szCs w:val="22"/>
        </w:rPr>
        <w:t xml:space="preserve">The general approach that we describe here is similar to that described in Zhan et al. (2014), but with a few key differences: (1) Zhan et al. (2014) pooled samples from six distinct Pacific populations for their analysis, while we only focused on the Hawaiian population; (2) </w:t>
      </w:r>
      <w:r w:rsidR="004661B1">
        <w:rPr>
          <w:rFonts w:ascii="Arial" w:hAnsi="Arial" w:cs="Arial"/>
          <w:sz w:val="22"/>
          <w:szCs w:val="22"/>
        </w:rPr>
        <w:t xml:space="preserve">the parameter values reported in Zhan et al. (2014) represent a single </w:t>
      </w:r>
      <w:r w:rsidR="004661B1">
        <w:rPr>
          <w:rFonts w:ascii="Arial" w:hAnsi="Arial" w:cs="Arial"/>
          <w:sz w:val="22"/>
          <w:szCs w:val="22"/>
        </w:rPr>
        <w:lastRenderedPageBreak/>
        <w:t>instance of one focal demographic scenario, whereas our analyses considered a large set of candidate demographic scenarios and report results from multiple iterations of each scenario.</w:t>
      </w:r>
    </w:p>
    <w:p w14:paraId="0FC8D4B4" w14:textId="77777777" w:rsidR="004661B1" w:rsidRDefault="004661B1" w:rsidP="009F0367">
      <w:pPr>
        <w:spacing w:line="480" w:lineRule="auto"/>
        <w:ind w:firstLine="720"/>
        <w:jc w:val="both"/>
        <w:rPr>
          <w:rFonts w:ascii="Arial" w:hAnsi="Arial" w:cs="Arial"/>
          <w:sz w:val="22"/>
          <w:szCs w:val="22"/>
        </w:rPr>
      </w:pPr>
    </w:p>
    <w:p w14:paraId="761A77EB" w14:textId="7CE28D38" w:rsidR="00AF0893" w:rsidRDefault="00AF0893" w:rsidP="00AF0893">
      <w:pPr>
        <w:spacing w:line="480" w:lineRule="auto"/>
        <w:jc w:val="center"/>
        <w:rPr>
          <w:rFonts w:ascii="Arial" w:hAnsi="Arial" w:cs="Arial"/>
          <w:i/>
          <w:iCs/>
          <w:sz w:val="22"/>
          <w:szCs w:val="22"/>
        </w:rPr>
      </w:pPr>
      <w:r w:rsidRPr="00FF43D3">
        <w:rPr>
          <w:rFonts w:ascii="Arial" w:hAnsi="Arial" w:cs="Arial"/>
          <w:b/>
          <w:bCs/>
          <w:i/>
          <w:iCs/>
          <w:sz w:val="22"/>
          <w:szCs w:val="22"/>
          <w:vertAlign w:val="subscript"/>
        </w:rPr>
        <w:t>dadi</w:t>
      </w:r>
      <w:r>
        <w:rPr>
          <w:rFonts w:ascii="Arial" w:hAnsi="Arial" w:cs="Arial"/>
          <w:i/>
          <w:iCs/>
          <w:sz w:val="22"/>
          <w:szCs w:val="22"/>
        </w:rPr>
        <w:t xml:space="preserve"> model selection</w:t>
      </w:r>
    </w:p>
    <w:p w14:paraId="1A508B1E" w14:textId="77777777" w:rsidR="0003273D" w:rsidRPr="00AF0893" w:rsidRDefault="0003273D" w:rsidP="00AF0893">
      <w:pPr>
        <w:spacing w:line="480" w:lineRule="auto"/>
        <w:jc w:val="center"/>
        <w:rPr>
          <w:rFonts w:ascii="Arial" w:hAnsi="Arial" w:cs="Arial"/>
          <w:i/>
          <w:iCs/>
          <w:sz w:val="22"/>
          <w:szCs w:val="22"/>
        </w:rPr>
      </w:pPr>
    </w:p>
    <w:p w14:paraId="435ED337" w14:textId="71145693" w:rsidR="00BE6BC8" w:rsidRPr="001A0367" w:rsidRDefault="003F0723" w:rsidP="009F0367">
      <w:pPr>
        <w:spacing w:line="480"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the</w:t>
      </w:r>
      <w:r w:rsidR="001F2D34">
        <w:rPr>
          <w:rFonts w:ascii="Arial" w:hAnsi="Arial" w:cs="Arial"/>
          <w:sz w:val="22"/>
          <w:szCs w:val="22"/>
        </w:rPr>
        <w:t xml:space="preserve"> models in the</w:t>
      </w:r>
      <w:r w:rsidRPr="001A0367">
        <w:rPr>
          <w:rFonts w:ascii="Arial" w:hAnsi="Arial" w:cs="Arial"/>
          <w:sz w:val="22"/>
          <w:szCs w:val="22"/>
        </w:rPr>
        <w:t xml:space="preserv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w:t>
      </w:r>
      <w:r w:rsidR="001F2D34">
        <w:rPr>
          <w:rFonts w:ascii="Arial" w:hAnsi="Arial" w:cs="Arial"/>
          <w:sz w:val="22"/>
          <w:szCs w:val="22"/>
        </w:rPr>
        <w:t xml:space="preserve"> two</w:t>
      </w:r>
      <w:r w:rsidR="00DF611A" w:rsidRPr="001A0367">
        <w:rPr>
          <w:rFonts w:ascii="Arial" w:hAnsi="Arial" w:cs="Arial"/>
          <w:sz w:val="22"/>
          <w:szCs w:val="22"/>
        </w:rPr>
        <w:t xml:space="preserve"> model</w:t>
      </w:r>
      <w:r w:rsidR="001F2D34">
        <w:rPr>
          <w:rFonts w:ascii="Arial" w:hAnsi="Arial" w:cs="Arial"/>
          <w:sz w:val="22"/>
          <w:szCs w:val="22"/>
        </w:rPr>
        <w:t xml:space="preserve">s, as well as the two </w:t>
      </w:r>
      <w:proofErr w:type="spellStart"/>
      <w:r w:rsidR="001F2D34">
        <w:rPr>
          <w:rFonts w:ascii="Arial" w:hAnsi="Arial" w:cs="Arial"/>
          <w:sz w:val="22"/>
          <w:szCs w:val="22"/>
        </w:rPr>
        <w:t>dadi_pipeline</w:t>
      </w:r>
      <w:proofErr w:type="spellEnd"/>
      <w:r w:rsidR="001F2D34">
        <w:rPr>
          <w:rFonts w:ascii="Arial" w:hAnsi="Arial" w:cs="Arial"/>
          <w:sz w:val="22"/>
          <w:szCs w:val="22"/>
        </w:rPr>
        <w:t xml:space="preserve"> models which performed well, are</w:t>
      </w:r>
      <w:r w:rsidR="00DF611A" w:rsidRPr="001A0367">
        <w:rPr>
          <w:rFonts w:ascii="Arial" w:hAnsi="Arial" w:cs="Arial"/>
          <w:sz w:val="22"/>
          <w:szCs w:val="22"/>
        </w:rPr>
        <w:t xml:space="preserve"> shown </w:t>
      </w:r>
      <w:r w:rsidR="00BE118A">
        <w:rPr>
          <w:rFonts w:ascii="Arial" w:hAnsi="Arial" w:cs="Arial"/>
          <w:sz w:val="22"/>
          <w:szCs w:val="22"/>
        </w:rPr>
        <w:t>schematically</w:t>
      </w:r>
      <w:r w:rsidR="00DF611A" w:rsidRPr="001A0367">
        <w:rPr>
          <w:rFonts w:ascii="Arial" w:hAnsi="Arial" w:cs="Arial"/>
          <w:sz w:val="22"/>
          <w:szCs w:val="22"/>
        </w:rPr>
        <w:t xml:space="preserve"> in </w:t>
      </w:r>
      <w:r w:rsidR="00DF611A" w:rsidRPr="001A0367">
        <w:rPr>
          <w:rFonts w:ascii="Arial" w:hAnsi="Arial" w:cs="Arial"/>
          <w:sz w:val="22"/>
          <w:szCs w:val="22"/>
          <w:highlight w:val="white"/>
        </w:rPr>
        <w:t xml:space="preserve">Figure </w:t>
      </w:r>
      <w:r w:rsidR="00537D61">
        <w:rPr>
          <w:rFonts w:ascii="Arial" w:hAnsi="Arial" w:cs="Arial"/>
          <w:sz w:val="22"/>
          <w:szCs w:val="22"/>
          <w:highlight w:val="white"/>
        </w:rPr>
        <w:t>1</w:t>
      </w:r>
      <w:r w:rsidR="00DF611A" w:rsidRPr="001A0367">
        <w:rPr>
          <w:rFonts w:ascii="Arial" w:hAnsi="Arial" w:cs="Arial"/>
          <w:sz w:val="22"/>
          <w:szCs w:val="22"/>
          <w:highlight w:val="white"/>
        </w:rPr>
        <w:t>.</w:t>
      </w:r>
      <w:r w:rsidR="00DF611A" w:rsidRPr="001A0367">
        <w:rPr>
          <w:rFonts w:ascii="Arial" w:hAnsi="Arial" w:cs="Arial"/>
          <w:sz w:val="22"/>
          <w:szCs w:val="22"/>
        </w:rPr>
        <w:t xml:space="preserve"> </w:t>
      </w:r>
      <w:r w:rsidR="00546852">
        <w:rPr>
          <w:rFonts w:ascii="Arial" w:hAnsi="Arial" w:cs="Arial"/>
          <w:sz w:val="22"/>
          <w:szCs w:val="22"/>
        </w:rPr>
        <w:t xml:space="preserve">To allow for a more realistic </w:t>
      </w:r>
      <w:r w:rsidR="00E3626E">
        <w:rPr>
          <w:rFonts w:ascii="Arial" w:hAnsi="Arial" w:cs="Arial"/>
          <w:sz w:val="22"/>
          <w:szCs w:val="22"/>
        </w:rPr>
        <w:t xml:space="preserve">population </w:t>
      </w:r>
      <w:r w:rsidR="00546852">
        <w:rPr>
          <w:rFonts w:ascii="Arial" w:hAnsi="Arial" w:cs="Arial"/>
          <w:sz w:val="22"/>
          <w:szCs w:val="22"/>
        </w:rPr>
        <w:t xml:space="preserve">growth trajectory, we also ran each of the </w:t>
      </w:r>
      <w:proofErr w:type="spellStart"/>
      <w:r w:rsidR="00546852">
        <w:rPr>
          <w:rFonts w:ascii="Arial" w:hAnsi="Arial" w:cs="Arial"/>
          <w:sz w:val="22"/>
          <w:szCs w:val="22"/>
        </w:rPr>
        <w:t>dadi_pipeline</w:t>
      </w:r>
      <w:proofErr w:type="spellEnd"/>
      <w:r w:rsidR="00546852">
        <w:rPr>
          <w:rFonts w:ascii="Arial" w:hAnsi="Arial" w:cs="Arial"/>
          <w:sz w:val="22"/>
          <w:szCs w:val="22"/>
        </w:rPr>
        <w:t xml:space="preserve"> models with a logistic population growth equation rather than the exponential growth variant defined in the original models. </w:t>
      </w:r>
      <w:r w:rsidR="00DF611A" w:rsidRPr="001A0367">
        <w:rPr>
          <w:rFonts w:ascii="Arial" w:hAnsi="Arial" w:cs="Arial"/>
          <w:sz w:val="22"/>
          <w:szCs w:val="22"/>
        </w:rPr>
        <w:t xml:space="preserve">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BE118A">
        <w:rPr>
          <w:rFonts w:ascii="Arial" w:hAnsi="Arial" w:cs="Arial"/>
          <w:sz w:val="22"/>
          <w:szCs w:val="22"/>
          <w:highlight w:val="white"/>
        </w:rPr>
        <w:t>Schematic</w:t>
      </w:r>
      <w:r w:rsidR="00DF611A" w:rsidRPr="001A0367">
        <w:rPr>
          <w:rFonts w:ascii="Arial" w:hAnsi="Arial" w:cs="Arial"/>
          <w:sz w:val="22"/>
          <w:szCs w:val="22"/>
          <w:highlight w:val="white"/>
        </w:rPr>
        <w:t xml:space="preserve">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p>
    <w:p w14:paraId="5AB20E90" w14:textId="7C006CD9" w:rsidR="00BE6BC8" w:rsidRDefault="00BE6BC8"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w:t>
      </w:r>
      <w:r w:rsidR="00BF5964">
        <w:rPr>
          <w:rFonts w:ascii="Arial" w:hAnsi="Arial" w:cs="Arial"/>
          <w:sz w:val="22"/>
          <w:szCs w:val="22"/>
        </w:rPr>
        <w:t>of</w:t>
      </w:r>
      <w:r w:rsidRPr="001A0367">
        <w:rPr>
          <w:rFonts w:ascii="Arial" w:hAnsi="Arial" w:cs="Arial"/>
          <w:sz w:val="22"/>
          <w:szCs w:val="22"/>
        </w:rPr>
        <w:t xml:space="preserve">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w:t>
      </w:r>
      <w:r w:rsidR="00BF5964">
        <w:rPr>
          <w:rFonts w:ascii="Arial" w:hAnsi="Arial" w:cs="Arial"/>
          <w:sz w:val="22"/>
          <w:szCs w:val="22"/>
        </w:rPr>
        <w:t>,</w:t>
      </w:r>
      <w:r w:rsidRPr="001A0367">
        <w:rPr>
          <w:rFonts w:ascii="Arial" w:hAnsi="Arial" w:cs="Arial"/>
          <w:sz w:val="22"/>
          <w:szCs w:val="22"/>
        </w:rPr>
        <w:t xml:space="preserve"> however, we set the starting parameters for each sequential run via weighting </w:t>
      </w:r>
      <w:r w:rsidRPr="001A0367">
        <w:rPr>
          <w:rFonts w:ascii="Arial" w:hAnsi="Arial" w:cs="Arial"/>
          <w:sz w:val="22"/>
          <w:szCs w:val="22"/>
        </w:rPr>
        <w:lastRenderedPageBreak/>
        <w:t xml:space="preserve">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w:t>
      </w:r>
      <w:r w:rsidR="00E3626E">
        <w:rPr>
          <w:rFonts w:ascii="Arial" w:hAnsi="Arial" w:cs="Arial"/>
          <w:sz w:val="22"/>
          <w:szCs w:val="22"/>
        </w:rPr>
        <w:t xml:space="preserve"> h</w:t>
      </w:r>
      <w:r w:rsidRPr="001A0367">
        <w:rPr>
          <w:rFonts w:ascii="Arial" w:hAnsi="Arial" w:cs="Arial"/>
          <w:sz w:val="22"/>
          <w:szCs w:val="22"/>
        </w:rPr>
        <w:t xml:space="preserve">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Most runs completed in under 48</w:t>
      </w:r>
      <w:r w:rsidR="00E3626E">
        <w:rPr>
          <w:rFonts w:ascii="Arial" w:hAnsi="Arial" w:cs="Arial"/>
          <w:sz w:val="22"/>
          <w:szCs w:val="22"/>
        </w:rPr>
        <w:t xml:space="preserve"> h</w:t>
      </w:r>
      <w:r w:rsidRPr="001A0367">
        <w:rPr>
          <w:rFonts w:ascii="Arial" w:hAnsi="Arial" w:cs="Arial"/>
          <w:sz w:val="22"/>
          <w:szCs w:val="22"/>
        </w:rPr>
        <w:t xml:space="preserve"> and are included in the results. </w:t>
      </w:r>
    </w:p>
    <w:p w14:paraId="70CE87C3" w14:textId="4506ED17" w:rsidR="00AF0893" w:rsidRDefault="00AF0893" w:rsidP="00AF0893">
      <w:pPr>
        <w:spacing w:line="480" w:lineRule="auto"/>
        <w:jc w:val="center"/>
        <w:rPr>
          <w:rFonts w:ascii="Arial" w:hAnsi="Arial" w:cs="Arial"/>
          <w:i/>
          <w:iCs/>
          <w:sz w:val="22"/>
          <w:szCs w:val="22"/>
        </w:rPr>
      </w:pPr>
      <w:r>
        <w:rPr>
          <w:rFonts w:ascii="Arial" w:hAnsi="Arial" w:cs="Arial"/>
          <w:i/>
          <w:iCs/>
          <w:sz w:val="22"/>
          <w:szCs w:val="22"/>
        </w:rPr>
        <w:t>Parameter estimation</w:t>
      </w:r>
    </w:p>
    <w:p w14:paraId="35C26A97" w14:textId="77777777" w:rsidR="0003273D" w:rsidRPr="00AF0893" w:rsidRDefault="0003273D" w:rsidP="00AF0893">
      <w:pPr>
        <w:spacing w:line="480" w:lineRule="auto"/>
        <w:jc w:val="center"/>
        <w:rPr>
          <w:rFonts w:ascii="Arial" w:hAnsi="Arial" w:cs="Arial"/>
          <w:i/>
          <w:iCs/>
          <w:sz w:val="22"/>
          <w:szCs w:val="22"/>
        </w:rPr>
      </w:pPr>
    </w:p>
    <w:p w14:paraId="458551EA" w14:textId="1DF53EFA" w:rsidR="00355224" w:rsidRPr="00BE118A" w:rsidRDefault="00BE6BC8" w:rsidP="00BE118A">
      <w:pPr>
        <w:spacing w:line="480"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w:t>
      </w:r>
      <w:r w:rsidRPr="00AF0893">
        <w:rPr>
          <w:rFonts w:ascii="Arial" w:hAnsi="Arial" w:cs="Arial"/>
          <w:i/>
          <w:iCs/>
          <w:sz w:val="22"/>
          <w:szCs w:val="22"/>
        </w:rPr>
        <w:t>Drosophila melanogaster</w:t>
      </w:r>
      <w:r w:rsidR="00E46E34">
        <w:rPr>
          <w:rFonts w:ascii="Arial" w:hAnsi="Arial" w:cs="Arial"/>
          <w:sz w:val="22"/>
          <w:szCs w:val="22"/>
        </w:rPr>
        <w:t xml:space="preserve"> </w:t>
      </w:r>
      <w:r w:rsidR="00E46E34">
        <w:rPr>
          <w:rFonts w:ascii="Arial" w:hAnsi="Arial" w:cs="Arial"/>
          <w:sz w:val="22"/>
          <w:szCs w:val="22"/>
        </w:rPr>
        <w:fldChar w:fldCharType="begin" w:fldLock="1"/>
      </w:r>
      <w:r w:rsidR="00E46E34">
        <w:rPr>
          <w:rFonts w:ascii="Arial" w:hAnsi="Arial" w:cs="Arial"/>
          <w:sz w:val="22"/>
          <w:szCs w:val="22"/>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(Haag-Liautard et al., 2007)</w:t>
      </w:r>
      <w:r w:rsidR="00E46E34">
        <w:rPr>
          <w:rFonts w:ascii="Arial" w:hAnsi="Arial" w:cs="Arial"/>
          <w:sz w:val="22"/>
          <w:szCs w:val="22"/>
        </w:rPr>
        <w:fldChar w:fldCharType="end"/>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w:t>
      </w:r>
      <w:r w:rsidR="00BE118A">
        <w:rPr>
          <w:rFonts w:ascii="Arial" w:hAnsi="Arial" w:cs="Arial"/>
          <w:sz w:val="22"/>
          <w:szCs w:val="22"/>
        </w:rPr>
        <w:t xml:space="preserve"> We also used </w:t>
      </w:r>
      <w:r w:rsidRPr="001A0367">
        <w:rPr>
          <w:rFonts w:ascii="Arial" w:hAnsi="Arial" w:cs="Arial"/>
          <w:sz w:val="22"/>
          <w:szCs w:val="22"/>
        </w:rPr>
        <w:t xml:space="preserve">a potentially more realistic generation time of 7 generations per year </w:t>
      </w:r>
      <w:r w:rsidR="00E46E34">
        <w:rPr>
          <w:rFonts w:ascii="Arial" w:hAnsi="Arial" w:cs="Arial"/>
          <w:sz w:val="22"/>
          <w:szCs w:val="22"/>
        </w:rPr>
        <w:t xml:space="preserve">and </w:t>
      </w:r>
      <w:r w:rsidRPr="001A0367">
        <w:rPr>
          <w:rFonts w:ascii="Arial" w:hAnsi="Arial" w:cs="Arial"/>
          <w:sz w:val="22"/>
          <w:szCs w:val="22"/>
        </w:rPr>
        <w:t xml:space="preserve">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r w:rsidR="00E46E34">
        <w:rPr>
          <w:rFonts w:ascii="Arial" w:hAnsi="Arial" w:cs="Arial"/>
          <w:sz w:val="22"/>
          <w:szCs w:val="22"/>
        </w:rPr>
        <w:fldChar w:fldCharType="begin" w:fldLock="1"/>
      </w:r>
      <w:r w:rsidR="000E1B16">
        <w:rPr>
          <w:rFonts w:ascii="Arial" w:hAnsi="Arial" w:cs="Arial"/>
          <w:sz w:val="22"/>
          <w:szCs w:val="22"/>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(Keightley et al., 2015)</w:t>
      </w:r>
      <w:r w:rsidR="00E46E34">
        <w:rPr>
          <w:rFonts w:ascii="Arial" w:hAnsi="Arial" w:cs="Arial"/>
          <w:sz w:val="22"/>
          <w:szCs w:val="22"/>
        </w:rPr>
        <w:fldChar w:fldCharType="end"/>
      </w:r>
      <w:r w:rsidR="00E46E34">
        <w:rPr>
          <w:rFonts w:ascii="Arial" w:hAnsi="Arial" w:cs="Arial"/>
          <w:sz w:val="22"/>
          <w:szCs w:val="22"/>
        </w:rPr>
        <w:t xml:space="preserve">. </w:t>
      </w:r>
      <w:r w:rsidRPr="001A0367">
        <w:rPr>
          <w:rFonts w:ascii="Arial" w:hAnsi="Arial" w:cs="Arial"/>
          <w:sz w:val="22"/>
          <w:szCs w:val="22"/>
        </w:rPr>
        <w:t>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r w:rsidR="003F0723" w:rsidRPr="001A0367">
        <w:rPr>
          <w:rFonts w:ascii="Arial" w:hAnsi="Arial" w:cs="Arial"/>
          <w:i/>
          <w:sz w:val="22"/>
          <w:szCs w:val="22"/>
        </w:rPr>
        <w:t xml:space="preserve">  </w:t>
      </w:r>
    </w:p>
    <w:p w14:paraId="7B5E273D" w14:textId="77777777" w:rsidR="00E46E34" w:rsidRDefault="00E46E34" w:rsidP="009F0367">
      <w:pPr>
        <w:spacing w:line="480" w:lineRule="auto"/>
        <w:jc w:val="center"/>
        <w:rPr>
          <w:rFonts w:ascii="Arial" w:hAnsi="Arial" w:cs="Arial"/>
          <w:b/>
          <w:sz w:val="22"/>
          <w:szCs w:val="22"/>
          <w:u w:val="single"/>
        </w:rPr>
      </w:pPr>
    </w:p>
    <w:p w14:paraId="26A468A2" w14:textId="7B54B2D9"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9F0367">
      <w:pPr>
        <w:spacing w:line="480" w:lineRule="auto"/>
        <w:rPr>
          <w:rFonts w:ascii="Arial" w:hAnsi="Arial" w:cs="Arial"/>
          <w:i/>
          <w:sz w:val="22"/>
          <w:szCs w:val="22"/>
        </w:rPr>
      </w:pPr>
    </w:p>
    <w:p w14:paraId="5834C883" w14:textId="74D280CD" w:rsidR="00355224" w:rsidRPr="001A0367" w:rsidRDefault="003F0723" w:rsidP="009F0367">
      <w:pPr>
        <w:spacing w:line="480"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w:t>
      </w:r>
      <w:r w:rsidR="001B470C">
        <w:rPr>
          <w:rFonts w:ascii="Arial" w:hAnsi="Arial" w:cs="Arial"/>
          <w:sz w:val="22"/>
          <w:szCs w:val="22"/>
        </w:rPr>
        <w:t xml:space="preserve"> For dataset 1, we retained </w:t>
      </w:r>
      <w:r w:rsidR="001B470C" w:rsidRPr="001B470C">
        <w:rPr>
          <w:rFonts w:ascii="Arial" w:hAnsi="Arial" w:cs="Arial"/>
          <w:sz w:val="22"/>
          <w:szCs w:val="22"/>
        </w:rPr>
        <w:t xml:space="preserve">11,384 </w:t>
      </w:r>
      <w:r w:rsidR="001B470C">
        <w:rPr>
          <w:rFonts w:ascii="Arial" w:hAnsi="Arial" w:cs="Arial"/>
          <w:sz w:val="22"/>
          <w:szCs w:val="22"/>
        </w:rPr>
        <w:t>loci after removing loci within 10kb of each</w:t>
      </w:r>
      <w:r w:rsidR="0003273D">
        <w:rPr>
          <w:rFonts w:ascii="Arial" w:hAnsi="Arial" w:cs="Arial"/>
          <w:sz w:val="22"/>
          <w:szCs w:val="22"/>
        </w:rPr>
        <w:t xml:space="preserve"> </w:t>
      </w:r>
      <w:r w:rsidR="001B470C">
        <w:rPr>
          <w:rFonts w:ascii="Arial" w:hAnsi="Arial" w:cs="Arial"/>
          <w:sz w:val="22"/>
          <w:szCs w:val="22"/>
        </w:rPr>
        <w:t xml:space="preserve">other. </w:t>
      </w:r>
      <w:r w:rsidR="001B470C">
        <w:rPr>
          <w:rFonts w:ascii="Arial" w:hAnsi="Arial" w:cs="Arial"/>
          <w:sz w:val="22"/>
          <w:szCs w:val="22"/>
        </w:rPr>
        <w:lastRenderedPageBreak/>
        <w:t xml:space="preserve">Datasets 2 and 3 had </w:t>
      </w:r>
      <w:r w:rsidRPr="001A0367">
        <w:rPr>
          <w:rFonts w:ascii="Arial" w:hAnsi="Arial" w:cs="Arial"/>
          <w:sz w:val="22"/>
          <w:szCs w:val="22"/>
        </w:rPr>
        <w:t xml:space="preserve">70,878 </w:t>
      </w:r>
      <w:r w:rsidR="001B470C">
        <w:rPr>
          <w:rFonts w:ascii="Arial" w:hAnsi="Arial" w:cs="Arial"/>
          <w:sz w:val="22"/>
          <w:szCs w:val="22"/>
        </w:rPr>
        <w:t xml:space="preserve">and </w:t>
      </w:r>
      <w:r w:rsidR="001B470C" w:rsidRPr="001A0367">
        <w:rPr>
          <w:rFonts w:ascii="Arial" w:hAnsi="Arial" w:cs="Arial"/>
          <w:sz w:val="22"/>
          <w:szCs w:val="22"/>
        </w:rPr>
        <w:t>413,271</w:t>
      </w:r>
      <w:r w:rsidR="001B470C">
        <w:rPr>
          <w:rFonts w:ascii="Arial" w:hAnsi="Arial" w:cs="Arial"/>
          <w:sz w:val="22"/>
          <w:szCs w:val="22"/>
        </w:rPr>
        <w:t xml:space="preserve"> </w:t>
      </w:r>
      <w:r w:rsidRPr="001A0367">
        <w:rPr>
          <w:rFonts w:ascii="Arial" w:hAnsi="Arial" w:cs="Arial"/>
          <w:sz w:val="22"/>
          <w:szCs w:val="22"/>
        </w:rPr>
        <w:t>sites</w:t>
      </w:r>
      <w:r w:rsidR="005A7316">
        <w:rPr>
          <w:rFonts w:ascii="Arial" w:hAnsi="Arial" w:cs="Arial"/>
          <w:sz w:val="22"/>
          <w:szCs w:val="22"/>
        </w:rPr>
        <w:t>,</w:t>
      </w:r>
      <w:r w:rsidRPr="001A0367">
        <w:rPr>
          <w:rFonts w:ascii="Arial" w:hAnsi="Arial" w:cs="Arial"/>
          <w:sz w:val="22"/>
          <w:szCs w:val="22"/>
        </w:rPr>
        <w:t xml:space="preserve"> </w:t>
      </w:r>
      <w:r w:rsidR="001B470C">
        <w:rPr>
          <w:rFonts w:ascii="Arial" w:hAnsi="Arial" w:cs="Arial"/>
          <w:sz w:val="22"/>
          <w:szCs w:val="22"/>
        </w:rPr>
        <w:t>respectively</w:t>
      </w:r>
      <w:r w:rsidRPr="001A0367">
        <w:rPr>
          <w:rFonts w:ascii="Arial" w:hAnsi="Arial" w:cs="Arial"/>
          <w:sz w:val="22"/>
          <w:szCs w:val="22"/>
        </w:rPr>
        <w:t xml:space="preserve">. The number of samples from each population after filtering </w:t>
      </w:r>
      <w:r w:rsidR="0013530C">
        <w:rPr>
          <w:rFonts w:ascii="Arial" w:hAnsi="Arial" w:cs="Arial"/>
          <w:sz w:val="22"/>
          <w:szCs w:val="22"/>
        </w:rPr>
        <w:t>is shown</w:t>
      </w:r>
      <w:r w:rsidRPr="001A0367">
        <w:rPr>
          <w:rFonts w:ascii="Arial" w:hAnsi="Arial" w:cs="Arial"/>
          <w:sz w:val="22"/>
          <w:szCs w:val="22"/>
        </w:rPr>
        <w:t xml:space="preserve"> in Table 1</w:t>
      </w:r>
      <w:r w:rsidR="00A244C3">
        <w:rPr>
          <w:rFonts w:ascii="Arial" w:hAnsi="Arial" w:cs="Arial"/>
          <w:sz w:val="22"/>
          <w:szCs w:val="22"/>
        </w:rPr>
        <w:t>. Note that some populations had no samples that passed filtering, and so are not included in Table 1.</w:t>
      </w:r>
    </w:p>
    <w:p w14:paraId="7BFD3003" w14:textId="77777777" w:rsidR="00355224" w:rsidRPr="001A0367" w:rsidRDefault="00355224" w:rsidP="009F0367">
      <w:pPr>
        <w:spacing w:line="480" w:lineRule="auto"/>
        <w:jc w:val="center"/>
        <w:rPr>
          <w:rFonts w:ascii="Arial" w:hAnsi="Arial" w:cs="Arial"/>
          <w:b/>
          <w:sz w:val="22"/>
          <w:szCs w:val="22"/>
          <w:u w:val="single"/>
        </w:rPr>
      </w:pPr>
    </w:p>
    <w:p w14:paraId="3B27EEE8" w14:textId="5636C80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0B913E8F" w14:textId="530E5FE2"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w:t>
      </w:r>
      <w:r w:rsidR="006A04A7">
        <w:rPr>
          <w:rFonts w:ascii="Arial" w:hAnsi="Arial" w:cs="Arial"/>
          <w:sz w:val="22"/>
          <w:szCs w:val="22"/>
        </w:rPr>
        <w:t>S</w:t>
      </w:r>
      <w:r w:rsidRPr="001A0367">
        <w:rPr>
          <w:rFonts w:ascii="Arial" w:hAnsi="Arial" w:cs="Arial"/>
          <w:sz w:val="22"/>
          <w:szCs w:val="22"/>
        </w:rPr>
        <w:t>1</w:t>
      </w:r>
      <w:r w:rsidR="00537D61">
        <w:rPr>
          <w:rFonts w:ascii="Arial" w:hAnsi="Arial" w:cs="Arial"/>
          <w:sz w:val="22"/>
          <w:szCs w:val="22"/>
        </w:rPr>
        <w:t>B</w:t>
      </w:r>
      <w:r w:rsidRPr="001A0367">
        <w:rPr>
          <w:rFonts w:ascii="Arial" w:hAnsi="Arial" w:cs="Arial"/>
          <w:sz w:val="22"/>
          <w:szCs w:val="22"/>
        </w:rPr>
        <w:t>).</w:t>
      </w:r>
      <w:r w:rsidR="00A052EC">
        <w:rPr>
          <w:rFonts w:ascii="Arial" w:hAnsi="Arial" w:cs="Arial"/>
          <w:sz w:val="22"/>
          <w:szCs w:val="22"/>
        </w:rPr>
        <w:t xml:space="preserve">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 showed a similar result</w:t>
      </w:r>
      <w:r w:rsidR="006A04A7">
        <w:rPr>
          <w:rFonts w:ascii="Arial" w:hAnsi="Arial" w:cs="Arial"/>
          <w:sz w:val="22"/>
          <w:szCs w:val="22"/>
        </w:rPr>
        <w:t xml:space="preserve"> (Figure 2</w:t>
      </w:r>
      <w:r w:rsidR="00537D61">
        <w:rPr>
          <w:rFonts w:ascii="Arial" w:hAnsi="Arial" w:cs="Arial"/>
          <w:sz w:val="22"/>
          <w:szCs w:val="22"/>
        </w:rPr>
        <w:t>B</w:t>
      </w:r>
      <w:r w:rsidR="006A04A7">
        <w:rPr>
          <w:rFonts w:ascii="Arial" w:hAnsi="Arial" w:cs="Arial"/>
          <w:sz w:val="22"/>
          <w:szCs w:val="22"/>
        </w:rPr>
        <w:t>)</w:t>
      </w:r>
      <w:r w:rsidR="00A052EC">
        <w:rPr>
          <w:rFonts w:ascii="Arial" w:hAnsi="Arial" w:cs="Arial"/>
          <w:sz w:val="22"/>
          <w:szCs w:val="22"/>
        </w:rPr>
        <w:t>, splitting the North American samples from the Pacific samples at K = 2, the Mariana Islands at K = 3, Rota from the other Mariana Islands at K = 4, Samoa, Fiji, and New Caledonia at K = 5, Hawaii at K = 6, Saipan from Guam at K = 7,</w:t>
      </w:r>
      <w:r w:rsidRPr="001A0367">
        <w:rPr>
          <w:rFonts w:ascii="Arial" w:hAnsi="Arial" w:cs="Arial"/>
          <w:sz w:val="22"/>
          <w:szCs w:val="22"/>
        </w:rPr>
        <w:t xml:space="preserve"> </w:t>
      </w:r>
      <w:r w:rsidR="00A052EC">
        <w:rPr>
          <w:rFonts w:ascii="Arial" w:hAnsi="Arial" w:cs="Arial"/>
          <w:sz w:val="22"/>
          <w:szCs w:val="22"/>
        </w:rPr>
        <w:t xml:space="preserve">and Norfolk Island at K = 8. Notably, the Hawaiian samples were consistently classed as having ancestry partially from all other clusters until K = 6, consistent with an initial introduction into the archipelago. </w:t>
      </w:r>
      <w:r w:rsidR="001B6364" w:rsidRPr="001B6364">
        <w:rPr>
          <w:rFonts w:ascii="Arial" w:hAnsi="Arial" w:cs="Arial"/>
          <w:sz w:val="22"/>
          <w:szCs w:val="22"/>
        </w:rPr>
        <w:t>At K = 9, nearly all North American samples were assigned to two genetic clusters with ancestry proportions unrelated to their geographical sampling locations, which can be interpreted as the presence of a fictive cluster with no biological significance (</w:t>
      </w:r>
      <w:proofErr w:type="gramStart"/>
      <w:r w:rsidR="001B6364" w:rsidRPr="001B6364">
        <w:rPr>
          <w:rFonts w:ascii="Arial" w:hAnsi="Arial" w:cs="Arial"/>
          <w:sz w:val="22"/>
          <w:szCs w:val="22"/>
        </w:rPr>
        <w:t>e.g.</w:t>
      </w:r>
      <w:proofErr w:type="gramEnd"/>
      <w:r w:rsidR="001B6364" w:rsidRPr="001B6364">
        <w:rPr>
          <w:rFonts w:ascii="Arial" w:hAnsi="Arial" w:cs="Arial"/>
          <w:sz w:val="22"/>
          <w:szCs w:val="22"/>
        </w:rPr>
        <w:t xml:space="preserve"> Guillot et al., 200</w:t>
      </w:r>
      <w:r w:rsidR="001B6364">
        <w:rPr>
          <w:rFonts w:ascii="Arial" w:hAnsi="Arial" w:cs="Arial"/>
          <w:sz w:val="22"/>
          <w:szCs w:val="22"/>
        </w:rPr>
        <w:t xml:space="preserve">5; </w:t>
      </w:r>
      <w:r w:rsidR="001B6364" w:rsidRPr="001B6364">
        <w:rPr>
          <w:rFonts w:ascii="Arial" w:hAnsi="Arial" w:cs="Arial"/>
          <w:sz w:val="22"/>
          <w:szCs w:val="22"/>
        </w:rPr>
        <w:t>Chen et al., 200</w:t>
      </w:r>
      <w:r w:rsidR="001B6364">
        <w:rPr>
          <w:rFonts w:ascii="Arial" w:hAnsi="Arial" w:cs="Arial"/>
          <w:sz w:val="22"/>
          <w:szCs w:val="22"/>
        </w:rPr>
        <w:t>7</w:t>
      </w:r>
      <w:r w:rsidR="001B6364" w:rsidRPr="001B6364">
        <w:rPr>
          <w:rFonts w:ascii="Arial" w:hAnsi="Arial" w:cs="Arial"/>
          <w:sz w:val="22"/>
          <w:szCs w:val="22"/>
        </w:rPr>
        <w:t>)</w:t>
      </w:r>
      <w:r w:rsidR="00A052EC">
        <w:rPr>
          <w:rFonts w:ascii="Arial" w:hAnsi="Arial" w:cs="Arial"/>
          <w:sz w:val="22"/>
          <w:szCs w:val="22"/>
        </w:rPr>
        <w:t xml:space="preserve">. </w:t>
      </w:r>
      <w:r w:rsidR="00C63C35">
        <w:rPr>
          <w:rFonts w:ascii="Arial" w:hAnsi="Arial" w:cs="Arial"/>
          <w:sz w:val="22"/>
          <w:szCs w:val="22"/>
        </w:rPr>
        <w:t xml:space="preserve">K = 2 and K = 5 had the highest </w:t>
      </w:r>
      <w:bookmarkStart w:id="0" w:name="_Hlk79765200"/>
      <w:r w:rsidR="00C63C35">
        <w:rPr>
          <w:rFonts w:ascii="Arial" w:hAnsi="Arial" w:cs="Arial"/>
          <w:sz w:val="22"/>
          <w:szCs w:val="22"/>
        </w:rPr>
        <w:t>ΔK</w:t>
      </w:r>
      <w:bookmarkEnd w:id="0"/>
      <w:r w:rsidR="00C63C35">
        <w:rPr>
          <w:rFonts w:ascii="Arial" w:hAnsi="Arial" w:cs="Arial"/>
          <w:sz w:val="22"/>
          <w:szCs w:val="22"/>
        </w:rPr>
        <w:t xml:space="preserve"> values </w:t>
      </w:r>
      <w:r w:rsidR="001C5583">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001C5583">
        <w:rPr>
          <w:rFonts w:ascii="Arial" w:hAnsi="Arial" w:cs="Arial"/>
          <w:sz w:val="22"/>
          <w:szCs w:val="22"/>
        </w:rPr>
        <w:fldChar w:fldCharType="separate"/>
      </w:r>
      <w:r w:rsidR="001C5583" w:rsidRPr="001C5583">
        <w:rPr>
          <w:rFonts w:ascii="Arial" w:hAnsi="Arial" w:cs="Arial"/>
          <w:noProof/>
          <w:sz w:val="22"/>
          <w:szCs w:val="22"/>
        </w:rPr>
        <w:t>(Evanno et al., 2005)</w:t>
      </w:r>
      <w:r w:rsidR="001C5583">
        <w:rPr>
          <w:rFonts w:ascii="Arial" w:hAnsi="Arial" w:cs="Arial"/>
          <w:sz w:val="22"/>
          <w:szCs w:val="22"/>
        </w:rPr>
        <w:fldChar w:fldCharType="end"/>
      </w:r>
      <w:r w:rsidR="0026275F">
        <w:rPr>
          <w:rFonts w:ascii="Arial" w:hAnsi="Arial" w:cs="Arial"/>
          <w:sz w:val="22"/>
          <w:szCs w:val="22"/>
        </w:rPr>
        <w:t xml:space="preserve">, although we were not able to estimate ΔK for K = 3 due to very low likelihood variance between runs at </w:t>
      </w:r>
      <w:r w:rsidR="005E6500">
        <w:rPr>
          <w:rFonts w:ascii="Arial" w:hAnsi="Arial" w:cs="Arial"/>
          <w:sz w:val="22"/>
          <w:szCs w:val="22"/>
        </w:rPr>
        <w:t>K = 2 and K = 3, thereby producing an undefined</w:t>
      </w:r>
      <w:r w:rsidR="00B7219A">
        <w:rPr>
          <w:rFonts w:ascii="Arial" w:hAnsi="Arial" w:cs="Arial"/>
          <w:sz w:val="22"/>
          <w:szCs w:val="22"/>
        </w:rPr>
        <w:t xml:space="preserve"> ΔK </w:t>
      </w:r>
      <w:r w:rsidR="0026275F">
        <w:rPr>
          <w:rFonts w:ascii="Arial" w:hAnsi="Arial" w:cs="Arial"/>
          <w:sz w:val="22"/>
          <w:szCs w:val="22"/>
        </w:rPr>
        <w:t>(Figure S</w:t>
      </w:r>
      <w:r w:rsidR="006A04A7">
        <w:rPr>
          <w:rFonts w:ascii="Arial" w:hAnsi="Arial" w:cs="Arial"/>
          <w:sz w:val="22"/>
          <w:szCs w:val="22"/>
        </w:rPr>
        <w:t>2</w:t>
      </w:r>
      <w:r w:rsidR="0026275F">
        <w:rPr>
          <w:rFonts w:ascii="Arial" w:hAnsi="Arial" w:cs="Arial"/>
          <w:sz w:val="22"/>
          <w:szCs w:val="22"/>
        </w:rPr>
        <w:t>)</w:t>
      </w:r>
      <w:r w:rsidR="00C63C35">
        <w:rPr>
          <w:rFonts w:ascii="Arial" w:hAnsi="Arial" w:cs="Arial"/>
          <w:sz w:val="22"/>
          <w:szCs w:val="22"/>
        </w:rPr>
        <w:t xml:space="preserve">. </w:t>
      </w:r>
      <w:r w:rsidR="00A052EC">
        <w:rPr>
          <w:rFonts w:ascii="Arial" w:hAnsi="Arial" w:cs="Arial"/>
          <w:sz w:val="22"/>
          <w:szCs w:val="22"/>
        </w:rPr>
        <w:t xml:space="preserve">Eastern and Western North America were never split. </w:t>
      </w:r>
      <w:r w:rsidR="00B609B0">
        <w:rPr>
          <w:rFonts w:ascii="Arial" w:hAnsi="Arial" w:cs="Arial"/>
          <w:sz w:val="22"/>
          <w:szCs w:val="22"/>
        </w:rPr>
        <w:t>D</w:t>
      </w:r>
      <w:r w:rsidRPr="001A0367">
        <w:rPr>
          <w:rFonts w:ascii="Arial" w:hAnsi="Arial" w:cs="Arial"/>
          <w:sz w:val="22"/>
          <w:szCs w:val="22"/>
        </w:rPr>
        <w:t>irectionality index (</w:t>
      </w:r>
      <w:r w:rsidRPr="001B470C">
        <w:rPr>
          <w:rFonts w:ascii="Arial" w:eastAsia="Roboto" w:hAnsi="Arial" w:cs="Arial"/>
          <w:bCs/>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w:t>
      </w:r>
      <w:r w:rsidR="006A04A7">
        <w:rPr>
          <w:rFonts w:ascii="Arial" w:hAnsi="Arial" w:cs="Arial"/>
          <w:sz w:val="22"/>
          <w:szCs w:val="22"/>
        </w:rPr>
        <w:t>4</w:t>
      </w:r>
      <w:r w:rsidRPr="001A0367">
        <w:rPr>
          <w:rFonts w:ascii="Arial" w:hAnsi="Arial" w:cs="Arial"/>
          <w:sz w:val="22"/>
          <w:szCs w:val="22"/>
        </w:rPr>
        <w:t>).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Tajima’s D </w:t>
      </w:r>
      <w:r w:rsidR="001F2D34">
        <w:rPr>
          <w:rFonts w:ascii="Arial" w:hAnsi="Arial" w:cs="Arial"/>
          <w:sz w:val="22"/>
          <w:szCs w:val="22"/>
        </w:rPr>
        <w:t>was</w:t>
      </w:r>
      <w:r w:rsidRPr="001A0367">
        <w:rPr>
          <w:rFonts w:ascii="Arial" w:hAnsi="Arial" w:cs="Arial"/>
          <w:sz w:val="22"/>
          <w:szCs w:val="22"/>
        </w:rPr>
        <w:t xml:space="preserve"> positive in all sites besides North America and Hawaii (Table 1).</w:t>
      </w:r>
      <w:r w:rsidR="00A052EC">
        <w:rPr>
          <w:rFonts w:ascii="Arial" w:hAnsi="Arial" w:cs="Arial"/>
          <w:sz w:val="22"/>
          <w:szCs w:val="22"/>
        </w:rPr>
        <w:t xml:space="preserve">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 xml:space="preserve">results </w:t>
      </w:r>
      <w:r w:rsidR="00A052EC">
        <w:rPr>
          <w:rFonts w:ascii="Arial" w:hAnsi="Arial" w:cs="Arial"/>
          <w:sz w:val="22"/>
          <w:szCs w:val="22"/>
        </w:rPr>
        <w:t>also</w:t>
      </w:r>
      <w:r w:rsidRPr="001A0367">
        <w:rPr>
          <w:rFonts w:ascii="Arial" w:hAnsi="Arial" w:cs="Arial"/>
          <w:sz w:val="22"/>
          <w:szCs w:val="22"/>
        </w:rPr>
        <w:t xml:space="preserve"> reflect the patterns we observed in the PCA</w:t>
      </w:r>
      <w:r w:rsidR="00A052EC">
        <w:rPr>
          <w:rFonts w:ascii="Arial" w:hAnsi="Arial" w:cs="Arial"/>
          <w:sz w:val="22"/>
          <w:szCs w:val="22"/>
        </w:rPr>
        <w:t xml:space="preserve"> and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w:t>
      </w:r>
      <w:r w:rsidRPr="001A0367">
        <w:rPr>
          <w:rFonts w:ascii="Arial" w:hAnsi="Arial" w:cs="Arial"/>
          <w:sz w:val="22"/>
          <w:szCs w:val="22"/>
        </w:rPr>
        <w:t xml:space="preserve"> (Table S2, Figure </w:t>
      </w:r>
      <w:r w:rsidR="006A04A7">
        <w:rPr>
          <w:rFonts w:ascii="Arial" w:hAnsi="Arial" w:cs="Arial"/>
          <w:sz w:val="22"/>
          <w:szCs w:val="22"/>
        </w:rPr>
        <w:t>2</w:t>
      </w:r>
      <w:r w:rsidR="00537D61">
        <w:rPr>
          <w:rFonts w:ascii="Arial" w:hAnsi="Arial" w:cs="Arial"/>
          <w:sz w:val="22"/>
          <w:szCs w:val="22"/>
        </w:rPr>
        <w:t>B</w:t>
      </w:r>
      <w:r w:rsidR="006A04A7">
        <w:rPr>
          <w:rFonts w:ascii="Arial" w:hAnsi="Arial" w:cs="Arial"/>
          <w:sz w:val="22"/>
          <w:szCs w:val="22"/>
        </w:rPr>
        <w:t>, Figure S1</w:t>
      </w:r>
      <w:r w:rsidR="00537D61">
        <w:rPr>
          <w:rFonts w:ascii="Arial" w:hAnsi="Arial" w:cs="Arial"/>
          <w:sz w:val="22"/>
          <w:szCs w:val="22"/>
        </w:rPr>
        <w:t>A</w:t>
      </w:r>
      <w:r w:rsidRPr="001A0367">
        <w:rPr>
          <w:rFonts w:ascii="Arial" w:hAnsi="Arial" w:cs="Arial"/>
          <w:sz w:val="22"/>
          <w:szCs w:val="22"/>
        </w:rPr>
        <w:t>).</w:t>
      </w:r>
      <w:r w:rsidR="00B7219A">
        <w:rPr>
          <w:rFonts w:ascii="Arial" w:hAnsi="Arial" w:cs="Arial"/>
          <w:sz w:val="22"/>
          <w:szCs w:val="22"/>
        </w:rPr>
        <w:t xml:space="preserve"> These results varied slightly </w:t>
      </w:r>
      <w:r w:rsidR="00EF1FC8">
        <w:rPr>
          <w:rFonts w:ascii="Arial" w:hAnsi="Arial" w:cs="Arial"/>
          <w:sz w:val="22"/>
          <w:szCs w:val="22"/>
        </w:rPr>
        <w:t>in</w:t>
      </w:r>
      <w:r w:rsidR="00B7219A">
        <w:rPr>
          <w:rFonts w:ascii="Arial" w:hAnsi="Arial" w:cs="Arial"/>
          <w:sz w:val="22"/>
          <w:szCs w:val="22"/>
        </w:rPr>
        <w:t xml:space="preserve"> the heavily filtered </w:t>
      </w:r>
      <w:proofErr w:type="gramStart"/>
      <w:r w:rsidR="00B7219A">
        <w:rPr>
          <w:rFonts w:ascii="Arial" w:hAnsi="Arial" w:cs="Arial"/>
          <w:sz w:val="22"/>
          <w:szCs w:val="22"/>
        </w:rPr>
        <w:t>dataset, but</w:t>
      </w:r>
      <w:proofErr w:type="gramEnd"/>
      <w:r w:rsidR="00B7219A">
        <w:rPr>
          <w:rFonts w:ascii="Arial" w:hAnsi="Arial" w:cs="Arial"/>
          <w:sz w:val="22"/>
          <w:szCs w:val="22"/>
        </w:rPr>
        <w:t xml:space="preserve"> followed the same general trends (with a higher diversity in North America, Hawaii, and Australia, and very similar </w:t>
      </w:r>
      <w:r w:rsidR="00B7219A">
        <w:rPr>
          <w:rFonts w:ascii="Arial" w:hAnsi="Arial" w:cs="Arial"/>
          <w:sz w:val="22"/>
          <w:szCs w:val="22"/>
        </w:rPr>
        <w:lastRenderedPageBreak/>
        <w:t>Tajima’s D and F</w:t>
      </w:r>
      <w:r w:rsidR="00B7219A">
        <w:rPr>
          <w:rFonts w:ascii="Arial" w:hAnsi="Arial" w:cs="Arial"/>
          <w:sz w:val="22"/>
          <w:szCs w:val="22"/>
          <w:vertAlign w:val="subscript"/>
        </w:rPr>
        <w:t>ST</w:t>
      </w:r>
      <w:r w:rsidR="00B7219A">
        <w:rPr>
          <w:rFonts w:ascii="Arial" w:hAnsi="Arial" w:cs="Arial"/>
          <w:sz w:val="22"/>
          <w:szCs w:val="22"/>
        </w:rPr>
        <w:t xml:space="preserve"> results, Table</w:t>
      </w:r>
      <w:r w:rsidR="00EF1FC8">
        <w:rPr>
          <w:rFonts w:ascii="Arial" w:hAnsi="Arial" w:cs="Arial"/>
          <w:sz w:val="22"/>
          <w:szCs w:val="22"/>
        </w:rPr>
        <w:t>s S5-6</w:t>
      </w:r>
      <w:r w:rsidR="00B7219A">
        <w:rPr>
          <w:rFonts w:ascii="Arial" w:hAnsi="Arial" w:cs="Arial"/>
          <w:sz w:val="22"/>
          <w:szCs w:val="22"/>
        </w:rPr>
        <w:t>).</w:t>
      </w:r>
      <w:r w:rsidR="00EF1FC8">
        <w:rPr>
          <w:rFonts w:ascii="Arial" w:hAnsi="Arial" w:cs="Arial"/>
          <w:sz w:val="22"/>
          <w:szCs w:val="22"/>
        </w:rPr>
        <w:t xml:space="preserve"> These results did have a higher relative diversity in the Pacific populations than in the full dataset, however, and, as a natural consequence of removing loci with low minor allele frequencies, much higher overall diversity estimates.</w:t>
      </w:r>
    </w:p>
    <w:p w14:paraId="5E19A746" w14:textId="77777777" w:rsidR="00355224" w:rsidRPr="001A0367" w:rsidRDefault="00355224" w:rsidP="009F0367">
      <w:pPr>
        <w:spacing w:line="480" w:lineRule="auto"/>
        <w:jc w:val="both"/>
        <w:rPr>
          <w:rFonts w:ascii="Arial" w:hAnsi="Arial" w:cs="Arial"/>
          <w:sz w:val="22"/>
          <w:szCs w:val="22"/>
        </w:rPr>
      </w:pPr>
    </w:p>
    <w:p w14:paraId="19331288" w14:textId="5A8873CE"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4BB90853" w14:textId="6533B72A"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w:t>
      </w:r>
      <w:r w:rsidR="006A04A7">
        <w:rPr>
          <w:rFonts w:ascii="Arial" w:hAnsi="Arial" w:cs="Arial"/>
          <w:sz w:val="22"/>
          <w:szCs w:val="22"/>
        </w:rPr>
        <w:t>s</w:t>
      </w:r>
      <w:r w:rsidRPr="001A0367">
        <w:rPr>
          <w:rFonts w:ascii="Arial" w:hAnsi="Arial" w:cs="Arial"/>
          <w:sz w:val="22"/>
          <w:szCs w:val="22"/>
        </w:rPr>
        <w:t xml:space="preserve"> </w:t>
      </w:r>
      <w:r w:rsidR="00537D61">
        <w:rPr>
          <w:rFonts w:ascii="Arial" w:hAnsi="Arial" w:cs="Arial"/>
          <w:sz w:val="22"/>
          <w:szCs w:val="22"/>
        </w:rPr>
        <w:t>2A-B</w:t>
      </w:r>
      <w:r w:rsidR="006A04A7">
        <w:rPr>
          <w:rFonts w:ascii="Arial" w:hAnsi="Arial" w:cs="Arial"/>
          <w:sz w:val="22"/>
          <w:szCs w:val="22"/>
        </w:rPr>
        <w:t xml:space="preserve"> and S1</w:t>
      </w:r>
      <w:r w:rsidR="00537D61">
        <w:rPr>
          <w:rFonts w:ascii="Arial" w:hAnsi="Arial" w:cs="Arial"/>
          <w:sz w:val="22"/>
          <w:szCs w:val="22"/>
        </w:rPr>
        <w:t>A-B</w:t>
      </w:r>
      <w:r w:rsidRPr="001A0367">
        <w:rPr>
          <w:rFonts w:ascii="Arial" w:hAnsi="Arial" w:cs="Arial"/>
          <w:sz w:val="22"/>
          <w:szCs w:val="22"/>
        </w:rPr>
        <w:t xml:space="preserve">). By contrast, populations within Hawaii (Maui and Oahu) and Australia (Queensland, New South Wales, and Victoria) do not show strong patterns of differentiation (Figure </w:t>
      </w:r>
      <w:r w:rsidR="00537D61">
        <w:rPr>
          <w:rFonts w:ascii="Arial" w:hAnsi="Arial" w:cs="Arial"/>
          <w:sz w:val="22"/>
          <w:szCs w:val="22"/>
        </w:rPr>
        <w:t>2A-B</w:t>
      </w:r>
      <w:r w:rsidRPr="001A0367">
        <w:rPr>
          <w:rFonts w:ascii="Arial" w:hAnsi="Arial" w:cs="Arial"/>
          <w:sz w:val="22"/>
          <w:szCs w:val="22"/>
        </w:rPr>
        <w:t>). Norfolk Island, the other previously unsampled population in our dataset, groups closely with samples from Australia and New Zealand (</w:t>
      </w:r>
      <w:r w:rsidR="006A04A7" w:rsidRPr="001A0367">
        <w:rPr>
          <w:rFonts w:ascii="Arial" w:hAnsi="Arial" w:cs="Arial"/>
          <w:sz w:val="22"/>
          <w:szCs w:val="22"/>
        </w:rPr>
        <w:t>Figure</w:t>
      </w:r>
      <w:r w:rsidR="006A04A7">
        <w:rPr>
          <w:rFonts w:ascii="Arial" w:hAnsi="Arial" w:cs="Arial"/>
          <w:sz w:val="22"/>
          <w:szCs w:val="22"/>
        </w:rPr>
        <w:t>s</w:t>
      </w:r>
      <w:r w:rsidR="006A04A7" w:rsidRPr="001A0367">
        <w:rPr>
          <w:rFonts w:ascii="Arial" w:hAnsi="Arial" w:cs="Arial"/>
          <w:sz w:val="22"/>
          <w:szCs w:val="22"/>
        </w:rPr>
        <w:t xml:space="preserve"> </w:t>
      </w:r>
      <w:r w:rsidR="00537D61">
        <w:rPr>
          <w:rFonts w:ascii="Arial" w:hAnsi="Arial" w:cs="Arial"/>
          <w:sz w:val="22"/>
          <w:szCs w:val="22"/>
        </w:rPr>
        <w:t>2A-B</w:t>
      </w:r>
      <w:r w:rsidR="006A04A7">
        <w:rPr>
          <w:rFonts w:ascii="Arial" w:hAnsi="Arial" w:cs="Arial"/>
          <w:sz w:val="22"/>
          <w:szCs w:val="22"/>
        </w:rPr>
        <w:t xml:space="preserve"> and S1</w:t>
      </w:r>
      <w:r w:rsidR="00537D61">
        <w:rPr>
          <w:rFonts w:ascii="Arial" w:hAnsi="Arial" w:cs="Arial"/>
          <w:sz w:val="22"/>
          <w:szCs w:val="22"/>
        </w:rPr>
        <w:t>A-B</w:t>
      </w:r>
      <w:r w:rsidRPr="001A0367">
        <w:rPr>
          <w:rFonts w:ascii="Arial" w:hAnsi="Arial" w:cs="Arial"/>
          <w:sz w:val="22"/>
          <w:szCs w:val="22"/>
        </w:rPr>
        <w:t>).</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w:t>
      </w:r>
      <w:r w:rsidR="00246820">
        <w:rPr>
          <w:rFonts w:ascii="Arial" w:hAnsi="Arial" w:cs="Arial"/>
          <w:sz w:val="22"/>
          <w:szCs w:val="22"/>
        </w:rPr>
        <w:t>significant</w:t>
      </w:r>
      <w:r w:rsidR="000235BA" w:rsidRPr="001A0367">
        <w:rPr>
          <w:rFonts w:ascii="Arial" w:hAnsi="Arial" w:cs="Arial"/>
          <w:sz w:val="22"/>
          <w:szCs w:val="22"/>
        </w:rPr>
        <w:t xml:space="preserve"> </w:t>
      </w:r>
      <w:r w:rsidR="00896BDE">
        <w:rPr>
          <w:rFonts w:ascii="Arial" w:hAnsi="Arial" w:cs="Arial"/>
          <w:sz w:val="22"/>
          <w:szCs w:val="22"/>
        </w:rPr>
        <w:t>with</w:t>
      </w:r>
      <w:r w:rsidR="00246820">
        <w:rPr>
          <w:rFonts w:ascii="Arial" w:hAnsi="Arial" w:cs="Arial"/>
          <w:sz w:val="22"/>
          <w:szCs w:val="22"/>
        </w:rPr>
        <w:t>in</w:t>
      </w:r>
      <w:r w:rsidR="000235BA" w:rsidRPr="001A0367">
        <w:rPr>
          <w:rFonts w:ascii="Arial" w:hAnsi="Arial" w:cs="Arial"/>
          <w:sz w:val="22"/>
          <w:szCs w:val="22"/>
        </w:rPr>
        <w:t xml:space="preserve"> the </w:t>
      </w:r>
      <w:r w:rsidR="001B5296" w:rsidRPr="001A0367">
        <w:rPr>
          <w:rFonts w:ascii="Arial" w:hAnsi="Arial" w:cs="Arial"/>
          <w:sz w:val="22"/>
          <w:szCs w:val="22"/>
        </w:rPr>
        <w:t>Mariana Island</w:t>
      </w:r>
      <w:r w:rsidR="000235BA" w:rsidRPr="001A0367">
        <w:rPr>
          <w:rFonts w:ascii="Arial" w:hAnsi="Arial" w:cs="Arial"/>
          <w:sz w:val="22"/>
          <w:szCs w:val="22"/>
        </w:rPr>
        <w:t xml:space="preserve"> (p = 0.001</w:t>
      </w:r>
      <w:r w:rsidR="00A244C3">
        <w:rPr>
          <w:rFonts w:ascii="Arial" w:hAnsi="Arial" w:cs="Arial"/>
          <w:sz w:val="22"/>
          <w:szCs w:val="22"/>
        </w:rPr>
        <w:t xml:space="preserve">, r = </w:t>
      </w:r>
      <w:r w:rsidR="00246820" w:rsidRPr="00246820">
        <w:rPr>
          <w:rFonts w:ascii="Arial" w:hAnsi="Arial" w:cs="Arial"/>
          <w:sz w:val="22"/>
          <w:szCs w:val="22"/>
        </w:rPr>
        <w:t>0.723</w:t>
      </w:r>
      <w:r w:rsidR="000235BA" w:rsidRPr="001A0367">
        <w:rPr>
          <w:rFonts w:ascii="Arial" w:hAnsi="Arial" w:cs="Arial"/>
          <w:sz w:val="22"/>
          <w:szCs w:val="22"/>
        </w:rPr>
        <w:t>)</w:t>
      </w:r>
      <w:r w:rsidR="00246820">
        <w:rPr>
          <w:rFonts w:ascii="Arial" w:hAnsi="Arial" w:cs="Arial"/>
          <w:sz w:val="22"/>
          <w:szCs w:val="22"/>
        </w:rPr>
        <w:t xml:space="preserve">, North American (p = 0.001, r = </w:t>
      </w:r>
      <w:r w:rsidR="00246820" w:rsidRPr="00246820">
        <w:rPr>
          <w:rFonts w:ascii="Arial" w:hAnsi="Arial" w:cs="Arial"/>
          <w:sz w:val="22"/>
          <w:szCs w:val="22"/>
        </w:rPr>
        <w:t>0.</w:t>
      </w:r>
      <w:r w:rsidR="008333CE">
        <w:rPr>
          <w:rFonts w:ascii="Arial" w:hAnsi="Arial" w:cs="Arial"/>
          <w:sz w:val="22"/>
          <w:szCs w:val="22"/>
        </w:rPr>
        <w:t>036</w:t>
      </w:r>
      <w:r w:rsidR="00246820">
        <w:rPr>
          <w:rFonts w:ascii="Arial" w:hAnsi="Arial" w:cs="Arial"/>
          <w:sz w:val="22"/>
          <w:szCs w:val="22"/>
        </w:rPr>
        <w:t xml:space="preserve">), and Hawaiian (p = 0.005, r = 0.456) samples, and </w:t>
      </w:r>
      <w:r w:rsidR="000235BA" w:rsidRPr="001A0367">
        <w:rPr>
          <w:rFonts w:ascii="Arial" w:hAnsi="Arial" w:cs="Arial"/>
          <w:sz w:val="22"/>
          <w:szCs w:val="22"/>
        </w:rPr>
        <w:t xml:space="preserve">were present but not significant </w:t>
      </w:r>
      <w:r w:rsidR="00896BDE">
        <w:rPr>
          <w:rFonts w:ascii="Arial" w:hAnsi="Arial" w:cs="Arial"/>
          <w:sz w:val="22"/>
          <w:szCs w:val="22"/>
        </w:rPr>
        <w:t>with</w:t>
      </w:r>
      <w:r w:rsidR="000235BA" w:rsidRPr="001A0367">
        <w:rPr>
          <w:rFonts w:ascii="Arial" w:hAnsi="Arial" w:cs="Arial"/>
          <w:sz w:val="22"/>
          <w:szCs w:val="22"/>
        </w:rPr>
        <w:t>in Australia</w:t>
      </w:r>
      <w:r w:rsidR="00896BDE">
        <w:rPr>
          <w:rFonts w:ascii="Arial" w:hAnsi="Arial" w:cs="Arial"/>
          <w:sz w:val="22"/>
          <w:szCs w:val="22"/>
        </w:rPr>
        <w:t>n samples</w:t>
      </w:r>
      <w:r w:rsidR="000235BA" w:rsidRPr="001A0367">
        <w:rPr>
          <w:rFonts w:ascii="Arial" w:hAnsi="Arial" w:cs="Arial"/>
          <w:sz w:val="22"/>
          <w:szCs w:val="22"/>
        </w:rPr>
        <w:t xml:space="preserve"> (</w:t>
      </w:r>
      <w:r w:rsidR="00A244C3">
        <w:rPr>
          <w:rFonts w:ascii="Arial" w:hAnsi="Arial" w:cs="Arial"/>
          <w:sz w:val="22"/>
          <w:szCs w:val="22"/>
        </w:rPr>
        <w:t xml:space="preserve">p = </w:t>
      </w:r>
      <w:r w:rsidR="000235BA" w:rsidRPr="001A0367">
        <w:rPr>
          <w:rFonts w:ascii="Arial" w:hAnsi="Arial" w:cs="Arial"/>
          <w:sz w:val="22"/>
          <w:szCs w:val="22"/>
        </w:rPr>
        <w:t>0.</w:t>
      </w:r>
      <w:r w:rsidR="00246820">
        <w:rPr>
          <w:rFonts w:ascii="Arial" w:hAnsi="Arial" w:cs="Arial"/>
          <w:sz w:val="22"/>
          <w:szCs w:val="22"/>
        </w:rPr>
        <w:t>109</w:t>
      </w:r>
      <w:r w:rsidR="00A244C3">
        <w:rPr>
          <w:rFonts w:ascii="Arial" w:hAnsi="Arial" w:cs="Arial"/>
          <w:sz w:val="22"/>
          <w:szCs w:val="22"/>
        </w:rPr>
        <w:t xml:space="preserve">, r = </w:t>
      </w:r>
      <w:r w:rsidR="00246820" w:rsidRPr="00246820">
        <w:rPr>
          <w:rFonts w:ascii="Arial" w:hAnsi="Arial" w:cs="Arial"/>
          <w:sz w:val="22"/>
          <w:szCs w:val="22"/>
        </w:rPr>
        <w:t>0.122</w:t>
      </w:r>
      <w:r w:rsidR="001B5296" w:rsidRPr="001A0367">
        <w:rPr>
          <w:rFonts w:ascii="Arial" w:hAnsi="Arial" w:cs="Arial"/>
          <w:sz w:val="22"/>
          <w:szCs w:val="22"/>
        </w:rPr>
        <w:t>)</w:t>
      </w:r>
      <w:r w:rsidR="00246820">
        <w:rPr>
          <w:rFonts w:ascii="Arial" w:hAnsi="Arial" w:cs="Arial"/>
          <w:sz w:val="22"/>
          <w:szCs w:val="22"/>
        </w:rPr>
        <w:t xml:space="preserve">. </w:t>
      </w:r>
      <w:r w:rsidR="008101BF">
        <w:rPr>
          <w:rFonts w:ascii="Arial" w:hAnsi="Arial" w:cs="Arial"/>
          <w:sz w:val="22"/>
          <w:szCs w:val="22"/>
        </w:rPr>
        <w:t xml:space="preserve">In the heavily filtered dataset, IBD patterns were significant </w:t>
      </w:r>
      <w:r w:rsidR="00896BDE">
        <w:rPr>
          <w:rFonts w:ascii="Arial" w:hAnsi="Arial" w:cs="Arial"/>
          <w:sz w:val="22"/>
          <w:szCs w:val="22"/>
        </w:rPr>
        <w:t>with</w:t>
      </w:r>
      <w:r w:rsidR="008101BF">
        <w:rPr>
          <w:rFonts w:ascii="Arial" w:hAnsi="Arial" w:cs="Arial"/>
          <w:sz w:val="22"/>
          <w:szCs w:val="22"/>
        </w:rPr>
        <w:t>in all but Hawaii (p = 0.001, r = 0.</w:t>
      </w:r>
      <w:r w:rsidR="008101BF" w:rsidRPr="008101BF">
        <w:rPr>
          <w:rFonts w:ascii="Arial" w:hAnsi="Arial" w:cs="Arial"/>
          <w:sz w:val="22"/>
          <w:szCs w:val="22"/>
        </w:rPr>
        <w:t>593</w:t>
      </w:r>
      <w:r w:rsidR="008101BF">
        <w:rPr>
          <w:rFonts w:ascii="Arial" w:hAnsi="Arial" w:cs="Arial"/>
          <w:sz w:val="22"/>
          <w:szCs w:val="22"/>
        </w:rPr>
        <w:t xml:space="preserve"> in the Mariana Island</w:t>
      </w:r>
      <w:r w:rsidR="00D26586">
        <w:rPr>
          <w:rFonts w:ascii="Arial" w:hAnsi="Arial" w:cs="Arial"/>
          <w:sz w:val="22"/>
          <w:szCs w:val="22"/>
        </w:rPr>
        <w:t>s</w:t>
      </w:r>
      <w:r w:rsidR="008101BF">
        <w:rPr>
          <w:rFonts w:ascii="Arial" w:hAnsi="Arial" w:cs="Arial"/>
          <w:sz w:val="22"/>
          <w:szCs w:val="22"/>
        </w:rPr>
        <w:t>; p = 0.002, r = 0.</w:t>
      </w:r>
      <w:r w:rsidR="008101BF" w:rsidRPr="008101BF">
        <w:rPr>
          <w:rFonts w:ascii="Arial" w:hAnsi="Arial" w:cs="Arial"/>
          <w:sz w:val="22"/>
          <w:szCs w:val="22"/>
        </w:rPr>
        <w:t>054</w:t>
      </w:r>
      <w:r w:rsidR="008101BF">
        <w:rPr>
          <w:rFonts w:ascii="Arial" w:hAnsi="Arial" w:cs="Arial"/>
          <w:sz w:val="22"/>
          <w:szCs w:val="22"/>
        </w:rPr>
        <w:t xml:space="preserve"> in North America; p = 0.609, r = 0.</w:t>
      </w:r>
      <w:r w:rsidR="008101BF" w:rsidRPr="008101BF">
        <w:rPr>
          <w:rFonts w:ascii="Arial" w:hAnsi="Arial" w:cs="Arial"/>
          <w:sz w:val="22"/>
          <w:szCs w:val="22"/>
        </w:rPr>
        <w:t>131</w:t>
      </w:r>
      <w:r w:rsidR="008101BF">
        <w:rPr>
          <w:rFonts w:ascii="Arial" w:hAnsi="Arial" w:cs="Arial"/>
          <w:sz w:val="22"/>
          <w:szCs w:val="22"/>
        </w:rPr>
        <w:t xml:space="preserve"> in Hawaii; and p = 0.014, r = 0.</w:t>
      </w:r>
      <w:r w:rsidR="008101BF" w:rsidRPr="008101BF">
        <w:rPr>
          <w:rFonts w:ascii="Arial" w:hAnsi="Arial" w:cs="Arial"/>
          <w:sz w:val="22"/>
          <w:szCs w:val="22"/>
        </w:rPr>
        <w:t>238</w:t>
      </w:r>
      <w:r w:rsidR="008101BF">
        <w:rPr>
          <w:rFonts w:ascii="Arial" w:hAnsi="Arial" w:cs="Arial"/>
          <w:sz w:val="22"/>
          <w:szCs w:val="22"/>
        </w:rPr>
        <w:t xml:space="preserve"> in Australia).</w:t>
      </w:r>
    </w:p>
    <w:p w14:paraId="14812AF3"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3294EFB7" w14:textId="77777777" w:rsidR="00BE118A" w:rsidRDefault="003F0723" w:rsidP="00BE118A">
      <w:pPr>
        <w:spacing w:line="480" w:lineRule="auto"/>
        <w:jc w:val="both"/>
        <w:rPr>
          <w:rFonts w:ascii="Arial" w:hAnsi="Arial" w:cs="Arial"/>
          <w:sz w:val="22"/>
          <w:szCs w:val="22"/>
        </w:rPr>
      </w:pPr>
      <w:r w:rsidRPr="001A0367">
        <w:rPr>
          <w:rFonts w:ascii="Arial" w:hAnsi="Arial" w:cs="Arial"/>
          <w:sz w:val="22"/>
          <w:szCs w:val="22"/>
        </w:rPr>
        <w:t xml:space="preserve"> </w:t>
      </w:r>
    </w:p>
    <w:p w14:paraId="330A56FB" w14:textId="21E6DD28" w:rsidR="00BE118A" w:rsidRPr="001A0367" w:rsidRDefault="00BE118A" w:rsidP="00BE118A">
      <w:pPr>
        <w:spacing w:line="480"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simple </w:t>
      </w:r>
      <w:r>
        <w:rPr>
          <w:rFonts w:ascii="Arial" w:hAnsi="Arial" w:cs="Arial"/>
          <w:i/>
          <w:sz w:val="22"/>
          <w:szCs w:val="22"/>
        </w:rPr>
        <w:t>Found and Grow</w:t>
      </w:r>
      <w:r w:rsidRPr="001A0367">
        <w:rPr>
          <w:rFonts w:ascii="Arial" w:hAnsi="Arial" w:cs="Arial"/>
          <w:sz w:val="22"/>
          <w:szCs w:val="22"/>
        </w:rPr>
        <w:t xml:space="preserve"> scenario (Figure 1</w:t>
      </w:r>
      <w:r w:rsidR="00F02E69">
        <w:rPr>
          <w:rFonts w:ascii="Arial" w:hAnsi="Arial" w:cs="Arial"/>
          <w:sz w:val="22"/>
          <w:szCs w:val="22"/>
        </w:rPr>
        <w:t>B</w:t>
      </w:r>
      <w:r w:rsidRPr="001A0367">
        <w:rPr>
          <w:rFonts w:ascii="Arial" w:hAnsi="Arial" w:cs="Arial"/>
          <w:sz w:val="22"/>
          <w:szCs w:val="22"/>
        </w:rPr>
        <w:t>), which had a constant ancestral population size in North America, Hawaii colonization, and then population growth in both sites, produced the lowest AIC scores on the final pass of the pipeline</w:t>
      </w:r>
      <w:r>
        <w:rPr>
          <w:rFonts w:ascii="Arial" w:hAnsi="Arial" w:cs="Arial"/>
          <w:sz w:val="22"/>
          <w:szCs w:val="22"/>
        </w:rPr>
        <w:t xml:space="preserve"> (Figure S</w:t>
      </w:r>
      <w:r w:rsidR="00B566CE">
        <w:rPr>
          <w:rFonts w:ascii="Arial" w:hAnsi="Arial" w:cs="Arial"/>
          <w:sz w:val="22"/>
          <w:szCs w:val="22"/>
        </w:rPr>
        <w:t>5</w:t>
      </w:r>
      <w:r>
        <w:rPr>
          <w:rFonts w:ascii="Arial" w:hAnsi="Arial" w:cs="Arial"/>
          <w:sz w:val="22"/>
          <w:szCs w:val="22"/>
        </w:rPr>
        <w:t>)</w:t>
      </w:r>
      <w:r w:rsidRPr="001A0367">
        <w:rPr>
          <w:rFonts w:ascii="Arial" w:hAnsi="Arial" w:cs="Arial"/>
          <w:sz w:val="22"/>
          <w:szCs w:val="22"/>
        </w:rPr>
        <w:t xml:space="preserve">. However, the </w:t>
      </w:r>
      <w:r>
        <w:rPr>
          <w:rFonts w:ascii="Arial" w:hAnsi="Arial" w:cs="Arial"/>
          <w:i/>
          <w:iCs/>
          <w:sz w:val="22"/>
          <w:szCs w:val="22"/>
        </w:rPr>
        <w:t xml:space="preserve">Two Epoch </w:t>
      </w:r>
      <w:r>
        <w:rPr>
          <w:rFonts w:ascii="Arial" w:hAnsi="Arial" w:cs="Arial"/>
          <w:sz w:val="22"/>
          <w:szCs w:val="22"/>
        </w:rPr>
        <w:t>model, which had a single admixture event but no consistent migration (Figure 1</w:t>
      </w:r>
      <w:r w:rsidR="00F02E69">
        <w:rPr>
          <w:rFonts w:ascii="Arial" w:hAnsi="Arial" w:cs="Arial"/>
          <w:sz w:val="22"/>
          <w:szCs w:val="22"/>
        </w:rPr>
        <w:t>C</w:t>
      </w:r>
      <w:r>
        <w:rPr>
          <w:rFonts w:ascii="Arial" w:hAnsi="Arial" w:cs="Arial"/>
          <w:sz w:val="22"/>
          <w:szCs w:val="22"/>
        </w:rPr>
        <w:t>), had the lowest AIC score across all passes of the pipeline. The</w:t>
      </w:r>
      <w:r>
        <w:rPr>
          <w:rFonts w:ascii="Arial" w:hAnsi="Arial" w:cs="Arial"/>
          <w:i/>
          <w:iCs/>
          <w:sz w:val="22"/>
          <w:szCs w:val="22"/>
        </w:rPr>
        <w:t xml:space="preserve"> </w:t>
      </w:r>
      <w:r w:rsidRPr="001A0367">
        <w:rPr>
          <w:rFonts w:ascii="Arial" w:hAnsi="Arial" w:cs="Arial"/>
          <w:sz w:val="22"/>
          <w:szCs w:val="22"/>
        </w:rPr>
        <w:t xml:space="preserve">new </w:t>
      </w:r>
      <w:r>
        <w:rPr>
          <w:rFonts w:ascii="Arial" w:hAnsi="Arial" w:cs="Arial"/>
          <w:i/>
          <w:sz w:val="22"/>
          <w:szCs w:val="22"/>
        </w:rPr>
        <w:t>Three Epoch</w:t>
      </w:r>
      <w:r w:rsidRPr="001A0367">
        <w:rPr>
          <w:rFonts w:ascii="Arial" w:hAnsi="Arial" w:cs="Arial"/>
          <w:i/>
          <w:sz w:val="22"/>
          <w:szCs w:val="22"/>
        </w:rPr>
        <w:t xml:space="preserve"> </w:t>
      </w:r>
      <w:r>
        <w:rPr>
          <w:rFonts w:ascii="Arial" w:hAnsi="Arial" w:cs="Arial"/>
          <w:iCs/>
          <w:sz w:val="22"/>
          <w:szCs w:val="22"/>
        </w:rPr>
        <w:t xml:space="preserve">model (Figure </w:t>
      </w:r>
      <w:r w:rsidR="00B566CE">
        <w:rPr>
          <w:rFonts w:ascii="Arial" w:hAnsi="Arial" w:cs="Arial"/>
          <w:iCs/>
          <w:sz w:val="22"/>
          <w:szCs w:val="22"/>
        </w:rPr>
        <w:t>1</w:t>
      </w:r>
      <w:r w:rsidR="00F02E69">
        <w:rPr>
          <w:rFonts w:ascii="Arial" w:hAnsi="Arial" w:cs="Arial"/>
          <w:iCs/>
          <w:sz w:val="22"/>
          <w:szCs w:val="22"/>
        </w:rPr>
        <w:t>A</w:t>
      </w:r>
      <w:r>
        <w:rPr>
          <w:rFonts w:ascii="Arial" w:hAnsi="Arial" w:cs="Arial"/>
          <w:iCs/>
          <w:sz w:val="22"/>
          <w:szCs w:val="22"/>
        </w:rPr>
        <w:t>)</w:t>
      </w:r>
      <w:r w:rsidRPr="001A0367">
        <w:rPr>
          <w:rFonts w:ascii="Arial" w:hAnsi="Arial" w:cs="Arial"/>
          <w:sz w:val="22"/>
          <w:szCs w:val="22"/>
        </w:rPr>
        <w:t xml:space="preserve">, which involved multiple rounds </w:t>
      </w:r>
      <w:r w:rsidRPr="001A0367">
        <w:rPr>
          <w:rFonts w:ascii="Arial" w:hAnsi="Arial" w:cs="Arial"/>
          <w:sz w:val="22"/>
          <w:szCs w:val="22"/>
        </w:rPr>
        <w:lastRenderedPageBreak/>
        <w:t xml:space="preserve">of demographic expansion in the ancestral North American population, followed by colonization and growth in Hawaii, </w:t>
      </w:r>
      <w:r>
        <w:rPr>
          <w:rFonts w:ascii="Arial" w:hAnsi="Arial" w:cs="Arial"/>
          <w:sz w:val="22"/>
          <w:szCs w:val="22"/>
        </w:rPr>
        <w:t xml:space="preserve">had a lower AIC score than </w:t>
      </w:r>
      <w:r>
        <w:rPr>
          <w:rFonts w:ascii="Arial" w:hAnsi="Arial" w:cs="Arial"/>
          <w:i/>
          <w:iCs/>
          <w:sz w:val="22"/>
          <w:szCs w:val="22"/>
        </w:rPr>
        <w:t xml:space="preserve">Found and Grow </w:t>
      </w:r>
      <w:r>
        <w:rPr>
          <w:rFonts w:ascii="Arial" w:hAnsi="Arial" w:cs="Arial"/>
          <w:sz w:val="22"/>
          <w:szCs w:val="22"/>
        </w:rPr>
        <w:t xml:space="preserve">across all passes and a lower AIC score than the </w:t>
      </w:r>
      <w:r>
        <w:rPr>
          <w:rFonts w:ascii="Arial" w:hAnsi="Arial" w:cs="Arial"/>
          <w:i/>
          <w:iCs/>
          <w:sz w:val="22"/>
          <w:szCs w:val="22"/>
        </w:rPr>
        <w:t>Two Epoch</w:t>
      </w:r>
      <w:r>
        <w:rPr>
          <w:rFonts w:ascii="Arial" w:hAnsi="Arial" w:cs="Arial"/>
          <w:sz w:val="22"/>
          <w:szCs w:val="22"/>
        </w:rPr>
        <w:t xml:space="preserve"> model</w:t>
      </w:r>
      <w:r w:rsidRPr="001A48F9">
        <w:rPr>
          <w:rFonts w:ascii="Arial" w:hAnsi="Arial" w:cs="Arial"/>
          <w:sz w:val="22"/>
          <w:szCs w:val="22"/>
        </w:rPr>
        <w:t xml:space="preserve"> on the final pass</w:t>
      </w:r>
      <w:r>
        <w:rPr>
          <w:rFonts w:ascii="Arial" w:hAnsi="Arial" w:cs="Arial"/>
          <w:i/>
          <w:iCs/>
          <w:sz w:val="22"/>
          <w:szCs w:val="22"/>
        </w:rPr>
        <w:t xml:space="preserve"> </w:t>
      </w:r>
      <w:r w:rsidRPr="001A48F9">
        <w:rPr>
          <w:rFonts w:ascii="Arial" w:hAnsi="Arial" w:cs="Arial"/>
          <w:sz w:val="22"/>
          <w:szCs w:val="22"/>
        </w:rPr>
        <w:t>(Figure S</w:t>
      </w:r>
      <w:r w:rsidR="00B566CE">
        <w:rPr>
          <w:rFonts w:ascii="Arial" w:hAnsi="Arial" w:cs="Arial"/>
          <w:sz w:val="22"/>
          <w:szCs w:val="22"/>
        </w:rPr>
        <w:t>5</w:t>
      </w:r>
      <w:r w:rsidRPr="001A48F9">
        <w:rPr>
          <w:rFonts w:ascii="Arial" w:hAnsi="Arial" w:cs="Arial"/>
          <w:sz w:val="22"/>
          <w:szCs w:val="22"/>
        </w:rPr>
        <w:t>)</w:t>
      </w:r>
      <w:r>
        <w:rPr>
          <w:rFonts w:ascii="Arial" w:hAnsi="Arial" w:cs="Arial"/>
          <w:i/>
          <w:iCs/>
          <w:sz w:val="22"/>
          <w:szCs w:val="22"/>
        </w:rPr>
        <w:t xml:space="preserve">. </w:t>
      </w:r>
      <w:r>
        <w:rPr>
          <w:rFonts w:ascii="Arial" w:hAnsi="Arial" w:cs="Arial"/>
          <w:sz w:val="22"/>
          <w:szCs w:val="22"/>
        </w:rPr>
        <w:t xml:space="preserve">These were </w:t>
      </w:r>
      <w:r w:rsidR="00896BDE">
        <w:rPr>
          <w:rFonts w:ascii="Arial" w:hAnsi="Arial" w:cs="Arial"/>
          <w:sz w:val="22"/>
          <w:szCs w:val="22"/>
        </w:rPr>
        <w:t xml:space="preserve">the </w:t>
      </w:r>
      <w:r>
        <w:rPr>
          <w:rFonts w:ascii="Arial" w:hAnsi="Arial" w:cs="Arial"/>
          <w:sz w:val="22"/>
          <w:szCs w:val="22"/>
        </w:rPr>
        <w:t>top three models across all passes and in the final pass alone</w:t>
      </w:r>
      <w:r>
        <w:rPr>
          <w:rFonts w:ascii="Arial" w:hAnsi="Arial" w:cs="Arial"/>
          <w:i/>
          <w:iCs/>
          <w:sz w:val="22"/>
          <w:szCs w:val="22"/>
        </w:rPr>
        <w:t xml:space="preserve"> </w:t>
      </w:r>
      <w:r w:rsidRPr="001A0367">
        <w:rPr>
          <w:rFonts w:ascii="Arial" w:hAnsi="Arial" w:cs="Arial"/>
          <w:sz w:val="22"/>
          <w:szCs w:val="22"/>
        </w:rPr>
        <w:t>(Figure S</w:t>
      </w:r>
      <w:r w:rsidR="00B566CE">
        <w:rPr>
          <w:rFonts w:ascii="Arial" w:hAnsi="Arial" w:cs="Arial"/>
          <w:sz w:val="22"/>
          <w:szCs w:val="22"/>
        </w:rPr>
        <w:t>5</w:t>
      </w:r>
      <w:r>
        <w:rPr>
          <w:rFonts w:ascii="Arial" w:hAnsi="Arial" w:cs="Arial"/>
          <w:sz w:val="22"/>
          <w:szCs w:val="22"/>
        </w:rPr>
        <w:t xml:space="preserve">, Table </w:t>
      </w:r>
      <w:r w:rsidRPr="003169AB">
        <w:rPr>
          <w:rFonts w:ascii="Arial" w:hAnsi="Arial" w:cs="Arial"/>
          <w:sz w:val="22"/>
          <w:szCs w:val="22"/>
        </w:rPr>
        <w:t>S</w:t>
      </w:r>
      <w:r>
        <w:rPr>
          <w:rFonts w:ascii="Arial" w:hAnsi="Arial" w:cs="Arial"/>
          <w:sz w:val="22"/>
          <w:szCs w:val="22"/>
        </w:rPr>
        <w:t>4</w:t>
      </w:r>
      <w:r w:rsidRPr="001A0367">
        <w:rPr>
          <w:rFonts w:ascii="Arial" w:hAnsi="Arial" w:cs="Arial"/>
          <w:sz w:val="22"/>
          <w:szCs w:val="22"/>
        </w:rPr>
        <w:t xml:space="preserve">). The </w:t>
      </w:r>
      <w:r>
        <w:rPr>
          <w:rFonts w:ascii="Arial" w:hAnsi="Arial" w:cs="Arial"/>
          <w:i/>
          <w:sz w:val="22"/>
          <w:szCs w:val="22"/>
        </w:rPr>
        <w:t>Three Epoch</w:t>
      </w:r>
      <w:r w:rsidRPr="001A0367">
        <w:rPr>
          <w:rFonts w:ascii="Arial" w:hAnsi="Arial" w:cs="Arial"/>
          <w:sz w:val="22"/>
          <w:szCs w:val="22"/>
        </w:rPr>
        <w:t xml:space="preserve"> model is a more complex version of the model specified in Zhan et al. (2014</w:t>
      </w:r>
      <w:r>
        <w:rPr>
          <w:rFonts w:ascii="Arial" w:hAnsi="Arial" w:cs="Arial"/>
          <w:sz w:val="22"/>
          <w:szCs w:val="22"/>
        </w:rPr>
        <w:t xml:space="preserve">, hereafter </w:t>
      </w:r>
      <w:r>
        <w:rPr>
          <w:rFonts w:ascii="Arial" w:hAnsi="Arial" w:cs="Arial"/>
          <w:i/>
          <w:iCs/>
          <w:sz w:val="22"/>
          <w:szCs w:val="22"/>
        </w:rPr>
        <w:t>Zhan</w:t>
      </w:r>
      <w:r w:rsidRPr="001A0367">
        <w:rPr>
          <w:rFonts w:ascii="Arial" w:hAnsi="Arial" w:cs="Arial"/>
          <w:sz w:val="22"/>
          <w:szCs w:val="22"/>
        </w:rPr>
        <w:t xml:space="preserve">). </w:t>
      </w:r>
      <w:r w:rsidR="00B7219A">
        <w:rPr>
          <w:rFonts w:ascii="Arial" w:hAnsi="Arial" w:cs="Arial"/>
          <w:sz w:val="22"/>
          <w:szCs w:val="22"/>
        </w:rPr>
        <w:t>We therefore report only the results for</w:t>
      </w:r>
      <w:r w:rsidRPr="001A0367">
        <w:rPr>
          <w:rFonts w:ascii="Arial" w:hAnsi="Arial" w:cs="Arial"/>
          <w:sz w:val="22"/>
          <w:szCs w:val="22"/>
        </w:rPr>
        <w:t xml:space="preserve"> </w:t>
      </w:r>
      <w:r>
        <w:rPr>
          <w:rFonts w:ascii="Arial" w:hAnsi="Arial" w:cs="Arial"/>
          <w:i/>
          <w:sz w:val="22"/>
          <w:szCs w:val="22"/>
        </w:rPr>
        <w:t>Found and Grow</w:t>
      </w:r>
      <w:r>
        <w:rPr>
          <w:rFonts w:ascii="Arial" w:hAnsi="Arial" w:cs="Arial"/>
          <w:sz w:val="22"/>
          <w:szCs w:val="22"/>
        </w:rPr>
        <w:t xml:space="preserve">, </w:t>
      </w:r>
      <w:r>
        <w:rPr>
          <w:rFonts w:ascii="Arial" w:hAnsi="Arial" w:cs="Arial"/>
          <w:i/>
          <w:sz w:val="22"/>
          <w:szCs w:val="22"/>
        </w:rPr>
        <w:t xml:space="preserve">Three Epoch, Two Epoch, </w:t>
      </w:r>
      <w:r w:rsidRPr="00BE118A">
        <w:rPr>
          <w:rFonts w:ascii="Arial" w:hAnsi="Arial" w:cs="Arial"/>
          <w:iCs/>
          <w:sz w:val="22"/>
          <w:szCs w:val="22"/>
        </w:rPr>
        <w:t>and</w:t>
      </w:r>
      <w:r>
        <w:rPr>
          <w:rFonts w:ascii="Arial" w:hAnsi="Arial" w:cs="Arial"/>
          <w:i/>
          <w:sz w:val="22"/>
          <w:szCs w:val="22"/>
        </w:rPr>
        <w:t xml:space="preserve"> Zhan</w:t>
      </w:r>
      <w:r w:rsidRPr="001A0367">
        <w:rPr>
          <w:rFonts w:ascii="Arial" w:hAnsi="Arial" w:cs="Arial"/>
          <w:sz w:val="22"/>
          <w:szCs w:val="22"/>
        </w:rPr>
        <w:t xml:space="preserve"> models</w:t>
      </w:r>
      <w:r w:rsidR="00B7219A">
        <w:rPr>
          <w:rFonts w:ascii="Arial" w:hAnsi="Arial" w:cs="Arial"/>
          <w:sz w:val="22"/>
          <w:szCs w:val="22"/>
        </w:rPr>
        <w:t xml:space="preserve"> here.</w:t>
      </w:r>
    </w:p>
    <w:p w14:paraId="12163281" w14:textId="76CD881E" w:rsidR="00355224" w:rsidRPr="001A0367" w:rsidRDefault="00BE118A" w:rsidP="00BE118A">
      <w:pPr>
        <w:spacing w:line="480" w:lineRule="auto"/>
        <w:ind w:firstLine="720"/>
        <w:jc w:val="both"/>
        <w:rPr>
          <w:rFonts w:ascii="Arial" w:hAnsi="Arial" w:cs="Arial"/>
          <w:sz w:val="22"/>
          <w:szCs w:val="22"/>
        </w:rPr>
      </w:pPr>
      <w:r>
        <w:rPr>
          <w:rFonts w:ascii="Arial" w:hAnsi="Arial" w:cs="Arial"/>
          <w:sz w:val="22"/>
          <w:szCs w:val="22"/>
        </w:rPr>
        <w:t>These four</w:t>
      </w:r>
      <w:r w:rsidR="00A16EFC">
        <w:rPr>
          <w:rFonts w:ascii="Arial" w:hAnsi="Arial" w:cs="Arial"/>
          <w:i/>
          <w:iCs/>
          <w:sz w:val="22"/>
          <w:szCs w:val="22"/>
        </w:rPr>
        <w:t xml:space="preserve"> </w:t>
      </w:r>
      <w:r w:rsidR="00A16EFC">
        <w:rPr>
          <w:rFonts w:ascii="Arial" w:hAnsi="Arial" w:cs="Arial"/>
          <w:sz w:val="22"/>
          <w:szCs w:val="22"/>
        </w:rPr>
        <w:t>model</w:t>
      </w:r>
      <w:r>
        <w:rPr>
          <w:rFonts w:ascii="Arial" w:hAnsi="Arial" w:cs="Arial"/>
          <w:sz w:val="22"/>
          <w:szCs w:val="22"/>
        </w:rPr>
        <w:t>s</w:t>
      </w:r>
      <w:r w:rsidR="00A16EFC">
        <w:rPr>
          <w:rFonts w:ascii="Arial" w:hAnsi="Arial" w:cs="Arial"/>
          <w:sz w:val="22"/>
          <w:szCs w:val="22"/>
        </w:rPr>
        <w:t xml:space="preserve"> </w:t>
      </w:r>
      <w:r w:rsidR="003F0723"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003F0723" w:rsidRPr="001A0367">
        <w:rPr>
          <w:rFonts w:ascii="Arial" w:hAnsi="Arial" w:cs="Arial"/>
          <w:sz w:val="22"/>
          <w:szCs w:val="22"/>
        </w:rPr>
        <w:t xml:space="preserve"> model generally producing much broader estimates for these parameters. For example</w:t>
      </w:r>
      <w:r w:rsidR="00B7219A">
        <w:rPr>
          <w:rFonts w:ascii="Arial" w:hAnsi="Arial" w:cs="Arial"/>
          <w:sz w:val="22"/>
          <w:szCs w:val="22"/>
        </w:rPr>
        <w:t>,</w:t>
      </w:r>
      <w:r w:rsidR="003F0723" w:rsidRPr="001A0367">
        <w:rPr>
          <w:rFonts w:ascii="Arial" w:hAnsi="Arial" w:cs="Arial"/>
          <w:sz w:val="22"/>
          <w:szCs w:val="22"/>
        </w:rPr>
        <w:t xml:space="preserve"> while the </w:t>
      </w:r>
      <w:r w:rsidR="0019445A">
        <w:rPr>
          <w:rFonts w:ascii="Arial" w:hAnsi="Arial" w:cs="Arial"/>
          <w:i/>
          <w:sz w:val="22"/>
          <w:szCs w:val="22"/>
        </w:rPr>
        <w:t>Three Epoch</w:t>
      </w:r>
      <w:r w:rsidR="003F0723" w:rsidRPr="001A0367">
        <w:rPr>
          <w:rFonts w:ascii="Arial" w:hAnsi="Arial" w:cs="Arial"/>
          <w:sz w:val="22"/>
          <w:szCs w:val="22"/>
        </w:rPr>
        <w:t xml:space="preserve"> model suggested establishment times that ranged between approximately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to 10</w:t>
      </w:r>
      <w:r w:rsidR="003F0723" w:rsidRPr="001A0367">
        <w:rPr>
          <w:rFonts w:ascii="Arial" w:hAnsi="Arial" w:cs="Arial"/>
          <w:sz w:val="22"/>
          <w:szCs w:val="22"/>
          <w:vertAlign w:val="superscript"/>
        </w:rPr>
        <w:t>5</w:t>
      </w:r>
      <w:r w:rsidR="003F0723" w:rsidRPr="001A0367">
        <w:rPr>
          <w:rFonts w:ascii="Arial" w:hAnsi="Arial" w:cs="Arial"/>
          <w:sz w:val="22"/>
          <w:szCs w:val="22"/>
        </w:rPr>
        <w:t xml:space="preserve"> years ago</w:t>
      </w:r>
      <w:r w:rsidR="00B7219A">
        <w:rPr>
          <w:rFonts w:ascii="Arial" w:hAnsi="Arial" w:cs="Arial"/>
          <w:sz w:val="22"/>
          <w:szCs w:val="22"/>
        </w:rPr>
        <w:t>, the other models suggested times between</w:t>
      </w:r>
      <w:r w:rsidR="00896BDE">
        <w:rPr>
          <w:rFonts w:ascii="Arial" w:hAnsi="Arial" w:cs="Arial"/>
          <w:sz w:val="22"/>
          <w:szCs w:val="22"/>
        </w:rPr>
        <w:t xml:space="preserve"> </w:t>
      </w:r>
      <w:r w:rsidR="00B7219A" w:rsidRPr="00A16EFC">
        <w:rPr>
          <w:rFonts w:ascii="Arial" w:hAnsi="Arial" w:cs="Arial"/>
          <w:sz w:val="22"/>
          <w:szCs w:val="22"/>
        </w:rPr>
        <w:t>10</w:t>
      </w:r>
      <w:r w:rsidR="00B7219A">
        <w:rPr>
          <w:rFonts w:ascii="Arial" w:hAnsi="Arial" w:cs="Arial"/>
          <w:sz w:val="22"/>
          <w:szCs w:val="22"/>
          <w:vertAlign w:val="superscript"/>
        </w:rPr>
        <w:t>4</w:t>
      </w:r>
      <w:r w:rsidR="00B7219A">
        <w:rPr>
          <w:rFonts w:ascii="Arial" w:hAnsi="Arial" w:cs="Arial"/>
          <w:sz w:val="22"/>
          <w:szCs w:val="22"/>
        </w:rPr>
        <w:t xml:space="preserve"> and </w:t>
      </w:r>
      <w:r w:rsidR="00B7219A" w:rsidRPr="00A16EFC">
        <w:rPr>
          <w:rFonts w:ascii="Arial" w:hAnsi="Arial" w:cs="Arial"/>
          <w:sz w:val="22"/>
          <w:szCs w:val="22"/>
        </w:rPr>
        <w:t>10</w:t>
      </w:r>
      <w:r w:rsidR="00B7219A" w:rsidRPr="00A16EFC">
        <w:rPr>
          <w:rFonts w:ascii="Arial" w:hAnsi="Arial" w:cs="Arial"/>
          <w:sz w:val="22"/>
          <w:szCs w:val="22"/>
          <w:vertAlign w:val="superscript"/>
        </w:rPr>
        <w:t>5</w:t>
      </w:r>
      <w:r w:rsidR="00B7219A" w:rsidRPr="001A0367">
        <w:rPr>
          <w:rFonts w:ascii="Arial" w:hAnsi="Arial" w:cs="Arial"/>
          <w:sz w:val="22"/>
          <w:szCs w:val="22"/>
        </w:rPr>
        <w:t xml:space="preserve"> years ago</w:t>
      </w:r>
      <w:r w:rsidR="003F0723" w:rsidRPr="001A0367">
        <w:rPr>
          <w:rFonts w:ascii="Arial" w:hAnsi="Arial" w:cs="Arial"/>
          <w:sz w:val="22"/>
          <w:szCs w:val="22"/>
        </w:rPr>
        <w:t xml:space="preserve"> (Fig</w:t>
      </w:r>
      <w:r w:rsidR="009A69BA">
        <w:rPr>
          <w:rFonts w:ascii="Arial" w:hAnsi="Arial" w:cs="Arial"/>
          <w:sz w:val="22"/>
          <w:szCs w:val="22"/>
        </w:rPr>
        <w:t xml:space="preserve">ure </w:t>
      </w:r>
      <w:r w:rsidR="00B566CE">
        <w:rPr>
          <w:rFonts w:ascii="Arial" w:hAnsi="Arial" w:cs="Arial"/>
          <w:sz w:val="22"/>
          <w:szCs w:val="22"/>
        </w:rPr>
        <w:t>3</w:t>
      </w:r>
      <w:r w:rsidR="003F0723" w:rsidRPr="001A0367">
        <w:rPr>
          <w:rFonts w:ascii="Arial" w:hAnsi="Arial" w:cs="Arial"/>
          <w:sz w:val="22"/>
          <w:szCs w:val="22"/>
        </w:rPr>
        <w:t xml:space="preserve">). Similarly, the </w:t>
      </w:r>
      <w:r w:rsidR="00B7219A">
        <w:rPr>
          <w:rFonts w:ascii="Arial" w:hAnsi="Arial" w:cs="Arial"/>
          <w:sz w:val="22"/>
          <w:szCs w:val="22"/>
        </w:rPr>
        <w:t>latter</w:t>
      </w:r>
      <w:r w:rsidR="003F0723"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896BDE">
        <w:rPr>
          <w:rFonts w:ascii="Arial" w:hAnsi="Arial" w:cs="Arial"/>
          <w:sz w:val="22"/>
          <w:szCs w:val="22"/>
        </w:rPr>
        <w:t xml:space="preserve"> to </w:t>
      </w:r>
      <w:r w:rsidR="003F0723" w:rsidRPr="001A0367">
        <w:rPr>
          <w:rFonts w:ascii="Arial" w:hAnsi="Arial" w:cs="Arial"/>
          <w:sz w:val="22"/>
          <w:szCs w:val="22"/>
        </w:rPr>
        <w:t>10</w:t>
      </w:r>
      <w:r w:rsidR="00A16EFC">
        <w:rPr>
          <w:rFonts w:ascii="Arial" w:hAnsi="Arial" w:cs="Arial"/>
          <w:sz w:val="22"/>
          <w:szCs w:val="22"/>
          <w:vertAlign w:val="superscript"/>
        </w:rPr>
        <w:t>6</w:t>
      </w:r>
      <w:r w:rsidR="003F0723" w:rsidRPr="001A0367">
        <w:rPr>
          <w:rFonts w:ascii="Arial" w:hAnsi="Arial" w:cs="Arial"/>
          <w:sz w:val="22"/>
          <w:szCs w:val="22"/>
        </w:rPr>
        <w:t xml:space="preserve"> individuals, while the </w:t>
      </w:r>
      <w:r w:rsidR="0019445A">
        <w:rPr>
          <w:rFonts w:ascii="Arial" w:hAnsi="Arial" w:cs="Arial"/>
          <w:i/>
          <w:sz w:val="22"/>
          <w:szCs w:val="22"/>
        </w:rPr>
        <w:t>Three Epoch</w:t>
      </w:r>
      <w:r w:rsidR="003F0723"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003F0723" w:rsidRPr="001A0367">
        <w:rPr>
          <w:rFonts w:ascii="Arial" w:hAnsi="Arial" w:cs="Arial"/>
          <w:sz w:val="22"/>
          <w:szCs w:val="22"/>
        </w:rPr>
        <w:t xml:space="preserve">individuals (Figure </w:t>
      </w:r>
      <w:r w:rsidR="00B566CE">
        <w:rPr>
          <w:rFonts w:ascii="Arial" w:hAnsi="Arial" w:cs="Arial"/>
          <w:sz w:val="22"/>
          <w:szCs w:val="22"/>
        </w:rPr>
        <w:t>3</w:t>
      </w:r>
      <w:r w:rsidR="003F0723"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003F0723" w:rsidRPr="001A0367">
        <w:rPr>
          <w:rFonts w:ascii="Arial" w:hAnsi="Arial" w:cs="Arial"/>
          <w:sz w:val="22"/>
          <w:szCs w:val="22"/>
        </w:rPr>
        <w:t xml:space="preserv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for the Hawaiian population, with the </w:t>
      </w:r>
      <w:r w:rsidR="0019445A">
        <w:rPr>
          <w:rFonts w:ascii="Arial" w:hAnsi="Arial" w:cs="Arial"/>
          <w:i/>
          <w:iCs/>
          <w:sz w:val="22"/>
          <w:szCs w:val="22"/>
        </w:rPr>
        <w:t>Found and Grow</w:t>
      </w:r>
      <w:r w:rsidR="003F0723"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003F0723" w:rsidRPr="001A0367">
        <w:rPr>
          <w:rFonts w:ascii="Arial" w:hAnsi="Arial" w:cs="Arial"/>
          <w:sz w:val="22"/>
          <w:szCs w:val="22"/>
        </w:rPr>
        <w:t xml:space="preserve">model suggesting a large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of around 10</w:t>
      </w:r>
      <w:r w:rsidR="003F0723" w:rsidRPr="001A0367">
        <w:rPr>
          <w:rFonts w:ascii="Arial" w:hAnsi="Arial" w:cs="Arial"/>
          <w:sz w:val="22"/>
          <w:szCs w:val="22"/>
          <w:vertAlign w:val="superscript"/>
        </w:rPr>
        <w:t>6</w:t>
      </w:r>
      <w:r w:rsidR="003F0723" w:rsidRPr="001A0367">
        <w:rPr>
          <w:rFonts w:ascii="Arial" w:hAnsi="Arial" w:cs="Arial"/>
          <w:sz w:val="22"/>
          <w:szCs w:val="22"/>
        </w:rPr>
        <w:t xml:space="preserve"> and the </w:t>
      </w:r>
      <w:r w:rsidR="0019445A">
        <w:rPr>
          <w:rFonts w:ascii="Arial" w:hAnsi="Arial" w:cs="Arial"/>
          <w:i/>
          <w:sz w:val="22"/>
          <w:szCs w:val="22"/>
        </w:rPr>
        <w:t>Three Epoch</w:t>
      </w:r>
      <w:r w:rsidR="003F0723"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003F0723" w:rsidRPr="001A0367">
        <w:rPr>
          <w:rFonts w:ascii="Arial" w:hAnsi="Arial" w:cs="Arial"/>
          <w:sz w:val="22"/>
          <w:szCs w:val="22"/>
        </w:rPr>
        <w:t xml:space="preserve">models generally producing estimates of Hawaiian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between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003F0723" w:rsidRPr="001A0367">
        <w:rPr>
          <w:rFonts w:ascii="Arial" w:hAnsi="Arial" w:cs="Arial"/>
          <w:sz w:val="22"/>
          <w:szCs w:val="22"/>
        </w:rPr>
        <w:t>(</w:t>
      </w:r>
      <w:r w:rsidR="009A69BA">
        <w:rPr>
          <w:rFonts w:ascii="Arial" w:hAnsi="Arial" w:cs="Arial"/>
          <w:sz w:val="22"/>
          <w:szCs w:val="22"/>
        </w:rPr>
        <w:t xml:space="preserve">Figure </w:t>
      </w:r>
      <w:r w:rsidR="00B566CE">
        <w:rPr>
          <w:rFonts w:ascii="Arial" w:hAnsi="Arial" w:cs="Arial"/>
          <w:sz w:val="22"/>
          <w:szCs w:val="22"/>
        </w:rPr>
        <w:t>3</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w:t>
      </w:r>
      <w:proofErr w:type="gramStart"/>
      <w:r w:rsidR="0045465B">
        <w:rPr>
          <w:rFonts w:ascii="Arial" w:hAnsi="Arial" w:cs="Arial"/>
          <w:sz w:val="22"/>
          <w:szCs w:val="22"/>
        </w:rPr>
        <w:t>rare derived</w:t>
      </w:r>
      <w:proofErr w:type="gramEnd"/>
      <w:r w:rsidR="0045465B">
        <w:rPr>
          <w:rFonts w:ascii="Arial" w:hAnsi="Arial" w:cs="Arial"/>
          <w:sz w:val="22"/>
          <w:szCs w:val="22"/>
        </w:rPr>
        <w:t xml:space="preserve"> alleles in the North American but not the Hawaiian populations (Figure </w:t>
      </w:r>
      <w:r w:rsidR="00B566CE">
        <w:rPr>
          <w:rFonts w:ascii="Arial" w:hAnsi="Arial" w:cs="Arial"/>
          <w:sz w:val="22"/>
          <w:szCs w:val="22"/>
        </w:rPr>
        <w:t>4</w:t>
      </w:r>
      <w:r w:rsidR="00E3489E">
        <w:rPr>
          <w:rFonts w:ascii="Arial" w:hAnsi="Arial" w:cs="Arial"/>
          <w:sz w:val="22"/>
          <w:szCs w:val="22"/>
        </w:rPr>
        <w:t xml:space="preserve">, Figures </w:t>
      </w:r>
      <w:r w:rsidR="0045465B" w:rsidRPr="009A69BA">
        <w:rPr>
          <w:rFonts w:ascii="Arial" w:hAnsi="Arial" w:cs="Arial"/>
          <w:sz w:val="22"/>
          <w:szCs w:val="22"/>
        </w:rPr>
        <w:t>S</w:t>
      </w:r>
      <w:r w:rsidR="00B566CE">
        <w:rPr>
          <w:rFonts w:ascii="Arial" w:hAnsi="Arial" w:cs="Arial"/>
          <w:sz w:val="22"/>
          <w:szCs w:val="22"/>
        </w:rPr>
        <w:t>6-9</w:t>
      </w:r>
      <w:r w:rsidR="0045465B">
        <w:rPr>
          <w:rFonts w:ascii="Arial" w:hAnsi="Arial" w:cs="Arial"/>
          <w:sz w:val="22"/>
          <w:szCs w:val="22"/>
        </w:rPr>
        <w:t>). This</w:t>
      </w:r>
      <w:r w:rsidR="00964FDF">
        <w:rPr>
          <w:rFonts w:ascii="Arial" w:hAnsi="Arial" w:cs="Arial"/>
          <w:sz w:val="22"/>
          <w:szCs w:val="22"/>
        </w:rPr>
        <w:t xml:space="preserve"> pattern</w:t>
      </w:r>
      <w:r w:rsidR="0045465B">
        <w:rPr>
          <w:rFonts w:ascii="Arial" w:hAnsi="Arial" w:cs="Arial"/>
          <w:sz w:val="22"/>
          <w:szCs w:val="22"/>
        </w:rPr>
        <w:t xml:space="preserve">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w:t>
      </w:r>
    </w:p>
    <w:p w14:paraId="789C3C60" w14:textId="276ACF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w:t>
      </w:r>
      <w:r w:rsidR="00B7219A">
        <w:rPr>
          <w:rFonts w:ascii="Arial" w:hAnsi="Arial" w:cs="Arial"/>
          <w:sz w:val="22"/>
          <w:szCs w:val="22"/>
        </w:rPr>
        <w:t>the four</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w:t>
      </w:r>
      <w:r w:rsidR="00964FDF">
        <w:rPr>
          <w:rFonts w:ascii="Arial" w:hAnsi="Arial" w:cs="Arial"/>
          <w:sz w:val="22"/>
          <w:szCs w:val="22"/>
        </w:rPr>
        <w:t xml:space="preserve"> </w:t>
      </w:r>
      <w:r w:rsidR="0032621F">
        <w:rPr>
          <w:rFonts w:ascii="Arial" w:hAnsi="Arial" w:cs="Arial"/>
          <w:sz w:val="22"/>
          <w:szCs w:val="22"/>
        </w:rPr>
        <w:t>x</w:t>
      </w:r>
      <w:r w:rsidR="00964FDF">
        <w:rPr>
          <w:rFonts w:ascii="Arial" w:hAnsi="Arial" w:cs="Arial"/>
          <w:sz w:val="22"/>
          <w:szCs w:val="22"/>
        </w:rPr>
        <w:t xml:space="preserve"> </w:t>
      </w:r>
      <w:r w:rsidR="0032621F">
        <w:rPr>
          <w:rFonts w:ascii="Arial" w:hAnsi="Arial" w:cs="Arial"/>
          <w:sz w:val="22"/>
          <w:szCs w:val="22"/>
        </w:rPr>
        <w:t>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w:t>
      </w:r>
      <w:r w:rsidR="0032621F">
        <w:rPr>
          <w:rFonts w:ascii="Arial" w:hAnsi="Arial" w:cs="Arial"/>
          <w:sz w:val="22"/>
          <w:szCs w:val="22"/>
        </w:rPr>
        <w:lastRenderedPageBreak/>
        <w:t>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 xml:space="preserve">ure </w:t>
      </w:r>
      <w:r w:rsidR="00B566CE">
        <w:rPr>
          <w:rFonts w:ascii="Arial" w:hAnsi="Arial" w:cs="Arial"/>
          <w:sz w:val="22"/>
          <w:szCs w:val="22"/>
        </w:rPr>
        <w:t>3</w:t>
      </w:r>
      <w:r w:rsidRPr="001A0367">
        <w:rPr>
          <w:rFonts w:ascii="Arial" w:hAnsi="Arial" w:cs="Arial"/>
          <w:sz w:val="22"/>
          <w:szCs w:val="22"/>
        </w:rPr>
        <w:t xml:space="preserve">). </w:t>
      </w:r>
      <w:r w:rsidR="00BE118A">
        <w:rPr>
          <w:rFonts w:ascii="Arial" w:hAnsi="Arial" w:cs="Arial"/>
          <w:sz w:val="22"/>
          <w:szCs w:val="22"/>
        </w:rPr>
        <w:t>Using a more accurate generation time and mutation rate than the values used by Zhan</w:t>
      </w:r>
      <w:r w:rsidR="00FF43D3">
        <w:rPr>
          <w:rFonts w:ascii="Arial" w:hAnsi="Arial" w:cs="Arial"/>
          <w:sz w:val="22"/>
          <w:szCs w:val="22"/>
        </w:rPr>
        <w:t xml:space="preserve"> et al. (2014)</w:t>
      </w:r>
      <w:r w:rsidR="00BE118A">
        <w:rPr>
          <w:rFonts w:ascii="Arial" w:hAnsi="Arial" w:cs="Arial"/>
          <w:sz w:val="22"/>
          <w:szCs w:val="22"/>
        </w:rPr>
        <w:t xml:space="preserve"> produced</w:t>
      </w:r>
      <w:r w:rsidR="00FF43D3">
        <w:rPr>
          <w:rFonts w:ascii="Arial" w:hAnsi="Arial" w:cs="Arial"/>
          <w:sz w:val="22"/>
          <w:szCs w:val="22"/>
        </w:rPr>
        <w:t xml:space="preserve"> a</w:t>
      </w:r>
      <w:r w:rsidR="00BE118A">
        <w:rPr>
          <w:rFonts w:ascii="Arial" w:hAnsi="Arial" w:cs="Arial"/>
          <w:sz w:val="22"/>
          <w:szCs w:val="22"/>
        </w:rPr>
        <w:t xml:space="preserve"> </w:t>
      </w:r>
      <w:r w:rsidR="00BE118A" w:rsidRPr="001A0367">
        <w:rPr>
          <w:rFonts w:ascii="Arial" w:hAnsi="Arial" w:cs="Arial"/>
          <w:sz w:val="22"/>
          <w:szCs w:val="22"/>
        </w:rPr>
        <w:t xml:space="preserve">result </w:t>
      </w:r>
      <w:r w:rsidR="00FF43D3">
        <w:rPr>
          <w:rFonts w:ascii="Arial" w:hAnsi="Arial" w:cs="Arial"/>
          <w:sz w:val="22"/>
          <w:szCs w:val="22"/>
        </w:rPr>
        <w:t>with</w:t>
      </w:r>
      <w:r w:rsidR="00BE118A" w:rsidRPr="001A0367">
        <w:rPr>
          <w:rFonts w:ascii="Arial" w:hAnsi="Arial" w:cs="Arial"/>
          <w:sz w:val="22"/>
          <w:szCs w:val="22"/>
        </w:rPr>
        <w:t xml:space="preserve"> slightly more distant divergence times and larger effective sizes</w:t>
      </w:r>
      <w:r w:rsidR="00BE118A">
        <w:rPr>
          <w:rFonts w:ascii="Arial" w:hAnsi="Arial" w:cs="Arial"/>
          <w:sz w:val="22"/>
          <w:szCs w:val="22"/>
        </w:rPr>
        <w:t>, but not to a</w:t>
      </w:r>
      <w:r w:rsidR="00BE118A" w:rsidRPr="001A0367">
        <w:rPr>
          <w:rFonts w:ascii="Arial" w:hAnsi="Arial" w:cs="Arial"/>
          <w:sz w:val="22"/>
          <w:szCs w:val="22"/>
        </w:rPr>
        <w:t xml:space="preserve"> substantial degree</w:t>
      </w:r>
      <w:r w:rsidR="00BE118A">
        <w:rPr>
          <w:rFonts w:ascii="Arial" w:hAnsi="Arial" w:cs="Arial"/>
          <w:sz w:val="22"/>
          <w:szCs w:val="22"/>
        </w:rPr>
        <w:t>.</w:t>
      </w:r>
    </w:p>
    <w:p w14:paraId="1CC533F3" w14:textId="77777777" w:rsidR="00355224" w:rsidRPr="001A0367" w:rsidRDefault="00355224" w:rsidP="009F0367">
      <w:pPr>
        <w:spacing w:line="480" w:lineRule="auto"/>
        <w:rPr>
          <w:rFonts w:ascii="Arial" w:hAnsi="Arial" w:cs="Arial"/>
          <w:sz w:val="22"/>
          <w:szCs w:val="22"/>
        </w:rPr>
      </w:pPr>
    </w:p>
    <w:p w14:paraId="5466BB88" w14:textId="29BFD772" w:rsidR="00355224"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Discussion</w:t>
      </w:r>
    </w:p>
    <w:p w14:paraId="3FB8FCD7" w14:textId="77777777" w:rsidR="00B7219A" w:rsidRPr="001A0367" w:rsidRDefault="00B7219A" w:rsidP="009F0367">
      <w:pPr>
        <w:spacing w:line="480" w:lineRule="auto"/>
        <w:jc w:val="center"/>
        <w:rPr>
          <w:rFonts w:ascii="Arial" w:hAnsi="Arial" w:cs="Arial"/>
          <w:b/>
          <w:sz w:val="22"/>
          <w:szCs w:val="22"/>
          <w:u w:val="single"/>
        </w:rPr>
      </w:pPr>
    </w:p>
    <w:p w14:paraId="57745E00" w14:textId="61DF8A9D" w:rsidR="00FA52AC"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r w:rsidR="005A6990">
        <w:rPr>
          <w:rFonts w:ascii="Arial" w:hAnsi="Arial" w:cs="Arial"/>
          <w:sz w:val="22"/>
          <w:szCs w:val="22"/>
        </w:rPr>
        <w:t xml:space="preserve">, such as the general increase in Tajima’s D across the Pacific, </w:t>
      </w:r>
      <w:r w:rsidR="001F2D34">
        <w:rPr>
          <w:rFonts w:ascii="Arial" w:hAnsi="Arial" w:cs="Arial"/>
          <w:sz w:val="22"/>
          <w:szCs w:val="22"/>
        </w:rPr>
        <w:t xml:space="preserve">which is </w:t>
      </w:r>
      <w:r w:rsidR="005A6990">
        <w:rPr>
          <w:rFonts w:ascii="Arial" w:hAnsi="Arial" w:cs="Arial"/>
          <w:sz w:val="22"/>
          <w:szCs w:val="22"/>
        </w:rPr>
        <w:t>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A5DF01B" w:rsidR="00581393"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lastRenderedPageBreak/>
        <w:t>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w:t>
      </w:r>
      <w:r w:rsidR="003056E8">
        <w:rPr>
          <w:rFonts w:ascii="Arial" w:hAnsi="Arial" w:cs="Arial"/>
          <w:sz w:val="22"/>
          <w:szCs w:val="22"/>
        </w:rPr>
        <w:t>,</w:t>
      </w:r>
      <w:r w:rsidRPr="001A0367">
        <w:rPr>
          <w:rFonts w:ascii="Arial" w:hAnsi="Arial" w:cs="Arial"/>
          <w:sz w:val="22"/>
          <w:szCs w:val="22"/>
        </w:rPr>
        <w:t xml:space="preserve">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w:t>
      </w:r>
      <w:r w:rsidR="00FA52AC">
        <w:rPr>
          <w:rFonts w:ascii="Arial" w:hAnsi="Arial" w:cs="Arial"/>
          <w:sz w:val="22"/>
          <w:szCs w:val="22"/>
        </w:rPr>
        <w:t xml:space="preserve"> </w:t>
      </w:r>
      <w:r w:rsidR="00FA52AC" w:rsidRPr="00FA52AC">
        <w:rPr>
          <w:rFonts w:ascii="Arial" w:hAnsi="Arial" w:cs="Arial"/>
          <w:sz w:val="22"/>
          <w:szCs w:val="22"/>
        </w:rPr>
        <w:t xml:space="preserve">and </w:t>
      </w:r>
      <w:proofErr w:type="spellStart"/>
      <w:r w:rsidR="00FA52AC" w:rsidRPr="00FA52AC">
        <w:rPr>
          <w:rFonts w:ascii="Arial" w:hAnsi="Arial" w:cs="Arial"/>
          <w:sz w:val="22"/>
          <w:szCs w:val="22"/>
        </w:rPr>
        <w:t>Vodă</w:t>
      </w:r>
      <w:proofErr w:type="spellEnd"/>
      <w:r w:rsidR="00FA52AC" w:rsidRPr="00FA52AC">
        <w:rPr>
          <w:rFonts w:ascii="Arial" w:hAnsi="Arial" w:cs="Arial"/>
          <w:sz w:val="22"/>
          <w:szCs w:val="22"/>
        </w:rPr>
        <w:t xml:space="preserve">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78C86113" w:rsidR="00355224" w:rsidRPr="001A0367" w:rsidRDefault="00D4633F" w:rsidP="009F0367">
      <w:pPr>
        <w:spacing w:line="480"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w:t>
      </w:r>
      <w:r w:rsidR="00493004">
        <w:rPr>
          <w:rFonts w:ascii="Arial" w:hAnsi="Arial" w:cs="Arial"/>
          <w:sz w:val="22"/>
          <w:szCs w:val="22"/>
        </w:rPr>
        <w:t>corroborates</w:t>
      </w:r>
      <w:r w:rsidR="003F0723" w:rsidRPr="001A0367">
        <w:rPr>
          <w:rFonts w:ascii="Arial" w:hAnsi="Arial" w:cs="Arial"/>
          <w:sz w:val="22"/>
          <w:szCs w:val="22"/>
        </w:rPr>
        <w:t xml:space="preserve">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w:t>
      </w:r>
      <w:r w:rsidR="003056E8">
        <w:rPr>
          <w:rFonts w:ascii="Arial" w:hAnsi="Arial" w:cs="Arial"/>
          <w:sz w:val="22"/>
          <w:szCs w:val="22"/>
        </w:rPr>
        <w:t xml:space="preserve">nonmigratory </w:t>
      </w:r>
      <w:r w:rsidR="003F0723" w:rsidRPr="001A0367">
        <w:rPr>
          <w:rFonts w:ascii="Arial" w:hAnsi="Arial" w:cs="Arial"/>
          <w:sz w:val="22"/>
          <w:szCs w:val="22"/>
        </w:rPr>
        <w:t xml:space="preserve">Pacific monarch populations likely have extremely small effective population sizes that are susceptible to very strong genetic drift. </w:t>
      </w:r>
    </w:p>
    <w:p w14:paraId="5CA1FDEB" w14:textId="79ACF239"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xml:space="preserve">. Within Hawaii, our samples from Maui and Oahu formed a single genetic cluster, consistent with </w:t>
      </w:r>
      <w:r w:rsidRPr="001A0367">
        <w:rPr>
          <w:rFonts w:ascii="Arial" w:hAnsi="Arial" w:cs="Arial"/>
          <w:sz w:val="22"/>
          <w:szCs w:val="22"/>
        </w:rPr>
        <w:lastRenderedPageBreak/>
        <w:t>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tion within Queensland, but</w:t>
      </w:r>
      <w:r w:rsidR="00B43ACC">
        <w:rPr>
          <w:rFonts w:ascii="Arial" w:hAnsi="Arial" w:cs="Arial"/>
          <w:sz w:val="22"/>
          <w:szCs w:val="22"/>
          <w:highlight w:val="white"/>
        </w:rPr>
        <w:t xml:space="preserve"> it</w:t>
      </w:r>
      <w:r w:rsidRPr="001A0367">
        <w:rPr>
          <w:rFonts w:ascii="Arial" w:hAnsi="Arial" w:cs="Arial"/>
          <w:sz w:val="22"/>
          <w:szCs w:val="22"/>
          <w:highlight w:val="white"/>
        </w:rPr>
        <w:t xml:space="preserve">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0A9C531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w:t>
      </w:r>
      <w:proofErr w:type="gramStart"/>
      <w:r w:rsidR="0006299D" w:rsidRPr="001A0367">
        <w:rPr>
          <w:rFonts w:ascii="Arial" w:hAnsi="Arial" w:cs="Arial"/>
          <w:sz w:val="22"/>
          <w:szCs w:val="22"/>
        </w:rPr>
        <w:t>James</w:t>
      </w:r>
      <w:proofErr w:type="gramEnd"/>
      <w:r w:rsidR="0006299D" w:rsidRPr="001A0367">
        <w:rPr>
          <w:rFonts w:ascii="Arial" w:hAnsi="Arial" w:cs="Arial"/>
          <w:sz w:val="22"/>
          <w:szCs w:val="22"/>
        </w:rPr>
        <w:t xml:space="preserve">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2B0E25">
        <w:rPr>
          <w:rFonts w:ascii="Arial" w:hAnsi="Arial" w:cs="Arial"/>
          <w:sz w:val="22"/>
          <w:szCs w:val="22"/>
        </w:rPr>
        <w:t>although</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r w:rsidRPr="001A0367">
        <w:rPr>
          <w:rFonts w:ascii="Arial" w:hAnsi="Arial" w:cs="Arial"/>
          <w:sz w:val="22"/>
          <w:szCs w:val="22"/>
        </w:rPr>
        <w:t xml:space="preserve">Hemstrom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1181803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00C41C1A">
        <w:rPr>
          <w:rFonts w:ascii="Arial" w:hAnsi="Arial" w:cs="Arial"/>
          <w:iCs/>
          <w:sz w:val="22"/>
          <w:szCs w:val="22"/>
        </w:rPr>
        <w:t xml:space="preserve"> and </w:t>
      </w:r>
      <w:r w:rsidR="00C41C1A">
        <w:rPr>
          <w:rFonts w:ascii="Arial" w:hAnsi="Arial" w:cs="Arial"/>
          <w:i/>
          <w:sz w:val="22"/>
          <w:szCs w:val="22"/>
        </w:rPr>
        <w:t>Two Epoch</w:t>
      </w:r>
      <w:r w:rsidRPr="001A0367">
        <w:rPr>
          <w:rFonts w:ascii="Arial" w:hAnsi="Arial" w:cs="Arial"/>
          <w:sz w:val="22"/>
          <w:szCs w:val="22"/>
        </w:rPr>
        <w:t xml:space="preserve"> </w:t>
      </w:r>
      <w:r w:rsidR="00C41C1A">
        <w:rPr>
          <w:rFonts w:ascii="Arial" w:hAnsi="Arial" w:cs="Arial"/>
          <w:sz w:val="22"/>
          <w:szCs w:val="22"/>
        </w:rPr>
        <w:t xml:space="preserve">models, </w:t>
      </w:r>
      <w:r w:rsidRPr="001A0367">
        <w:rPr>
          <w:rFonts w:ascii="Arial" w:hAnsi="Arial" w:cs="Arial"/>
          <w:sz w:val="22"/>
          <w:szCs w:val="22"/>
        </w:rPr>
        <w:t xml:space="preserve">and the more complicated </w:t>
      </w:r>
      <w:r w:rsidR="0019445A">
        <w:rPr>
          <w:rFonts w:ascii="Arial" w:hAnsi="Arial" w:cs="Arial"/>
          <w:i/>
          <w:sz w:val="22"/>
          <w:szCs w:val="22"/>
        </w:rPr>
        <w:t>Three Epoch</w:t>
      </w:r>
      <w:r w:rsidRPr="001A0367">
        <w:rPr>
          <w:rFonts w:ascii="Arial" w:hAnsi="Arial" w:cs="Arial"/>
          <w:sz w:val="22"/>
          <w:szCs w:val="22"/>
        </w:rPr>
        <w:t xml:space="preserve"> model, we are inclined </w:t>
      </w:r>
      <w:r w:rsidRPr="001A0367">
        <w:rPr>
          <w:rFonts w:ascii="Arial" w:hAnsi="Arial" w:cs="Arial"/>
          <w:sz w:val="22"/>
          <w:szCs w:val="22"/>
        </w:rPr>
        <w:lastRenderedPageBreak/>
        <w:t xml:space="preserve">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0043737D">
        <w:rPr>
          <w:rFonts w:ascii="Arial" w:hAnsi="Arial" w:cs="Arial"/>
          <w:sz w:val="22"/>
          <w:szCs w:val="22"/>
        </w:rPr>
        <w:t>, Boyle et al. 2022</w:t>
      </w:r>
      <w:r w:rsidR="0006299D" w:rsidRPr="001A0367">
        <w:rPr>
          <w:rFonts w:ascii="Arial" w:hAnsi="Arial" w:cs="Arial"/>
          <w:sz w:val="22"/>
          <w:szCs w:val="22"/>
        </w:rPr>
        <w:t>)</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30640610" w:rsidR="00D255B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In general, our demographic results do not exclude a recent founding of the Hawaiian population by North American monarchs (Fig</w:t>
      </w:r>
      <w:r w:rsidR="00964FDF">
        <w:rPr>
          <w:rFonts w:ascii="Arial" w:hAnsi="Arial" w:cs="Arial"/>
          <w:sz w:val="22"/>
          <w:szCs w:val="22"/>
        </w:rPr>
        <w:t>ure</w:t>
      </w:r>
      <w:r w:rsidRPr="001A0367">
        <w:rPr>
          <w:rFonts w:ascii="Arial" w:hAnsi="Arial" w:cs="Arial"/>
          <w:sz w:val="22"/>
          <w:szCs w:val="22"/>
        </w:rPr>
        <w:t xml:space="preserve"> </w:t>
      </w:r>
      <w:r w:rsidR="00245A5A">
        <w:rPr>
          <w:rFonts w:ascii="Arial" w:hAnsi="Arial" w:cs="Arial"/>
          <w:sz w:val="22"/>
          <w:szCs w:val="22"/>
        </w:rPr>
        <w:t>3</w:t>
      </w:r>
      <w:r w:rsidR="00032374">
        <w:rPr>
          <w:rFonts w:ascii="Arial" w:hAnsi="Arial" w:cs="Arial"/>
          <w:sz w:val="22"/>
          <w:szCs w:val="22"/>
        </w:rPr>
        <w:t>D</w:t>
      </w:r>
      <w:r w:rsidRPr="001A0367">
        <w:rPr>
          <w:rFonts w:ascii="Arial" w:hAnsi="Arial" w:cs="Arial"/>
          <w:sz w:val="22"/>
          <w:szCs w:val="22"/>
        </w:rPr>
        <w:t xml:space="preserve">).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r w:rsidR="000E2CEA" w:rsidRPr="001A0367">
        <w:rPr>
          <w:rFonts w:ascii="Arial" w:hAnsi="Arial" w:cs="Arial"/>
          <w:sz w:val="22"/>
          <w:szCs w:val="22"/>
        </w:rPr>
        <w:lastRenderedPageBreak/>
        <w:t>(</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w:t>
      </w:r>
      <w:r w:rsidR="0043737D">
        <w:rPr>
          <w:rFonts w:ascii="Arial" w:hAnsi="Arial" w:cs="Arial"/>
          <w:sz w:val="22"/>
          <w:szCs w:val="22"/>
        </w:rPr>
        <w:t>Notably</w:t>
      </w:r>
      <w:r w:rsidRPr="001A0367">
        <w:rPr>
          <w:rFonts w:ascii="Arial" w:hAnsi="Arial" w:cs="Arial"/>
          <w:sz w:val="22"/>
          <w:szCs w:val="22"/>
        </w:rPr>
        <w:t xml:space="preserve">,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 xml:space="preserve">produced results similar to theirs, with the majority of model iterations supporting an introduction time </w:t>
      </w:r>
      <w:r w:rsidR="00C03993">
        <w:rPr>
          <w:rFonts w:ascii="Arial" w:hAnsi="Arial" w:cs="Arial"/>
          <w:sz w:val="22"/>
          <w:szCs w:val="22"/>
        </w:rPr>
        <w:t>&gt;1000</w:t>
      </w:r>
      <w:r w:rsidRPr="001A0367">
        <w:rPr>
          <w:rFonts w:ascii="Arial" w:hAnsi="Arial" w:cs="Arial"/>
          <w:sz w:val="22"/>
          <w:szCs w:val="22"/>
        </w:rPr>
        <w:t xml:space="preserve"> years ago</w:t>
      </w:r>
      <w:r w:rsidRPr="001A0367">
        <w:rPr>
          <w:rFonts w:ascii="Arial" w:hAnsi="Arial" w:cs="Arial"/>
          <w:sz w:val="22"/>
          <w:szCs w:val="22"/>
          <w:highlight w:val="white"/>
        </w:rPr>
        <w:t xml:space="preserve"> (Figure </w:t>
      </w:r>
      <w:r w:rsidR="00B566CE">
        <w:rPr>
          <w:rFonts w:ascii="Arial" w:hAnsi="Arial" w:cs="Arial"/>
          <w:sz w:val="22"/>
          <w:szCs w:val="22"/>
          <w:highlight w:val="white"/>
        </w:rPr>
        <w:t>3</w:t>
      </w:r>
      <w:r w:rsidRPr="001A0367">
        <w:rPr>
          <w:rFonts w:ascii="Arial" w:hAnsi="Arial" w:cs="Arial"/>
          <w:sz w:val="22"/>
          <w:szCs w:val="22"/>
          <w:highlight w:val="white"/>
        </w:rPr>
        <w:t>).</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51693A80" w:rsidR="00355224" w:rsidRPr="001A0367" w:rsidRDefault="00EF0AED" w:rsidP="009F0367">
      <w:pPr>
        <w:spacing w:line="480"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r w:rsidR="0032621F" w:rsidRPr="00FF43D3">
        <w:rPr>
          <w:rFonts w:ascii="Arial" w:hAnsi="Arial" w:cs="Arial"/>
          <w:b/>
          <w:bCs/>
          <w:sz w:val="22"/>
          <w:szCs w:val="22"/>
          <w:vertAlign w:val="subscript"/>
        </w:rPr>
        <w:t>dadi</w:t>
      </w:r>
      <w:r w:rsidR="0032621F">
        <w:rPr>
          <w:rFonts w:ascii="Arial" w:hAnsi="Arial" w:cs="Arial"/>
          <w:sz w:val="22"/>
          <w:szCs w:val="22"/>
        </w:rPr>
        <w:t xml:space="preserve"> can struggle to calculate site frequency spectra when population sizes are very small due to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explored. </w:t>
      </w:r>
      <w:r w:rsidR="00A052EC">
        <w:rPr>
          <w:rFonts w:ascii="Arial" w:hAnsi="Arial" w:cs="Arial"/>
          <w:sz w:val="22"/>
          <w:szCs w:val="22"/>
        </w:rPr>
        <w:t>Since small founding population sizes correlated with recent introductions across our model results, t</w:t>
      </w:r>
      <w:r w:rsidR="00D255B4">
        <w:rPr>
          <w:rFonts w:ascii="Arial" w:hAnsi="Arial" w:cs="Arial"/>
          <w:sz w:val="22"/>
          <w:szCs w:val="22"/>
        </w:rPr>
        <w:t xml:space="preserve">his also suggests that it would be unwise to rule out a recent introduction with a very strong bottleneck based on a demographic analysis alone. </w:t>
      </w:r>
    </w:p>
    <w:p w14:paraId="081805C6" w14:textId="64A379ED"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Demographic model results were also variable in their estimates of founding population sizes in Hawaii. Some models produced estimates as high as 10,000 founding individuals, which seems implausible given the long distance (&gt;3</w:t>
      </w:r>
      <w:r w:rsidR="00366864">
        <w:rPr>
          <w:rFonts w:ascii="Arial" w:hAnsi="Arial" w:cs="Arial"/>
          <w:sz w:val="22"/>
          <w:szCs w:val="22"/>
          <w:highlight w:val="white"/>
        </w:rPr>
        <w:t>,</w:t>
      </w:r>
      <w:r w:rsidRPr="001A0367">
        <w:rPr>
          <w:rFonts w:ascii="Arial" w:hAnsi="Arial" w:cs="Arial"/>
          <w:sz w:val="22"/>
          <w:szCs w:val="22"/>
          <w:highlight w:val="white"/>
        </w:rPr>
        <w:t>500 km) between North America and Hawaii.</w:t>
      </w:r>
      <w:r w:rsidR="00100F27">
        <w:rPr>
          <w:rFonts w:ascii="Arial" w:hAnsi="Arial" w:cs="Arial"/>
          <w:sz w:val="22"/>
          <w:szCs w:val="22"/>
          <w:highlight w:val="white"/>
        </w:rPr>
        <w:t xml:space="preserve"> </w:t>
      </w:r>
      <w:r w:rsidRPr="001A0367">
        <w:rPr>
          <w:rFonts w:ascii="Arial" w:hAnsi="Arial" w:cs="Arial"/>
          <w:sz w:val="22"/>
          <w:szCs w:val="22"/>
          <w:highlight w:val="white"/>
        </w:rPr>
        <w:t xml:space="preserve">The extremely wide range of parameter estimates for founding population size and timing may reflect that, in practice, it is difficult to distinguish between a very recent strong bottleneck versus a more distant but less severe bottleneck. Our model results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 xml:space="preserve">since the model iterations with recent establishments also tended to have smaller establishment population sizes (Figure </w:t>
      </w:r>
      <w:r w:rsidR="00B566CE">
        <w:rPr>
          <w:rFonts w:ascii="Arial" w:hAnsi="Arial" w:cs="Arial"/>
          <w:sz w:val="22"/>
          <w:szCs w:val="22"/>
          <w:highlight w:val="white"/>
        </w:rPr>
        <w:t>3</w:t>
      </w:r>
      <w:r w:rsidRPr="001A0367">
        <w:rPr>
          <w:rFonts w:ascii="Arial" w:hAnsi="Arial" w:cs="Arial"/>
          <w:sz w:val="22"/>
          <w:szCs w:val="22"/>
          <w:highlight w:val="white"/>
        </w:rPr>
        <w:t>).</w:t>
      </w:r>
    </w:p>
    <w:p w14:paraId="1CA236DA" w14:textId="47FC7AAD"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w:t>
      </w:r>
      <w:r w:rsidRPr="001A0367">
        <w:rPr>
          <w:rFonts w:ascii="Arial" w:hAnsi="Arial" w:cs="Arial"/>
          <w:sz w:val="22"/>
          <w:szCs w:val="22"/>
        </w:rPr>
        <w:lastRenderedPageBreak/>
        <w:t xml:space="preserve">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r w:rsidR="00BC362C">
        <w:rPr>
          <w:rFonts w:ascii="Arial" w:hAnsi="Arial" w:cs="Arial"/>
          <w:sz w:val="22"/>
          <w:szCs w:val="22"/>
        </w:rPr>
        <w:t xml:space="preserve"> </w:t>
      </w:r>
      <w:r w:rsidR="00B43ACC">
        <w:rPr>
          <w:rFonts w:ascii="Arial" w:hAnsi="Arial" w:cs="Arial"/>
          <w:sz w:val="22"/>
          <w:szCs w:val="22"/>
        </w:rPr>
        <w:t xml:space="preserve">However, we do note that monarchs appear to be capable of wind-aided dispersal over extremely long distances, as evidenced by occasional records from the United Kingdom that coincide with records of migratory North American birds blown by storms (Asher et al. 2001); thus, ongoing movement from North America to Hawaii is not entirely implausible. </w:t>
      </w:r>
    </w:p>
    <w:p w14:paraId="161F0C55" w14:textId="738B21BE" w:rsidR="00355224" w:rsidRPr="00F27EEA" w:rsidRDefault="003F0723" w:rsidP="00B31C3F">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DE0957">
        <w:rPr>
          <w:rFonts w:ascii="Arial" w:hAnsi="Arial" w:cs="Arial"/>
          <w:sz w:val="22"/>
          <w:szCs w:val="22"/>
        </w:rPr>
        <w:t>Understanding how migratory and non-migratory populations of monarchs differ genetically, phenotypically, and ecologically has important conservation implications. First, monarchs were recently evaluated by the U.S. Fish and Wildlife Service, who determined that a listing under the U.S. Endangered Species Act is “warranted but precluded”</w:t>
      </w:r>
      <w:r w:rsidR="00B31C3F">
        <w:rPr>
          <w:rFonts w:ascii="Arial" w:hAnsi="Arial" w:cs="Arial"/>
          <w:sz w:val="22"/>
          <w:szCs w:val="22"/>
        </w:rPr>
        <w:t xml:space="preserve"> (USFWS 2021).</w:t>
      </w:r>
      <w:r w:rsidR="00DE0957">
        <w:rPr>
          <w:rFonts w:ascii="Arial" w:hAnsi="Arial" w:cs="Arial"/>
          <w:sz w:val="22"/>
          <w:szCs w:val="22"/>
        </w:rPr>
        <w:t xml:space="preserve"> This decision will be </w:t>
      </w:r>
      <w:r w:rsidR="00B31C3F">
        <w:rPr>
          <w:rFonts w:ascii="Arial" w:hAnsi="Arial" w:cs="Arial"/>
          <w:sz w:val="22"/>
          <w:szCs w:val="22"/>
        </w:rPr>
        <w:t>re</w:t>
      </w:r>
      <w:r w:rsidR="00DE0957">
        <w:rPr>
          <w:rFonts w:ascii="Arial" w:hAnsi="Arial" w:cs="Arial"/>
          <w:sz w:val="22"/>
          <w:szCs w:val="22"/>
        </w:rPr>
        <w:t xml:space="preserve">evaluated annually, and </w:t>
      </w:r>
      <w:r w:rsidR="00B31C3F">
        <w:rPr>
          <w:rFonts w:ascii="Arial" w:hAnsi="Arial" w:cs="Arial"/>
          <w:sz w:val="22"/>
          <w:szCs w:val="22"/>
        </w:rPr>
        <w:t xml:space="preserve">the retention of genetic diversity in </w:t>
      </w:r>
      <w:r w:rsidR="00703E47">
        <w:rPr>
          <w:rFonts w:ascii="Arial" w:hAnsi="Arial" w:cs="Arial"/>
          <w:sz w:val="22"/>
          <w:szCs w:val="22"/>
        </w:rPr>
        <w:t xml:space="preserve">non-migratory </w:t>
      </w:r>
      <w:r w:rsidR="00DE0957">
        <w:rPr>
          <w:rFonts w:ascii="Arial" w:hAnsi="Arial" w:cs="Arial"/>
          <w:sz w:val="22"/>
          <w:szCs w:val="22"/>
        </w:rPr>
        <w:t xml:space="preserve">monarch populations </w:t>
      </w:r>
      <w:r w:rsidR="00B31C3F">
        <w:rPr>
          <w:rFonts w:ascii="Arial" w:hAnsi="Arial" w:cs="Arial"/>
          <w:sz w:val="22"/>
          <w:szCs w:val="22"/>
        </w:rPr>
        <w:t>from</w:t>
      </w:r>
      <w:r w:rsidR="00DE0957">
        <w:rPr>
          <w:rFonts w:ascii="Arial" w:hAnsi="Arial" w:cs="Arial"/>
          <w:sz w:val="22"/>
          <w:szCs w:val="22"/>
        </w:rPr>
        <w:t xml:space="preserve"> outlying U.S. states/territories (Hawaii, American Samoa, the Mariana Islands, Puerto Rico, U.S. Virgin Islands) </w:t>
      </w:r>
      <w:r w:rsidR="00B31C3F">
        <w:rPr>
          <w:rFonts w:ascii="Arial" w:hAnsi="Arial" w:cs="Arial"/>
          <w:sz w:val="22"/>
          <w:szCs w:val="22"/>
        </w:rPr>
        <w:t xml:space="preserve">may be important in decisions regarding the adaptive capacity of the species (Freedman et al. 2021). Second, </w:t>
      </w:r>
      <w:r w:rsidR="00703E47">
        <w:rPr>
          <w:rFonts w:ascii="Arial" w:hAnsi="Arial" w:cs="Arial"/>
          <w:sz w:val="22"/>
          <w:szCs w:val="22"/>
        </w:rPr>
        <w:t xml:space="preserve">some recent evidence suggests that climate warming and planting of non-native milkweed species might tip the scales in favor of year-round breeding and loss of migratory behavior in North American monarchs, particularly in western North </w:t>
      </w:r>
      <w:r w:rsidR="00703E47" w:rsidRPr="008640FB">
        <w:rPr>
          <w:rFonts w:ascii="Arial" w:hAnsi="Arial" w:cs="Arial"/>
          <w:sz w:val="22"/>
          <w:szCs w:val="22"/>
        </w:rPr>
        <w:t>America (</w:t>
      </w:r>
      <w:r w:rsidR="007F237F" w:rsidRPr="008640FB">
        <w:rPr>
          <w:rFonts w:ascii="Arial" w:hAnsi="Arial" w:cs="Arial"/>
          <w:sz w:val="22"/>
          <w:szCs w:val="22"/>
        </w:rPr>
        <w:t>James 2021</w:t>
      </w:r>
      <w:r w:rsidR="00703E47" w:rsidRPr="008640FB">
        <w:rPr>
          <w:rFonts w:ascii="Arial" w:hAnsi="Arial" w:cs="Arial"/>
          <w:sz w:val="22"/>
          <w:szCs w:val="22"/>
        </w:rPr>
        <w:t xml:space="preserve">, Crone and Schultz 2021, James et al. 2021). </w:t>
      </w:r>
      <w:r w:rsidR="00FD3C7E" w:rsidRPr="008640FB">
        <w:rPr>
          <w:rFonts w:ascii="Arial" w:hAnsi="Arial" w:cs="Arial"/>
          <w:sz w:val="22"/>
          <w:szCs w:val="22"/>
        </w:rPr>
        <w:t>The</w:t>
      </w:r>
      <w:r w:rsidR="00FD3C7E">
        <w:rPr>
          <w:rFonts w:ascii="Arial" w:hAnsi="Arial" w:cs="Arial"/>
          <w:sz w:val="22"/>
          <w:szCs w:val="22"/>
        </w:rPr>
        <w:t xml:space="preserve"> increased prevalence of partial migration within North America, both along the U.S. Gulf Coast and in California (</w:t>
      </w:r>
      <w:r w:rsidR="00C45FB6">
        <w:rPr>
          <w:rFonts w:ascii="Arial" w:hAnsi="Arial" w:cs="Arial"/>
          <w:sz w:val="22"/>
          <w:szCs w:val="22"/>
        </w:rPr>
        <w:t>Satterfield et al. 2016, Satterfield et al. 2018, James et al. 2021</w:t>
      </w:r>
      <w:r w:rsidR="00FD3C7E">
        <w:rPr>
          <w:rFonts w:ascii="Arial" w:hAnsi="Arial" w:cs="Arial"/>
          <w:sz w:val="22"/>
          <w:szCs w:val="22"/>
        </w:rPr>
        <w:t xml:space="preserve">), may affect </w:t>
      </w:r>
      <w:r w:rsidR="003F19D7">
        <w:rPr>
          <w:rFonts w:ascii="Arial" w:hAnsi="Arial" w:cs="Arial"/>
          <w:sz w:val="22"/>
          <w:szCs w:val="22"/>
        </w:rPr>
        <w:t xml:space="preserve">patterns of </w:t>
      </w:r>
      <w:r w:rsidR="00FD3C7E">
        <w:rPr>
          <w:rFonts w:ascii="Arial" w:hAnsi="Arial" w:cs="Arial"/>
          <w:sz w:val="22"/>
          <w:szCs w:val="22"/>
        </w:rPr>
        <w:t xml:space="preserve">spatial genetic diversity: for example, </w:t>
      </w:r>
      <w:r w:rsidR="00F27EEA">
        <w:rPr>
          <w:rFonts w:ascii="Arial" w:hAnsi="Arial" w:cs="Arial"/>
          <w:sz w:val="22"/>
          <w:szCs w:val="22"/>
        </w:rPr>
        <w:t xml:space="preserve">if future sequencing of North American monarchs finds </w:t>
      </w:r>
      <w:r w:rsidR="003F19D7">
        <w:rPr>
          <w:rFonts w:ascii="Arial" w:hAnsi="Arial" w:cs="Arial"/>
          <w:sz w:val="22"/>
          <w:szCs w:val="22"/>
        </w:rPr>
        <w:t xml:space="preserve">evidence for population structure within areas of their range where year-round breeding occurs, this would provide evidence </w:t>
      </w:r>
      <w:r w:rsidR="00C45FB6">
        <w:rPr>
          <w:rFonts w:ascii="Arial" w:hAnsi="Arial" w:cs="Arial"/>
          <w:sz w:val="22"/>
          <w:szCs w:val="22"/>
        </w:rPr>
        <w:t xml:space="preserve">that loss of migration is actively driving genetic differentiation. </w:t>
      </w:r>
      <w:r w:rsidR="006014FF">
        <w:rPr>
          <w:rFonts w:ascii="Arial" w:hAnsi="Arial" w:cs="Arial"/>
          <w:sz w:val="22"/>
          <w:szCs w:val="22"/>
        </w:rPr>
        <w:t xml:space="preserve">Finally, </w:t>
      </w:r>
      <w:r w:rsidR="006014FF">
        <w:rPr>
          <w:rFonts w:ascii="Arial" w:hAnsi="Arial" w:cs="Arial"/>
          <w:sz w:val="22"/>
          <w:szCs w:val="22"/>
        </w:rPr>
        <w:lastRenderedPageBreak/>
        <w:t xml:space="preserve">our results are also helpful for monarch conservation because they provide a relatively large sample of North American monarchs (n = 90) against which future sequencing efforts can be compared to look for evidence of contemporary losses of genetic diversity associated with </w:t>
      </w:r>
      <w:r w:rsidR="00580B11">
        <w:rPr>
          <w:rFonts w:ascii="Arial" w:hAnsi="Arial" w:cs="Arial"/>
          <w:sz w:val="22"/>
          <w:szCs w:val="22"/>
        </w:rPr>
        <w:t xml:space="preserve">potential </w:t>
      </w:r>
      <w:r w:rsidR="006014FF">
        <w:rPr>
          <w:rFonts w:ascii="Arial" w:hAnsi="Arial" w:cs="Arial"/>
          <w:sz w:val="22"/>
          <w:szCs w:val="22"/>
        </w:rPr>
        <w:t>population decline.</w:t>
      </w:r>
    </w:p>
    <w:p w14:paraId="4028E921" w14:textId="77777777" w:rsidR="00355224" w:rsidRPr="001A0367" w:rsidRDefault="00355224" w:rsidP="009F0367">
      <w:pPr>
        <w:spacing w:line="480" w:lineRule="auto"/>
        <w:jc w:val="both"/>
        <w:rPr>
          <w:rFonts w:ascii="Arial" w:hAnsi="Arial" w:cs="Arial"/>
          <w:sz w:val="22"/>
          <w:szCs w:val="22"/>
        </w:rPr>
      </w:pPr>
    </w:p>
    <w:p w14:paraId="7C845F11"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9F0367">
      <w:pPr>
        <w:spacing w:line="480" w:lineRule="auto"/>
        <w:jc w:val="center"/>
        <w:rPr>
          <w:rFonts w:ascii="Arial" w:hAnsi="Arial" w:cs="Arial"/>
          <w:sz w:val="22"/>
          <w:szCs w:val="22"/>
        </w:rPr>
      </w:pPr>
    </w:p>
    <w:p w14:paraId="105BB2F2" w14:textId="64211617" w:rsidR="00022D13" w:rsidRPr="00022D13" w:rsidRDefault="003F0723" w:rsidP="00022D13">
      <w:pPr>
        <w:spacing w:line="480" w:lineRule="auto"/>
        <w:jc w:val="both"/>
        <w:rPr>
          <w:rFonts w:ascii="Arial" w:hAnsi="Arial" w:cs="Arial"/>
          <w:sz w:val="22"/>
          <w:szCs w:val="22"/>
        </w:rPr>
      </w:pPr>
      <w:r w:rsidRPr="00022D13">
        <w:rPr>
          <w:rFonts w:ascii="Arial" w:hAnsi="Arial" w:cs="Arial"/>
          <w:sz w:val="22"/>
          <w:szCs w:val="22"/>
        </w:rPr>
        <w:t>All scripts</w:t>
      </w:r>
      <w:r w:rsidR="006E2582">
        <w:rPr>
          <w:rFonts w:ascii="Arial" w:hAnsi="Arial" w:cs="Arial"/>
          <w:sz w:val="22"/>
          <w:szCs w:val="22"/>
        </w:rPr>
        <w:t xml:space="preserve"> and metadata</w:t>
      </w:r>
      <w:r w:rsidRPr="00022D13">
        <w:rPr>
          <w:rFonts w:ascii="Arial" w:hAnsi="Arial" w:cs="Arial"/>
          <w:sz w:val="22"/>
          <w:szCs w:val="22"/>
        </w:rPr>
        <w:t xml:space="preserve"> used </w:t>
      </w:r>
      <w:r w:rsidR="006E2582">
        <w:rPr>
          <w:rFonts w:ascii="Arial" w:hAnsi="Arial" w:cs="Arial"/>
          <w:sz w:val="22"/>
          <w:szCs w:val="22"/>
        </w:rPr>
        <w:t>in</w:t>
      </w:r>
      <w:r w:rsidRPr="00022D13">
        <w:rPr>
          <w:rFonts w:ascii="Arial" w:hAnsi="Arial" w:cs="Arial"/>
          <w:sz w:val="22"/>
          <w:szCs w:val="22"/>
        </w:rPr>
        <w:t xml:space="preserve"> analys</w:t>
      </w:r>
      <w:r w:rsidR="006E2582">
        <w:rPr>
          <w:rFonts w:ascii="Arial" w:hAnsi="Arial" w:cs="Arial"/>
          <w:sz w:val="22"/>
          <w:szCs w:val="22"/>
        </w:rPr>
        <w:t>es</w:t>
      </w:r>
      <w:r w:rsidRPr="00022D13">
        <w:rPr>
          <w:rFonts w:ascii="Arial" w:hAnsi="Arial" w:cs="Arial"/>
          <w:sz w:val="22"/>
          <w:szCs w:val="22"/>
        </w:rPr>
        <w:t xml:space="preserve"> are available at </w:t>
      </w:r>
      <w:hyperlink r:id="rId16">
        <w:r w:rsidRPr="00022D13">
          <w:rPr>
            <w:rFonts w:ascii="Arial" w:hAnsi="Arial" w:cs="Arial"/>
            <w:color w:val="1155CC"/>
            <w:sz w:val="22"/>
            <w:szCs w:val="22"/>
            <w:u w:val="single"/>
          </w:rPr>
          <w:t>https://github.com/hemstrow/F-H_2018</w:t>
        </w:r>
      </w:hyperlink>
      <w:r w:rsidRPr="00022D13">
        <w:rPr>
          <w:rFonts w:ascii="Arial" w:hAnsi="Arial" w:cs="Arial"/>
          <w:sz w:val="22"/>
          <w:szCs w:val="22"/>
        </w:rPr>
        <w:t xml:space="preserve">. </w:t>
      </w:r>
      <w:r w:rsidR="00022D13" w:rsidRPr="00022D13">
        <w:rPr>
          <w:rFonts w:ascii="Arial" w:hAnsi="Arial" w:cs="Arial"/>
          <w:sz w:val="22"/>
          <w:szCs w:val="22"/>
        </w:rPr>
        <w:t xml:space="preserve">Sequence data have been deposited to the NCBI Sequence Read Archive under </w:t>
      </w:r>
      <w:proofErr w:type="spellStart"/>
      <w:r w:rsidR="00022D13" w:rsidRPr="00022D13">
        <w:rPr>
          <w:rFonts w:ascii="Arial" w:hAnsi="Arial" w:cs="Arial"/>
          <w:sz w:val="22"/>
          <w:szCs w:val="22"/>
        </w:rPr>
        <w:t>BioProject</w:t>
      </w:r>
      <w:proofErr w:type="spellEnd"/>
      <w:r w:rsidR="00022D13" w:rsidRPr="00022D13">
        <w:rPr>
          <w:rFonts w:ascii="Arial" w:hAnsi="Arial" w:cs="Arial"/>
          <w:sz w:val="22"/>
          <w:szCs w:val="22"/>
        </w:rPr>
        <w:t xml:space="preserve"> ID PRJNA848092</w:t>
      </w:r>
      <w:r w:rsidR="00022D13">
        <w:rPr>
          <w:rFonts w:ascii="Arial" w:hAnsi="Arial" w:cs="Arial"/>
          <w:sz w:val="22"/>
          <w:szCs w:val="22"/>
        </w:rPr>
        <w:t>.</w:t>
      </w:r>
    </w:p>
    <w:p w14:paraId="1C199F51" w14:textId="28EC9FD1" w:rsidR="00355224" w:rsidRPr="001A0367" w:rsidRDefault="00355224" w:rsidP="009F0367">
      <w:pPr>
        <w:spacing w:line="480" w:lineRule="auto"/>
        <w:rPr>
          <w:rFonts w:ascii="Arial" w:hAnsi="Arial" w:cs="Arial"/>
          <w:sz w:val="22"/>
          <w:szCs w:val="22"/>
        </w:rPr>
      </w:pPr>
    </w:p>
    <w:p w14:paraId="1E01AFA2" w14:textId="77777777" w:rsidR="00355224" w:rsidRPr="001A0367" w:rsidRDefault="00355224" w:rsidP="009F0367">
      <w:pPr>
        <w:spacing w:line="480" w:lineRule="auto"/>
        <w:rPr>
          <w:rFonts w:ascii="Arial" w:hAnsi="Arial" w:cs="Arial"/>
          <w:sz w:val="22"/>
          <w:szCs w:val="22"/>
        </w:rPr>
      </w:pPr>
    </w:p>
    <w:p w14:paraId="41BB9F1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9F0367">
      <w:pPr>
        <w:spacing w:line="480" w:lineRule="auto"/>
        <w:jc w:val="center"/>
        <w:rPr>
          <w:rFonts w:ascii="Arial" w:hAnsi="Arial" w:cs="Arial"/>
          <w:sz w:val="22"/>
          <w:szCs w:val="22"/>
        </w:rPr>
      </w:pPr>
    </w:p>
    <w:p w14:paraId="16498FEB"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9F0367">
      <w:pPr>
        <w:spacing w:line="480" w:lineRule="auto"/>
        <w:jc w:val="both"/>
        <w:rPr>
          <w:rFonts w:ascii="Arial" w:hAnsi="Arial" w:cs="Arial"/>
          <w:sz w:val="22"/>
          <w:szCs w:val="22"/>
        </w:rPr>
      </w:pPr>
    </w:p>
    <w:p w14:paraId="17B6DEBB"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9F0367">
      <w:pPr>
        <w:spacing w:line="480" w:lineRule="auto"/>
        <w:jc w:val="center"/>
        <w:rPr>
          <w:rFonts w:ascii="Arial" w:hAnsi="Arial" w:cs="Arial"/>
          <w:b/>
          <w:sz w:val="22"/>
          <w:szCs w:val="22"/>
        </w:rPr>
      </w:pPr>
    </w:p>
    <w:p w14:paraId="48D1FA0E"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9F0367">
      <w:pPr>
        <w:spacing w:line="480" w:lineRule="auto"/>
        <w:jc w:val="both"/>
        <w:rPr>
          <w:rFonts w:ascii="Arial" w:hAnsi="Arial" w:cs="Arial"/>
          <w:sz w:val="22"/>
          <w:szCs w:val="22"/>
        </w:rPr>
      </w:pPr>
    </w:p>
    <w:p w14:paraId="6072445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9F0367">
      <w:pPr>
        <w:spacing w:line="480" w:lineRule="auto"/>
        <w:jc w:val="center"/>
        <w:rPr>
          <w:rFonts w:ascii="Arial" w:hAnsi="Arial" w:cs="Arial"/>
          <w:b/>
          <w:sz w:val="22"/>
          <w:szCs w:val="22"/>
        </w:rPr>
      </w:pPr>
    </w:p>
    <w:p w14:paraId="2F034923" w14:textId="1A63695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9F0367">
      <w:pPr>
        <w:spacing w:line="480" w:lineRule="auto"/>
        <w:jc w:val="center"/>
        <w:rPr>
          <w:rFonts w:ascii="Arial" w:hAnsi="Arial" w:cs="Arial"/>
          <w:b/>
          <w:sz w:val="22"/>
          <w:szCs w:val="22"/>
        </w:rPr>
      </w:pPr>
    </w:p>
    <w:p w14:paraId="52362132" w14:textId="032898C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10A1E0AA"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Ali, O. A., S. M. O’Rourke, S. J. Amish, M. H. Meek, G. Luikart,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2D349E78" w14:textId="78C29FAD" w:rsidR="00D07BEF" w:rsidRDefault="00D07BEF" w:rsidP="009F0367">
      <w:pPr>
        <w:pStyle w:val="ListParagraph"/>
        <w:numPr>
          <w:ilvl w:val="0"/>
          <w:numId w:val="1"/>
        </w:numPr>
        <w:spacing w:line="480" w:lineRule="auto"/>
        <w:rPr>
          <w:rFonts w:eastAsia="Times New Roman"/>
          <w:lang w:val="en-US"/>
        </w:rPr>
      </w:pPr>
      <w:proofErr w:type="spellStart"/>
      <w:r w:rsidRPr="00D07BEF">
        <w:rPr>
          <w:rFonts w:eastAsia="Times New Roman"/>
          <w:b/>
          <w:bCs/>
          <w:lang w:val="en-US"/>
        </w:rPr>
        <w:t>Altizer</w:t>
      </w:r>
      <w:proofErr w:type="spellEnd"/>
      <w:r w:rsidRPr="00D07BEF">
        <w:rPr>
          <w:rFonts w:eastAsia="Times New Roman"/>
          <w:b/>
          <w:bCs/>
          <w:lang w:val="en-US"/>
        </w:rPr>
        <w:t>, S. and A. K. Davis. 2010.</w:t>
      </w:r>
      <w:r>
        <w:rPr>
          <w:rFonts w:eastAsia="Times New Roman"/>
          <w:lang w:val="en-US"/>
        </w:rPr>
        <w:t xml:space="preserve"> Populations of monarch butterflies with different migratory behaviors show divergence in wing morphology. Evolution. 64: 1018-1028.</w:t>
      </w:r>
    </w:p>
    <w:p w14:paraId="144FEBBC" w14:textId="599931F4" w:rsidR="00394A82" w:rsidRPr="00B43ACC" w:rsidRDefault="00394A82" w:rsidP="009F0367">
      <w:pPr>
        <w:pStyle w:val="ListParagraph"/>
        <w:numPr>
          <w:ilvl w:val="0"/>
          <w:numId w:val="1"/>
        </w:numPr>
        <w:spacing w:line="480" w:lineRule="auto"/>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w:t>
      </w:r>
      <w:r w:rsidRPr="00B43ACC">
        <w:t xml:space="preserve">differentiation of a cosmopolitan </w:t>
      </w:r>
      <w:proofErr w:type="spellStart"/>
      <w:r w:rsidRPr="00B43ACC">
        <w:t>odonate</w:t>
      </w:r>
      <w:proofErr w:type="spellEnd"/>
      <w:r w:rsidRPr="00B43ACC">
        <w:t>. Heredity. 122: 893–905.</w:t>
      </w:r>
    </w:p>
    <w:p w14:paraId="651E567F" w14:textId="621B836C" w:rsidR="00B43ACC" w:rsidRPr="00B43ACC" w:rsidRDefault="00B43ACC" w:rsidP="009F0367">
      <w:pPr>
        <w:pStyle w:val="ListParagraph"/>
        <w:numPr>
          <w:ilvl w:val="0"/>
          <w:numId w:val="1"/>
        </w:numPr>
        <w:spacing w:line="480" w:lineRule="auto"/>
      </w:pPr>
      <w:r w:rsidRPr="00B43ACC">
        <w:rPr>
          <w:b/>
          <w:bCs/>
        </w:rPr>
        <w:t xml:space="preserve">Asher, J., M. Warren, R. Fox, P. Harding, G. </w:t>
      </w:r>
      <w:proofErr w:type="spellStart"/>
      <w:r w:rsidRPr="00B43ACC">
        <w:rPr>
          <w:b/>
          <w:bCs/>
        </w:rPr>
        <w:t>Jeffcoate</w:t>
      </w:r>
      <w:proofErr w:type="spellEnd"/>
      <w:r w:rsidRPr="00B43ACC">
        <w:rPr>
          <w:b/>
          <w:bCs/>
        </w:rPr>
        <w:t xml:space="preserve">, and S. </w:t>
      </w:r>
      <w:proofErr w:type="spellStart"/>
      <w:r w:rsidRPr="00B43ACC">
        <w:rPr>
          <w:b/>
          <w:bCs/>
        </w:rPr>
        <w:t>Jeffcoate</w:t>
      </w:r>
      <w:proofErr w:type="spellEnd"/>
      <w:r w:rsidRPr="00B43ACC">
        <w:rPr>
          <w:b/>
          <w:bCs/>
        </w:rPr>
        <w:t xml:space="preserve"> (Eds). 2001. </w:t>
      </w:r>
      <w:r w:rsidRPr="00B43ACC">
        <w:rPr>
          <w:i/>
          <w:iCs/>
        </w:rPr>
        <w:t>The Millennium Atlas of Butterflies in Britain and Ireland</w:t>
      </w:r>
      <w:r w:rsidRPr="00B43ACC">
        <w:t>, pp 319-323. Oxford, UK: Oxford University Press.</w:t>
      </w:r>
    </w:p>
    <w:p w14:paraId="7766844B" w14:textId="3FFD607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7C3CDFA8" w:rsidR="00CA10DB"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w:t>
      </w:r>
      <w:r w:rsidRPr="001A0367">
        <w:rPr>
          <w:rFonts w:eastAsia="Times New Roman"/>
          <w:lang w:val="en-US"/>
        </w:rPr>
        <w:lastRenderedPageBreak/>
        <w:t xml:space="preserve">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465D328E" w14:textId="305A8B2B" w:rsidR="0043737D" w:rsidRPr="0043737D" w:rsidRDefault="0043737D" w:rsidP="0043737D">
      <w:pPr>
        <w:pStyle w:val="ListParagraph"/>
        <w:numPr>
          <w:ilvl w:val="0"/>
          <w:numId w:val="1"/>
        </w:numPr>
        <w:spacing w:line="480" w:lineRule="auto"/>
      </w:pPr>
      <w:r>
        <w:rPr>
          <w:rFonts w:eastAsia="Times New Roman"/>
          <w:b/>
          <w:bCs/>
          <w:lang w:val="en-US"/>
        </w:rPr>
        <w:t>Boyle, J</w:t>
      </w:r>
      <w:r w:rsidRPr="0043737D">
        <w:rPr>
          <w:rFonts w:eastAsia="Times New Roman"/>
          <w:lang w:val="en-US"/>
        </w:rPr>
        <w:t>.</w:t>
      </w:r>
      <w:r>
        <w:rPr>
          <w:rFonts w:eastAsia="Times New Roman"/>
          <w:lang w:val="en-US"/>
        </w:rPr>
        <w:t xml:space="preserve"> </w:t>
      </w:r>
      <w:r>
        <w:rPr>
          <w:rFonts w:eastAsia="Times New Roman"/>
          <w:b/>
          <w:bCs/>
          <w:lang w:val="en-US"/>
        </w:rPr>
        <w:t xml:space="preserve">H., S. Strickler, A. </w:t>
      </w:r>
      <w:proofErr w:type="spellStart"/>
      <w:r>
        <w:rPr>
          <w:rFonts w:eastAsia="Times New Roman"/>
          <w:b/>
          <w:bCs/>
          <w:lang w:val="en-US"/>
        </w:rPr>
        <w:t>Twyford</w:t>
      </w:r>
      <w:proofErr w:type="spellEnd"/>
      <w:r>
        <w:rPr>
          <w:rFonts w:eastAsia="Times New Roman"/>
          <w:b/>
          <w:bCs/>
          <w:lang w:val="en-US"/>
        </w:rPr>
        <w:t xml:space="preserve">, A. </w:t>
      </w:r>
      <w:proofErr w:type="spellStart"/>
      <w:r>
        <w:rPr>
          <w:rFonts w:eastAsia="Times New Roman"/>
          <w:b/>
          <w:bCs/>
          <w:lang w:val="en-US"/>
        </w:rPr>
        <w:t>Ricono</w:t>
      </w:r>
      <w:proofErr w:type="spellEnd"/>
      <w:r>
        <w:rPr>
          <w:rFonts w:eastAsia="Times New Roman"/>
          <w:b/>
          <w:bCs/>
          <w:lang w:val="en-US"/>
        </w:rPr>
        <w:t xml:space="preserve">, A. Powell, J. Zhang, H. Xu, H. J. </w:t>
      </w:r>
      <w:proofErr w:type="spellStart"/>
      <w:r>
        <w:rPr>
          <w:rFonts w:eastAsia="Times New Roman"/>
          <w:b/>
          <w:bCs/>
          <w:lang w:val="en-US"/>
        </w:rPr>
        <w:t>Dalgeish</w:t>
      </w:r>
      <w:proofErr w:type="spellEnd"/>
      <w:r>
        <w:rPr>
          <w:rFonts w:eastAsia="Times New Roman"/>
          <w:b/>
          <w:bCs/>
          <w:lang w:val="en-US"/>
        </w:rPr>
        <w:t xml:space="preserve">, G. Jander, A. A. Agrawal, and J. R. </w:t>
      </w:r>
      <w:proofErr w:type="spellStart"/>
      <w:r>
        <w:rPr>
          <w:rFonts w:eastAsia="Times New Roman"/>
          <w:b/>
          <w:bCs/>
          <w:lang w:val="en-US"/>
        </w:rPr>
        <w:t>Puzey</w:t>
      </w:r>
      <w:proofErr w:type="spellEnd"/>
      <w:r>
        <w:rPr>
          <w:rFonts w:eastAsia="Times New Roman"/>
          <w:b/>
          <w:bCs/>
          <w:lang w:val="en-US"/>
        </w:rPr>
        <w:t xml:space="preserve">. 2022. </w:t>
      </w:r>
      <w:r>
        <w:rPr>
          <w:rFonts w:eastAsia="Times New Roman"/>
          <w:lang w:val="en-US"/>
        </w:rPr>
        <w:t xml:space="preserve">Temporal matches and mismatches between monarch butterfly and milkweed population changes over the past 12,000 years. </w:t>
      </w:r>
      <w:proofErr w:type="spellStart"/>
      <w:r>
        <w:rPr>
          <w:rFonts w:eastAsia="Times New Roman"/>
          <w:lang w:val="en-US"/>
        </w:rPr>
        <w:t>BiorXiv</w:t>
      </w:r>
      <w:proofErr w:type="spellEnd"/>
      <w:r>
        <w:rPr>
          <w:rFonts w:eastAsia="Times New Roman"/>
          <w:lang w:val="en-US"/>
        </w:rPr>
        <w:t xml:space="preserve"> preprint: </w:t>
      </w:r>
      <w:r w:rsidRPr="0043737D">
        <w:t>https://doi.org/10.1101/2022.02.25.481796</w:t>
      </w:r>
      <w:r>
        <w:t>.</w:t>
      </w:r>
    </w:p>
    <w:p w14:paraId="3E0F0226" w14:textId="340854E6"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2F01B8A1" w:rsidR="00A34979" w:rsidRDefault="00A34979" w:rsidP="001B6364">
      <w:pPr>
        <w:pStyle w:val="ListParagraph"/>
        <w:numPr>
          <w:ilvl w:val="0"/>
          <w:numId w:val="1"/>
        </w:numPr>
        <w:spacing w:line="480" w:lineRule="auto"/>
        <w:rPr>
          <w:rFonts w:eastAsia="Times New Roman"/>
          <w:lang w:val="en-US"/>
        </w:rPr>
      </w:pPr>
      <w:r w:rsidRPr="001A0367">
        <w:rPr>
          <w:rFonts w:eastAsia="Times New Roman"/>
          <w:b/>
          <w:bCs/>
          <w:lang w:val="en-US"/>
        </w:rPr>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B6364">
      <w:pPr>
        <w:pStyle w:val="ListParagraph"/>
        <w:numPr>
          <w:ilvl w:val="0"/>
          <w:numId w:val="1"/>
        </w:numPr>
        <w:spacing w:line="480" w:lineRule="auto"/>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544AD362" w14:textId="11531A31" w:rsidR="008356AA" w:rsidRPr="001B6364" w:rsidRDefault="008356AA" w:rsidP="008356AA">
      <w:pPr>
        <w:pStyle w:val="ListParagraph"/>
        <w:numPr>
          <w:ilvl w:val="0"/>
          <w:numId w:val="1"/>
        </w:numPr>
        <w:spacing w:line="480" w:lineRule="auto"/>
      </w:pPr>
      <w:r w:rsidRPr="001B6364">
        <w:rPr>
          <w:b/>
          <w:bCs/>
        </w:rPr>
        <w:t xml:space="preserve">Chen, C., Durand, E., Forbes, F., </w:t>
      </w:r>
      <w:r>
        <w:rPr>
          <w:b/>
          <w:bCs/>
        </w:rPr>
        <w:t>and O.</w:t>
      </w:r>
      <w:r w:rsidRPr="001B6364">
        <w:rPr>
          <w:b/>
          <w:bCs/>
        </w:rPr>
        <w:t xml:space="preserve"> François</w:t>
      </w:r>
      <w:r>
        <w:rPr>
          <w:b/>
          <w:bCs/>
        </w:rPr>
        <w:t>.</w:t>
      </w:r>
      <w:r w:rsidRPr="001B6364">
        <w:rPr>
          <w:b/>
          <w:bCs/>
        </w:rPr>
        <w:t xml:space="preserve"> 2007</w:t>
      </w:r>
      <w:r w:rsidRPr="001B6364">
        <w:t xml:space="preserve">. Bayesian clustering algorithms ascertaining spatial population structure: a new computer program and a comparison study. </w:t>
      </w:r>
      <w:r w:rsidRPr="008356AA">
        <w:t>Molecular Ecology Notes</w:t>
      </w:r>
      <w:r>
        <w:t>. 7:</w:t>
      </w:r>
      <w:r w:rsidRPr="001B6364">
        <w:t xml:space="preserve"> 747–756.</w:t>
      </w:r>
    </w:p>
    <w:p w14:paraId="24C1A24A" w14:textId="31C26E0B"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08912784"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43A596D8" w14:textId="5A5577CE" w:rsidR="007F237F" w:rsidRPr="007F237F" w:rsidRDefault="007F237F" w:rsidP="002E2381">
      <w:pPr>
        <w:pStyle w:val="ListParagraph"/>
        <w:numPr>
          <w:ilvl w:val="0"/>
          <w:numId w:val="1"/>
        </w:numPr>
        <w:spacing w:line="480" w:lineRule="auto"/>
      </w:pPr>
      <w:r w:rsidRPr="002E2381">
        <w:rPr>
          <w:b/>
          <w:bCs/>
        </w:rPr>
        <w:t>Crone E</w:t>
      </w:r>
      <w:r w:rsidR="002E2381" w:rsidRPr="002E2381">
        <w:rPr>
          <w:b/>
          <w:bCs/>
        </w:rPr>
        <w:t xml:space="preserve">. </w:t>
      </w:r>
      <w:r w:rsidRPr="002E2381">
        <w:rPr>
          <w:b/>
          <w:bCs/>
        </w:rPr>
        <w:t>E</w:t>
      </w:r>
      <w:r w:rsidR="002E2381" w:rsidRPr="002E2381">
        <w:rPr>
          <w:b/>
          <w:bCs/>
        </w:rPr>
        <w:t>. and C. B.</w:t>
      </w:r>
      <w:r w:rsidRPr="002E2381">
        <w:rPr>
          <w:b/>
          <w:bCs/>
        </w:rPr>
        <w:t xml:space="preserve"> Schultz</w:t>
      </w:r>
      <w:r w:rsidR="002E2381" w:rsidRPr="002E2381">
        <w:rPr>
          <w:b/>
          <w:bCs/>
        </w:rPr>
        <w:t xml:space="preserve">. </w:t>
      </w:r>
      <w:r w:rsidRPr="002E2381">
        <w:rPr>
          <w:b/>
          <w:bCs/>
        </w:rPr>
        <w:t>2021</w:t>
      </w:r>
      <w:r w:rsidR="002E2381" w:rsidRPr="002E2381">
        <w:rPr>
          <w:b/>
          <w:bCs/>
        </w:rPr>
        <w:t>.</w:t>
      </w:r>
      <w:r w:rsidRPr="007F237F">
        <w:t xml:space="preserve"> Resilience or Catastrophe? A possible state change for monarch butterflies in western North America. </w:t>
      </w:r>
      <w:r w:rsidR="002E2381">
        <w:t>Ecol. Lett.</w:t>
      </w:r>
      <w:r w:rsidRPr="007F237F">
        <w:t xml:space="preserve"> </w:t>
      </w:r>
      <w:r w:rsidRPr="002E2381">
        <w:t>24</w:t>
      </w:r>
      <w:r w:rsidR="002E2381">
        <w:t>:</w:t>
      </w:r>
      <w:r w:rsidRPr="007F237F">
        <w:t xml:space="preserve"> 1533–1538.</w:t>
      </w:r>
    </w:p>
    <w:p w14:paraId="1E9EBE57" w14:textId="6C88D7FB" w:rsidR="00CA10DB" w:rsidRDefault="00CA10DB" w:rsidP="002E2381">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Rise and fall of island </w:t>
      </w:r>
      <w:r w:rsidRPr="001A0367">
        <w:rPr>
          <w:rFonts w:eastAsia="Times New Roman"/>
          <w:lang w:val="en-US"/>
        </w:rPr>
        <w:lastRenderedPageBreak/>
        <w:t>butterfly diversity: Understanding genetic differentiation and extinction in a highly diverse archipelago. Diversity and Distributions. 23: 1169–1181.</w:t>
      </w:r>
    </w:p>
    <w:p w14:paraId="58D2AC3F" w14:textId="267855BA" w:rsidR="003B7F97" w:rsidRPr="003B7F97" w:rsidRDefault="003B7F97" w:rsidP="009F0367">
      <w:pPr>
        <w:pStyle w:val="ListParagraph"/>
        <w:numPr>
          <w:ilvl w:val="0"/>
          <w:numId w:val="1"/>
        </w:numPr>
        <w:spacing w:line="480" w:lineRule="auto"/>
        <w:rPr>
          <w:sz w:val="24"/>
          <w:szCs w:val="24"/>
        </w:rPr>
      </w:pPr>
      <w:proofErr w:type="spellStart"/>
      <w:r w:rsidRPr="003B7F97">
        <w:rPr>
          <w:b/>
          <w:bCs/>
        </w:rPr>
        <w:t>Dapporto</w:t>
      </w:r>
      <w:proofErr w:type="spellEnd"/>
      <w:r w:rsidRPr="003B7F97">
        <w:rPr>
          <w:b/>
          <w:bCs/>
        </w:rPr>
        <w:t xml:space="preserve">, L., </w:t>
      </w:r>
      <w:proofErr w:type="spellStart"/>
      <w:r w:rsidRPr="003B7F97">
        <w:rPr>
          <w:b/>
          <w:bCs/>
        </w:rPr>
        <w:t>Cini</w:t>
      </w:r>
      <w:proofErr w:type="spellEnd"/>
      <w:r w:rsidRPr="003B7F97">
        <w:rPr>
          <w:b/>
          <w:bCs/>
        </w:rPr>
        <w:t xml:space="preserve">, A., </w:t>
      </w:r>
      <w:proofErr w:type="spellStart"/>
      <w:r w:rsidRPr="003B7F97">
        <w:rPr>
          <w:b/>
          <w:bCs/>
        </w:rPr>
        <w:t>Vodă</w:t>
      </w:r>
      <w:proofErr w:type="spellEnd"/>
      <w:r w:rsidRPr="003B7F97">
        <w:rPr>
          <w:b/>
          <w:bCs/>
        </w:rPr>
        <w:t xml:space="preserve">, R., </w:t>
      </w:r>
      <w:proofErr w:type="spellStart"/>
      <w:r w:rsidRPr="003B7F97">
        <w:rPr>
          <w:b/>
          <w:bCs/>
        </w:rPr>
        <w:t>Dincă</w:t>
      </w:r>
      <w:proofErr w:type="spellEnd"/>
      <w:r w:rsidRPr="003B7F97">
        <w:rPr>
          <w:b/>
          <w:bCs/>
        </w:rPr>
        <w:t xml:space="preserve">, V., </w:t>
      </w:r>
      <w:proofErr w:type="spellStart"/>
      <w:r w:rsidRPr="003B7F97">
        <w:rPr>
          <w:b/>
          <w:bCs/>
        </w:rPr>
        <w:t>Wiemers</w:t>
      </w:r>
      <w:proofErr w:type="spellEnd"/>
      <w:r w:rsidRPr="003B7F97">
        <w:rPr>
          <w:b/>
          <w:bCs/>
        </w:rPr>
        <w:t xml:space="preserve">, M., </w:t>
      </w:r>
      <w:proofErr w:type="spellStart"/>
      <w:r w:rsidRPr="003B7F97">
        <w:rPr>
          <w:b/>
          <w:bCs/>
        </w:rPr>
        <w:t>Menchetti</w:t>
      </w:r>
      <w:proofErr w:type="spellEnd"/>
      <w:r w:rsidRPr="003B7F97">
        <w:rPr>
          <w:b/>
          <w:bCs/>
        </w:rPr>
        <w:t>, M., … Vila, R. 2019.</w:t>
      </w:r>
      <w:r>
        <w:t xml:space="preserve"> Integrating three comprehensive data sets shows that mitochondrial DNA variation is linked to species traits and paleogeographic events in European butterflies. </w:t>
      </w:r>
      <w:r w:rsidRPr="003B7F97">
        <w:rPr>
          <w:i/>
          <w:iCs/>
        </w:rPr>
        <w:t>Molecular Ecology Resources</w:t>
      </w:r>
      <w:r>
        <w:t>, Vol. 19, pp. 1623–1636.</w:t>
      </w:r>
    </w:p>
    <w:p w14:paraId="0D99D89F" w14:textId="131FD6CC" w:rsidR="009563AB" w:rsidRPr="009563AB" w:rsidRDefault="009563AB" w:rsidP="009F0367">
      <w:pPr>
        <w:pStyle w:val="ListParagraph"/>
        <w:numPr>
          <w:ilvl w:val="0"/>
          <w:numId w:val="1"/>
        </w:numPr>
        <w:spacing w:line="480" w:lineRule="auto"/>
        <w:rPr>
          <w:rFonts w:eastAsia="Times New Roman"/>
          <w:lang w:val="en-US"/>
        </w:rPr>
      </w:pPr>
      <w:r w:rsidRPr="00D07BEF">
        <w:rPr>
          <w:rFonts w:eastAsia="Times New Roman"/>
          <w:b/>
          <w:bCs/>
          <w:lang w:val="en-US"/>
        </w:rPr>
        <w:t>Dingle, H., N. R. Blakley, and E. R. Miller. 1980.</w:t>
      </w:r>
      <w:r>
        <w:rPr>
          <w:rFonts w:eastAsia="Times New Roman"/>
          <w:lang w:val="en-US"/>
        </w:rPr>
        <w:t xml:space="preserve"> Variation in body size and flight performance in milkweed bugs (</w:t>
      </w:r>
      <w:proofErr w:type="spellStart"/>
      <w:r w:rsidRPr="009563AB">
        <w:rPr>
          <w:rFonts w:eastAsia="Times New Roman"/>
          <w:i/>
          <w:iCs/>
          <w:lang w:val="en-US"/>
        </w:rPr>
        <w:t>Oncopeltus</w:t>
      </w:r>
      <w:proofErr w:type="spellEnd"/>
      <w:r>
        <w:rPr>
          <w:rFonts w:eastAsia="Times New Roman"/>
          <w:lang w:val="en-US"/>
        </w:rPr>
        <w:t xml:space="preserve">). </w:t>
      </w:r>
      <w:r w:rsidR="00D07BEF">
        <w:rPr>
          <w:rFonts w:eastAsia="Times New Roman"/>
          <w:lang w:val="en-US"/>
        </w:rPr>
        <w:t>Evolution. 34: 371-385.</w:t>
      </w:r>
    </w:p>
    <w:p w14:paraId="444E992C" w14:textId="7D38F848"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9F0367">
      <w:pPr>
        <w:pStyle w:val="ListParagraph"/>
        <w:numPr>
          <w:ilvl w:val="0"/>
          <w:numId w:val="1"/>
        </w:numPr>
        <w:spacing w:line="480" w:lineRule="auto"/>
        <w:rPr>
          <w:sz w:val="24"/>
          <w:szCs w:val="24"/>
        </w:rPr>
      </w:pPr>
      <w:r w:rsidRPr="00B51EDA">
        <w:rPr>
          <w:b/>
          <w:bCs/>
        </w:rPr>
        <w:t>Freedman, M. G., H. Dingle, C. A. Tabuloc, J. C. Chiu, L. H. Yang, and M. P. Zalucki</w:t>
      </w:r>
      <w:r>
        <w:t xml:space="preserve">. </w:t>
      </w:r>
      <w:r w:rsidRPr="00B51EDA">
        <w:rPr>
          <w:b/>
          <w:bCs/>
        </w:rPr>
        <w:t>2018</w:t>
      </w:r>
      <w:r>
        <w:t xml:space="preserve">. </w:t>
      </w:r>
      <w:proofErr w:type="gramStart"/>
      <w:r>
        <w:t>Non-migratory</w:t>
      </w:r>
      <w:proofErr w:type="gramEnd"/>
      <w:r>
        <w:t xml:space="preserve"> monarch butterflies, </w:t>
      </w:r>
      <w:r w:rsidRPr="00B51EDA">
        <w:rPr>
          <w:i/>
          <w:iCs/>
        </w:rPr>
        <w:t>Danaus plexippus</w:t>
      </w:r>
      <w:r>
        <w:t xml:space="preserve"> (L.), retain developmental plasticity and a navigational mechanism associated with migration. Biol. J. Linn. Soc. </w:t>
      </w:r>
      <w:proofErr w:type="spellStart"/>
      <w:r>
        <w:t>Lond</w:t>
      </w:r>
      <w:proofErr w:type="spellEnd"/>
      <w:r>
        <w:t>. 123: 265–278.</w:t>
      </w:r>
    </w:p>
    <w:p w14:paraId="76393C29" w14:textId="117617AD"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Freedman, M. G., H. Dingle, S. Y. Strauss, and S. R. Ramírez</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9F0367">
      <w:pPr>
        <w:pStyle w:val="ListParagraph"/>
        <w:numPr>
          <w:ilvl w:val="0"/>
          <w:numId w:val="1"/>
        </w:numPr>
        <w:spacing w:line="480" w:lineRule="auto"/>
        <w:rPr>
          <w:sz w:val="24"/>
          <w:szCs w:val="24"/>
        </w:rPr>
      </w:pPr>
      <w:r w:rsidRPr="00245A5A">
        <w:rPr>
          <w:b/>
          <w:bCs/>
        </w:rPr>
        <w:t>Freedman, M. G., Roode, J. C., Forister, M. L., Kronforst, M. R., Pierce, A. A., Schultz, C. B., … Crone, E. E. 2021.</w:t>
      </w:r>
      <w:r>
        <w:t xml:space="preserve"> Are eastern and western monarch </w:t>
      </w:r>
      <w:proofErr w:type="gramStart"/>
      <w:r>
        <w:t>butterflies</w:t>
      </w:r>
      <w:proofErr w:type="gramEnd"/>
      <w:r>
        <w:t xml:space="preserve"> distinct populations? A review of evidence for ecological, phenotypic, and genetic 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9F0367">
      <w:pPr>
        <w:pStyle w:val="ListParagraph"/>
        <w:numPr>
          <w:ilvl w:val="0"/>
          <w:numId w:val="1"/>
        </w:numPr>
        <w:spacing w:line="480" w:lineRule="auto"/>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40371CE0" w:rsidR="00A34979" w:rsidRDefault="00A34979" w:rsidP="008356AA">
      <w:pPr>
        <w:pStyle w:val="ListParagraph"/>
        <w:numPr>
          <w:ilvl w:val="0"/>
          <w:numId w:val="1"/>
        </w:numPr>
        <w:spacing w:line="480" w:lineRule="auto"/>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1D5B8D67" w14:textId="1602599B" w:rsidR="008356AA" w:rsidRPr="008356AA" w:rsidRDefault="008356AA" w:rsidP="008356AA">
      <w:pPr>
        <w:pStyle w:val="ListParagraph"/>
        <w:numPr>
          <w:ilvl w:val="0"/>
          <w:numId w:val="1"/>
        </w:numPr>
        <w:spacing w:line="480" w:lineRule="auto"/>
      </w:pPr>
      <w:r w:rsidRPr="008356AA">
        <w:rPr>
          <w:b/>
          <w:bCs/>
        </w:rPr>
        <w:t xml:space="preserve">Guillot, G., </w:t>
      </w:r>
      <w:proofErr w:type="spellStart"/>
      <w:r w:rsidRPr="008356AA">
        <w:rPr>
          <w:b/>
          <w:bCs/>
        </w:rPr>
        <w:t>Estoup</w:t>
      </w:r>
      <w:proofErr w:type="spellEnd"/>
      <w:r w:rsidRPr="008356AA">
        <w:rPr>
          <w:b/>
          <w:bCs/>
        </w:rPr>
        <w:t>, A., Mortier, F.</w:t>
      </w:r>
      <w:r>
        <w:rPr>
          <w:b/>
          <w:bCs/>
        </w:rPr>
        <w:t>, and J.F.</w:t>
      </w:r>
      <w:r w:rsidRPr="008356AA">
        <w:rPr>
          <w:b/>
          <w:bCs/>
        </w:rPr>
        <w:t xml:space="preserve"> </w:t>
      </w:r>
      <w:proofErr w:type="spellStart"/>
      <w:r w:rsidRPr="008356AA">
        <w:rPr>
          <w:b/>
          <w:bCs/>
        </w:rPr>
        <w:t>Cosson</w:t>
      </w:r>
      <w:proofErr w:type="spellEnd"/>
      <w:r w:rsidRPr="008356AA">
        <w:rPr>
          <w:b/>
          <w:bCs/>
        </w:rPr>
        <w:t>. 2005.</w:t>
      </w:r>
      <w:r w:rsidRPr="008356AA">
        <w:t xml:space="preserve"> A spatial statistical model for landscape genetics. Genetics, 170: 1261–1280.</w:t>
      </w:r>
    </w:p>
    <w:p w14:paraId="69AE1FD2" w14:textId="30BBB16F" w:rsidR="001C5583" w:rsidRPr="001C5583" w:rsidRDefault="001C5583" w:rsidP="009F0367">
      <w:pPr>
        <w:pStyle w:val="ListParagraph"/>
        <w:numPr>
          <w:ilvl w:val="0"/>
          <w:numId w:val="1"/>
        </w:numPr>
        <w:spacing w:before="100" w:beforeAutospacing="1" w:after="100" w:afterAutospacing="1" w:line="480" w:lineRule="auto"/>
      </w:pPr>
      <w:proofErr w:type="spellStart"/>
      <w:r w:rsidRPr="001C5583">
        <w:rPr>
          <w:b/>
          <w:bCs/>
        </w:rPr>
        <w:t>Evanno</w:t>
      </w:r>
      <w:proofErr w:type="spellEnd"/>
      <w:r w:rsidRPr="001C5583">
        <w:rPr>
          <w:b/>
          <w:bCs/>
        </w:rPr>
        <w:t xml:space="preserve">, G., </w:t>
      </w:r>
      <w:proofErr w:type="spellStart"/>
      <w:r w:rsidRPr="001C5583">
        <w:rPr>
          <w:b/>
          <w:bCs/>
        </w:rPr>
        <w:t>Regnaut</w:t>
      </w:r>
      <w:proofErr w:type="spellEnd"/>
      <w:r w:rsidRPr="001C5583">
        <w:rPr>
          <w:b/>
          <w:bCs/>
        </w:rPr>
        <w:t xml:space="preserve">, S., &amp; </w:t>
      </w:r>
      <w:proofErr w:type="spellStart"/>
      <w:r w:rsidRPr="001C5583">
        <w:rPr>
          <w:b/>
          <w:bCs/>
        </w:rPr>
        <w:t>Goudet</w:t>
      </w:r>
      <w:proofErr w:type="spellEnd"/>
      <w:r w:rsidRPr="001C5583">
        <w:rPr>
          <w:b/>
          <w:bCs/>
        </w:rPr>
        <w:t>, J. 2005</w:t>
      </w:r>
      <w:r w:rsidRPr="001C5583">
        <w:t xml:space="preserve">. Detecting the number of clusters of individuals using the software structure: a simulation study. </w:t>
      </w:r>
      <w:r w:rsidRPr="001C5583">
        <w:rPr>
          <w:i/>
          <w:iCs/>
        </w:rPr>
        <w:t>Molecular Ecology</w:t>
      </w:r>
      <w:r w:rsidRPr="001C5583">
        <w:t>, 14(8), 2611–2620. https://doi.org/https://doi.org/10.1111/j.1365-294X.2005.02553.x</w:t>
      </w:r>
    </w:p>
    <w:p w14:paraId="26D374CB" w14:textId="1F01CDE8"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9F0367">
      <w:pPr>
        <w:pStyle w:val="ListParagraph"/>
        <w:numPr>
          <w:ilvl w:val="0"/>
          <w:numId w:val="1"/>
        </w:numPr>
        <w:spacing w:line="480" w:lineRule="auto"/>
      </w:pPr>
      <w:r w:rsidRPr="001A0367">
        <w:rPr>
          <w:b/>
          <w:bCs/>
        </w:rPr>
        <w:lastRenderedPageBreak/>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9F0367">
      <w:pPr>
        <w:pStyle w:val="ListParagraph"/>
        <w:numPr>
          <w:ilvl w:val="0"/>
          <w:numId w:val="1"/>
        </w:numPr>
        <w:spacing w:line="480" w:lineRule="auto"/>
        <w:rPr>
          <w:lang w:val="en-US"/>
        </w:rPr>
      </w:pPr>
      <w:r>
        <w:rPr>
          <w:b/>
          <w:bCs/>
        </w:rPr>
        <w:t xml:space="preserve">Hemstrom, W. and M. Jones. 2021. </w:t>
      </w:r>
      <w:proofErr w:type="spellStart"/>
      <w:r>
        <w:t>snpR</w:t>
      </w:r>
      <w:proofErr w:type="spellEnd"/>
      <w:r>
        <w:t xml:space="preserve">: user friendly population genomics for SNP datasets with categorical metadata. </w:t>
      </w:r>
      <w:proofErr w:type="spellStart"/>
      <w:r>
        <w:t>Authorea</w:t>
      </w:r>
      <w:proofErr w:type="spellEnd"/>
      <w:r>
        <w:t xml:space="preserve">. </w:t>
      </w:r>
      <w:r w:rsidRPr="001B5296">
        <w:t>10.22541/au.161264719.94032617/v1</w:t>
      </w:r>
    </w:p>
    <w:p w14:paraId="5B1B6D10" w14:textId="0EB26C5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511435FB"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F67B3AE" w14:textId="175E4363" w:rsidR="007F237F" w:rsidRDefault="007F237F" w:rsidP="002E2381">
      <w:pPr>
        <w:pStyle w:val="ListParagraph"/>
        <w:numPr>
          <w:ilvl w:val="0"/>
          <w:numId w:val="1"/>
        </w:numPr>
        <w:spacing w:line="480" w:lineRule="auto"/>
      </w:pPr>
      <w:r w:rsidRPr="002E2381">
        <w:rPr>
          <w:b/>
          <w:bCs/>
        </w:rPr>
        <w:t>James</w:t>
      </w:r>
      <w:r w:rsidR="002E2381" w:rsidRPr="002E2381">
        <w:rPr>
          <w:b/>
          <w:bCs/>
        </w:rPr>
        <w:t>,</w:t>
      </w:r>
      <w:r w:rsidRPr="002E2381">
        <w:rPr>
          <w:b/>
          <w:bCs/>
        </w:rPr>
        <w:t xml:space="preserve"> D</w:t>
      </w:r>
      <w:r w:rsidR="002E2381" w:rsidRPr="002E2381">
        <w:rPr>
          <w:b/>
          <w:bCs/>
        </w:rPr>
        <w:t xml:space="preserve">. </w:t>
      </w:r>
      <w:r w:rsidRPr="002E2381">
        <w:rPr>
          <w:b/>
          <w:bCs/>
        </w:rPr>
        <w:t>G</w:t>
      </w:r>
      <w:r w:rsidR="002E2381" w:rsidRPr="002E2381">
        <w:rPr>
          <w:b/>
          <w:bCs/>
        </w:rPr>
        <w:t>.</w:t>
      </w:r>
      <w:r w:rsidRPr="002E2381">
        <w:rPr>
          <w:b/>
          <w:bCs/>
        </w:rPr>
        <w:t xml:space="preserve"> 2021</w:t>
      </w:r>
      <w:r w:rsidR="002E2381" w:rsidRPr="002E2381">
        <w:rPr>
          <w:b/>
          <w:bCs/>
        </w:rPr>
        <w:t>.</w:t>
      </w:r>
      <w:r w:rsidRPr="007F237F">
        <w:t xml:space="preserve"> Western North American </w:t>
      </w:r>
      <w:r w:rsidR="002E2381">
        <w:t>m</w:t>
      </w:r>
      <w:r w:rsidRPr="007F237F">
        <w:t xml:space="preserve">onarchs: Spiraling into </w:t>
      </w:r>
      <w:r w:rsidR="002E2381">
        <w:t>o</w:t>
      </w:r>
      <w:r w:rsidRPr="007F237F">
        <w:t xml:space="preserve">blivion or </w:t>
      </w:r>
      <w:r w:rsidR="002E2381">
        <w:t>a</w:t>
      </w:r>
      <w:r w:rsidRPr="007F237F">
        <w:t xml:space="preserve">dapting to a </w:t>
      </w:r>
      <w:r w:rsidR="002E2381">
        <w:t>c</w:t>
      </w:r>
      <w:r w:rsidRPr="007F237F">
        <w:t xml:space="preserve">hanging </w:t>
      </w:r>
      <w:r w:rsidR="002E2381">
        <w:t>e</w:t>
      </w:r>
      <w:r w:rsidRPr="007F237F">
        <w:t xml:space="preserve">nvironment? </w:t>
      </w:r>
      <w:r w:rsidR="002E2381" w:rsidRPr="002E2381">
        <w:t>Animal Migration</w:t>
      </w:r>
      <w:r w:rsidR="002E2381">
        <w:t>.</w:t>
      </w:r>
      <w:r w:rsidRPr="007F237F">
        <w:t xml:space="preserve"> </w:t>
      </w:r>
      <w:r w:rsidRPr="002E2381">
        <w:t>8</w:t>
      </w:r>
      <w:r w:rsidR="002E2381">
        <w:t>:</w:t>
      </w:r>
      <w:r w:rsidRPr="007F237F">
        <w:t xml:space="preserve"> 19–26.</w:t>
      </w:r>
    </w:p>
    <w:p w14:paraId="38F060B6" w14:textId="13F1DE3D" w:rsidR="007F237F" w:rsidRPr="007F237F" w:rsidRDefault="007F237F" w:rsidP="002E2381">
      <w:pPr>
        <w:pStyle w:val="ListParagraph"/>
        <w:numPr>
          <w:ilvl w:val="0"/>
          <w:numId w:val="1"/>
        </w:numPr>
        <w:spacing w:line="480" w:lineRule="auto"/>
      </w:pPr>
      <w:r w:rsidRPr="002E2381">
        <w:rPr>
          <w:b/>
          <w:bCs/>
        </w:rPr>
        <w:lastRenderedPageBreak/>
        <w:t>Jame</w:t>
      </w:r>
      <w:r w:rsidR="002E2381" w:rsidRPr="002E2381">
        <w:rPr>
          <w:b/>
          <w:bCs/>
        </w:rPr>
        <w:t>s, D. G.</w:t>
      </w:r>
      <w:r w:rsidRPr="002E2381">
        <w:rPr>
          <w:b/>
          <w:bCs/>
        </w:rPr>
        <w:t>,</w:t>
      </w:r>
      <w:r w:rsidR="002E2381" w:rsidRPr="002E2381">
        <w:rPr>
          <w:b/>
          <w:bCs/>
        </w:rPr>
        <w:t xml:space="preserve"> M. C.</w:t>
      </w:r>
      <w:r w:rsidRPr="002E2381">
        <w:rPr>
          <w:b/>
          <w:bCs/>
        </w:rPr>
        <w:t xml:space="preserve"> Schaefer, </w:t>
      </w:r>
      <w:r w:rsidR="002E2381" w:rsidRPr="002E2381">
        <w:rPr>
          <w:b/>
          <w:bCs/>
        </w:rPr>
        <w:t xml:space="preserve">E. K. </w:t>
      </w:r>
      <w:r w:rsidRPr="002E2381">
        <w:rPr>
          <w:b/>
          <w:bCs/>
        </w:rPr>
        <w:t>Krimmer,</w:t>
      </w:r>
      <w:r w:rsidR="002E2381" w:rsidRPr="002E2381">
        <w:rPr>
          <w:b/>
          <w:bCs/>
        </w:rPr>
        <w:t xml:space="preserve"> and A.</w:t>
      </w:r>
      <w:r w:rsidRPr="002E2381">
        <w:rPr>
          <w:b/>
          <w:bCs/>
        </w:rPr>
        <w:t xml:space="preserve"> Carl</w:t>
      </w:r>
      <w:r w:rsidR="002E2381" w:rsidRPr="002E2381">
        <w:rPr>
          <w:b/>
          <w:bCs/>
        </w:rPr>
        <w:t>.</w:t>
      </w:r>
      <w:r w:rsidRPr="002E2381">
        <w:rPr>
          <w:b/>
          <w:bCs/>
        </w:rPr>
        <w:t xml:space="preserve"> 2021</w:t>
      </w:r>
      <w:r w:rsidR="002E2381" w:rsidRPr="002E2381">
        <w:rPr>
          <w:b/>
          <w:bCs/>
        </w:rPr>
        <w:t>.</w:t>
      </w:r>
      <w:r w:rsidRPr="007F237F">
        <w:t xml:space="preserve"> First </w:t>
      </w:r>
      <w:r w:rsidR="002E2381">
        <w:t>p</w:t>
      </w:r>
      <w:r w:rsidRPr="007F237F">
        <w:t xml:space="preserve">opulation </w:t>
      </w:r>
      <w:r w:rsidR="002E2381">
        <w:t>s</w:t>
      </w:r>
      <w:r w:rsidRPr="007F237F">
        <w:t xml:space="preserve">tudy on </w:t>
      </w:r>
      <w:r w:rsidR="002E2381">
        <w:t>w</w:t>
      </w:r>
      <w:r w:rsidRPr="007F237F">
        <w:t xml:space="preserve">inter </w:t>
      </w:r>
      <w:r w:rsidR="002E2381">
        <w:t>b</w:t>
      </w:r>
      <w:r w:rsidRPr="007F237F">
        <w:t xml:space="preserve">reeding </w:t>
      </w:r>
      <w:r w:rsidR="002E2381">
        <w:t>m</w:t>
      </w:r>
      <w:r w:rsidRPr="007F237F">
        <w:t xml:space="preserve">onarch </w:t>
      </w:r>
      <w:r w:rsidR="002E2381">
        <w:t>b</w:t>
      </w:r>
      <w:r w:rsidRPr="007F237F">
        <w:t xml:space="preserve">utterflies, </w:t>
      </w:r>
      <w:r w:rsidRPr="002E2381">
        <w:rPr>
          <w:i/>
          <w:iCs/>
        </w:rPr>
        <w:t>Danaus plexippus</w:t>
      </w:r>
      <w:r w:rsidRPr="007F237F">
        <w:t xml:space="preserve"> (Lepidoptera: Nymphalidae) in the </w:t>
      </w:r>
      <w:r w:rsidR="002E2381">
        <w:t>u</w:t>
      </w:r>
      <w:r w:rsidRPr="007F237F">
        <w:t xml:space="preserve">rban South Bay of San Francisco, California. </w:t>
      </w:r>
      <w:r w:rsidRPr="002E2381">
        <w:t>Insects</w:t>
      </w:r>
      <w:r w:rsidR="002E2381">
        <w:t>.</w:t>
      </w:r>
      <w:r w:rsidRPr="007F237F">
        <w:t xml:space="preserve"> </w:t>
      </w:r>
      <w:r w:rsidRPr="002E2381">
        <w:t>12</w:t>
      </w:r>
      <w:r w:rsidR="002E2381">
        <w:t>: 946.</w:t>
      </w:r>
    </w:p>
    <w:p w14:paraId="050C985A" w14:textId="502BF08C" w:rsidR="00581393" w:rsidRPr="00581393" w:rsidRDefault="00581393" w:rsidP="002E2381">
      <w:pPr>
        <w:pStyle w:val="ListParagraph"/>
        <w:numPr>
          <w:ilvl w:val="0"/>
          <w:numId w:val="1"/>
        </w:numPr>
        <w:spacing w:line="480" w:lineRule="auto"/>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Mol. Biol. Evol. 32: 239–243.</w:t>
      </w:r>
    </w:p>
    <w:p w14:paraId="7334DF27" w14:textId="0D473A5F"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t>.</w:t>
        </w:r>
      </w:hyperlink>
    </w:p>
    <w:p w14:paraId="3F9258DE" w14:textId="4D61CDDA"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M. P. Zalucki,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Kronforst,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J. C. de Roode, S. </w:t>
      </w:r>
      <w:proofErr w:type="spellStart"/>
      <w:r w:rsidRPr="001A0367">
        <w:rPr>
          <w:rFonts w:eastAsia="Times New Roman"/>
          <w:b/>
          <w:bCs/>
          <w:lang w:val="en-US"/>
        </w:rPr>
        <w:t>Altizer</w:t>
      </w:r>
      <w:proofErr w:type="spellEnd"/>
      <w:r w:rsidRPr="001A0367">
        <w:rPr>
          <w:rFonts w:eastAsia="Times New Roman"/>
          <w:b/>
          <w:bCs/>
          <w:lang w:val="en-US"/>
        </w:rPr>
        <w:t>,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xml:space="preserve">. Extreme heterogeneity in parasitism despite low population genetic structure among monarch butterflies inhabiting the </w:t>
      </w:r>
      <w:proofErr w:type="gramStart"/>
      <w:r w:rsidRPr="001A0367">
        <w:rPr>
          <w:rFonts w:eastAsia="Times New Roman"/>
          <w:lang w:val="en-US"/>
        </w:rPr>
        <w:t>Hawaiian islands</w:t>
      </w:r>
      <w:proofErr w:type="gramEnd"/>
      <w:r w:rsidRPr="001A0367">
        <w:rPr>
          <w:rFonts w:eastAsia="Times New Roman"/>
          <w:lang w:val="en-US"/>
        </w:rPr>
        <w:t>. PLoS ONE.</w:t>
      </w:r>
    </w:p>
    <w:p w14:paraId="7364DDBD" w14:textId="7E2D934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 xml:space="preserve">Pierce A. A., S. </w:t>
      </w:r>
      <w:proofErr w:type="spellStart"/>
      <w:proofErr w:type="gramStart"/>
      <w:r w:rsidRPr="001A0367">
        <w:rPr>
          <w:rFonts w:eastAsia="Times New Roman"/>
          <w:b/>
          <w:bCs/>
          <w:color w:val="000000"/>
          <w:lang w:val="en-US"/>
        </w:rPr>
        <w:t>Altizer</w:t>
      </w:r>
      <w:proofErr w:type="spellEnd"/>
      <w:r w:rsidRPr="001A0367">
        <w:rPr>
          <w:rFonts w:eastAsia="Times New Roman"/>
          <w:b/>
          <w:bCs/>
          <w:color w:val="000000"/>
          <w:lang w:val="en-US"/>
        </w:rPr>
        <w:t xml:space="preserve"> ,</w:t>
      </w:r>
      <w:proofErr w:type="gramEnd"/>
      <w:r w:rsidRPr="001A0367">
        <w:rPr>
          <w:rFonts w:eastAsia="Times New Roman"/>
          <w:b/>
          <w:bCs/>
          <w:color w:val="000000"/>
          <w:lang w:val="en-US"/>
        </w:rPr>
        <w:t xml:space="preserve"> N. L. Chamberlain, M. R. Kronforst,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5CA7E3BC" w:rsidR="007C4E22" w:rsidRDefault="007C4E22" w:rsidP="005972D1">
      <w:pPr>
        <w:pStyle w:val="ListParagraph"/>
        <w:numPr>
          <w:ilvl w:val="0"/>
          <w:numId w:val="1"/>
        </w:numPr>
        <w:spacing w:line="480" w:lineRule="auto"/>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6BED76D4" w:rsidR="00B46F48" w:rsidRPr="007F237F" w:rsidRDefault="00B46F48" w:rsidP="005972D1">
      <w:pPr>
        <w:pStyle w:val="ListParagraph"/>
        <w:numPr>
          <w:ilvl w:val="0"/>
          <w:numId w:val="1"/>
        </w:numPr>
        <w:spacing w:line="480" w:lineRule="auto"/>
        <w:rPr>
          <w:sz w:val="24"/>
          <w:szCs w:val="24"/>
        </w:rPr>
      </w:pPr>
      <w:proofErr w:type="spellStart"/>
      <w:r w:rsidRPr="00B46F48">
        <w:rPr>
          <w:b/>
          <w:bCs/>
        </w:rPr>
        <w:t>Samarasin</w:t>
      </w:r>
      <w:proofErr w:type="spellEnd"/>
      <w:r w:rsidRPr="00B46F48">
        <w:rPr>
          <w:b/>
          <w:bCs/>
        </w:rPr>
        <w:t xml:space="preserve">, P., </w:t>
      </w:r>
      <w:proofErr w:type="spellStart"/>
      <w:r w:rsidRPr="00B46F48">
        <w:rPr>
          <w:b/>
          <w:bCs/>
        </w:rPr>
        <w:t>Shuter</w:t>
      </w:r>
      <w:proofErr w:type="spellEnd"/>
      <w:r w:rsidRPr="00B46F48">
        <w:rPr>
          <w:b/>
          <w:bCs/>
        </w:rPr>
        <w:t>,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055E5605" w14:textId="3FB95E9D" w:rsidR="007F237F" w:rsidRPr="007F237F" w:rsidRDefault="007F237F" w:rsidP="005972D1">
      <w:pPr>
        <w:pStyle w:val="ListParagraph"/>
        <w:numPr>
          <w:ilvl w:val="0"/>
          <w:numId w:val="1"/>
        </w:numPr>
        <w:spacing w:line="480" w:lineRule="auto"/>
      </w:pPr>
      <w:r w:rsidRPr="00F60EE2">
        <w:rPr>
          <w:b/>
          <w:bCs/>
        </w:rPr>
        <w:t>Satterfield</w:t>
      </w:r>
      <w:r w:rsidR="00F60EE2" w:rsidRPr="00F60EE2">
        <w:rPr>
          <w:b/>
          <w:bCs/>
        </w:rPr>
        <w:t>,</w:t>
      </w:r>
      <w:r w:rsidRPr="00F60EE2">
        <w:rPr>
          <w:b/>
          <w:bCs/>
        </w:rPr>
        <w:t xml:space="preserve"> </w:t>
      </w:r>
      <w:r w:rsidR="00F60EE2" w:rsidRPr="00F60EE2">
        <w:rPr>
          <w:b/>
          <w:bCs/>
        </w:rPr>
        <w:t>D. A.</w:t>
      </w:r>
      <w:r w:rsidRPr="00F60EE2">
        <w:rPr>
          <w:b/>
          <w:bCs/>
        </w:rPr>
        <w:t>,</w:t>
      </w:r>
      <w:r w:rsidR="00F60EE2" w:rsidRPr="00F60EE2">
        <w:rPr>
          <w:b/>
          <w:bCs/>
        </w:rPr>
        <w:t xml:space="preserve"> F. X.</w:t>
      </w:r>
      <w:r w:rsidRPr="00F60EE2">
        <w:rPr>
          <w:b/>
          <w:bCs/>
        </w:rPr>
        <w:t xml:space="preserve"> </w:t>
      </w:r>
      <w:proofErr w:type="spellStart"/>
      <w:r w:rsidRPr="00F60EE2">
        <w:rPr>
          <w:b/>
          <w:bCs/>
        </w:rPr>
        <w:t>Villablanca</w:t>
      </w:r>
      <w:proofErr w:type="spellEnd"/>
      <w:r w:rsidRPr="00F60EE2">
        <w:rPr>
          <w:b/>
          <w:bCs/>
        </w:rPr>
        <w:t>,</w:t>
      </w:r>
      <w:r w:rsidR="00F60EE2" w:rsidRPr="00F60EE2">
        <w:rPr>
          <w:b/>
          <w:bCs/>
        </w:rPr>
        <w:t xml:space="preserve"> J. C.</w:t>
      </w:r>
      <w:r w:rsidRPr="00F60EE2">
        <w:rPr>
          <w:b/>
          <w:bCs/>
        </w:rPr>
        <w:t xml:space="preserve"> </w:t>
      </w:r>
      <w:proofErr w:type="spellStart"/>
      <w:r w:rsidRPr="00F60EE2">
        <w:rPr>
          <w:b/>
          <w:bCs/>
        </w:rPr>
        <w:t>Maerz</w:t>
      </w:r>
      <w:proofErr w:type="spellEnd"/>
      <w:r w:rsidRPr="00F60EE2">
        <w:rPr>
          <w:b/>
          <w:bCs/>
        </w:rPr>
        <w:t>,</w:t>
      </w:r>
      <w:r w:rsidR="00F60EE2" w:rsidRPr="00F60EE2">
        <w:rPr>
          <w:b/>
          <w:bCs/>
        </w:rPr>
        <w:t xml:space="preserve"> and S.</w:t>
      </w:r>
      <w:r w:rsidRPr="00F60EE2">
        <w:rPr>
          <w:b/>
          <w:bCs/>
        </w:rPr>
        <w:t xml:space="preserve"> </w:t>
      </w:r>
      <w:proofErr w:type="spellStart"/>
      <w:r w:rsidRPr="00F60EE2">
        <w:rPr>
          <w:b/>
          <w:bCs/>
        </w:rPr>
        <w:t>Altizer</w:t>
      </w:r>
      <w:proofErr w:type="spellEnd"/>
      <w:r w:rsidR="00F60EE2" w:rsidRPr="00F60EE2">
        <w:rPr>
          <w:b/>
          <w:bCs/>
        </w:rPr>
        <w:t>.</w:t>
      </w:r>
      <w:r w:rsidRPr="00F60EE2">
        <w:rPr>
          <w:b/>
          <w:bCs/>
        </w:rPr>
        <w:t xml:space="preserve"> 2016</w:t>
      </w:r>
      <w:r w:rsidR="00F60EE2" w:rsidRPr="00F60EE2">
        <w:rPr>
          <w:b/>
          <w:bCs/>
        </w:rPr>
        <w:t>.</w:t>
      </w:r>
      <w:r w:rsidRPr="007F237F">
        <w:t xml:space="preserve"> Migratory monarchs wintering in California experience low infection risk compared to monarchs breeding year-round on non-native milkweed. </w:t>
      </w:r>
      <w:r w:rsidR="00F60EE2">
        <w:t xml:space="preserve">Int. Comp. Biol. </w:t>
      </w:r>
      <w:r w:rsidRPr="00F60EE2">
        <w:t>56</w:t>
      </w:r>
      <w:r w:rsidR="00F60EE2">
        <w:t>:</w:t>
      </w:r>
      <w:r w:rsidRPr="007F237F">
        <w:t xml:space="preserve"> 343–352.</w:t>
      </w:r>
    </w:p>
    <w:p w14:paraId="0FF48B8B" w14:textId="1E68591D" w:rsidR="007F237F" w:rsidRPr="002E2381" w:rsidRDefault="002E2381" w:rsidP="005972D1">
      <w:pPr>
        <w:pStyle w:val="ListParagraph"/>
        <w:numPr>
          <w:ilvl w:val="0"/>
          <w:numId w:val="1"/>
        </w:numPr>
        <w:spacing w:line="480" w:lineRule="auto"/>
      </w:pPr>
      <w:r w:rsidRPr="005972D1">
        <w:rPr>
          <w:b/>
          <w:bCs/>
        </w:rPr>
        <w:t>Satterfield</w:t>
      </w:r>
      <w:r w:rsidR="00F60EE2" w:rsidRPr="005972D1">
        <w:rPr>
          <w:b/>
          <w:bCs/>
        </w:rPr>
        <w:t>, D. A., J. C.</w:t>
      </w:r>
      <w:r w:rsidRPr="005972D1">
        <w:rPr>
          <w:b/>
          <w:bCs/>
        </w:rPr>
        <w:t xml:space="preserve"> </w:t>
      </w:r>
      <w:proofErr w:type="spellStart"/>
      <w:r w:rsidRPr="005972D1">
        <w:rPr>
          <w:b/>
          <w:bCs/>
        </w:rPr>
        <w:t>Maerz</w:t>
      </w:r>
      <w:proofErr w:type="spellEnd"/>
      <w:r w:rsidRPr="005972D1">
        <w:rPr>
          <w:b/>
          <w:bCs/>
        </w:rPr>
        <w:t xml:space="preserve">, </w:t>
      </w:r>
      <w:r w:rsidR="00F60EE2" w:rsidRPr="005972D1">
        <w:rPr>
          <w:b/>
          <w:bCs/>
        </w:rPr>
        <w:t xml:space="preserve">M. D. </w:t>
      </w:r>
      <w:r w:rsidRPr="005972D1">
        <w:rPr>
          <w:b/>
          <w:bCs/>
        </w:rPr>
        <w:t>Hunter</w:t>
      </w:r>
      <w:r w:rsidR="005972D1" w:rsidRPr="005972D1">
        <w:rPr>
          <w:b/>
          <w:bCs/>
        </w:rPr>
        <w:t xml:space="preserve">, … S. </w:t>
      </w:r>
      <w:proofErr w:type="spellStart"/>
      <w:r w:rsidR="005972D1" w:rsidRPr="005972D1">
        <w:rPr>
          <w:b/>
          <w:bCs/>
        </w:rPr>
        <w:t>Altizer</w:t>
      </w:r>
      <w:proofErr w:type="spellEnd"/>
      <w:r w:rsidR="005972D1" w:rsidRPr="005972D1">
        <w:rPr>
          <w:b/>
          <w:bCs/>
        </w:rPr>
        <w:t>. 2018.</w:t>
      </w:r>
      <w:r w:rsidR="005972D1">
        <w:t xml:space="preserve"> </w:t>
      </w:r>
      <w:r w:rsidRPr="002E2381">
        <w:t xml:space="preserve">Migratory monarchs that encounter resident monarchs show life-history differences and higher rates of parasite infection. </w:t>
      </w:r>
      <w:r w:rsidR="005972D1">
        <w:t>Ecol. Lett.</w:t>
      </w:r>
      <w:r w:rsidRPr="002E2381">
        <w:t xml:space="preserve"> </w:t>
      </w:r>
      <w:r w:rsidRPr="005972D1">
        <w:t>21</w:t>
      </w:r>
      <w:r w:rsidR="005972D1">
        <w:t>:</w:t>
      </w:r>
      <w:r w:rsidRPr="002E2381">
        <w:t xml:space="preserve"> 1670–1680.</w:t>
      </w:r>
    </w:p>
    <w:p w14:paraId="7A53E7C4" w14:textId="5D4F9C8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M. R. Kronforst,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A., W. Lu, M. Noyes, and M. R. Kronforst</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9F0367">
      <w:pPr>
        <w:pStyle w:val="ListParagraph"/>
        <w:numPr>
          <w:ilvl w:val="0"/>
          <w:numId w:val="1"/>
        </w:numPr>
        <w:spacing w:line="480" w:lineRule="auto"/>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9F0367">
      <w:pPr>
        <w:pStyle w:val="ListParagraph"/>
        <w:numPr>
          <w:ilvl w:val="0"/>
          <w:numId w:val="1"/>
        </w:numPr>
        <w:spacing w:line="480" w:lineRule="auto"/>
        <w:rPr>
          <w:sz w:val="24"/>
          <w:szCs w:val="24"/>
        </w:rPr>
      </w:pPr>
      <w:proofErr w:type="spellStart"/>
      <w:r w:rsidRPr="00FA52AC">
        <w:rPr>
          <w:b/>
          <w:bCs/>
        </w:rPr>
        <w:lastRenderedPageBreak/>
        <w:t>Vodă</w:t>
      </w:r>
      <w:proofErr w:type="spellEnd"/>
      <w:r w:rsidRPr="00FA52AC">
        <w:rPr>
          <w:b/>
          <w:bCs/>
        </w:rPr>
        <w:t xml:space="preserve">, R., </w:t>
      </w:r>
      <w:proofErr w:type="spellStart"/>
      <w:r w:rsidRPr="00FA52AC">
        <w:rPr>
          <w:b/>
          <w:bCs/>
        </w:rPr>
        <w:t>Dapporto</w:t>
      </w:r>
      <w:proofErr w:type="spellEnd"/>
      <w:r w:rsidRPr="00FA52AC">
        <w:rPr>
          <w:b/>
          <w:bCs/>
        </w:rPr>
        <w:t xml:space="preserve">, L., </w:t>
      </w:r>
      <w:proofErr w:type="spellStart"/>
      <w:r w:rsidRPr="00FA52AC">
        <w:rPr>
          <w:b/>
          <w:bCs/>
        </w:rPr>
        <w:t>Dincă</w:t>
      </w:r>
      <w:proofErr w:type="spellEnd"/>
      <w:r w:rsidRPr="00FA52AC">
        <w:rPr>
          <w:b/>
          <w:bCs/>
        </w:rPr>
        <w:t xml:space="preserve">, V., </w:t>
      </w:r>
      <w:proofErr w:type="spellStart"/>
      <w:r w:rsidRPr="00FA52AC">
        <w:rPr>
          <w:b/>
          <w:bCs/>
        </w:rPr>
        <w:t>Shreeve</w:t>
      </w:r>
      <w:proofErr w:type="spellEnd"/>
      <w:r w:rsidRPr="00FA52AC">
        <w:rPr>
          <w:b/>
          <w:bCs/>
        </w:rPr>
        <w:t xml:space="preserve">, T. G., </w:t>
      </w:r>
      <w:proofErr w:type="spellStart"/>
      <w:r w:rsidRPr="00FA52AC">
        <w:rPr>
          <w:b/>
          <w:bCs/>
        </w:rPr>
        <w:t>Khaldi</w:t>
      </w:r>
      <w:proofErr w:type="spellEnd"/>
      <w:r w:rsidRPr="00FA52AC">
        <w:rPr>
          <w:b/>
          <w:bCs/>
        </w:rPr>
        <w:t xml:space="preserve">, M., </w:t>
      </w:r>
      <w:proofErr w:type="spellStart"/>
      <w:r w:rsidRPr="00FA52AC">
        <w:rPr>
          <w:b/>
          <w:bCs/>
        </w:rPr>
        <w:t>Barech</w:t>
      </w:r>
      <w:proofErr w:type="spellEnd"/>
      <w:r w:rsidRPr="00FA52AC">
        <w:rPr>
          <w:b/>
          <w:bCs/>
        </w:rPr>
        <w:t>, G., … Vila, R. 2016</w:t>
      </w:r>
      <w:r>
        <w:t xml:space="preserve">. Historical and contemporary factors generate unique butterfly communities on islands. </w:t>
      </w:r>
      <w:r w:rsidRPr="00C71837">
        <w:t>Scientific Reports</w:t>
      </w:r>
      <w:r>
        <w:t xml:space="preserve">, </w:t>
      </w:r>
      <w:r w:rsidRPr="00FA52AC">
        <w:rPr>
          <w:i/>
          <w:iCs/>
        </w:rPr>
        <w:t>6</w:t>
      </w:r>
      <w:r>
        <w:t>, 28828.</w:t>
      </w:r>
    </w:p>
    <w:p w14:paraId="56C7E317" w14:textId="58579C27" w:rsidR="001F0461"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340E7C21" w14:textId="6C9CEF0A" w:rsidR="00C71837" w:rsidRPr="001A0367" w:rsidRDefault="00C71837" w:rsidP="009F0367">
      <w:pPr>
        <w:pStyle w:val="ListParagraph"/>
        <w:numPr>
          <w:ilvl w:val="0"/>
          <w:numId w:val="1"/>
        </w:numPr>
        <w:spacing w:line="480" w:lineRule="auto"/>
        <w:rPr>
          <w:rFonts w:eastAsia="Times New Roman"/>
          <w:lang w:val="en-US"/>
        </w:rPr>
      </w:pPr>
      <w:r w:rsidRPr="00C71837">
        <w:rPr>
          <w:rFonts w:eastAsia="Times New Roman"/>
          <w:b/>
          <w:bCs/>
          <w:lang w:val="en-US"/>
        </w:rPr>
        <w:t xml:space="preserve">Wigginton, J. E., D. J. Cutler, and G. R. </w:t>
      </w:r>
      <w:proofErr w:type="spellStart"/>
      <w:r w:rsidRPr="00C71837">
        <w:rPr>
          <w:rFonts w:eastAsia="Times New Roman"/>
          <w:b/>
          <w:bCs/>
          <w:lang w:val="en-US"/>
        </w:rPr>
        <w:t>Abecasis</w:t>
      </w:r>
      <w:proofErr w:type="spellEnd"/>
      <w:r w:rsidRPr="00C71837">
        <w:rPr>
          <w:rFonts w:eastAsia="Times New Roman"/>
          <w:b/>
          <w:bCs/>
          <w:lang w:val="en-US"/>
        </w:rPr>
        <w:t>. 2005</w:t>
      </w:r>
      <w:r>
        <w:rPr>
          <w:rFonts w:eastAsia="Times New Roman"/>
          <w:lang w:val="en-US"/>
        </w:rPr>
        <w:t>. A note on exact tests of Hardy-Weinberg Equilibrium. American Journal of Human Genetics. 76: 887-893.</w:t>
      </w:r>
    </w:p>
    <w:p w14:paraId="7505863F" w14:textId="7D4C2699" w:rsidR="005A1ECC" w:rsidRPr="001A0367" w:rsidRDefault="005A1ECC" w:rsidP="009F0367">
      <w:pPr>
        <w:pStyle w:val="ListParagraph"/>
        <w:numPr>
          <w:ilvl w:val="0"/>
          <w:numId w:val="1"/>
        </w:numPr>
        <w:spacing w:line="480" w:lineRule="auto"/>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9F0367">
      <w:pPr>
        <w:pStyle w:val="ListParagraph"/>
        <w:numPr>
          <w:ilvl w:val="0"/>
          <w:numId w:val="1"/>
        </w:numPr>
        <w:spacing w:line="480" w:lineRule="auto"/>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Zalucki, S. </w:t>
      </w:r>
      <w:proofErr w:type="spellStart"/>
      <w:r w:rsidRPr="001A0367">
        <w:rPr>
          <w:rFonts w:eastAsia="Times New Roman"/>
          <w:b/>
          <w:bCs/>
          <w:lang w:val="en-US"/>
        </w:rPr>
        <w:t>Altizer</w:t>
      </w:r>
      <w:proofErr w:type="spellEnd"/>
      <w:r w:rsidRPr="001A0367">
        <w:rPr>
          <w:rFonts w:eastAsia="Times New Roman"/>
          <w:b/>
          <w:bCs/>
          <w:lang w:val="en-US"/>
        </w:rPr>
        <w:t>, J. C. de Roode, S. M. Reppert, and M. R. Kronforst</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9125" w:type="dxa"/>
        <w:tblInd w:w="-10" w:type="dxa"/>
        <w:tblLayout w:type="fixed"/>
        <w:tblLook w:val="0600" w:firstRow="0" w:lastRow="0" w:firstColumn="0" w:lastColumn="0" w:noHBand="1" w:noVBand="1"/>
      </w:tblPr>
      <w:tblGrid>
        <w:gridCol w:w="3093"/>
        <w:gridCol w:w="1610"/>
        <w:gridCol w:w="1757"/>
        <w:gridCol w:w="1323"/>
        <w:gridCol w:w="1342"/>
      </w:tblGrid>
      <w:tr w:rsidR="00C87D3E" w14:paraId="2CE08252" w14:textId="77777777" w:rsidTr="00B73C95">
        <w:trPr>
          <w:trHeight w:val="382"/>
        </w:trPr>
        <w:tc>
          <w:tcPr>
            <w:tcW w:w="3093" w:type="dxa"/>
            <w:tcBorders>
              <w:top w:val="single" w:sz="4" w:space="0" w:color="auto"/>
              <w:bottom w:val="single" w:sz="4" w:space="0" w:color="auto"/>
            </w:tcBorders>
            <w:tcMar>
              <w:top w:w="100" w:type="dxa"/>
              <w:left w:w="100" w:type="dxa"/>
              <w:bottom w:w="100" w:type="dxa"/>
              <w:right w:w="100" w:type="dxa"/>
            </w:tcMar>
            <w:vAlign w:val="center"/>
          </w:tcPr>
          <w:p w14:paraId="5F9C599C" w14:textId="77777777" w:rsidR="00C87D3E" w:rsidRDefault="00C87D3E" w:rsidP="00E9183B">
            <w:pPr>
              <w:jc w:val="center"/>
              <w:rPr>
                <w:b/>
              </w:rPr>
            </w:pPr>
            <w:r>
              <w:rPr>
                <w:b/>
              </w:rPr>
              <w:lastRenderedPageBreak/>
              <w:t>Population</w:t>
            </w:r>
          </w:p>
        </w:tc>
        <w:tc>
          <w:tcPr>
            <w:tcW w:w="1610" w:type="dxa"/>
            <w:tcBorders>
              <w:top w:val="single" w:sz="4" w:space="0" w:color="auto"/>
              <w:bottom w:val="single" w:sz="4" w:space="0" w:color="auto"/>
            </w:tcBorders>
            <w:tcMar>
              <w:top w:w="100" w:type="dxa"/>
              <w:left w:w="100" w:type="dxa"/>
              <w:bottom w:w="100" w:type="dxa"/>
              <w:right w:w="100" w:type="dxa"/>
            </w:tcMar>
            <w:vAlign w:val="center"/>
          </w:tcPr>
          <w:p w14:paraId="0C269116" w14:textId="77777777" w:rsidR="00C87D3E" w:rsidRDefault="00C87D3E" w:rsidP="00E9183B">
            <w:pPr>
              <w:jc w:val="center"/>
              <w:rPr>
                <w:b/>
              </w:rPr>
            </w:pPr>
            <w:r>
              <w:rPr>
                <w:b/>
              </w:rPr>
              <w:t># Samples</w:t>
            </w:r>
          </w:p>
        </w:tc>
        <w:tc>
          <w:tcPr>
            <w:tcW w:w="1757" w:type="dxa"/>
            <w:tcBorders>
              <w:top w:val="single" w:sz="4" w:space="0" w:color="auto"/>
              <w:bottom w:val="single" w:sz="4" w:space="0" w:color="auto"/>
            </w:tcBorders>
            <w:tcMar>
              <w:top w:w="100" w:type="dxa"/>
              <w:left w:w="100" w:type="dxa"/>
              <w:bottom w:w="100" w:type="dxa"/>
              <w:right w:w="100" w:type="dxa"/>
            </w:tcMar>
            <w:vAlign w:val="center"/>
          </w:tcPr>
          <w:p w14:paraId="3E98C38C" w14:textId="77777777" w:rsidR="00C87D3E" w:rsidRDefault="00C87D3E" w:rsidP="00E9183B">
            <w:pPr>
              <w:jc w:val="center"/>
              <w:rPr>
                <w:b/>
              </w:rPr>
            </w:pPr>
            <w:r>
              <w:rPr>
                <w:b/>
              </w:rPr>
              <w:t>Tajima's D</w:t>
            </w:r>
          </w:p>
        </w:tc>
        <w:tc>
          <w:tcPr>
            <w:tcW w:w="1323" w:type="dxa"/>
            <w:tcBorders>
              <w:top w:val="single" w:sz="4" w:space="0" w:color="auto"/>
              <w:bottom w:val="single" w:sz="4" w:space="0" w:color="auto"/>
            </w:tcBorders>
            <w:tcMar>
              <w:top w:w="100" w:type="dxa"/>
              <w:left w:w="100" w:type="dxa"/>
              <w:bottom w:w="100" w:type="dxa"/>
              <w:right w:w="100" w:type="dxa"/>
            </w:tcMar>
            <w:vAlign w:val="center"/>
          </w:tcPr>
          <w:p w14:paraId="0592A170" w14:textId="46FD26CB" w:rsidR="00C87D3E" w:rsidRDefault="00C87D3E" w:rsidP="00E9183B">
            <w:pPr>
              <w:jc w:val="center"/>
              <w:rPr>
                <w:b/>
                <w:vertAlign w:val="subscript"/>
              </w:rPr>
            </w:pPr>
            <w:r>
              <w:rPr>
                <w:b/>
              </w:rPr>
              <w:t>H</w:t>
            </w:r>
            <w:r>
              <w:rPr>
                <w:b/>
                <w:vertAlign w:val="subscript"/>
              </w:rPr>
              <w:t>O</w:t>
            </w:r>
          </w:p>
        </w:tc>
        <w:tc>
          <w:tcPr>
            <w:tcW w:w="1342" w:type="dxa"/>
            <w:tcBorders>
              <w:top w:val="single" w:sz="4" w:space="0" w:color="auto"/>
              <w:bottom w:val="single" w:sz="4" w:space="0" w:color="auto"/>
            </w:tcBorders>
            <w:tcMar>
              <w:top w:w="100" w:type="dxa"/>
              <w:left w:w="100" w:type="dxa"/>
              <w:bottom w:w="100" w:type="dxa"/>
              <w:right w:w="100" w:type="dxa"/>
            </w:tcMar>
            <w:vAlign w:val="center"/>
          </w:tcPr>
          <w:p w14:paraId="6547F56A" w14:textId="77777777" w:rsidR="00C87D3E" w:rsidRDefault="00C87D3E" w:rsidP="00E9183B">
            <w:pPr>
              <w:jc w:val="center"/>
              <w:rPr>
                <w:b/>
              </w:rPr>
            </w:pPr>
            <w:r>
              <w:rPr>
                <w:b/>
              </w:rPr>
              <w:t>π</w:t>
            </w:r>
          </w:p>
        </w:tc>
      </w:tr>
      <w:tr w:rsidR="00C87D3E" w14:paraId="4B99BE27" w14:textId="77777777" w:rsidTr="00B73C95">
        <w:trPr>
          <w:trHeight w:val="353"/>
        </w:trPr>
        <w:tc>
          <w:tcPr>
            <w:tcW w:w="3093" w:type="dxa"/>
            <w:tcBorders>
              <w:top w:val="single" w:sz="4" w:space="0" w:color="auto"/>
              <w:bottom w:val="single" w:sz="4" w:space="0" w:color="auto"/>
            </w:tcBorders>
            <w:tcMar>
              <w:top w:w="100" w:type="dxa"/>
              <w:left w:w="100" w:type="dxa"/>
              <w:bottom w:w="100" w:type="dxa"/>
              <w:right w:w="100" w:type="dxa"/>
            </w:tcMar>
          </w:tcPr>
          <w:p w14:paraId="3BF43F48" w14:textId="5CB20E39" w:rsidR="00C87D3E" w:rsidRPr="00B73C95" w:rsidRDefault="00C87D3E" w:rsidP="00EF1FC8">
            <w:pPr>
              <w:jc w:val="center"/>
              <w:rPr>
                <w:b/>
                <w:color w:val="C00000"/>
              </w:rPr>
            </w:pPr>
            <w:r w:rsidRPr="00B73C95">
              <w:rPr>
                <w:b/>
                <w:color w:val="C00000"/>
              </w:rPr>
              <w:t>North America (NAM)</w:t>
            </w:r>
          </w:p>
        </w:tc>
        <w:tc>
          <w:tcPr>
            <w:tcW w:w="1610" w:type="dxa"/>
            <w:tcBorders>
              <w:top w:val="single" w:sz="4" w:space="0" w:color="auto"/>
              <w:bottom w:val="single" w:sz="4" w:space="0" w:color="auto"/>
            </w:tcBorders>
            <w:tcMar>
              <w:top w:w="100" w:type="dxa"/>
              <w:left w:w="100" w:type="dxa"/>
              <w:bottom w:w="100" w:type="dxa"/>
              <w:right w:w="100" w:type="dxa"/>
            </w:tcMar>
            <w:vAlign w:val="center"/>
          </w:tcPr>
          <w:p w14:paraId="242C8F8A" w14:textId="77777777" w:rsidR="00C87D3E" w:rsidRPr="00B73C95" w:rsidRDefault="00C87D3E" w:rsidP="00EF1FC8">
            <w:pPr>
              <w:jc w:val="center"/>
              <w:rPr>
                <w:color w:val="C00000"/>
              </w:rPr>
            </w:pPr>
            <w:r w:rsidRPr="00B73C95">
              <w:rPr>
                <w:color w:val="C00000"/>
              </w:rPr>
              <w:t>83</w:t>
            </w:r>
          </w:p>
        </w:tc>
        <w:tc>
          <w:tcPr>
            <w:tcW w:w="1757" w:type="dxa"/>
            <w:tcBorders>
              <w:top w:val="single" w:sz="4" w:space="0" w:color="auto"/>
              <w:bottom w:val="single" w:sz="4" w:space="0" w:color="auto"/>
            </w:tcBorders>
            <w:tcMar>
              <w:top w:w="100" w:type="dxa"/>
              <w:left w:w="100" w:type="dxa"/>
              <w:bottom w:w="100" w:type="dxa"/>
              <w:right w:w="100" w:type="dxa"/>
            </w:tcMar>
            <w:vAlign w:val="center"/>
          </w:tcPr>
          <w:p w14:paraId="5C8B6790" w14:textId="77777777" w:rsidR="00C87D3E" w:rsidRPr="00B73C95" w:rsidRDefault="00C87D3E" w:rsidP="00EF1FC8">
            <w:pPr>
              <w:jc w:val="center"/>
              <w:rPr>
                <w:color w:val="C00000"/>
              </w:rPr>
            </w:pPr>
            <w:r w:rsidRPr="00B73C95">
              <w:rPr>
                <w:color w:val="C00000"/>
              </w:rPr>
              <w:t>-1.92</w:t>
            </w:r>
          </w:p>
        </w:tc>
        <w:tc>
          <w:tcPr>
            <w:tcW w:w="1323" w:type="dxa"/>
            <w:tcBorders>
              <w:top w:val="single" w:sz="4" w:space="0" w:color="auto"/>
              <w:bottom w:val="single" w:sz="4" w:space="0" w:color="auto"/>
            </w:tcBorders>
            <w:tcMar>
              <w:top w:w="100" w:type="dxa"/>
              <w:left w:w="100" w:type="dxa"/>
              <w:bottom w:w="100" w:type="dxa"/>
              <w:right w:w="100" w:type="dxa"/>
            </w:tcMar>
            <w:vAlign w:val="center"/>
          </w:tcPr>
          <w:p w14:paraId="6B10F59F" w14:textId="77777777" w:rsidR="00C87D3E" w:rsidRPr="00B73C95" w:rsidRDefault="00C87D3E" w:rsidP="00EF1FC8">
            <w:pPr>
              <w:jc w:val="center"/>
              <w:rPr>
                <w:color w:val="C00000"/>
              </w:rPr>
            </w:pPr>
            <w:r w:rsidRPr="00B73C95">
              <w:rPr>
                <w:color w:val="C00000"/>
              </w:rPr>
              <w:t>0.055</w:t>
            </w:r>
          </w:p>
        </w:tc>
        <w:tc>
          <w:tcPr>
            <w:tcW w:w="1342" w:type="dxa"/>
            <w:tcBorders>
              <w:top w:val="single" w:sz="4" w:space="0" w:color="auto"/>
              <w:bottom w:val="single" w:sz="4" w:space="0" w:color="auto"/>
            </w:tcBorders>
            <w:tcMar>
              <w:top w:w="100" w:type="dxa"/>
              <w:left w:w="100" w:type="dxa"/>
              <w:bottom w:w="100" w:type="dxa"/>
              <w:right w:w="100" w:type="dxa"/>
            </w:tcMar>
            <w:vAlign w:val="center"/>
          </w:tcPr>
          <w:p w14:paraId="04ABCDB3" w14:textId="77777777" w:rsidR="00C87D3E" w:rsidRPr="00B73C95" w:rsidRDefault="00C87D3E" w:rsidP="00EF1FC8">
            <w:pPr>
              <w:jc w:val="center"/>
              <w:rPr>
                <w:color w:val="C00000"/>
              </w:rPr>
            </w:pPr>
            <w:r w:rsidRPr="00B73C95">
              <w:rPr>
                <w:color w:val="C00000"/>
              </w:rPr>
              <w:t>0.064</w:t>
            </w:r>
          </w:p>
        </w:tc>
      </w:tr>
      <w:tr w:rsidR="00C87D3E" w14:paraId="52531E8B" w14:textId="77777777" w:rsidTr="00B73C95">
        <w:trPr>
          <w:trHeight w:val="353"/>
        </w:trPr>
        <w:tc>
          <w:tcPr>
            <w:tcW w:w="3093" w:type="dxa"/>
            <w:tcBorders>
              <w:top w:val="single" w:sz="4" w:space="0" w:color="auto"/>
              <w:bottom w:val="single" w:sz="4" w:space="0" w:color="auto"/>
            </w:tcBorders>
            <w:tcMar>
              <w:top w:w="100" w:type="dxa"/>
              <w:left w:w="100" w:type="dxa"/>
              <w:bottom w:w="100" w:type="dxa"/>
              <w:right w:w="100" w:type="dxa"/>
            </w:tcMar>
          </w:tcPr>
          <w:p w14:paraId="6420CC89" w14:textId="517409E5" w:rsidR="00C87D3E" w:rsidRPr="00B73C95" w:rsidRDefault="00C87D3E" w:rsidP="00EF1FC8">
            <w:pPr>
              <w:jc w:val="center"/>
              <w:rPr>
                <w:b/>
                <w:color w:val="E36C0A" w:themeColor="accent6" w:themeShade="BF"/>
              </w:rPr>
            </w:pPr>
            <w:r w:rsidRPr="00B73C95">
              <w:rPr>
                <w:b/>
                <w:color w:val="E36C0A" w:themeColor="accent6" w:themeShade="BF"/>
              </w:rPr>
              <w:t>Hawaii (HAW)</w:t>
            </w:r>
          </w:p>
        </w:tc>
        <w:tc>
          <w:tcPr>
            <w:tcW w:w="1610" w:type="dxa"/>
            <w:tcBorders>
              <w:top w:val="single" w:sz="4" w:space="0" w:color="auto"/>
              <w:bottom w:val="single" w:sz="4" w:space="0" w:color="auto"/>
            </w:tcBorders>
            <w:tcMar>
              <w:top w:w="100" w:type="dxa"/>
              <w:left w:w="100" w:type="dxa"/>
              <w:bottom w:w="100" w:type="dxa"/>
              <w:right w:w="100" w:type="dxa"/>
            </w:tcMar>
            <w:vAlign w:val="center"/>
          </w:tcPr>
          <w:p w14:paraId="595392F6" w14:textId="77777777" w:rsidR="00C87D3E" w:rsidRPr="00B73C95" w:rsidRDefault="00C87D3E" w:rsidP="00EF1FC8">
            <w:pPr>
              <w:jc w:val="center"/>
              <w:rPr>
                <w:color w:val="E36C0A" w:themeColor="accent6" w:themeShade="BF"/>
              </w:rPr>
            </w:pPr>
            <w:r w:rsidRPr="00B73C95">
              <w:rPr>
                <w:color w:val="E36C0A" w:themeColor="accent6" w:themeShade="BF"/>
              </w:rPr>
              <w:t>9</w:t>
            </w:r>
          </w:p>
        </w:tc>
        <w:tc>
          <w:tcPr>
            <w:tcW w:w="1757" w:type="dxa"/>
            <w:tcBorders>
              <w:top w:val="single" w:sz="4" w:space="0" w:color="auto"/>
              <w:bottom w:val="single" w:sz="4" w:space="0" w:color="auto"/>
            </w:tcBorders>
            <w:tcMar>
              <w:top w:w="100" w:type="dxa"/>
              <w:left w:w="100" w:type="dxa"/>
              <w:bottom w:w="100" w:type="dxa"/>
              <w:right w:w="100" w:type="dxa"/>
            </w:tcMar>
            <w:vAlign w:val="center"/>
          </w:tcPr>
          <w:p w14:paraId="7639D67C" w14:textId="77777777" w:rsidR="00C87D3E" w:rsidRPr="00B73C95" w:rsidRDefault="00C87D3E" w:rsidP="00EF1FC8">
            <w:pPr>
              <w:jc w:val="center"/>
              <w:rPr>
                <w:color w:val="E36C0A" w:themeColor="accent6" w:themeShade="BF"/>
              </w:rPr>
            </w:pPr>
            <w:r w:rsidRPr="00B73C95">
              <w:rPr>
                <w:color w:val="E36C0A" w:themeColor="accent6" w:themeShade="BF"/>
              </w:rPr>
              <w:t>-0.211</w:t>
            </w:r>
          </w:p>
        </w:tc>
        <w:tc>
          <w:tcPr>
            <w:tcW w:w="1323" w:type="dxa"/>
            <w:tcBorders>
              <w:top w:val="single" w:sz="4" w:space="0" w:color="auto"/>
              <w:bottom w:val="single" w:sz="4" w:space="0" w:color="auto"/>
            </w:tcBorders>
            <w:tcMar>
              <w:top w:w="100" w:type="dxa"/>
              <w:left w:w="100" w:type="dxa"/>
              <w:bottom w:w="100" w:type="dxa"/>
              <w:right w:w="100" w:type="dxa"/>
            </w:tcMar>
            <w:vAlign w:val="center"/>
          </w:tcPr>
          <w:p w14:paraId="23E63B33" w14:textId="77777777" w:rsidR="00C87D3E" w:rsidRPr="00B73C95" w:rsidRDefault="00C87D3E" w:rsidP="00EF1FC8">
            <w:pPr>
              <w:jc w:val="center"/>
              <w:rPr>
                <w:color w:val="E36C0A" w:themeColor="accent6" w:themeShade="BF"/>
              </w:rPr>
            </w:pPr>
            <w:r w:rsidRPr="00B73C95">
              <w:rPr>
                <w:color w:val="E36C0A" w:themeColor="accent6" w:themeShade="BF"/>
              </w:rPr>
              <w:t>0.048</w:t>
            </w:r>
          </w:p>
        </w:tc>
        <w:tc>
          <w:tcPr>
            <w:tcW w:w="1342" w:type="dxa"/>
            <w:tcBorders>
              <w:top w:val="single" w:sz="4" w:space="0" w:color="auto"/>
              <w:bottom w:val="single" w:sz="4" w:space="0" w:color="auto"/>
            </w:tcBorders>
            <w:tcMar>
              <w:top w:w="100" w:type="dxa"/>
              <w:left w:w="100" w:type="dxa"/>
              <w:bottom w:w="100" w:type="dxa"/>
              <w:right w:w="100" w:type="dxa"/>
            </w:tcMar>
            <w:vAlign w:val="center"/>
          </w:tcPr>
          <w:p w14:paraId="5279D996" w14:textId="77777777" w:rsidR="00C87D3E" w:rsidRPr="00B73C95" w:rsidRDefault="00C87D3E" w:rsidP="00EF1FC8">
            <w:pPr>
              <w:jc w:val="center"/>
              <w:rPr>
                <w:color w:val="E36C0A" w:themeColor="accent6" w:themeShade="BF"/>
              </w:rPr>
            </w:pPr>
            <w:r w:rsidRPr="00B73C95">
              <w:rPr>
                <w:color w:val="E36C0A" w:themeColor="accent6" w:themeShade="BF"/>
              </w:rPr>
              <w:t>0.055</w:t>
            </w:r>
          </w:p>
        </w:tc>
      </w:tr>
      <w:tr w:rsidR="00C87D3E" w14:paraId="05762E12" w14:textId="77777777" w:rsidTr="00B73C95">
        <w:trPr>
          <w:trHeight w:val="353"/>
        </w:trPr>
        <w:tc>
          <w:tcPr>
            <w:tcW w:w="3093" w:type="dxa"/>
            <w:tcBorders>
              <w:top w:val="single" w:sz="4" w:space="0" w:color="auto"/>
            </w:tcBorders>
            <w:tcMar>
              <w:top w:w="100" w:type="dxa"/>
              <w:left w:w="100" w:type="dxa"/>
              <w:bottom w:w="100" w:type="dxa"/>
              <w:right w:w="100" w:type="dxa"/>
            </w:tcMar>
          </w:tcPr>
          <w:p w14:paraId="59C798E8" w14:textId="52DC82DC" w:rsidR="00C87D3E" w:rsidRPr="00B73C95" w:rsidRDefault="00C87D3E" w:rsidP="00EF1FC8">
            <w:pPr>
              <w:jc w:val="center"/>
              <w:rPr>
                <w:b/>
                <w:color w:val="31849B" w:themeColor="accent5" w:themeShade="BF"/>
              </w:rPr>
            </w:pPr>
            <w:r w:rsidRPr="00B73C95">
              <w:rPr>
                <w:b/>
                <w:color w:val="31849B" w:themeColor="accent5" w:themeShade="BF"/>
              </w:rPr>
              <w:t>Guam (GUA)</w:t>
            </w:r>
          </w:p>
        </w:tc>
        <w:tc>
          <w:tcPr>
            <w:tcW w:w="1610" w:type="dxa"/>
            <w:tcBorders>
              <w:top w:val="single" w:sz="4" w:space="0" w:color="auto"/>
            </w:tcBorders>
            <w:tcMar>
              <w:top w:w="100" w:type="dxa"/>
              <w:left w:w="100" w:type="dxa"/>
              <w:bottom w:w="100" w:type="dxa"/>
              <w:right w:w="100" w:type="dxa"/>
            </w:tcMar>
            <w:vAlign w:val="center"/>
          </w:tcPr>
          <w:p w14:paraId="5941D106" w14:textId="77777777" w:rsidR="00C87D3E" w:rsidRPr="00B73C95" w:rsidRDefault="00C87D3E" w:rsidP="00EF1FC8">
            <w:pPr>
              <w:jc w:val="center"/>
              <w:rPr>
                <w:color w:val="31849B" w:themeColor="accent5" w:themeShade="BF"/>
              </w:rPr>
            </w:pPr>
            <w:r w:rsidRPr="00B73C95">
              <w:rPr>
                <w:color w:val="31849B" w:themeColor="accent5" w:themeShade="BF"/>
              </w:rPr>
              <w:t>19</w:t>
            </w:r>
          </w:p>
        </w:tc>
        <w:tc>
          <w:tcPr>
            <w:tcW w:w="1757" w:type="dxa"/>
            <w:tcBorders>
              <w:top w:val="single" w:sz="4" w:space="0" w:color="auto"/>
            </w:tcBorders>
            <w:tcMar>
              <w:top w:w="100" w:type="dxa"/>
              <w:left w:w="100" w:type="dxa"/>
              <w:bottom w:w="100" w:type="dxa"/>
              <w:right w:w="100" w:type="dxa"/>
            </w:tcMar>
            <w:vAlign w:val="center"/>
          </w:tcPr>
          <w:p w14:paraId="4CFCBDBA" w14:textId="77777777" w:rsidR="00C87D3E" w:rsidRPr="00B73C95" w:rsidRDefault="00C87D3E" w:rsidP="00EF1FC8">
            <w:pPr>
              <w:jc w:val="center"/>
              <w:rPr>
                <w:color w:val="31849B" w:themeColor="accent5" w:themeShade="BF"/>
              </w:rPr>
            </w:pPr>
            <w:r w:rsidRPr="00B73C95">
              <w:rPr>
                <w:color w:val="31849B" w:themeColor="accent5" w:themeShade="BF"/>
              </w:rPr>
              <w:t>0.091</w:t>
            </w:r>
          </w:p>
        </w:tc>
        <w:tc>
          <w:tcPr>
            <w:tcW w:w="1323" w:type="dxa"/>
            <w:tcBorders>
              <w:top w:val="single" w:sz="4" w:space="0" w:color="auto"/>
            </w:tcBorders>
            <w:tcMar>
              <w:top w:w="100" w:type="dxa"/>
              <w:left w:w="100" w:type="dxa"/>
              <w:bottom w:w="100" w:type="dxa"/>
              <w:right w:w="100" w:type="dxa"/>
            </w:tcMar>
            <w:vAlign w:val="center"/>
          </w:tcPr>
          <w:p w14:paraId="17076DA7" w14:textId="77777777" w:rsidR="00C87D3E" w:rsidRPr="00B73C95" w:rsidRDefault="00C87D3E" w:rsidP="00EF1FC8">
            <w:pPr>
              <w:jc w:val="center"/>
              <w:rPr>
                <w:color w:val="31849B" w:themeColor="accent5" w:themeShade="BF"/>
              </w:rPr>
            </w:pPr>
            <w:r w:rsidRPr="00B73C95">
              <w:rPr>
                <w:color w:val="31849B" w:themeColor="accent5" w:themeShade="BF"/>
              </w:rPr>
              <w:t>0.031</w:t>
            </w:r>
          </w:p>
        </w:tc>
        <w:tc>
          <w:tcPr>
            <w:tcW w:w="1342" w:type="dxa"/>
            <w:tcBorders>
              <w:top w:val="single" w:sz="4" w:space="0" w:color="auto"/>
            </w:tcBorders>
            <w:tcMar>
              <w:top w:w="100" w:type="dxa"/>
              <w:left w:w="100" w:type="dxa"/>
              <w:bottom w:w="100" w:type="dxa"/>
              <w:right w:w="100" w:type="dxa"/>
            </w:tcMar>
            <w:vAlign w:val="center"/>
          </w:tcPr>
          <w:p w14:paraId="1306546C" w14:textId="77777777" w:rsidR="00C87D3E" w:rsidRPr="00B73C95" w:rsidRDefault="00C87D3E" w:rsidP="00EF1FC8">
            <w:pPr>
              <w:jc w:val="center"/>
              <w:rPr>
                <w:color w:val="31849B" w:themeColor="accent5" w:themeShade="BF"/>
              </w:rPr>
            </w:pPr>
            <w:r w:rsidRPr="00B73C95">
              <w:rPr>
                <w:color w:val="31849B" w:themeColor="accent5" w:themeShade="BF"/>
              </w:rPr>
              <w:t>0.032</w:t>
            </w:r>
          </w:p>
        </w:tc>
      </w:tr>
      <w:tr w:rsidR="00C87D3E" w14:paraId="3CABFA22" w14:textId="77777777" w:rsidTr="00B73C95">
        <w:trPr>
          <w:trHeight w:val="353"/>
        </w:trPr>
        <w:tc>
          <w:tcPr>
            <w:tcW w:w="3093" w:type="dxa"/>
            <w:tcMar>
              <w:top w:w="100" w:type="dxa"/>
              <w:left w:w="100" w:type="dxa"/>
              <w:bottom w:w="100" w:type="dxa"/>
              <w:right w:w="100" w:type="dxa"/>
            </w:tcMar>
          </w:tcPr>
          <w:p w14:paraId="21D216EC" w14:textId="22837768" w:rsidR="00C87D3E" w:rsidRPr="00B73C95" w:rsidRDefault="00C87D3E" w:rsidP="00EF1FC8">
            <w:pPr>
              <w:jc w:val="center"/>
              <w:rPr>
                <w:b/>
                <w:color w:val="31849B" w:themeColor="accent5" w:themeShade="BF"/>
              </w:rPr>
            </w:pPr>
            <w:r w:rsidRPr="00B73C95">
              <w:rPr>
                <w:b/>
                <w:color w:val="31849B" w:themeColor="accent5" w:themeShade="BF"/>
              </w:rPr>
              <w:t>Rota (ROT)</w:t>
            </w:r>
          </w:p>
        </w:tc>
        <w:tc>
          <w:tcPr>
            <w:tcW w:w="1610" w:type="dxa"/>
            <w:tcMar>
              <w:top w:w="100" w:type="dxa"/>
              <w:left w:w="100" w:type="dxa"/>
              <w:bottom w:w="100" w:type="dxa"/>
              <w:right w:w="100" w:type="dxa"/>
            </w:tcMar>
            <w:vAlign w:val="center"/>
          </w:tcPr>
          <w:p w14:paraId="13C61FEC" w14:textId="77777777" w:rsidR="00C87D3E" w:rsidRPr="00B73C95" w:rsidRDefault="00C87D3E" w:rsidP="00EF1FC8">
            <w:pPr>
              <w:jc w:val="center"/>
              <w:rPr>
                <w:color w:val="31849B" w:themeColor="accent5" w:themeShade="BF"/>
              </w:rPr>
            </w:pPr>
            <w:r w:rsidRPr="00B73C95">
              <w:rPr>
                <w:color w:val="31849B" w:themeColor="accent5" w:themeShade="BF"/>
              </w:rPr>
              <w:t>16</w:t>
            </w:r>
          </w:p>
        </w:tc>
        <w:tc>
          <w:tcPr>
            <w:tcW w:w="1757" w:type="dxa"/>
            <w:tcMar>
              <w:top w:w="100" w:type="dxa"/>
              <w:left w:w="100" w:type="dxa"/>
              <w:bottom w:w="100" w:type="dxa"/>
              <w:right w:w="100" w:type="dxa"/>
            </w:tcMar>
            <w:vAlign w:val="center"/>
          </w:tcPr>
          <w:p w14:paraId="32C35F73" w14:textId="77777777" w:rsidR="00C87D3E" w:rsidRPr="00B73C95" w:rsidRDefault="00C87D3E" w:rsidP="00EF1FC8">
            <w:pPr>
              <w:jc w:val="center"/>
              <w:rPr>
                <w:color w:val="31849B" w:themeColor="accent5" w:themeShade="BF"/>
              </w:rPr>
            </w:pPr>
            <w:r w:rsidRPr="00B73C95">
              <w:rPr>
                <w:color w:val="31849B" w:themeColor="accent5" w:themeShade="BF"/>
              </w:rPr>
              <w:t>0.388</w:t>
            </w:r>
          </w:p>
        </w:tc>
        <w:tc>
          <w:tcPr>
            <w:tcW w:w="1323" w:type="dxa"/>
            <w:tcMar>
              <w:top w:w="100" w:type="dxa"/>
              <w:left w:w="100" w:type="dxa"/>
              <w:bottom w:w="100" w:type="dxa"/>
              <w:right w:w="100" w:type="dxa"/>
            </w:tcMar>
            <w:vAlign w:val="center"/>
          </w:tcPr>
          <w:p w14:paraId="0C3199E5" w14:textId="77777777" w:rsidR="00C87D3E" w:rsidRPr="00B73C95" w:rsidRDefault="00C87D3E" w:rsidP="00EF1FC8">
            <w:pPr>
              <w:jc w:val="center"/>
              <w:rPr>
                <w:color w:val="31849B" w:themeColor="accent5" w:themeShade="BF"/>
              </w:rPr>
            </w:pPr>
            <w:r w:rsidRPr="00B73C95">
              <w:rPr>
                <w:color w:val="31849B" w:themeColor="accent5" w:themeShade="BF"/>
              </w:rPr>
              <w:t>0.035</w:t>
            </w:r>
          </w:p>
        </w:tc>
        <w:tc>
          <w:tcPr>
            <w:tcW w:w="1342" w:type="dxa"/>
            <w:tcMar>
              <w:top w:w="100" w:type="dxa"/>
              <w:left w:w="100" w:type="dxa"/>
              <w:bottom w:w="100" w:type="dxa"/>
              <w:right w:w="100" w:type="dxa"/>
            </w:tcMar>
            <w:vAlign w:val="center"/>
          </w:tcPr>
          <w:p w14:paraId="65E994DF" w14:textId="77777777" w:rsidR="00C87D3E" w:rsidRPr="00B73C95" w:rsidRDefault="00C87D3E" w:rsidP="00EF1FC8">
            <w:pPr>
              <w:jc w:val="center"/>
              <w:rPr>
                <w:color w:val="31849B" w:themeColor="accent5" w:themeShade="BF"/>
              </w:rPr>
            </w:pPr>
            <w:r w:rsidRPr="00B73C95">
              <w:rPr>
                <w:color w:val="31849B" w:themeColor="accent5" w:themeShade="BF"/>
              </w:rPr>
              <w:t>0.038</w:t>
            </w:r>
          </w:p>
        </w:tc>
      </w:tr>
      <w:tr w:rsidR="00C87D3E" w14:paraId="1B11C6C0" w14:textId="77777777" w:rsidTr="00B73C95">
        <w:trPr>
          <w:trHeight w:val="353"/>
        </w:trPr>
        <w:tc>
          <w:tcPr>
            <w:tcW w:w="3093" w:type="dxa"/>
            <w:tcBorders>
              <w:bottom w:val="single" w:sz="4" w:space="0" w:color="auto"/>
            </w:tcBorders>
            <w:tcMar>
              <w:top w:w="100" w:type="dxa"/>
              <w:left w:w="100" w:type="dxa"/>
              <w:bottom w:w="100" w:type="dxa"/>
              <w:right w:w="100" w:type="dxa"/>
            </w:tcMar>
          </w:tcPr>
          <w:p w14:paraId="2CA7C6F7" w14:textId="1DC16A8A" w:rsidR="00C87D3E" w:rsidRPr="00B73C95" w:rsidRDefault="00C87D3E" w:rsidP="00EF1FC8">
            <w:pPr>
              <w:jc w:val="center"/>
              <w:rPr>
                <w:b/>
                <w:color w:val="31849B" w:themeColor="accent5" w:themeShade="BF"/>
              </w:rPr>
            </w:pPr>
            <w:r w:rsidRPr="00B73C95">
              <w:rPr>
                <w:b/>
                <w:color w:val="31849B" w:themeColor="accent5" w:themeShade="BF"/>
              </w:rPr>
              <w:t>Saipan (SAI)</w:t>
            </w:r>
          </w:p>
        </w:tc>
        <w:tc>
          <w:tcPr>
            <w:tcW w:w="1610" w:type="dxa"/>
            <w:tcBorders>
              <w:bottom w:val="single" w:sz="4" w:space="0" w:color="auto"/>
            </w:tcBorders>
            <w:tcMar>
              <w:top w:w="100" w:type="dxa"/>
              <w:left w:w="100" w:type="dxa"/>
              <w:bottom w:w="100" w:type="dxa"/>
              <w:right w:w="100" w:type="dxa"/>
            </w:tcMar>
            <w:vAlign w:val="center"/>
          </w:tcPr>
          <w:p w14:paraId="3B88B8B0" w14:textId="77777777" w:rsidR="00C87D3E" w:rsidRPr="00B73C95" w:rsidRDefault="00C87D3E" w:rsidP="00EF1FC8">
            <w:pPr>
              <w:jc w:val="center"/>
              <w:rPr>
                <w:color w:val="31849B" w:themeColor="accent5" w:themeShade="BF"/>
              </w:rPr>
            </w:pPr>
            <w:r w:rsidRPr="00B73C95">
              <w:rPr>
                <w:color w:val="31849B" w:themeColor="accent5" w:themeShade="BF"/>
              </w:rPr>
              <w:t>4</w:t>
            </w:r>
          </w:p>
        </w:tc>
        <w:tc>
          <w:tcPr>
            <w:tcW w:w="1757" w:type="dxa"/>
            <w:tcBorders>
              <w:bottom w:val="single" w:sz="4" w:space="0" w:color="auto"/>
            </w:tcBorders>
            <w:tcMar>
              <w:top w:w="100" w:type="dxa"/>
              <w:left w:w="100" w:type="dxa"/>
              <w:bottom w:w="100" w:type="dxa"/>
              <w:right w:w="100" w:type="dxa"/>
            </w:tcMar>
            <w:vAlign w:val="center"/>
          </w:tcPr>
          <w:p w14:paraId="0722124E" w14:textId="77777777" w:rsidR="00C87D3E" w:rsidRPr="00B73C95" w:rsidRDefault="00C87D3E" w:rsidP="00EF1FC8">
            <w:pPr>
              <w:jc w:val="center"/>
              <w:rPr>
                <w:color w:val="31849B" w:themeColor="accent5" w:themeShade="BF"/>
              </w:rPr>
            </w:pPr>
            <w:r w:rsidRPr="00B73C95">
              <w:rPr>
                <w:color w:val="31849B" w:themeColor="accent5" w:themeShade="BF"/>
              </w:rPr>
              <w:t>0.326</w:t>
            </w:r>
          </w:p>
        </w:tc>
        <w:tc>
          <w:tcPr>
            <w:tcW w:w="1323" w:type="dxa"/>
            <w:tcBorders>
              <w:bottom w:val="single" w:sz="4" w:space="0" w:color="auto"/>
            </w:tcBorders>
            <w:tcMar>
              <w:top w:w="100" w:type="dxa"/>
              <w:left w:w="100" w:type="dxa"/>
              <w:bottom w:w="100" w:type="dxa"/>
              <w:right w:w="100" w:type="dxa"/>
            </w:tcMar>
            <w:vAlign w:val="center"/>
          </w:tcPr>
          <w:p w14:paraId="4124F00F" w14:textId="77777777" w:rsidR="00C87D3E" w:rsidRPr="00B73C95" w:rsidRDefault="00C87D3E" w:rsidP="00EF1FC8">
            <w:pPr>
              <w:jc w:val="center"/>
              <w:rPr>
                <w:color w:val="31849B" w:themeColor="accent5" w:themeShade="BF"/>
              </w:rPr>
            </w:pPr>
            <w:r w:rsidRPr="00B73C95">
              <w:rPr>
                <w:color w:val="31849B" w:themeColor="accent5" w:themeShade="BF"/>
              </w:rPr>
              <w:t>0.022</w:t>
            </w:r>
          </w:p>
        </w:tc>
        <w:tc>
          <w:tcPr>
            <w:tcW w:w="1342" w:type="dxa"/>
            <w:tcBorders>
              <w:bottom w:val="single" w:sz="4" w:space="0" w:color="auto"/>
            </w:tcBorders>
            <w:tcMar>
              <w:top w:w="100" w:type="dxa"/>
              <w:left w:w="100" w:type="dxa"/>
              <w:bottom w:w="100" w:type="dxa"/>
              <w:right w:w="100" w:type="dxa"/>
            </w:tcMar>
            <w:vAlign w:val="center"/>
          </w:tcPr>
          <w:p w14:paraId="411A525B" w14:textId="77777777" w:rsidR="00C87D3E" w:rsidRPr="00B73C95" w:rsidRDefault="00C87D3E" w:rsidP="00EF1FC8">
            <w:pPr>
              <w:jc w:val="center"/>
              <w:rPr>
                <w:color w:val="31849B" w:themeColor="accent5" w:themeShade="BF"/>
              </w:rPr>
            </w:pPr>
            <w:r w:rsidRPr="00B73C95">
              <w:rPr>
                <w:color w:val="31849B" w:themeColor="accent5" w:themeShade="BF"/>
              </w:rPr>
              <w:t>0.025</w:t>
            </w:r>
          </w:p>
        </w:tc>
      </w:tr>
      <w:tr w:rsidR="00C87D3E" w14:paraId="1E09B356" w14:textId="77777777" w:rsidTr="00B73C95">
        <w:trPr>
          <w:trHeight w:val="353"/>
        </w:trPr>
        <w:tc>
          <w:tcPr>
            <w:tcW w:w="3093" w:type="dxa"/>
            <w:tcBorders>
              <w:top w:val="single" w:sz="4" w:space="0" w:color="auto"/>
            </w:tcBorders>
            <w:tcMar>
              <w:top w:w="100" w:type="dxa"/>
              <w:left w:w="100" w:type="dxa"/>
              <w:bottom w:w="100" w:type="dxa"/>
              <w:right w:w="100" w:type="dxa"/>
            </w:tcMar>
          </w:tcPr>
          <w:p w14:paraId="14026295" w14:textId="2C0A43D7" w:rsidR="00C87D3E" w:rsidRPr="00B73C95" w:rsidRDefault="00C87D3E" w:rsidP="00EF1FC8">
            <w:pPr>
              <w:jc w:val="center"/>
              <w:rPr>
                <w:b/>
                <w:color w:val="548DD4" w:themeColor="text2" w:themeTint="99"/>
              </w:rPr>
            </w:pPr>
            <w:r w:rsidRPr="00B73C95">
              <w:rPr>
                <w:b/>
                <w:color w:val="548DD4" w:themeColor="text2" w:themeTint="99"/>
              </w:rPr>
              <w:t>Queensland (QLD)</w:t>
            </w:r>
          </w:p>
        </w:tc>
        <w:tc>
          <w:tcPr>
            <w:tcW w:w="1610" w:type="dxa"/>
            <w:tcBorders>
              <w:top w:val="single" w:sz="4" w:space="0" w:color="auto"/>
            </w:tcBorders>
            <w:tcMar>
              <w:top w:w="100" w:type="dxa"/>
              <w:left w:w="100" w:type="dxa"/>
              <w:bottom w:w="100" w:type="dxa"/>
              <w:right w:w="100" w:type="dxa"/>
            </w:tcMar>
            <w:vAlign w:val="center"/>
          </w:tcPr>
          <w:p w14:paraId="3A8CB5C3" w14:textId="77777777" w:rsidR="00C87D3E" w:rsidRPr="00B73C95" w:rsidRDefault="00C87D3E" w:rsidP="00EF1FC8">
            <w:pPr>
              <w:jc w:val="center"/>
              <w:rPr>
                <w:color w:val="548DD4" w:themeColor="text2" w:themeTint="99"/>
              </w:rPr>
            </w:pPr>
            <w:r w:rsidRPr="00B73C95">
              <w:rPr>
                <w:color w:val="548DD4" w:themeColor="text2" w:themeTint="99"/>
              </w:rPr>
              <w:t>15</w:t>
            </w:r>
          </w:p>
        </w:tc>
        <w:tc>
          <w:tcPr>
            <w:tcW w:w="1757" w:type="dxa"/>
            <w:tcBorders>
              <w:top w:val="single" w:sz="4" w:space="0" w:color="auto"/>
            </w:tcBorders>
            <w:tcMar>
              <w:top w:w="100" w:type="dxa"/>
              <w:left w:w="100" w:type="dxa"/>
              <w:bottom w:w="100" w:type="dxa"/>
              <w:right w:w="100" w:type="dxa"/>
            </w:tcMar>
            <w:vAlign w:val="center"/>
          </w:tcPr>
          <w:p w14:paraId="4325C631" w14:textId="77777777" w:rsidR="00C87D3E" w:rsidRPr="00B73C95" w:rsidRDefault="00C87D3E" w:rsidP="00EF1FC8">
            <w:pPr>
              <w:jc w:val="center"/>
              <w:rPr>
                <w:color w:val="548DD4" w:themeColor="text2" w:themeTint="99"/>
              </w:rPr>
            </w:pPr>
            <w:r w:rsidRPr="00B73C95">
              <w:rPr>
                <w:color w:val="548DD4" w:themeColor="text2" w:themeTint="99"/>
              </w:rPr>
              <w:t>0.349</w:t>
            </w:r>
          </w:p>
        </w:tc>
        <w:tc>
          <w:tcPr>
            <w:tcW w:w="1323" w:type="dxa"/>
            <w:tcBorders>
              <w:top w:val="single" w:sz="4" w:space="0" w:color="auto"/>
            </w:tcBorders>
            <w:tcMar>
              <w:top w:w="100" w:type="dxa"/>
              <w:left w:w="100" w:type="dxa"/>
              <w:bottom w:w="100" w:type="dxa"/>
              <w:right w:w="100" w:type="dxa"/>
            </w:tcMar>
            <w:vAlign w:val="center"/>
          </w:tcPr>
          <w:p w14:paraId="1B31232A" w14:textId="77777777" w:rsidR="00C87D3E" w:rsidRPr="00B73C95" w:rsidRDefault="00C87D3E" w:rsidP="00EF1FC8">
            <w:pPr>
              <w:jc w:val="center"/>
              <w:rPr>
                <w:color w:val="548DD4" w:themeColor="text2" w:themeTint="99"/>
              </w:rPr>
            </w:pPr>
            <w:r w:rsidRPr="00B73C95">
              <w:rPr>
                <w:color w:val="548DD4" w:themeColor="text2" w:themeTint="99"/>
              </w:rPr>
              <w:t>0.042</w:t>
            </w:r>
          </w:p>
        </w:tc>
        <w:tc>
          <w:tcPr>
            <w:tcW w:w="1342" w:type="dxa"/>
            <w:tcBorders>
              <w:top w:val="single" w:sz="4" w:space="0" w:color="auto"/>
            </w:tcBorders>
            <w:tcMar>
              <w:top w:w="100" w:type="dxa"/>
              <w:left w:w="100" w:type="dxa"/>
              <w:bottom w:w="100" w:type="dxa"/>
              <w:right w:w="100" w:type="dxa"/>
            </w:tcMar>
            <w:vAlign w:val="center"/>
          </w:tcPr>
          <w:p w14:paraId="471EC22C" w14:textId="77777777" w:rsidR="00C87D3E" w:rsidRPr="00B73C95" w:rsidRDefault="00C87D3E" w:rsidP="00EF1FC8">
            <w:pPr>
              <w:jc w:val="center"/>
              <w:rPr>
                <w:color w:val="548DD4" w:themeColor="text2" w:themeTint="99"/>
              </w:rPr>
            </w:pPr>
            <w:r w:rsidRPr="00B73C95">
              <w:rPr>
                <w:color w:val="548DD4" w:themeColor="text2" w:themeTint="99"/>
              </w:rPr>
              <w:t>0.044</w:t>
            </w:r>
          </w:p>
        </w:tc>
      </w:tr>
      <w:tr w:rsidR="00C87D3E" w14:paraId="0BCE5874" w14:textId="77777777" w:rsidTr="00B73C95">
        <w:trPr>
          <w:trHeight w:val="353"/>
        </w:trPr>
        <w:tc>
          <w:tcPr>
            <w:tcW w:w="3093" w:type="dxa"/>
            <w:tcMar>
              <w:top w:w="100" w:type="dxa"/>
              <w:left w:w="100" w:type="dxa"/>
              <w:bottom w:w="100" w:type="dxa"/>
              <w:right w:w="100" w:type="dxa"/>
            </w:tcMar>
          </w:tcPr>
          <w:p w14:paraId="7531A9EE" w14:textId="4EAA6873" w:rsidR="00C87D3E" w:rsidRPr="00B73C95" w:rsidRDefault="00C87D3E" w:rsidP="00EF1FC8">
            <w:pPr>
              <w:jc w:val="center"/>
              <w:rPr>
                <w:b/>
                <w:color w:val="548DD4" w:themeColor="text2" w:themeTint="99"/>
              </w:rPr>
            </w:pPr>
            <w:r w:rsidRPr="00B73C95">
              <w:rPr>
                <w:b/>
                <w:color w:val="548DD4" w:themeColor="text2" w:themeTint="99"/>
              </w:rPr>
              <w:t>New South Wales (NSW)</w:t>
            </w:r>
          </w:p>
        </w:tc>
        <w:tc>
          <w:tcPr>
            <w:tcW w:w="1610" w:type="dxa"/>
            <w:tcMar>
              <w:top w:w="100" w:type="dxa"/>
              <w:left w:w="100" w:type="dxa"/>
              <w:bottom w:w="100" w:type="dxa"/>
              <w:right w:w="100" w:type="dxa"/>
            </w:tcMar>
            <w:vAlign w:val="center"/>
          </w:tcPr>
          <w:p w14:paraId="0D510F71" w14:textId="77777777" w:rsidR="00C87D3E" w:rsidRPr="00B73C95" w:rsidRDefault="00C87D3E" w:rsidP="00EF1FC8">
            <w:pPr>
              <w:jc w:val="center"/>
              <w:rPr>
                <w:color w:val="548DD4" w:themeColor="text2" w:themeTint="99"/>
              </w:rPr>
            </w:pPr>
            <w:r w:rsidRPr="00B73C95">
              <w:rPr>
                <w:color w:val="548DD4" w:themeColor="text2" w:themeTint="99"/>
              </w:rPr>
              <w:t>5</w:t>
            </w:r>
          </w:p>
        </w:tc>
        <w:tc>
          <w:tcPr>
            <w:tcW w:w="1757" w:type="dxa"/>
            <w:tcMar>
              <w:top w:w="100" w:type="dxa"/>
              <w:left w:w="100" w:type="dxa"/>
              <w:bottom w:w="100" w:type="dxa"/>
              <w:right w:w="100" w:type="dxa"/>
            </w:tcMar>
            <w:vAlign w:val="center"/>
          </w:tcPr>
          <w:p w14:paraId="79CA1ED0" w14:textId="77777777" w:rsidR="00C87D3E" w:rsidRPr="00B73C95" w:rsidRDefault="00C87D3E" w:rsidP="00EF1FC8">
            <w:pPr>
              <w:jc w:val="center"/>
              <w:rPr>
                <w:color w:val="548DD4" w:themeColor="text2" w:themeTint="99"/>
              </w:rPr>
            </w:pPr>
            <w:r w:rsidRPr="00B73C95">
              <w:rPr>
                <w:color w:val="548DD4" w:themeColor="text2" w:themeTint="99"/>
              </w:rPr>
              <w:t>0.433</w:t>
            </w:r>
          </w:p>
        </w:tc>
        <w:tc>
          <w:tcPr>
            <w:tcW w:w="1323" w:type="dxa"/>
            <w:tcMar>
              <w:top w:w="100" w:type="dxa"/>
              <w:left w:w="100" w:type="dxa"/>
              <w:bottom w:w="100" w:type="dxa"/>
              <w:right w:w="100" w:type="dxa"/>
            </w:tcMar>
            <w:vAlign w:val="center"/>
          </w:tcPr>
          <w:p w14:paraId="5A0D1DAD" w14:textId="77777777" w:rsidR="00C87D3E" w:rsidRPr="00B73C95" w:rsidRDefault="00C87D3E" w:rsidP="00EF1FC8">
            <w:pPr>
              <w:jc w:val="center"/>
              <w:rPr>
                <w:color w:val="548DD4" w:themeColor="text2" w:themeTint="99"/>
              </w:rPr>
            </w:pPr>
            <w:r w:rsidRPr="00B73C95">
              <w:rPr>
                <w:color w:val="548DD4" w:themeColor="text2" w:themeTint="99"/>
              </w:rPr>
              <w:t>0.038</w:t>
            </w:r>
          </w:p>
        </w:tc>
        <w:tc>
          <w:tcPr>
            <w:tcW w:w="1342" w:type="dxa"/>
            <w:tcMar>
              <w:top w:w="100" w:type="dxa"/>
              <w:left w:w="100" w:type="dxa"/>
              <w:bottom w:w="100" w:type="dxa"/>
              <w:right w:w="100" w:type="dxa"/>
            </w:tcMar>
            <w:vAlign w:val="center"/>
          </w:tcPr>
          <w:p w14:paraId="44386976" w14:textId="77777777" w:rsidR="00C87D3E" w:rsidRPr="00B73C95" w:rsidRDefault="00C87D3E" w:rsidP="00EF1FC8">
            <w:pPr>
              <w:jc w:val="center"/>
              <w:rPr>
                <w:color w:val="548DD4" w:themeColor="text2" w:themeTint="99"/>
              </w:rPr>
            </w:pPr>
            <w:r w:rsidRPr="00B73C95">
              <w:rPr>
                <w:color w:val="548DD4" w:themeColor="text2" w:themeTint="99"/>
              </w:rPr>
              <w:t>0.042</w:t>
            </w:r>
          </w:p>
        </w:tc>
      </w:tr>
      <w:tr w:rsidR="00C87D3E" w14:paraId="004AF975" w14:textId="77777777" w:rsidTr="00B73C95">
        <w:trPr>
          <w:trHeight w:val="353"/>
        </w:trPr>
        <w:tc>
          <w:tcPr>
            <w:tcW w:w="3093" w:type="dxa"/>
            <w:tcBorders>
              <w:bottom w:val="single" w:sz="4" w:space="0" w:color="auto"/>
            </w:tcBorders>
            <w:tcMar>
              <w:top w:w="100" w:type="dxa"/>
              <w:left w:w="100" w:type="dxa"/>
              <w:bottom w:w="100" w:type="dxa"/>
              <w:right w:w="100" w:type="dxa"/>
            </w:tcMar>
          </w:tcPr>
          <w:p w14:paraId="06240FCB" w14:textId="16D5074C" w:rsidR="00C87D3E" w:rsidRPr="00B73C95" w:rsidRDefault="00C87D3E" w:rsidP="00EF1FC8">
            <w:pPr>
              <w:jc w:val="center"/>
              <w:rPr>
                <w:b/>
                <w:color w:val="548DD4" w:themeColor="text2" w:themeTint="99"/>
              </w:rPr>
            </w:pPr>
            <w:r w:rsidRPr="00B73C95">
              <w:rPr>
                <w:b/>
                <w:color w:val="548DD4" w:themeColor="text2" w:themeTint="99"/>
              </w:rPr>
              <w:t>Victoria (VIC)</w:t>
            </w:r>
          </w:p>
        </w:tc>
        <w:tc>
          <w:tcPr>
            <w:tcW w:w="1610" w:type="dxa"/>
            <w:tcBorders>
              <w:bottom w:val="single" w:sz="4" w:space="0" w:color="auto"/>
            </w:tcBorders>
            <w:tcMar>
              <w:top w:w="100" w:type="dxa"/>
              <w:left w:w="100" w:type="dxa"/>
              <w:bottom w:w="100" w:type="dxa"/>
              <w:right w:w="100" w:type="dxa"/>
            </w:tcMar>
            <w:vAlign w:val="center"/>
          </w:tcPr>
          <w:p w14:paraId="307E9452" w14:textId="77777777" w:rsidR="00C87D3E" w:rsidRPr="00B73C95" w:rsidRDefault="00C87D3E" w:rsidP="00EF1FC8">
            <w:pPr>
              <w:jc w:val="center"/>
              <w:rPr>
                <w:color w:val="548DD4" w:themeColor="text2" w:themeTint="99"/>
              </w:rPr>
            </w:pPr>
            <w:r w:rsidRPr="00B73C95">
              <w:rPr>
                <w:color w:val="548DD4" w:themeColor="text2" w:themeTint="99"/>
              </w:rPr>
              <w:t>2</w:t>
            </w:r>
          </w:p>
        </w:tc>
        <w:tc>
          <w:tcPr>
            <w:tcW w:w="1757" w:type="dxa"/>
            <w:tcBorders>
              <w:bottom w:val="single" w:sz="4" w:space="0" w:color="auto"/>
            </w:tcBorders>
            <w:tcMar>
              <w:top w:w="100" w:type="dxa"/>
              <w:left w:w="100" w:type="dxa"/>
              <w:bottom w:w="100" w:type="dxa"/>
              <w:right w:w="100" w:type="dxa"/>
            </w:tcMar>
            <w:vAlign w:val="center"/>
          </w:tcPr>
          <w:p w14:paraId="030CE2C3" w14:textId="77777777" w:rsidR="00C87D3E" w:rsidRPr="00B73C95" w:rsidRDefault="00C87D3E" w:rsidP="00EF1FC8">
            <w:pPr>
              <w:jc w:val="center"/>
              <w:rPr>
                <w:color w:val="548DD4" w:themeColor="text2" w:themeTint="99"/>
              </w:rPr>
            </w:pPr>
            <w:r w:rsidRPr="00B73C95">
              <w:rPr>
                <w:color w:val="548DD4" w:themeColor="text2" w:themeTint="99"/>
              </w:rPr>
              <w:t>0.899</w:t>
            </w:r>
          </w:p>
        </w:tc>
        <w:tc>
          <w:tcPr>
            <w:tcW w:w="1323" w:type="dxa"/>
            <w:tcBorders>
              <w:bottom w:val="single" w:sz="4" w:space="0" w:color="auto"/>
            </w:tcBorders>
            <w:tcMar>
              <w:top w:w="100" w:type="dxa"/>
              <w:left w:w="100" w:type="dxa"/>
              <w:bottom w:w="100" w:type="dxa"/>
              <w:right w:w="100" w:type="dxa"/>
            </w:tcMar>
            <w:vAlign w:val="center"/>
          </w:tcPr>
          <w:p w14:paraId="20640592" w14:textId="77777777" w:rsidR="00C87D3E" w:rsidRPr="00B73C95" w:rsidRDefault="00C87D3E" w:rsidP="00EF1FC8">
            <w:pPr>
              <w:jc w:val="center"/>
              <w:rPr>
                <w:color w:val="548DD4" w:themeColor="text2" w:themeTint="99"/>
              </w:rPr>
            </w:pPr>
            <w:r w:rsidRPr="00B73C95">
              <w:rPr>
                <w:color w:val="548DD4" w:themeColor="text2" w:themeTint="99"/>
              </w:rPr>
              <w:t>0.041</w:t>
            </w:r>
          </w:p>
        </w:tc>
        <w:tc>
          <w:tcPr>
            <w:tcW w:w="1342" w:type="dxa"/>
            <w:tcBorders>
              <w:bottom w:val="single" w:sz="4" w:space="0" w:color="auto"/>
            </w:tcBorders>
            <w:tcMar>
              <w:top w:w="100" w:type="dxa"/>
              <w:left w:w="100" w:type="dxa"/>
              <w:bottom w:w="100" w:type="dxa"/>
              <w:right w:w="100" w:type="dxa"/>
            </w:tcMar>
            <w:vAlign w:val="center"/>
          </w:tcPr>
          <w:p w14:paraId="38366465" w14:textId="77777777" w:rsidR="00C87D3E" w:rsidRPr="00B73C95" w:rsidRDefault="00C87D3E" w:rsidP="00EF1FC8">
            <w:pPr>
              <w:jc w:val="center"/>
              <w:rPr>
                <w:color w:val="548DD4" w:themeColor="text2" w:themeTint="99"/>
              </w:rPr>
            </w:pPr>
            <w:r w:rsidRPr="00B73C95">
              <w:rPr>
                <w:color w:val="548DD4" w:themeColor="text2" w:themeTint="99"/>
              </w:rPr>
              <w:t>0.043</w:t>
            </w:r>
          </w:p>
        </w:tc>
      </w:tr>
    </w:tbl>
    <w:p w14:paraId="5750A092" w14:textId="77777777" w:rsidR="00355224" w:rsidRDefault="00355224"/>
    <w:p w14:paraId="4B2CDB2E" w14:textId="77777777" w:rsidR="00355224" w:rsidRDefault="00355224"/>
    <w:p w14:paraId="0E80F5D1" w14:textId="0B2ABA83" w:rsidR="00355224" w:rsidRDefault="003F0723">
      <w:r>
        <w:rPr>
          <w:b/>
        </w:rPr>
        <w:t xml:space="preserve">Table 1 - </w:t>
      </w:r>
      <w:r>
        <w:t xml:space="preserve">Number of samples remaining after filtering, Tajima’s D, </w:t>
      </w:r>
      <w:r w:rsidR="00C87D3E">
        <w:t>o</w:t>
      </w:r>
      <w:r>
        <w:t xml:space="preserve">bserved </w:t>
      </w:r>
      <w:r w:rsidR="00C87D3E">
        <w:t>h</w:t>
      </w:r>
      <w:r>
        <w:t>eterozygosity (H</w:t>
      </w:r>
      <w:r w:rsidRPr="00530DD1">
        <w:rPr>
          <w:vertAlign w:val="subscript"/>
        </w:rPr>
        <w:t>O</w:t>
      </w:r>
      <w:r>
        <w:t xml:space="preserve">), </w:t>
      </w:r>
      <w:r w:rsidR="00C87D3E">
        <w:t xml:space="preserve">and </w:t>
      </w:r>
      <w:r>
        <w:t>nucleotide diversity (π).</w:t>
      </w:r>
      <w:r w:rsidR="009822D5">
        <w:t xml:space="preserve"> </w:t>
      </w:r>
      <w:r w:rsidR="00DE4C4E">
        <w:t>Populations from Guam, Rota, and Saipan are all part of the Mariana Islands archipelago.</w:t>
      </w:r>
      <w:r w:rsidR="00530DD1">
        <w:t xml:space="preserve"> Samples from Maui and Oahu are pooled into a single Hawaiian population.</w:t>
      </w:r>
      <w:r w:rsidR="00DE4C4E">
        <w:t xml:space="preserve"> Queensland, New South Wales, and Victoria are all within the Australian continent.</w:t>
      </w:r>
      <w:r w:rsidR="00A94F9E">
        <w:t xml:space="preserve"> Populations from Samoa, New Caledonia, Fiji, and New Zealand </w:t>
      </w:r>
      <w:r w:rsidR="00530DD1">
        <w:t>are not shown because no samples remained from these populations after filtering (but see Figure 2).</w:t>
      </w:r>
      <w:r w:rsidR="00A94F9E">
        <w:t xml:space="preserve"> </w:t>
      </w:r>
      <w:r>
        <w:br w:type="page"/>
      </w:r>
    </w:p>
    <w:p w14:paraId="04630BCD" w14:textId="472BB8B2" w:rsidR="00355224" w:rsidRDefault="00355224">
      <w:pPr>
        <w:rPr>
          <w:b/>
        </w:rPr>
      </w:pPr>
    </w:p>
    <w:p w14:paraId="66C865C7" w14:textId="5803FDC0" w:rsidR="00355224" w:rsidRDefault="00537D61">
      <w:pPr>
        <w:rPr>
          <w:b/>
        </w:rPr>
      </w:pPr>
      <w:r>
        <w:rPr>
          <w:b/>
          <w:noProof/>
        </w:rPr>
        <w:drawing>
          <wp:inline distT="0" distB="0" distL="0" distR="0" wp14:anchorId="2C2A89F0" wp14:editId="49B4977D">
            <wp:extent cx="5943600" cy="2228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5E92D1F4" w14:textId="63377CFF" w:rsidR="00AE0BE1" w:rsidRDefault="00AE0BE1">
      <w:pPr>
        <w:rPr>
          <w:b/>
        </w:rPr>
      </w:pPr>
      <w:r>
        <w:rPr>
          <w:b/>
        </w:rPr>
        <w:t xml:space="preserve">Figure 1 – </w:t>
      </w:r>
      <w:r>
        <w:t xml:space="preserve">Visual depiction of the four best performing models from </w:t>
      </w:r>
      <w:r w:rsidRPr="00FF43D3">
        <w:rPr>
          <w:b/>
          <w:bCs/>
          <w:vertAlign w:val="subscript"/>
        </w:rPr>
        <w:t>dadi</w:t>
      </w:r>
      <w:r>
        <w:t xml:space="preserve"> simulations. Panel (</w:t>
      </w:r>
      <w:r w:rsidR="00302A29">
        <w:t>A</w:t>
      </w:r>
      <w:r>
        <w:t xml:space="preserve">) depicts </w:t>
      </w:r>
      <w:r>
        <w:rPr>
          <w:i/>
          <w:iCs/>
        </w:rPr>
        <w:t>Three Epoch</w:t>
      </w:r>
      <w:r>
        <w:t xml:space="preserve">, which allows for multiple changes in the size of the ancestral North American population prior to establishment in Hawaii, the North American and Hawaiian populations to change in size after the Hawaiian establishment, and a constant migration rate between North American and Hawaii after a brief time lag. Panel (B) depicts </w:t>
      </w:r>
      <w:r>
        <w:rPr>
          <w:i/>
          <w:iCs/>
        </w:rPr>
        <w:t>F</w:t>
      </w:r>
      <w:r w:rsidRPr="00F06D18">
        <w:rPr>
          <w:i/>
          <w:iCs/>
        </w:rPr>
        <w:t xml:space="preserve">ound and </w:t>
      </w:r>
      <w:r>
        <w:rPr>
          <w:i/>
          <w:iCs/>
        </w:rPr>
        <w:t>G</w:t>
      </w:r>
      <w:r w:rsidRPr="00F06D18">
        <w:rPr>
          <w:i/>
          <w:iCs/>
        </w:rPr>
        <w:t>row</w:t>
      </w:r>
      <w:r>
        <w:t xml:space="preserve">, which assumes a constant ancestral North American population size. Panel (C) depicts </w:t>
      </w:r>
      <w:r>
        <w:rPr>
          <w:i/>
          <w:iCs/>
        </w:rPr>
        <w:t>Two Epoch</w:t>
      </w:r>
      <w:r>
        <w:t xml:space="preserve">, which has a one-time admixture rather than constant migration. Panel (D) shows the model from </w:t>
      </w:r>
      <w:r w:rsidRPr="00AD451B">
        <w:rPr>
          <w:i/>
          <w:iCs/>
        </w:rPr>
        <w:t>Zhan</w:t>
      </w:r>
      <w:r>
        <w:t xml:space="preserve"> et al. (2014), which allows for only a single instance of growth in the North American population prior to the establishment of the Hawaiian population.</w:t>
      </w:r>
      <w:r w:rsidR="00BF11E6">
        <w:t xml:space="preserve"> In each model, parameters are estimated jointly and correspond to the following: </w:t>
      </w:r>
      <w:r w:rsidR="00BF11E6" w:rsidRPr="00BF11E6">
        <w:rPr>
          <w:b/>
          <w:bCs/>
        </w:rPr>
        <w:t>Nu</w:t>
      </w:r>
      <w:r w:rsidR="00BF11E6">
        <w:t xml:space="preserve"> = population size at a particular time, </w:t>
      </w:r>
      <w:r w:rsidR="00BF11E6" w:rsidRPr="00BF11E6">
        <w:rPr>
          <w:b/>
          <w:bCs/>
        </w:rPr>
        <w:t>T</w:t>
      </w:r>
      <w:r w:rsidR="00BF11E6">
        <w:t xml:space="preserve"> = time, </w:t>
      </w:r>
      <w:r w:rsidR="00BF11E6" w:rsidRPr="00BF11E6">
        <w:rPr>
          <w:b/>
          <w:bCs/>
        </w:rPr>
        <w:t>m</w:t>
      </w:r>
      <w:r w:rsidR="00BF11E6">
        <w:t xml:space="preserve"> = migration rate between populations, and </w:t>
      </w:r>
      <w:r w:rsidR="00BF11E6" w:rsidRPr="00BF11E6">
        <w:rPr>
          <w:b/>
          <w:bCs/>
        </w:rPr>
        <w:t>s</w:t>
      </w:r>
      <w:r w:rsidR="00BF11E6">
        <w:t xml:space="preserve"> = founding population size. Note </w:t>
      </w:r>
      <w:r>
        <w:t>that occasions of population size change depicted here are allowed to freely optimize to be either population growths or declines.</w:t>
      </w:r>
    </w:p>
    <w:p w14:paraId="0E65F624" w14:textId="23E8ABB2" w:rsidR="00AE0BE1" w:rsidRDefault="00AE0BE1">
      <w:pPr>
        <w:rPr>
          <w:b/>
        </w:rPr>
      </w:pPr>
      <w:r>
        <w:rPr>
          <w:noProof/>
        </w:rPr>
        <w:lastRenderedPageBreak/>
        <w:drawing>
          <wp:inline distT="0" distB="0" distL="0" distR="0" wp14:anchorId="300F8B5B" wp14:editId="1093CBAF">
            <wp:extent cx="5943600" cy="4857115"/>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1"/>
                    <a:stretch>
                      <a:fillRect/>
                    </a:stretch>
                  </pic:blipFill>
                  <pic:spPr>
                    <a:xfrm>
                      <a:off x="0" y="0"/>
                      <a:ext cx="5943600" cy="4857115"/>
                    </a:xfrm>
                    <a:prstGeom prst="rect">
                      <a:avLst/>
                    </a:prstGeom>
                  </pic:spPr>
                </pic:pic>
              </a:graphicData>
            </a:graphic>
          </wp:inline>
        </w:drawing>
      </w:r>
    </w:p>
    <w:p w14:paraId="125C8C5C" w14:textId="72A24257" w:rsidR="00355224" w:rsidRDefault="003F0723">
      <w:r>
        <w:rPr>
          <w:b/>
        </w:rPr>
        <w:t xml:space="preserve">Figure </w:t>
      </w:r>
      <w:r w:rsidR="00AE0BE1">
        <w:rPr>
          <w:b/>
        </w:rPr>
        <w:t>2</w:t>
      </w:r>
      <w:r>
        <w:rPr>
          <w:b/>
        </w:rPr>
        <w:t xml:space="preserve"> – </w:t>
      </w:r>
      <w:r>
        <w:t xml:space="preserve">Relatedness among sampled populations.  (a) Map of sampled populations, with pie charts reflecting </w:t>
      </w:r>
      <w:r w:rsidR="00AE0BE1">
        <w:t xml:space="preserve">average population </w:t>
      </w:r>
      <w:r>
        <w:t xml:space="preserve">results from </w:t>
      </w:r>
      <w:proofErr w:type="spellStart"/>
      <w:r>
        <w:t>NGSadmix</w:t>
      </w:r>
      <w:proofErr w:type="spellEnd"/>
      <w:r w:rsidR="00AE0BE1">
        <w:t xml:space="preserve"> (k = 5)</w:t>
      </w:r>
      <w:r>
        <w:t xml:space="preserve">. </w:t>
      </w:r>
      <w:r w:rsidR="003542CD">
        <w:t xml:space="preserve">Note that the geographic positions of the Mariana Islands (ROT, GUA, and SAI) and the Hawaiian Islands (OAH and MAU) are shifted slightly for readability. </w:t>
      </w:r>
      <w:r>
        <w:t xml:space="preserve">(b)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w:t>
      </w:r>
      <w:r w:rsidR="00AE0BE1">
        <w:t>.</w:t>
      </w:r>
      <w:r>
        <w:t xml:space="preserve"> </w:t>
      </w:r>
    </w:p>
    <w:p w14:paraId="038157A1" w14:textId="06C826E8" w:rsidR="00355224" w:rsidRDefault="00C71825">
      <w:r>
        <w:rPr>
          <w:noProof/>
        </w:rPr>
        <w:lastRenderedPageBreak/>
        <w:drawing>
          <wp:inline distT="0" distB="0" distL="0" distR="0" wp14:anchorId="47893FFD" wp14:editId="0174AC4D">
            <wp:extent cx="5943600" cy="4611370"/>
            <wp:effectExtent l="0" t="0" r="0" b="0"/>
            <wp:docPr id="167" name="Picture 167"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A picture containing text, light&#10;&#10;Description automatically generated"/>
                    <pic:cNvPicPr/>
                  </pic:nvPicPr>
                  <pic:blipFill>
                    <a:blip r:embed="rId22"/>
                    <a:stretch>
                      <a:fillRect/>
                    </a:stretch>
                  </pic:blipFill>
                  <pic:spPr>
                    <a:xfrm>
                      <a:off x="0" y="0"/>
                      <a:ext cx="5943600" cy="4611370"/>
                    </a:xfrm>
                    <a:prstGeom prst="rect">
                      <a:avLst/>
                    </a:prstGeom>
                  </pic:spPr>
                </pic:pic>
              </a:graphicData>
            </a:graphic>
          </wp:inline>
        </w:drawing>
      </w:r>
    </w:p>
    <w:p w14:paraId="6FB81832" w14:textId="6D45C056" w:rsidR="00FB2144" w:rsidRDefault="003F0723">
      <w:r>
        <w:rPr>
          <w:b/>
        </w:rPr>
        <w:t xml:space="preserve">Figure </w:t>
      </w:r>
      <w:r w:rsidR="00446AA4">
        <w:rPr>
          <w:b/>
        </w:rPr>
        <w:t>3</w:t>
      </w:r>
      <w:r>
        <w:rPr>
          <w:b/>
        </w:rPr>
        <w:t xml:space="preserve"> - </w:t>
      </w:r>
      <w:r>
        <w:t xml:space="preserve">Results of the </w:t>
      </w:r>
      <w:r w:rsidRPr="00FF43D3">
        <w:rPr>
          <w:b/>
          <w:bCs/>
          <w:vertAlign w:val="subscript"/>
        </w:rPr>
        <w:t>dadi</w:t>
      </w:r>
      <w:r>
        <w:t xml:space="preserve"> optimization runs for the</w:t>
      </w:r>
      <w:r w:rsidR="00FB2144">
        <w:t xml:space="preserve"> (left to right) </w:t>
      </w:r>
      <w:r w:rsidR="00FB2144">
        <w:rPr>
          <w:i/>
          <w:iCs/>
        </w:rPr>
        <w:t>Three Epoch</w:t>
      </w:r>
      <w:r w:rsidR="00FB2144">
        <w:t xml:space="preserve">, </w:t>
      </w:r>
      <w:r w:rsidR="00C71825">
        <w:rPr>
          <w:i/>
          <w:iCs/>
        </w:rPr>
        <w:t xml:space="preserve">Found and Grow, </w:t>
      </w:r>
      <w:r w:rsidR="00FB2144">
        <w:rPr>
          <w:i/>
          <w:iCs/>
        </w:rPr>
        <w:t>Two epoch</w:t>
      </w:r>
      <w:r w:rsidR="00FB2144">
        <w:t xml:space="preserve">, and </w:t>
      </w:r>
      <w:r w:rsidR="00FB2144">
        <w:rPr>
          <w:i/>
          <w:iCs/>
        </w:rPr>
        <w:t>Zhan</w:t>
      </w:r>
      <w:r w:rsidR="00FB2144">
        <w:t xml:space="preserve"> models </w:t>
      </w:r>
      <w:r>
        <w:t xml:space="preserve">demographic models. </w:t>
      </w:r>
      <w:r w:rsidR="008020D1">
        <w:t xml:space="preserve">In the legend at right, “pass” refers to </w:t>
      </w:r>
      <w:r w:rsidR="00EC5F7B">
        <w:t>each</w:t>
      </w:r>
      <w:r w:rsidR="008A1CF9">
        <w:t xml:space="preserve"> iteration of the sequential step-down permutation</w:t>
      </w:r>
      <w:r w:rsidR="00EC5F7B">
        <w:t xml:space="preserve"> approach</w:t>
      </w:r>
      <w:r w:rsidR="008A1CF9">
        <w:t xml:space="preserve"> (see </w:t>
      </w:r>
      <w:r w:rsidR="008A1CF9" w:rsidRPr="008A1CF9">
        <w:t>Methods</w:t>
      </w:r>
      <w:r w:rsidR="008A1CF9" w:rsidRPr="008A1CF9">
        <w:rPr>
          <w:i/>
          <w:iCs/>
        </w:rPr>
        <w:t xml:space="preserve">: </w:t>
      </w:r>
      <w:r w:rsidR="008A1CF9" w:rsidRPr="008A1CF9">
        <w:rPr>
          <w:b/>
          <w:bCs/>
          <w:vertAlign w:val="subscript"/>
        </w:rPr>
        <w:t>dadi</w:t>
      </w:r>
      <w:r w:rsidR="008A1CF9" w:rsidRPr="008A1CF9">
        <w:t xml:space="preserve"> model selection</w:t>
      </w:r>
      <w:r w:rsidR="008A1CF9">
        <w:t>)</w:t>
      </w:r>
      <w:r w:rsidR="008020D1">
        <w:t>, and the log</w:t>
      </w:r>
      <w:r w:rsidR="008020D1">
        <w:rPr>
          <w:vertAlign w:val="subscript"/>
        </w:rPr>
        <w:t>10</w:t>
      </w:r>
      <w:r w:rsidR="008020D1">
        <w:t xml:space="preserve">(AIC) score corresponds to </w:t>
      </w:r>
      <w:r w:rsidR="00EC5F7B">
        <w:t>the likelihood of observing a particular set of parameter values</w:t>
      </w:r>
      <w:r w:rsidR="008020D1">
        <w:t xml:space="preserve">. </w:t>
      </w:r>
      <w:r>
        <w:t>(</w:t>
      </w:r>
      <w:r w:rsidR="009A69BA" w:rsidRPr="00EC5F7B">
        <w:rPr>
          <w:b/>
          <w:bCs/>
        </w:rPr>
        <w:t>Top</w:t>
      </w:r>
      <w:r w:rsidR="00EC5F7B" w:rsidRPr="00EC5F7B">
        <w:rPr>
          <w:b/>
          <w:bCs/>
        </w:rPr>
        <w:t xml:space="preserve"> row</w:t>
      </w:r>
      <w:r>
        <w:t>)</w:t>
      </w:r>
      <w:r w:rsidR="00EC5F7B">
        <w:t xml:space="preserve"> Estimated effective size of founding population in Hawaii vs. years since establishment. (</w:t>
      </w:r>
      <w:r w:rsidR="00EC5F7B" w:rsidRPr="00EC5F7B">
        <w:rPr>
          <w:b/>
          <w:bCs/>
        </w:rPr>
        <w:t>Middle row</w:t>
      </w:r>
      <w:r w:rsidR="00EC5F7B">
        <w:t>) Estimated migration rates from North America to Hawaii and vice versa. (</w:t>
      </w:r>
      <w:r w:rsidR="00EC5F7B" w:rsidRPr="00EC5F7B">
        <w:rPr>
          <w:b/>
          <w:bCs/>
        </w:rPr>
        <w:t>Bottom Row</w:t>
      </w:r>
      <w:r w:rsidR="00EC5F7B">
        <w:t xml:space="preserve">) Estimated current effective population sizes in North America and Hawaii. </w:t>
      </w:r>
      <w:r w:rsidR="00FB2144">
        <w:t>Red dots mark the runs with the lowest AIC scores in each quadrant of the respective parameter space</w:t>
      </w:r>
      <w:r w:rsidR="009A69BA">
        <w:t xml:space="preserve"> based on the (a), corresponding to the heatmaps in Figure</w:t>
      </w:r>
      <w:r w:rsidR="00B566CE">
        <w:t>s</w:t>
      </w:r>
      <w:r w:rsidR="009A69BA">
        <w:t xml:space="preserve"> </w:t>
      </w:r>
      <w:r w:rsidR="00B566CE">
        <w:t>4 and S6-</w:t>
      </w:r>
      <w:r w:rsidR="00E60D6E">
        <w:t>S</w:t>
      </w:r>
      <w:r w:rsidR="00E67B60">
        <w:t>7</w:t>
      </w:r>
      <w:r w:rsidR="009A69BA">
        <w:t xml:space="preserve"> and the residuals in Figure S</w:t>
      </w:r>
      <w:r w:rsidR="00E67B60">
        <w:t>8</w:t>
      </w:r>
      <w:r w:rsidR="009A69BA">
        <w:t>.</w:t>
      </w:r>
      <w:r w:rsidR="00C71825">
        <w:t xml:space="preserve"> Note that the </w:t>
      </w:r>
      <w:r w:rsidR="00C71825">
        <w:rPr>
          <w:i/>
          <w:iCs/>
        </w:rPr>
        <w:t xml:space="preserve">Two Epoch </w:t>
      </w:r>
      <w:r w:rsidR="00C71825">
        <w:t>model does not include a constant migration rate between Hawaii and North America, and so is blank for the middle panel.</w:t>
      </w:r>
    </w:p>
    <w:p w14:paraId="5AB03B35" w14:textId="24867972" w:rsidR="009A69BA" w:rsidRDefault="007B127C">
      <w:pPr>
        <w:rPr>
          <w:b/>
        </w:rPr>
      </w:pPr>
      <w:r>
        <w:rPr>
          <w:b/>
          <w:noProof/>
        </w:rPr>
        <w:lastRenderedPageBreak/>
        <w:drawing>
          <wp:inline distT="0" distB="0" distL="0" distR="0" wp14:anchorId="55EDE081" wp14:editId="66D0CEBB">
            <wp:extent cx="5943600" cy="336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17244ED9" w14:textId="16CD76EA" w:rsidR="00FB2144" w:rsidRPr="009A69BA" w:rsidRDefault="009A69BA">
      <w:r>
        <w:rPr>
          <w:b/>
        </w:rPr>
        <w:t xml:space="preserve">Figure </w:t>
      </w:r>
      <w:r w:rsidR="00C71825">
        <w:rPr>
          <w:b/>
        </w:rPr>
        <w:t>4</w:t>
      </w:r>
      <w:r>
        <w:rPr>
          <w:b/>
        </w:rPr>
        <w:t xml:space="preserve"> – </w:t>
      </w:r>
      <w:r w:rsidR="003F1F12">
        <w:t>(</w:t>
      </w:r>
      <w:r w:rsidR="003F1F12" w:rsidRPr="003F1F12">
        <w:rPr>
          <w:b/>
          <w:bCs/>
        </w:rPr>
        <w:t>Left</w:t>
      </w:r>
      <w:r w:rsidR="003F1F12">
        <w:t xml:space="preserve">) </w:t>
      </w:r>
      <w:r>
        <w:t>Observed</w:t>
      </w:r>
      <w:r w:rsidR="002D76B7">
        <w:t xml:space="preserve"> data</w:t>
      </w:r>
      <w:r>
        <w:t xml:space="preserve"> and </w:t>
      </w:r>
      <w:r w:rsidR="003F1F12">
        <w:t>(</w:t>
      </w:r>
      <w:r w:rsidR="003F1F12" w:rsidRPr="003F1F12">
        <w:rPr>
          <w:b/>
          <w:bCs/>
        </w:rPr>
        <w:t>Right</w:t>
      </w:r>
      <w:r w:rsidR="003F1F12">
        <w:t xml:space="preserve">) </w:t>
      </w:r>
      <w:r w:rsidR="002D76B7">
        <w:t xml:space="preserve">model </w:t>
      </w:r>
      <w:r>
        <w:t xml:space="preserve">estimated derived site frequency spectra for </w:t>
      </w:r>
      <w:bookmarkStart w:id="1" w:name="_Hlk79754147"/>
      <w:r>
        <w:t>the</w:t>
      </w:r>
      <w:bookmarkStart w:id="2" w:name="_Hlk79754112"/>
      <w:bookmarkEnd w:id="1"/>
      <w:r w:rsidR="00C71825">
        <w:rPr>
          <w:i/>
          <w:iCs/>
        </w:rPr>
        <w:t xml:space="preserve"> Three Epoch</w:t>
      </w:r>
      <w:r w:rsidR="00C71825">
        <w:t xml:space="preserve"> model</w:t>
      </w:r>
      <w:r>
        <w:t xml:space="preserve">. </w:t>
      </w:r>
      <w:r w:rsidR="002D76B7">
        <w:t>Cell brightness corresponds t</w:t>
      </w:r>
      <w:r w:rsidR="00A508C2">
        <w:t>o the number of loci with derived allele frequencies in the given bin for both Hawaii (HAW) and North America (NAM</w:t>
      </w:r>
      <w:r w:rsidR="00A508C2" w:rsidRPr="008832F9">
        <w:t>).</w:t>
      </w:r>
      <w:r w:rsidR="005A5978" w:rsidRPr="008832F9">
        <w:t xml:space="preserve"> Note that spectra have been projected </w:t>
      </w:r>
      <w:r w:rsidR="00A812C6" w:rsidRPr="008832F9">
        <w:t xml:space="preserve">to a size of 100 for North America and 10 for Hawaii to match the approximate number of individuals sequenced from each population. </w:t>
      </w:r>
      <w:r w:rsidR="00E32EA8" w:rsidRPr="008832F9">
        <w:t>Model</w:t>
      </w:r>
      <w:r w:rsidR="00E32EA8">
        <w:t xml:space="preserve">-derived site frequency spectra correspond to the four points marked in red in Figure 3 for the </w:t>
      </w:r>
      <w:r w:rsidR="00E32EA8">
        <w:rPr>
          <w:i/>
          <w:iCs/>
        </w:rPr>
        <w:t>Three Epoch</w:t>
      </w:r>
      <w:r w:rsidR="00E32EA8">
        <w:t xml:space="preserve"> model, which are parameter estimates from the runs with the lowest AIC score. Figures S6-S8 show comparable plots for the other candidate demographic models.</w:t>
      </w:r>
      <w:r w:rsidR="008A1CF9">
        <w:t xml:space="preserve"> </w:t>
      </w:r>
      <w:r w:rsidR="008A1CF9">
        <w:rPr>
          <w:bCs/>
        </w:rPr>
        <w:t>(BL: bottom left, BR: bottom right, TL: top left, TR: top right)</w:t>
      </w:r>
      <w:bookmarkEnd w:id="2"/>
      <w:r w:rsidR="008A1CF9">
        <w:t>.</w:t>
      </w:r>
    </w:p>
    <w:sectPr w:rsidR="00FB2144" w:rsidRPr="009A69BA" w:rsidSect="00C76753">
      <w:footerReference w:type="even" r:id="rId24"/>
      <w:footerReference w:type="default" r:id="rId25"/>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75FEF" w14:textId="77777777" w:rsidR="00801EFC" w:rsidRDefault="00801EFC" w:rsidP="00F644B5">
      <w:r>
        <w:separator/>
      </w:r>
    </w:p>
  </w:endnote>
  <w:endnote w:type="continuationSeparator" w:id="0">
    <w:p w14:paraId="50D307CF" w14:textId="77777777" w:rsidR="00801EFC" w:rsidRDefault="00801EFC"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547230"/>
      <w:docPartObj>
        <w:docPartGallery w:val="Page Numbers (Bottom of Page)"/>
        <w:docPartUnique/>
      </w:docPartObj>
    </w:sdtPr>
    <w:sdtContent>
      <w:p w14:paraId="2C5423FF" w14:textId="15ED534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B27D7" w14:textId="77777777" w:rsidR="007A4FD5" w:rsidRDefault="007A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908974"/>
      <w:docPartObj>
        <w:docPartGallery w:val="Page Numbers (Bottom of Page)"/>
        <w:docPartUnique/>
      </w:docPartObj>
    </w:sdtPr>
    <w:sdtContent>
      <w:p w14:paraId="1E9AACE1" w14:textId="48D4BAE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742420" w14:textId="77777777" w:rsidR="007A4FD5" w:rsidRDefault="007A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A2A44" w14:textId="77777777" w:rsidR="00801EFC" w:rsidRDefault="00801EFC" w:rsidP="00F644B5">
      <w:r>
        <w:separator/>
      </w:r>
    </w:p>
  </w:footnote>
  <w:footnote w:type="continuationSeparator" w:id="0">
    <w:p w14:paraId="5179570C" w14:textId="77777777" w:rsidR="00801EFC" w:rsidRDefault="00801EFC"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77B9D"/>
    <w:multiLevelType w:val="hybridMultilevel"/>
    <w:tmpl w:val="6358938A"/>
    <w:lvl w:ilvl="0" w:tplc="C1E4BE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027888">
    <w:abstractNumId w:val="2"/>
  </w:num>
  <w:num w:numId="2" w16cid:durableId="959652014">
    <w:abstractNumId w:val="0"/>
  </w:num>
  <w:num w:numId="3" w16cid:durableId="168494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0308B"/>
    <w:rsid w:val="00010CA2"/>
    <w:rsid w:val="00022D13"/>
    <w:rsid w:val="000235BA"/>
    <w:rsid w:val="00023E35"/>
    <w:rsid w:val="000240A0"/>
    <w:rsid w:val="00026140"/>
    <w:rsid w:val="00032374"/>
    <w:rsid w:val="0003273D"/>
    <w:rsid w:val="00052F36"/>
    <w:rsid w:val="0006299D"/>
    <w:rsid w:val="00076730"/>
    <w:rsid w:val="000A4273"/>
    <w:rsid w:val="000A7BBC"/>
    <w:rsid w:val="000E1B16"/>
    <w:rsid w:val="000E2CEA"/>
    <w:rsid w:val="00100F27"/>
    <w:rsid w:val="001108DE"/>
    <w:rsid w:val="0011459D"/>
    <w:rsid w:val="00115113"/>
    <w:rsid w:val="00131BBF"/>
    <w:rsid w:val="0013530C"/>
    <w:rsid w:val="00135EC1"/>
    <w:rsid w:val="00161BA0"/>
    <w:rsid w:val="00164667"/>
    <w:rsid w:val="00173681"/>
    <w:rsid w:val="0019445A"/>
    <w:rsid w:val="001A0367"/>
    <w:rsid w:val="001A0D8A"/>
    <w:rsid w:val="001A0EC8"/>
    <w:rsid w:val="001A48F9"/>
    <w:rsid w:val="001B470C"/>
    <w:rsid w:val="001B5296"/>
    <w:rsid w:val="001B6364"/>
    <w:rsid w:val="001C5583"/>
    <w:rsid w:val="001D120C"/>
    <w:rsid w:val="001D2A4F"/>
    <w:rsid w:val="001D4674"/>
    <w:rsid w:val="001E52AD"/>
    <w:rsid w:val="001F0461"/>
    <w:rsid w:val="001F2D34"/>
    <w:rsid w:val="002210E7"/>
    <w:rsid w:val="00223F07"/>
    <w:rsid w:val="002450EB"/>
    <w:rsid w:val="00245A5A"/>
    <w:rsid w:val="00246820"/>
    <w:rsid w:val="0025131D"/>
    <w:rsid w:val="00251568"/>
    <w:rsid w:val="0026275F"/>
    <w:rsid w:val="00266FDC"/>
    <w:rsid w:val="002706B4"/>
    <w:rsid w:val="002715BA"/>
    <w:rsid w:val="00274D6B"/>
    <w:rsid w:val="00296E02"/>
    <w:rsid w:val="002B0E25"/>
    <w:rsid w:val="002D353D"/>
    <w:rsid w:val="002D76B7"/>
    <w:rsid w:val="002E2381"/>
    <w:rsid w:val="002F6DFF"/>
    <w:rsid w:val="00302A29"/>
    <w:rsid w:val="003056E8"/>
    <w:rsid w:val="003169AB"/>
    <w:rsid w:val="0032621F"/>
    <w:rsid w:val="00345243"/>
    <w:rsid w:val="003542CD"/>
    <w:rsid w:val="00354744"/>
    <w:rsid w:val="00355224"/>
    <w:rsid w:val="00356B86"/>
    <w:rsid w:val="00366864"/>
    <w:rsid w:val="00380F5C"/>
    <w:rsid w:val="003825E6"/>
    <w:rsid w:val="003843D2"/>
    <w:rsid w:val="00394A82"/>
    <w:rsid w:val="003A19F1"/>
    <w:rsid w:val="003A7902"/>
    <w:rsid w:val="003B7F97"/>
    <w:rsid w:val="003C021A"/>
    <w:rsid w:val="003D5BED"/>
    <w:rsid w:val="003E3054"/>
    <w:rsid w:val="003E3175"/>
    <w:rsid w:val="003E49B1"/>
    <w:rsid w:val="003F0723"/>
    <w:rsid w:val="003F138A"/>
    <w:rsid w:val="003F19D7"/>
    <w:rsid w:val="003F1F12"/>
    <w:rsid w:val="003F2EF0"/>
    <w:rsid w:val="003F4F83"/>
    <w:rsid w:val="00416C2B"/>
    <w:rsid w:val="0043737D"/>
    <w:rsid w:val="00446AA4"/>
    <w:rsid w:val="0045465B"/>
    <w:rsid w:val="004661B1"/>
    <w:rsid w:val="004728DB"/>
    <w:rsid w:val="0049017D"/>
    <w:rsid w:val="00493004"/>
    <w:rsid w:val="004D1E24"/>
    <w:rsid w:val="0051365D"/>
    <w:rsid w:val="00530DD1"/>
    <w:rsid w:val="00537D61"/>
    <w:rsid w:val="00546852"/>
    <w:rsid w:val="005601E7"/>
    <w:rsid w:val="005636A1"/>
    <w:rsid w:val="00573516"/>
    <w:rsid w:val="00580B11"/>
    <w:rsid w:val="00581393"/>
    <w:rsid w:val="005815B0"/>
    <w:rsid w:val="005972D1"/>
    <w:rsid w:val="005A1ECC"/>
    <w:rsid w:val="005A5978"/>
    <w:rsid w:val="005A6990"/>
    <w:rsid w:val="005A7316"/>
    <w:rsid w:val="005B090F"/>
    <w:rsid w:val="005B44B7"/>
    <w:rsid w:val="005D301A"/>
    <w:rsid w:val="005E6500"/>
    <w:rsid w:val="005F3CB8"/>
    <w:rsid w:val="005F4058"/>
    <w:rsid w:val="006014FF"/>
    <w:rsid w:val="0060169A"/>
    <w:rsid w:val="006154EC"/>
    <w:rsid w:val="0063026C"/>
    <w:rsid w:val="00637496"/>
    <w:rsid w:val="00664EBC"/>
    <w:rsid w:val="006776C2"/>
    <w:rsid w:val="006A04A7"/>
    <w:rsid w:val="006A6F8F"/>
    <w:rsid w:val="006B39D3"/>
    <w:rsid w:val="006B5881"/>
    <w:rsid w:val="006C2257"/>
    <w:rsid w:val="006C6BDF"/>
    <w:rsid w:val="006D3592"/>
    <w:rsid w:val="006D6D7F"/>
    <w:rsid w:val="006E2032"/>
    <w:rsid w:val="006E2582"/>
    <w:rsid w:val="006E6F2E"/>
    <w:rsid w:val="006E7177"/>
    <w:rsid w:val="00703E47"/>
    <w:rsid w:val="00721623"/>
    <w:rsid w:val="00736D9A"/>
    <w:rsid w:val="00746734"/>
    <w:rsid w:val="00750C1B"/>
    <w:rsid w:val="0075175E"/>
    <w:rsid w:val="007517BC"/>
    <w:rsid w:val="00752928"/>
    <w:rsid w:val="007623BA"/>
    <w:rsid w:val="00765BB8"/>
    <w:rsid w:val="00790FFE"/>
    <w:rsid w:val="007A4FD5"/>
    <w:rsid w:val="007B127C"/>
    <w:rsid w:val="007B3A8C"/>
    <w:rsid w:val="007B4529"/>
    <w:rsid w:val="007B49DA"/>
    <w:rsid w:val="007C303F"/>
    <w:rsid w:val="007C4E22"/>
    <w:rsid w:val="007C6681"/>
    <w:rsid w:val="007D2ACD"/>
    <w:rsid w:val="007E643D"/>
    <w:rsid w:val="007F045B"/>
    <w:rsid w:val="007F237F"/>
    <w:rsid w:val="007F338C"/>
    <w:rsid w:val="007F4083"/>
    <w:rsid w:val="00801EFC"/>
    <w:rsid w:val="008020D1"/>
    <w:rsid w:val="008101BF"/>
    <w:rsid w:val="00810F66"/>
    <w:rsid w:val="008170A3"/>
    <w:rsid w:val="00820779"/>
    <w:rsid w:val="00822D7E"/>
    <w:rsid w:val="00824683"/>
    <w:rsid w:val="008333CE"/>
    <w:rsid w:val="00834A64"/>
    <w:rsid w:val="008356AA"/>
    <w:rsid w:val="00845A6A"/>
    <w:rsid w:val="00850235"/>
    <w:rsid w:val="008640FB"/>
    <w:rsid w:val="008832F9"/>
    <w:rsid w:val="00885F6B"/>
    <w:rsid w:val="00896BDE"/>
    <w:rsid w:val="0089799A"/>
    <w:rsid w:val="008A1CF9"/>
    <w:rsid w:val="008B65A2"/>
    <w:rsid w:val="008C5F7E"/>
    <w:rsid w:val="008C7C3F"/>
    <w:rsid w:val="008E25FF"/>
    <w:rsid w:val="008F276C"/>
    <w:rsid w:val="008F4C30"/>
    <w:rsid w:val="0090398A"/>
    <w:rsid w:val="00926009"/>
    <w:rsid w:val="009563AB"/>
    <w:rsid w:val="00962BAE"/>
    <w:rsid w:val="00964FDF"/>
    <w:rsid w:val="009822D5"/>
    <w:rsid w:val="009A4FD2"/>
    <w:rsid w:val="009A69BA"/>
    <w:rsid w:val="009B26FB"/>
    <w:rsid w:val="009B291B"/>
    <w:rsid w:val="009D5265"/>
    <w:rsid w:val="009D7EEE"/>
    <w:rsid w:val="009E4EEA"/>
    <w:rsid w:val="009E556E"/>
    <w:rsid w:val="009F0367"/>
    <w:rsid w:val="00A038EC"/>
    <w:rsid w:val="00A052EC"/>
    <w:rsid w:val="00A108FA"/>
    <w:rsid w:val="00A16EFC"/>
    <w:rsid w:val="00A244C3"/>
    <w:rsid w:val="00A34979"/>
    <w:rsid w:val="00A455B3"/>
    <w:rsid w:val="00A508C2"/>
    <w:rsid w:val="00A56173"/>
    <w:rsid w:val="00A564E5"/>
    <w:rsid w:val="00A67320"/>
    <w:rsid w:val="00A709EE"/>
    <w:rsid w:val="00A710CF"/>
    <w:rsid w:val="00A812C6"/>
    <w:rsid w:val="00A9423D"/>
    <w:rsid w:val="00A94F9E"/>
    <w:rsid w:val="00AA32FB"/>
    <w:rsid w:val="00AA6FF3"/>
    <w:rsid w:val="00AB5EE0"/>
    <w:rsid w:val="00AE0BE1"/>
    <w:rsid w:val="00AE4FD2"/>
    <w:rsid w:val="00AF0893"/>
    <w:rsid w:val="00AF1698"/>
    <w:rsid w:val="00B05E8F"/>
    <w:rsid w:val="00B201D2"/>
    <w:rsid w:val="00B26B8E"/>
    <w:rsid w:val="00B31C3F"/>
    <w:rsid w:val="00B437EC"/>
    <w:rsid w:val="00B43ACC"/>
    <w:rsid w:val="00B46F48"/>
    <w:rsid w:val="00B50810"/>
    <w:rsid w:val="00B50CE8"/>
    <w:rsid w:val="00B51EDA"/>
    <w:rsid w:val="00B566CE"/>
    <w:rsid w:val="00B609B0"/>
    <w:rsid w:val="00B7219A"/>
    <w:rsid w:val="00B73C95"/>
    <w:rsid w:val="00B75507"/>
    <w:rsid w:val="00B80DEE"/>
    <w:rsid w:val="00B941FD"/>
    <w:rsid w:val="00BC362C"/>
    <w:rsid w:val="00BC5B76"/>
    <w:rsid w:val="00BC6760"/>
    <w:rsid w:val="00BD2B17"/>
    <w:rsid w:val="00BD5448"/>
    <w:rsid w:val="00BE118A"/>
    <w:rsid w:val="00BE19DA"/>
    <w:rsid w:val="00BE2665"/>
    <w:rsid w:val="00BE6BC8"/>
    <w:rsid w:val="00BE7EEE"/>
    <w:rsid w:val="00BF11E6"/>
    <w:rsid w:val="00BF55CA"/>
    <w:rsid w:val="00BF5964"/>
    <w:rsid w:val="00C03993"/>
    <w:rsid w:val="00C04D97"/>
    <w:rsid w:val="00C23111"/>
    <w:rsid w:val="00C26F66"/>
    <w:rsid w:val="00C3324A"/>
    <w:rsid w:val="00C41C1A"/>
    <w:rsid w:val="00C45FB6"/>
    <w:rsid w:val="00C57F93"/>
    <w:rsid w:val="00C63C35"/>
    <w:rsid w:val="00C643AD"/>
    <w:rsid w:val="00C71825"/>
    <w:rsid w:val="00C71837"/>
    <w:rsid w:val="00C74674"/>
    <w:rsid w:val="00C76753"/>
    <w:rsid w:val="00C84467"/>
    <w:rsid w:val="00C87D3E"/>
    <w:rsid w:val="00C94AC1"/>
    <w:rsid w:val="00CA10DB"/>
    <w:rsid w:val="00CA29E8"/>
    <w:rsid w:val="00CA2D2D"/>
    <w:rsid w:val="00CA7EAB"/>
    <w:rsid w:val="00CB2BD2"/>
    <w:rsid w:val="00CB5E4F"/>
    <w:rsid w:val="00CB5EE3"/>
    <w:rsid w:val="00CE15B8"/>
    <w:rsid w:val="00CF2590"/>
    <w:rsid w:val="00CF3419"/>
    <w:rsid w:val="00D01CDC"/>
    <w:rsid w:val="00D07BEF"/>
    <w:rsid w:val="00D16BC3"/>
    <w:rsid w:val="00D17D7C"/>
    <w:rsid w:val="00D255B4"/>
    <w:rsid w:val="00D26586"/>
    <w:rsid w:val="00D3337E"/>
    <w:rsid w:val="00D4538B"/>
    <w:rsid w:val="00D4633F"/>
    <w:rsid w:val="00D63034"/>
    <w:rsid w:val="00D6517B"/>
    <w:rsid w:val="00D75649"/>
    <w:rsid w:val="00D900D2"/>
    <w:rsid w:val="00D91451"/>
    <w:rsid w:val="00DA2D40"/>
    <w:rsid w:val="00DB27B7"/>
    <w:rsid w:val="00DC27E7"/>
    <w:rsid w:val="00DE0957"/>
    <w:rsid w:val="00DE378C"/>
    <w:rsid w:val="00DE468A"/>
    <w:rsid w:val="00DE4C4E"/>
    <w:rsid w:val="00DF0642"/>
    <w:rsid w:val="00DF379F"/>
    <w:rsid w:val="00DF407F"/>
    <w:rsid w:val="00DF611A"/>
    <w:rsid w:val="00E16589"/>
    <w:rsid w:val="00E25AA7"/>
    <w:rsid w:val="00E25E4F"/>
    <w:rsid w:val="00E32EA8"/>
    <w:rsid w:val="00E3489E"/>
    <w:rsid w:val="00E3626E"/>
    <w:rsid w:val="00E421D0"/>
    <w:rsid w:val="00E46E34"/>
    <w:rsid w:val="00E568B5"/>
    <w:rsid w:val="00E60D6E"/>
    <w:rsid w:val="00E66D39"/>
    <w:rsid w:val="00E67B60"/>
    <w:rsid w:val="00E76084"/>
    <w:rsid w:val="00E9183B"/>
    <w:rsid w:val="00E94D1E"/>
    <w:rsid w:val="00EC5F7B"/>
    <w:rsid w:val="00ED08B6"/>
    <w:rsid w:val="00EF0AED"/>
    <w:rsid w:val="00EF1FC8"/>
    <w:rsid w:val="00F014E6"/>
    <w:rsid w:val="00F02E69"/>
    <w:rsid w:val="00F134DB"/>
    <w:rsid w:val="00F178DE"/>
    <w:rsid w:val="00F27EEA"/>
    <w:rsid w:val="00F418EF"/>
    <w:rsid w:val="00F51E99"/>
    <w:rsid w:val="00F523A6"/>
    <w:rsid w:val="00F52DD9"/>
    <w:rsid w:val="00F60EE2"/>
    <w:rsid w:val="00F613FD"/>
    <w:rsid w:val="00F644B5"/>
    <w:rsid w:val="00F72147"/>
    <w:rsid w:val="00F72D94"/>
    <w:rsid w:val="00F82F26"/>
    <w:rsid w:val="00F93CF0"/>
    <w:rsid w:val="00F95F31"/>
    <w:rsid w:val="00FA52AC"/>
    <w:rsid w:val="00FB2144"/>
    <w:rsid w:val="00FB41B9"/>
    <w:rsid w:val="00FC0157"/>
    <w:rsid w:val="00FD28ED"/>
    <w:rsid w:val="00FD3C7E"/>
    <w:rsid w:val="00FE6279"/>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 w:type="character" w:styleId="PageNumber">
    <w:name w:val="page number"/>
    <w:basedOn w:val="DefaultParagraphFont"/>
    <w:uiPriority w:val="99"/>
    <w:semiHidden/>
    <w:unhideWhenUsed/>
    <w:rsid w:val="007A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854387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49444258">
      <w:bodyDiv w:val="1"/>
      <w:marLeft w:val="0"/>
      <w:marRight w:val="0"/>
      <w:marTop w:val="0"/>
      <w:marBottom w:val="0"/>
      <w:divBdr>
        <w:top w:val="none" w:sz="0" w:space="0" w:color="auto"/>
        <w:left w:val="none" w:sz="0" w:space="0" w:color="auto"/>
        <w:bottom w:val="none" w:sz="0" w:space="0" w:color="auto"/>
        <w:right w:val="none" w:sz="0" w:space="0" w:color="auto"/>
      </w:divBdr>
    </w:div>
    <w:div w:id="892232194">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1680475">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095174721">
      <w:bodyDiv w:val="1"/>
      <w:marLeft w:val="0"/>
      <w:marRight w:val="0"/>
      <w:marTop w:val="0"/>
      <w:marBottom w:val="0"/>
      <w:divBdr>
        <w:top w:val="none" w:sz="0" w:space="0" w:color="auto"/>
        <w:left w:val="none" w:sz="0" w:space="0" w:color="auto"/>
        <w:bottom w:val="none" w:sz="0" w:space="0" w:color="auto"/>
        <w:right w:val="none" w:sz="0" w:space="0" w:color="auto"/>
      </w:divBdr>
    </w:div>
    <w:div w:id="1097676569">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47208299">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22444162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499732816">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539120770">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56828837">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0814098">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11269747">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 w:id="2145462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hYyB" TargetMode="External"/><Relationship Id="rId18" Type="http://schemas.openxmlformats.org/officeDocument/2006/relationships/hyperlink" Target="http://paperpile.com/b/tNxuHC/OQZ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EXik" TargetMode="External"/><Relationship Id="rId17" Type="http://schemas.openxmlformats.org/officeDocument/2006/relationships/hyperlink" Target="https://escholarship.org/uc/item/5kp4q40k"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OQZ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image" Target="media/image4.emf"/><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6462</TotalTime>
  <Pages>38</Pages>
  <Words>13435</Words>
  <Characters>76586</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Micah Freedman</cp:lastModifiedBy>
  <cp:revision>122</cp:revision>
  <dcterms:created xsi:type="dcterms:W3CDTF">2020-02-09T21:34:00Z</dcterms:created>
  <dcterms:modified xsi:type="dcterms:W3CDTF">2022-06-29T21:02:00Z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http://csl.mendeley.com/styles/532785301/apa-2-author</vt:lpwstr>
  </property>
  <property fmtid="{D5CDD505-2E9C-101B-9397-08002B2CF9AE}" pid="7" name="Mendeley Recent Style Name 2_1">
    <vt:lpwstr>American Psychological Association 6th edition 2 author in line</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http://www.zotero.org/styles/molecular-ecology</vt:lpwstr>
  </property>
  <property fmtid="{D5CDD505-2E9C-101B-9397-08002B2CF9AE}" pid="21" name="Mendeley Recent Style Name 9_1">
    <vt:lpwstr>Molecular Ecology</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