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Dawe and Boutin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27CEC95"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lastRenderedPageBreak/>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w:t>
      </w:r>
      <w:r w:rsidR="00034711">
        <w:rPr>
          <w:rFonts w:ascii="Helvetica Neue" w:hAnsi="Helvetica Neue" w:cs="Arial"/>
          <w:color w:val="000000"/>
        </w:rPr>
        <w:t xml:space="preserve"> Henn et al. 2012</w:t>
      </w:r>
      <w:r w:rsidR="009B7DF1">
        <w:rPr>
          <w:rFonts w:ascii="Helvetica Neue" w:hAnsi="Helvetica Neue" w:cs="Arial"/>
          <w:color w:val="000000"/>
        </w:rPr>
        <w:t>).</w:t>
      </w:r>
    </w:p>
    <w:p w14:paraId="2BE59747" w14:textId="7C849BD0"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w:t>
      </w:r>
      <w:proofErr w:type="spellStart"/>
      <w:r w:rsidR="00034711">
        <w:rPr>
          <w:rFonts w:ascii="Helvetica Neue" w:hAnsi="Helvetica Neue" w:cs="Arial"/>
          <w:color w:val="000000"/>
        </w:rPr>
        <w:t>Ackery</w:t>
      </w:r>
      <w:proofErr w:type="spellEnd"/>
      <w:r w:rsidR="00034711">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w:t>
      </w:r>
      <w:r>
        <w:rPr>
          <w:rFonts w:ascii="Helvetica Neue" w:hAnsi="Helvetica Neue" w:cs="Arial"/>
          <w:color w:val="000000"/>
        </w:rPr>
        <w:lastRenderedPageBreak/>
        <w:t>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w:t>
      </w:r>
      <w:r w:rsidR="00F81228">
        <w:rPr>
          <w:rFonts w:ascii="Helvetica Neue" w:hAnsi="Helvetica Neue" w:cs="Arial"/>
          <w:iCs/>
          <w:color w:val="000000"/>
        </w:rPr>
        <w:lastRenderedPageBreak/>
        <w:t xml:space="preserve">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paralogous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kilobase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paralog filters without removing non-paralogous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 xml:space="preserve">(Jakobsson &amp; </w:t>
      </w:r>
      <w:r w:rsidR="000C4EA1" w:rsidRPr="00621411">
        <w:rPr>
          <w:rFonts w:ascii="Helvetica Neue" w:hAnsi="Helvetica Neue" w:cs="Arial"/>
          <w:iCs/>
          <w:noProof/>
          <w:color w:val="000000"/>
        </w:rPr>
        <w:lastRenderedPageBreak/>
        <w:t>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3E1E28BA"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 xml:space="preserve">Figure </w:t>
      </w:r>
      <w:r w:rsidR="00D95E79">
        <w:rPr>
          <w:rFonts w:ascii="Helvetica Neue" w:eastAsia="Times New Roman" w:hAnsi="Helvetica Neue" w:cs="Times New Roman"/>
        </w:rPr>
        <w:t>S1</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 xml:space="preserve">Table </w:t>
      </w:r>
      <w:r w:rsidR="00D95E79">
        <w:rPr>
          <w:rFonts w:ascii="Helvetica Neue" w:eastAsia="Times New Roman" w:hAnsi="Helvetica Neue" w:cs="Times New Roman"/>
        </w:rPr>
        <w:t>S2</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of  </w:t>
      </w:r>
      <w:r w:rsidR="008C5A2F">
        <w:rPr>
          <w:rFonts w:ascii="Helvetica Neue" w:eastAsia="Times New Roman" w:hAnsi="Helvetica Neue" w:cs="Times New Roman"/>
        </w:rPr>
        <w:t>8.4</w:t>
      </w:r>
      <w:r w:rsidR="00D80EA2">
        <w:rPr>
          <w:rFonts w:ascii="Helvetica Neue" w:eastAsia="Times New Roman" w:hAnsi="Helvetica Neue" w:cs="Times New Roman"/>
        </w:rPr>
        <w:t>x10</w:t>
      </w:r>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proofErr w:type="spellStart"/>
      <w:r w:rsidR="008C5A2F">
        <w:rPr>
          <w:rFonts w:ascii="Helvetica Neue" w:eastAsia="Times New Roman" w:hAnsi="Helvetica Neue" w:cs="Times New Roman"/>
          <w:i/>
          <w:iCs/>
        </w:rPr>
        <w:t>Heliconius</w:t>
      </w:r>
      <w:proofErr w:type="spellEnd"/>
      <w:r w:rsidR="008C5A2F">
        <w:rPr>
          <w:rFonts w:ascii="Helvetica Neue" w:eastAsia="Times New Roman" w:hAnsi="Helvetica Neue" w:cs="Times New Roman"/>
          <w:i/>
          <w:iCs/>
        </w:rPr>
        <w:t xml:space="preserve"> </w:t>
      </w:r>
      <w:proofErr w:type="spellStart"/>
      <w:r w:rsidR="008C5A2F">
        <w:rPr>
          <w:rFonts w:ascii="Helvetica Neue" w:eastAsia="Times New Roman" w:hAnsi="Helvetica Neue" w:cs="Times New Roman"/>
          <w:i/>
          <w:iCs/>
        </w:rPr>
        <w:t>melpomene</w:t>
      </w:r>
      <w:proofErr w:type="spellEnd"/>
      <w:r w:rsidR="008C5A2F">
        <w:rPr>
          <w:rFonts w:ascii="Helvetica Neue" w:eastAsia="Times New Roman" w:hAnsi="Helvetica Neue" w:cs="Times New Roman"/>
          <w:i/>
          <w:iCs/>
        </w:rPr>
        <w:t xml:space="preserv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6ECD00CE"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w:t>
      </w:r>
      <w:r>
        <w:rPr>
          <w:rFonts w:ascii="Helvetica Neue" w:hAnsi="Helvetica Neue" w:cs="Arial"/>
          <w:color w:val="000000"/>
        </w:rPr>
        <w:lastRenderedPageBreak/>
        <w:t>model is</w:t>
      </w:r>
      <w:r w:rsidR="002647E1">
        <w:rPr>
          <w:rFonts w:ascii="Helvetica Neue" w:hAnsi="Helvetica Neue" w:cs="Arial"/>
          <w:color w:val="000000"/>
        </w:rPr>
        <w:t xml:space="preserve"> a</w:t>
      </w:r>
      <w:r w:rsidR="00DD4E8A">
        <w:rPr>
          <w:rFonts w:ascii="Helvetica Neue" w:hAnsi="Helvetica Neue" w:cs="Arial"/>
          <w:color w:val="000000"/>
        </w:rPr>
        <w:t xml:space="preserve">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We created 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1EEA4327" w14:textId="080930D3" w:rsidR="00825B90" w:rsidRDefault="00625A53" w:rsidP="00A474B5">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B75FCBE" w14:textId="71A9DB04" w:rsidR="00825B90" w:rsidRDefault="00825B90" w:rsidP="00E70B1E">
      <w:pPr>
        <w:jc w:val="center"/>
        <w:rPr>
          <w:rFonts w:ascii="Helvetica Neue" w:hAnsi="Helvetica Neue" w:cs="Arial"/>
          <w:b/>
          <w:color w:val="000000"/>
          <w:u w:val="single"/>
        </w:rPr>
      </w:pPr>
    </w:p>
    <w:p w14:paraId="1C441C85" w14:textId="468442F5" w:rsidR="00A474B5" w:rsidRDefault="00A474B5" w:rsidP="00E70B1E">
      <w:pPr>
        <w:jc w:val="center"/>
        <w:rPr>
          <w:rFonts w:ascii="Helvetica Neue" w:hAnsi="Helvetica Neue" w:cs="Arial"/>
          <w:bCs/>
          <w:color w:val="000000"/>
        </w:rPr>
      </w:pPr>
      <w:r>
        <w:rPr>
          <w:rFonts w:ascii="Helvetica Neue" w:hAnsi="Helvetica Neue" w:cs="Arial"/>
          <w:bCs/>
          <w:i/>
          <w:iCs/>
          <w:color w:val="000000"/>
        </w:rPr>
        <w:t>Sequencing results</w:t>
      </w:r>
    </w:p>
    <w:p w14:paraId="5B099794" w14:textId="0593A775" w:rsidR="00A474B5" w:rsidRPr="00A474B5" w:rsidRDefault="00A474B5" w:rsidP="00A474B5">
      <w:pPr>
        <w:rPr>
          <w:rFonts w:ascii="Helvetica Neue" w:hAnsi="Helvetica Neue" w:cs="Arial"/>
          <w:bCs/>
          <w:color w:val="000000"/>
        </w:rPr>
      </w:pPr>
      <w:r>
        <w:rPr>
          <w:rFonts w:ascii="Helvetica Neue" w:hAnsi="Helvetica Neue" w:cs="Arial"/>
          <w:bCs/>
          <w:color w:val="000000"/>
        </w:rPr>
        <w:tab/>
        <w:t>After paralog filtering, we were able to genotype 2,159,978 sites in at least 50% of individuals. 541,899 of these sites were polymorphic, and 71,157 had a minor allele frequency above 0.05. After removing</w:t>
      </w:r>
      <w:bookmarkStart w:id="0" w:name="_GoBack"/>
      <w:bookmarkEnd w:id="0"/>
      <w:r>
        <w:rPr>
          <w:rFonts w:ascii="Helvetica Neue" w:hAnsi="Helvetica Neue" w:cs="Arial"/>
          <w:bCs/>
          <w:color w:val="000000"/>
        </w:rPr>
        <w:t xml:space="preserve"> individuals sequenced at less than 75% of called genotypes, </w:t>
      </w:r>
      <w:r>
        <w:rPr>
          <w:rFonts w:ascii="Helvetica Neue" w:hAnsi="Helvetica Neue" w:cs="Arial"/>
          <w:bCs/>
          <w:color w:val="000000"/>
        </w:rPr>
        <w:t>413,271</w:t>
      </w:r>
      <w:r>
        <w:rPr>
          <w:rFonts w:ascii="Helvetica Neue" w:hAnsi="Helvetica Neue" w:cs="Arial"/>
          <w:bCs/>
          <w:color w:val="000000"/>
        </w:rPr>
        <w:t xml:space="preserve"> and 70,878 </w:t>
      </w:r>
      <w:r w:rsidR="00265C46">
        <w:rPr>
          <w:rFonts w:ascii="Helvetica Neue" w:hAnsi="Helvetica Neue" w:cs="Arial"/>
          <w:bCs/>
          <w:color w:val="000000"/>
        </w:rPr>
        <w:t>sites remained in each category, respectively. The number of samples from each population after filtering can be found in Table 1.</w:t>
      </w:r>
      <w:r w:rsidR="005B5B6F">
        <w:rPr>
          <w:rFonts w:ascii="Helvetica Neue" w:hAnsi="Helvetica Neue" w:cs="Arial"/>
          <w:bCs/>
          <w:color w:val="000000"/>
        </w:rPr>
        <w:t xml:space="preserve"> </w:t>
      </w:r>
    </w:p>
    <w:p w14:paraId="2E285E5D" w14:textId="77777777" w:rsidR="00A474B5" w:rsidRPr="001B063A" w:rsidRDefault="00A474B5"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6DC049C" w:rsidR="00F8441E" w:rsidRPr="007209A4" w:rsidRDefault="008C2E8F" w:rsidP="00E70B1E">
      <w:pPr>
        <w:jc w:val="both"/>
        <w:rPr>
          <w:rFonts w:ascii="Helvetica Neue" w:hAnsi="Helvetica Neue" w:cs="Arial"/>
          <w:color w:val="000000"/>
        </w:rPr>
      </w:pPr>
      <w:r>
        <w:rPr>
          <w:rFonts w:ascii="Helvetica Neue" w:hAnsi="Helvetica Neue" w:cs="Arial"/>
          <w:color w:val="000000"/>
        </w:rPr>
        <w:tab/>
      </w:r>
      <w:r w:rsidR="00A474B5">
        <w:rPr>
          <w:rFonts w:ascii="Helvetica Neue" w:hAnsi="Helvetica Neue" w:cs="Arial"/>
          <w:color w:val="000000"/>
        </w:rPr>
        <w:t xml:space="preserve">Site counts </w:t>
      </w:r>
      <w:r>
        <w:rPr>
          <w:rFonts w:ascii="Helvetica Neue" w:hAnsi="Helvetica Neue" w:cs="Arial"/>
          <w:color w:val="000000"/>
        </w:rPr>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764127" w:rsidRPr="00764127">
        <w:rPr>
          <w:rFonts w:ascii="Helvetica Neue" w:hAnsi="Helvetica Neue" w:cs="Arial"/>
          <w:color w:val="000000"/>
        </w:rPr>
        <w:t>Figure 3</w:t>
      </w:r>
      <w:r w:rsidRPr="00764127">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 xml:space="preserve">Table </w:t>
      </w:r>
      <w:r w:rsidR="00D95E79">
        <w:rPr>
          <w:rFonts w:ascii="Helvetica Neue" w:hAnsi="Helvetica Neue" w:cs="Arial"/>
          <w:color w:val="000000"/>
        </w:rPr>
        <w:t>1</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 xml:space="preserve">Figure </w:t>
      </w:r>
      <w:r w:rsidR="00D95E79">
        <w:rPr>
          <w:rFonts w:ascii="Helvetica Neue" w:hAnsi="Helvetica Neue" w:cs="Arial"/>
          <w:color w:val="000000"/>
        </w:rPr>
        <w:t>S2</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 xml:space="preserve">Table </w:t>
      </w:r>
      <w:r w:rsidR="000322C6">
        <w:rPr>
          <w:rFonts w:ascii="Helvetica Neue" w:hAnsi="Helvetica Neue" w:cs="Arial"/>
          <w:color w:val="000000"/>
        </w:rPr>
        <w:t>1</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w:t>
      </w:r>
      <w:r w:rsidR="007209A4">
        <w:rPr>
          <w:rFonts w:ascii="Helvetica Neue" w:hAnsi="Helvetica Neue" w:cs="Arial"/>
          <w:color w:val="000000"/>
        </w:rPr>
        <w:lastRenderedPageBreak/>
        <w:t>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 xml:space="preserve">see Table </w:t>
      </w:r>
      <w:r w:rsidR="000322C6">
        <w:rPr>
          <w:rFonts w:ascii="Helvetica Neue" w:hAnsi="Helvetica Neue" w:cs="Arial"/>
          <w:color w:val="000000"/>
        </w:rPr>
        <w:t>2</w:t>
      </w:r>
      <w:r w:rsidR="007209A4">
        <w:rPr>
          <w:rFonts w:ascii="Helvetica Neue" w:hAnsi="Helvetica Neue" w:cs="Arial"/>
          <w:color w:val="000000"/>
        </w:rPr>
        <w:t>).</w:t>
      </w:r>
    </w:p>
    <w:p w14:paraId="0B23AFFD" w14:textId="60EE6285"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w:t>
      </w:r>
      <w:r w:rsidR="00764127">
        <w:rPr>
          <w:rFonts w:ascii="Helvetica Neue" w:hAnsi="Helvetica Neue" w:cs="Arial"/>
          <w:color w:val="000000"/>
        </w:rPr>
        <w:t>At</w:t>
      </w:r>
      <w:r w:rsidR="007851D0">
        <w:rPr>
          <w:rFonts w:ascii="Helvetica Neue" w:hAnsi="Helvetica Neue" w:cs="Arial"/>
          <w:color w:val="000000"/>
        </w:rPr>
        <w:t xml:space="preserve"> k = 6 Hawaii is assigned to a unique cluster; </w:t>
      </w:r>
      <w:r w:rsidR="00B0663E">
        <w:rPr>
          <w:rFonts w:ascii="Helvetica Neue" w:hAnsi="Helvetica Neue" w:cs="Arial"/>
          <w:color w:val="000000"/>
        </w:rPr>
        <w:t>at k &lt; 6</w:t>
      </w:r>
      <w:r w:rsidR="007851D0">
        <w:rPr>
          <w:rFonts w:ascii="Helvetica Neue" w:hAnsi="Helvetica Neue" w:cs="Arial"/>
          <w:color w:val="000000"/>
        </w:rPr>
        <w:t xml:space="preserve">,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62126335"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r w:rsidR="00FB074A" w:rsidRPr="00FB074A">
        <w:rPr>
          <w:rFonts w:ascii="Helvetica Neue" w:hAnsi="Helvetica Neue" w:cs="Arial"/>
          <w:i/>
          <w:color w:val="000000"/>
        </w:rPr>
        <w:t>three epoch</w:t>
      </w:r>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0663E">
        <w:rPr>
          <w:rFonts w:ascii="Helvetica Neue" w:hAnsi="Helvetica Neue" w:cs="Arial"/>
          <w:color w:val="000000"/>
        </w:rPr>
        <w:t xml:space="preserve"> generations ago (</w:t>
      </w:r>
      <w:r w:rsidR="00D95E79">
        <w:rPr>
          <w:rFonts w:ascii="Helvetica Neue" w:hAnsi="Helvetica Neue" w:cs="Arial"/>
          <w:color w:val="000000"/>
        </w:rPr>
        <w:t>Figure</w:t>
      </w:r>
      <w:r w:rsidR="00B0663E">
        <w:rPr>
          <w:rFonts w:ascii="Helvetica Neue" w:hAnsi="Helvetica Neue" w:cs="Arial"/>
          <w:color w:val="000000"/>
        </w:rPr>
        <w:t xml:space="preserve"> 4a, 4</w:t>
      </w:r>
      <w:r w:rsidR="00B86C53">
        <w:rPr>
          <w:rFonts w:ascii="Helvetica Neue" w:hAnsi="Helvetica Neue" w:cs="Arial"/>
          <w:color w:val="000000"/>
        </w:rPr>
        <w:t>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0663E">
        <w:rPr>
          <w:rFonts w:ascii="Helvetica Neue" w:hAnsi="Helvetica Neue" w:cs="Arial"/>
          <w:color w:val="000000"/>
        </w:rPr>
        <w:t xml:space="preserve"> individuals (</w:t>
      </w:r>
      <w:r w:rsidR="00D95E79">
        <w:rPr>
          <w:rFonts w:ascii="Helvetica Neue" w:hAnsi="Helvetica Neue" w:cs="Arial"/>
          <w:color w:val="000000"/>
        </w:rPr>
        <w:t>Figure</w:t>
      </w:r>
      <w:r w:rsidR="00B0663E">
        <w:rPr>
          <w:rFonts w:ascii="Helvetica Neue" w:hAnsi="Helvetica Neue" w:cs="Arial"/>
          <w:color w:val="000000"/>
        </w:rPr>
        <w:t xml:space="preserve"> 4a, 4</w:t>
      </w:r>
      <w:r w:rsidR="00B86C53">
        <w:rPr>
          <w:rFonts w:ascii="Helvetica Neue" w:hAnsi="Helvetica Neue" w:cs="Arial"/>
          <w:color w:val="000000"/>
        </w:rPr>
        <w:t xml:space="preserve">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B0663E">
        <w:rPr>
          <w:rFonts w:ascii="Helvetica Neue" w:hAnsi="Helvetica Neue" w:cs="Arial"/>
          <w:color w:val="000000"/>
        </w:rPr>
        <w:t xml:space="preserve"> (</w:t>
      </w:r>
      <w:r w:rsidR="00D95E79">
        <w:rPr>
          <w:rFonts w:ascii="Helvetica Neue" w:hAnsi="Helvetica Neue" w:cs="Arial"/>
          <w:color w:val="000000"/>
        </w:rPr>
        <w:t>Figure</w:t>
      </w:r>
      <w:r w:rsidR="00B0663E">
        <w:rPr>
          <w:rFonts w:ascii="Helvetica Neue" w:hAnsi="Helvetica Neue" w:cs="Arial"/>
          <w:color w:val="000000"/>
        </w:rPr>
        <w:t xml:space="preserve"> 4c, 4</w:t>
      </w:r>
      <w:r w:rsidR="00FD18CC">
        <w:rPr>
          <w:rFonts w:ascii="Helvetica Neue" w:hAnsi="Helvetica Neue" w:cs="Arial"/>
          <w:color w:val="000000"/>
        </w:rPr>
        <w:t>d).</w:t>
      </w:r>
    </w:p>
    <w:p w14:paraId="3D4FC076" w14:textId="7A354E25"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B0663E">
        <w:rPr>
          <w:rFonts w:ascii="Helvetica Neue" w:hAnsi="Helvetica Neue" w:cs="Arial"/>
          <w:color w:val="000000"/>
        </w:rPr>
        <w:t>ividuals per generation (</w:t>
      </w:r>
      <w:r w:rsidR="00D95E79">
        <w:rPr>
          <w:rFonts w:ascii="Helvetica Neue" w:hAnsi="Helvetica Neue" w:cs="Arial"/>
          <w:color w:val="000000"/>
        </w:rPr>
        <w:t>Figure</w:t>
      </w:r>
      <w:r w:rsidR="00B0663E">
        <w:rPr>
          <w:rFonts w:ascii="Helvetica Neue" w:hAnsi="Helvetica Neue" w:cs="Arial"/>
          <w:color w:val="000000"/>
        </w:rPr>
        <w:t xml:space="preserve"> 4</w:t>
      </w:r>
      <w:r w:rsidR="00FD18CC">
        <w:rPr>
          <w:rFonts w:ascii="Helvetica Neue" w:hAnsi="Helvetica Neue" w:cs="Arial"/>
          <w:color w:val="000000"/>
        </w:rPr>
        <w:t>e</w:t>
      </w:r>
      <w:r w:rsidR="00B0663E">
        <w:rPr>
          <w:rFonts w:ascii="Helvetica Neue" w:hAnsi="Helvetica Neue" w:cs="Arial"/>
          <w:color w:val="000000"/>
        </w:rPr>
        <w:t>, 4</w:t>
      </w:r>
      <w:r>
        <w:rPr>
          <w:rFonts w:ascii="Helvetica Neue" w:hAnsi="Helvetica Neue" w:cs="Arial"/>
          <w:color w:val="000000"/>
        </w:rPr>
        <w:t>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2B866409"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w:t>
      </w:r>
      <w:r w:rsidR="00034711">
        <w:rPr>
          <w:rFonts w:ascii="Helvetica Neue" w:hAnsi="Helvetica Neue" w:cs="Arial"/>
          <w:color w:val="000000"/>
        </w:rPr>
        <w:t>taxa including bats (Peel et al. 2013), birds (Kraus et al. 2013), and eels (</w:t>
      </w:r>
      <w:proofErr w:type="spellStart"/>
      <w:r w:rsidR="00034711">
        <w:rPr>
          <w:rFonts w:ascii="Helvetica Neue" w:hAnsi="Helvetica Neue" w:cs="Arial"/>
          <w:color w:val="000000"/>
        </w:rPr>
        <w:t>Als</w:t>
      </w:r>
      <w:proofErr w:type="spellEnd"/>
      <w:r w:rsidR="00034711">
        <w:rPr>
          <w:rFonts w:ascii="Helvetica Neue" w:hAnsi="Helvetica Neue" w:cs="Arial"/>
          <w:color w:val="000000"/>
        </w:rPr>
        <w:t xml:space="preserve"> et al. 2011)</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w:t>
      </w:r>
      <w:r>
        <w:rPr>
          <w:rFonts w:ascii="Helvetica Neue" w:hAnsi="Helvetica Neue" w:cs="Arial"/>
          <w:color w:val="000000"/>
        </w:rPr>
        <w:lastRenderedPageBreak/>
        <w:t xml:space="preserve">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w:t>
      </w:r>
      <w:proofErr w:type="gramStart"/>
      <w:r>
        <w:rPr>
          <w:rFonts w:ascii="Helvetica Neue" w:hAnsi="Helvetica Neue" w:cs="Arial"/>
          <w:color w:val="000000"/>
        </w:rPr>
        <w:t>Hawaiian 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 2018, Hemstrom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xml:space="preserve">) this model structure produces parameter </w:t>
      </w:r>
      <w:r w:rsidR="00063421">
        <w:rPr>
          <w:rFonts w:ascii="Helvetica Neue" w:hAnsi="Helvetica Neue" w:cs="Arial"/>
          <w:color w:val="000000"/>
        </w:rPr>
        <w:lastRenderedPageBreak/>
        <w:t>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26B5B937"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w:t>
      </w:r>
      <w:r w:rsidR="00D95E79">
        <w:rPr>
          <w:rFonts w:ascii="Helvetica Neue" w:hAnsi="Helvetica Neue" w:cs="Arial"/>
          <w:color w:val="000000"/>
        </w:rPr>
        <w:t xml:space="preserve">Figure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r w:rsidR="004C52F5" w:rsidRPr="004C52F5">
        <w:rPr>
          <w:rFonts w:ascii="Helvetica Neue" w:hAnsi="Helvetica Neue" w:cs="Arial"/>
          <w:color w:val="000000"/>
        </w:rPr>
        <w:t xml:space="preserve"> </w:t>
      </w:r>
      <w:commentRangeStart w:id="1"/>
      <w:r w:rsidR="004C52F5">
        <w:rPr>
          <w:rFonts w:ascii="Helvetica Neue" w:hAnsi="Helvetica Neue" w:cs="Arial"/>
          <w:color w:val="000000"/>
        </w:rPr>
        <w:t xml:space="preserve">Given this, </w:t>
      </w:r>
      <w:commentRangeStart w:id="2"/>
      <w:r w:rsidR="004C52F5">
        <w:rPr>
          <w:rFonts w:ascii="Helvetica Neue" w:hAnsi="Helvetica Neue" w:cs="Arial"/>
          <w:color w:val="000000"/>
        </w:rPr>
        <w:t>along with phenotypic evidence for contemporary differentiation between Pacific and North American populations (Freedman et al., in review),</w:t>
      </w:r>
      <w:commentRangeEnd w:id="2"/>
      <w:r w:rsidR="004C52F5">
        <w:rPr>
          <w:rStyle w:val="CommentReference"/>
        </w:rPr>
        <w:commentReference w:id="2"/>
      </w:r>
      <w:r w:rsidR="004C52F5">
        <w:rPr>
          <w:rFonts w:ascii="Helvetica Neue" w:hAnsi="Helvetica Neue" w:cs="Arial"/>
          <w:color w:val="000000"/>
        </w:rPr>
        <w:t xml:space="preserve"> </w:t>
      </w:r>
      <w:commentRangeEnd w:id="1"/>
      <w:r w:rsidR="00FD577D">
        <w:rPr>
          <w:rStyle w:val="CommentReference"/>
        </w:rPr>
        <w:commentReference w:id="1"/>
      </w:r>
      <w:r w:rsidR="004C52F5">
        <w:rPr>
          <w:rFonts w:ascii="Helvetica Neue" w:hAnsi="Helvetica Neue" w:cs="Arial"/>
          <w:color w:val="000000"/>
        </w:rPr>
        <w:t>we suggest accepting the historical records to 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8472C">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D95E79">
        <w:rPr>
          <w:rFonts w:ascii="Helvetica Neue" w:hAnsi="Helvetica Neue" w:cs="Arial"/>
          <w:color w:val="000000"/>
          <w:highlight w:val="yellow"/>
        </w:rPr>
        <w:t>F</w:t>
      </w:r>
      <w:r w:rsidR="000D6C26" w:rsidRPr="000D6C26">
        <w:rPr>
          <w:rFonts w:ascii="Helvetica Neue" w:hAnsi="Helvetica Neue" w:cs="Arial"/>
          <w:color w:val="000000"/>
          <w:highlight w:val="yellow"/>
        </w:rPr>
        <w:t>igure S</w:t>
      </w:r>
      <w:r w:rsidR="00D95E79">
        <w:rPr>
          <w:rFonts w:ascii="Helvetica Neue" w:hAnsi="Helvetica Neue" w:cs="Arial"/>
          <w:color w:val="000000"/>
          <w:highlight w:val="yellow"/>
        </w:rPr>
        <w:t>3</w:t>
      </w:r>
      <w:r w:rsidR="000D6C26" w:rsidRPr="000D6C26">
        <w:rPr>
          <w:rFonts w:ascii="Helvetica Neue" w:hAnsi="Helvetica Neue" w:cs="Arial"/>
          <w:color w:val="000000"/>
          <w:highlight w:val="yellow"/>
        </w:rPr>
        <w:t>)</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p>
    <w:p w14:paraId="44CCF79E" w14:textId="6B7ABB1B" w:rsidR="00E82EB8" w:rsidRDefault="00E77EF4" w:rsidP="00E82EB8">
      <w:pPr>
        <w:jc w:val="both"/>
        <w:rPr>
          <w:ins w:id="3" w:author="Micah Freedman" w:date="2019-11-07T12:08:00Z"/>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w:t>
      </w:r>
      <w:ins w:id="4" w:author="Micah Freedman" w:date="2019-11-07T12:04:00Z">
        <w:r w:rsidR="00E82EB8">
          <w:rPr>
            <w:rFonts w:ascii="Helvetica Neue" w:hAnsi="Helvetica Neue" w:cs="Arial"/>
            <w:color w:val="000000"/>
          </w:rPr>
          <w:t xml:space="preserve">The extremely wide range of parameter estimates for founding population size and timing </w:t>
        </w:r>
      </w:ins>
      <w:ins w:id="5" w:author="Micah Freedman" w:date="2019-11-07T12:01:00Z">
        <w:r w:rsidR="00E82EB8">
          <w:rPr>
            <w:rFonts w:ascii="Helvetica Neue" w:hAnsi="Helvetica Neue" w:cs="Arial"/>
            <w:color w:val="000000"/>
          </w:rPr>
          <w:t xml:space="preserve">may reflect that, in practice, it is difficult to distinguish between a very recent strong bottleneck </w:t>
        </w:r>
        <w:r w:rsidR="00E82EB8">
          <w:rPr>
            <w:rFonts w:ascii="Helvetica Neue" w:hAnsi="Helvetica Neue" w:cs="Arial"/>
            <w:color w:val="000000"/>
          </w:rPr>
          <w:lastRenderedPageBreak/>
          <w:t xml:space="preserve">versus a more distant but less severe bottleneck. </w:t>
        </w:r>
      </w:ins>
      <w:ins w:id="6" w:author="Micah Freedman" w:date="2019-11-07T12:07:00Z">
        <w:r w:rsidR="00E82EB8">
          <w:rPr>
            <w:rFonts w:ascii="Helvetica Neue" w:hAnsi="Helvetica Neue" w:cs="Arial"/>
            <w:color w:val="000000"/>
          </w:rPr>
          <w:t>We also note that a single</w:t>
        </w:r>
      </w:ins>
      <w:del w:id="7" w:author="Micah Freedman" w:date="2019-11-07T12:07:00Z">
        <w:r w:rsidDel="00E82EB8">
          <w:rPr>
            <w:rFonts w:ascii="Helvetica Neue" w:hAnsi="Helvetica Neue" w:cs="Arial"/>
            <w:color w:val="000000"/>
          </w:rPr>
          <w:delText>A</w:delText>
        </w:r>
        <w:r w:rsidR="00FB61F8" w:rsidDel="00E82EB8">
          <w:rPr>
            <w:rFonts w:ascii="Helvetica Neue" w:hAnsi="Helvetica Neue" w:cs="Arial"/>
            <w:color w:val="000000"/>
          </w:rPr>
          <w:delText xml:space="preserve"> single</w:delText>
        </w:r>
      </w:del>
      <w:r w:rsidR="00FB61F8">
        <w:rPr>
          <w:rFonts w:ascii="Helvetica Neue" w:hAnsi="Helvetica Neue" w:cs="Arial"/>
          <w:color w:val="000000"/>
        </w:rPr>
        <w:t xml:space="preserv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ins w:id="8" w:author="Micah Freedman" w:date="2019-11-07T12:08:00Z">
        <w:r w:rsidR="00E82EB8">
          <w:rPr>
            <w:rFonts w:ascii="Helvetica Neue" w:hAnsi="Helvetica Neue" w:cs="Arial"/>
            <w:color w:val="000000"/>
          </w:rPr>
          <w:t>potentially mitigating some of the strong post-establishment genetic drift that normally accompanies population bottlenecks.</w:t>
        </w:r>
      </w:ins>
    </w:p>
    <w:p w14:paraId="05547CD3" w14:textId="77777777" w:rsidR="00E82EB8" w:rsidRDefault="00E82EB8" w:rsidP="00E82EB8">
      <w:pPr>
        <w:jc w:val="both"/>
        <w:rPr>
          <w:ins w:id="9" w:author="Micah Freedman" w:date="2019-11-07T12:08:00Z"/>
          <w:rFonts w:ascii="Helvetica Neue" w:hAnsi="Helvetica Neue" w:cs="Arial"/>
          <w:color w:val="000000"/>
        </w:rPr>
      </w:pPr>
    </w:p>
    <w:p w14:paraId="30B44DD2" w14:textId="06444D41" w:rsidR="000D6C26" w:rsidRDefault="00E77EF4" w:rsidP="00E82EB8">
      <w:pPr>
        <w:jc w:val="both"/>
        <w:rPr>
          <w:rFonts w:ascii="Helvetica Neue" w:hAnsi="Helvetica Neue" w:cs="Arial"/>
          <w:color w:val="000000"/>
        </w:rPr>
      </w:pPr>
      <w:commentRangeStart w:id="10"/>
      <w:r>
        <w:rPr>
          <w:rFonts w:ascii="Helvetica Neue" w:hAnsi="Helvetica Neue" w:cs="Arial"/>
          <w:color w:val="000000"/>
        </w:rPr>
        <w:t>potentially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10"/>
      <w:r w:rsidR="00547769">
        <w:rPr>
          <w:rStyle w:val="CommentReference"/>
        </w:rPr>
        <w:commentReference w:id="10"/>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30EDF75B"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w:t>
      </w:r>
      <w:ins w:id="11" w:author="Micah Freedman" w:date="2019-11-07T12:05:00Z">
        <w:r w:rsidR="00E82EB8">
          <w:rPr>
            <w:rFonts w:ascii="Helvetica Neue" w:hAnsi="Helvetica Neue" w:cs="Arial"/>
            <w:color w:val="000000"/>
          </w:rPr>
          <w:t xml:space="preserve">regular </w:t>
        </w:r>
      </w:ins>
      <w:r w:rsidR="00F3704A">
        <w:rPr>
          <w:rFonts w:ascii="Helvetica Neue" w:hAnsi="Helvetica Neue" w:cs="Arial"/>
          <w:color w:val="000000"/>
        </w:rPr>
        <w:t xml:space="preserve">North America </w:t>
      </w:r>
      <w:r w:rsidR="008F42B9">
        <w:rPr>
          <w:rFonts w:ascii="Helvetica Neue" w:hAnsi="Helvetica Neue" w:cs="Arial"/>
          <w:color w:val="000000"/>
        </w:rPr>
        <w:t>-</w:t>
      </w:r>
      <w:r w:rsidR="00F3704A">
        <w:rPr>
          <w:rFonts w:ascii="Helvetica Neue" w:hAnsi="Helvetica Neue" w:cs="Arial"/>
          <w:color w:val="000000"/>
        </w:rPr>
        <w:t xml:space="preserve">&gt; Hawaii </w:t>
      </w:r>
      <w:del w:id="12" w:author="Micah Freedman" w:date="2019-11-07T12:05:00Z">
        <w:r w:rsidR="00F3704A" w:rsidDel="00E82EB8">
          <w:rPr>
            <w:rFonts w:ascii="Helvetica Neue" w:hAnsi="Helvetica Neue" w:cs="Arial"/>
            <w:color w:val="000000"/>
          </w:rPr>
          <w:delText>movement</w:delText>
        </w:r>
      </w:del>
      <w:ins w:id="13" w:author="Micah Freedman" w:date="2019-11-07T12:05:00Z">
        <w:r w:rsidR="00E82EB8">
          <w:rPr>
            <w:rFonts w:ascii="Helvetica Neue" w:hAnsi="Helvetica Neue" w:cs="Arial"/>
            <w:color w:val="000000"/>
          </w:rPr>
          <w:t>establishment</w:t>
        </w:r>
      </w:ins>
      <w:r w:rsidR="00F3704A">
        <w:rPr>
          <w:rFonts w:ascii="Helvetica Neue" w:hAnsi="Helvetica Neue" w:cs="Arial"/>
          <w:color w:val="000000"/>
        </w:rPr>
        <w: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065A864F" w14:textId="71F659D0" w:rsidR="00034711" w:rsidRPr="00034711" w:rsidRDefault="00034711" w:rsidP="004A5E76">
      <w:pPr>
        <w:pStyle w:val="ListParagraph"/>
        <w:numPr>
          <w:ilvl w:val="0"/>
          <w:numId w:val="2"/>
        </w:numPr>
        <w:rPr>
          <w:rFonts w:ascii="Helvetica" w:eastAsia="Times New Roman" w:hAnsi="Helvetica" w:cs="Times New Roman"/>
        </w:rPr>
      </w:pPr>
      <w:proofErr w:type="spellStart"/>
      <w:r>
        <w:rPr>
          <w:rFonts w:ascii="Helvetica" w:eastAsia="Times New Roman" w:hAnsi="Helvetica" w:cs="Times New Roman"/>
        </w:rPr>
        <w:t>Ackery</w:t>
      </w:r>
      <w:proofErr w:type="spellEnd"/>
      <w:r>
        <w:rPr>
          <w:rFonts w:ascii="Helvetica" w:eastAsia="Times New Roman" w:hAnsi="Helvetica" w:cs="Times New Roman"/>
        </w:rPr>
        <w:t>, P.R. &amp;</w:t>
      </w:r>
      <w:r w:rsidRPr="00034711">
        <w:rPr>
          <w:rFonts w:ascii="Helvetica" w:eastAsia="Times New Roman" w:hAnsi="Helvetica" w:cs="Times New Roman"/>
        </w:rPr>
        <w:t xml:space="preserve"> Vane-Wright, R.I. (1984). </w:t>
      </w:r>
      <w:r>
        <w:rPr>
          <w:rFonts w:ascii="Helvetica" w:eastAsia="Times New Roman" w:hAnsi="Helvetica" w:cs="Times New Roman"/>
          <w:i/>
          <w:iCs/>
        </w:rPr>
        <w:t>Milkweed Butterflies: Their Cladistics and Biology</w:t>
      </w:r>
      <w:r>
        <w:rPr>
          <w:rFonts w:ascii="Helvetica" w:eastAsia="Times New Roman" w:hAnsi="Helvetica" w:cs="Times New Roman"/>
          <w:iCs/>
        </w:rPr>
        <w:t>.</w:t>
      </w:r>
      <w:r w:rsidRPr="00034711">
        <w:rPr>
          <w:rFonts w:ascii="Helvetica" w:eastAsia="Times New Roman" w:hAnsi="Helvetica" w:cs="Times New Roman"/>
        </w:rPr>
        <w:t xml:space="preserve"> </w:t>
      </w:r>
      <w:r>
        <w:rPr>
          <w:rFonts w:ascii="Helvetica" w:eastAsia="Times New Roman" w:hAnsi="Helvetica" w:cs="Times New Roman"/>
        </w:rPr>
        <w:t>Cornell University Press, Ithaca, NY, USA.</w:t>
      </w:r>
    </w:p>
    <w:p w14:paraId="6EF68090" w14:textId="538E4D8F" w:rsidR="0092399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5DB87EA4" w14:textId="48C64926"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Als</w:t>
      </w:r>
      <w:proofErr w:type="spellEnd"/>
      <w:r w:rsidRPr="00034711">
        <w:rPr>
          <w:rFonts w:ascii="Helvetica" w:eastAsia="Times New Roman" w:hAnsi="Helvetica" w:cs="Times New Roman"/>
        </w:rPr>
        <w:t xml:space="preserve">, T.D., Hansen, M.M., </w:t>
      </w:r>
      <w:proofErr w:type="spellStart"/>
      <w:r w:rsidRPr="00034711">
        <w:rPr>
          <w:rFonts w:ascii="Helvetica" w:eastAsia="Times New Roman" w:hAnsi="Helvetica" w:cs="Times New Roman"/>
        </w:rPr>
        <w:t>Maes</w:t>
      </w:r>
      <w:proofErr w:type="spellEnd"/>
      <w:r w:rsidRPr="00034711">
        <w:rPr>
          <w:rFonts w:ascii="Helvetica" w:eastAsia="Times New Roman" w:hAnsi="Helvetica" w:cs="Times New Roman"/>
        </w:rPr>
        <w:t xml:space="preserve">, G.E., Castonguay, M., Riemann, L., </w:t>
      </w:r>
      <w:proofErr w:type="spellStart"/>
      <w:r w:rsidRPr="00034711">
        <w:rPr>
          <w:rFonts w:ascii="Helvetica" w:eastAsia="Times New Roman" w:hAnsi="Helvetica" w:cs="Times New Roman"/>
        </w:rPr>
        <w:t>Aarestrup</w:t>
      </w:r>
      <w:proofErr w:type="spellEnd"/>
      <w:r w:rsidRPr="00034711">
        <w:rPr>
          <w:rFonts w:ascii="Helvetica" w:eastAsia="Times New Roman" w:hAnsi="Helvetica" w:cs="Times New Roman"/>
        </w:rPr>
        <w:t xml:space="preserve">, K., </w:t>
      </w:r>
      <w:r w:rsidRPr="00034711">
        <w:rPr>
          <w:rFonts w:ascii="Helvetica" w:eastAsia="Times New Roman" w:hAnsi="Helvetica" w:cs="Times New Roman"/>
          <w:i/>
          <w:iCs/>
        </w:rPr>
        <w:t>et al.</w:t>
      </w:r>
      <w:r w:rsidRPr="00034711">
        <w:rPr>
          <w:rFonts w:ascii="Helvetica" w:eastAsia="Times New Roman" w:hAnsi="Helvetica" w:cs="Times New Roman"/>
        </w:rPr>
        <w:t xml:space="preserve"> (2011). All roads lead to home: panmixia of European eel in the Sargasso Sea. </w:t>
      </w:r>
      <w:r w:rsidRPr="00034711">
        <w:rPr>
          <w:rFonts w:ascii="Helvetica" w:eastAsia="Times New Roman" w:hAnsi="Helvetica" w:cs="Times New Roman"/>
          <w:i/>
          <w:iCs/>
        </w:rPr>
        <w:t>Mol. Ecol.</w:t>
      </w:r>
      <w:r w:rsidRPr="00034711">
        <w:rPr>
          <w:rFonts w:ascii="Helvetica" w:eastAsia="Times New Roman" w:hAnsi="Helvetica" w:cs="Times New Roman"/>
        </w:rPr>
        <w:t>, 20, 1333–1346.</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Cornejo,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r w:rsidRPr="00D704D0">
        <w:rPr>
          <w:rFonts w:ascii="Helvetica" w:eastAsia="Times New Roman" w:hAnsi="Helvetica" w:cs="Times New Roman"/>
          <w:i/>
        </w:rPr>
        <w:t xml:space="preserve">Senecio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r w:rsidRPr="007D59EC">
        <w:rPr>
          <w:rFonts w:ascii="Helvetica" w:eastAsia="Times New Roman" w:hAnsi="Helvetica" w:cs="Times New Roman"/>
        </w:rPr>
        <w:t>Dawe, K.L. &amp; Boutin, S. (2016). Climate change is the primary driver of white-tailed deer (</w:t>
      </w:r>
      <w:r w:rsidRPr="007D59EC">
        <w:rPr>
          <w:rFonts w:ascii="Helvetica" w:eastAsia="Times New Roman" w:hAnsi="Helvetica" w:cs="Times New Roman"/>
          <w:i/>
        </w:rPr>
        <w:t>Odocoileus virginianus</w:t>
      </w:r>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r w:rsidRPr="007D59EC">
        <w:rPr>
          <w:rFonts w:ascii="Helvetica" w:eastAsia="Times New Roman" w:hAnsi="Helvetica" w:cs="Times New Roman"/>
        </w:rPr>
        <w:t>,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r w:rsidRPr="00D704D0">
        <w:rPr>
          <w:rFonts w:ascii="Helvetica" w:eastAsia="Times New Roman" w:hAnsi="Helvetica" w:cs="Times New Roman"/>
        </w:rPr>
        <w:t>pophelper</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an</w:t>
      </w:r>
      <w:proofErr w:type="gramEnd"/>
      <w:r w:rsidRPr="00D704D0">
        <w:rPr>
          <w:rFonts w:ascii="Helvetica" w:eastAsia="Times New Roman" w:hAnsi="Helvetica" w:cs="Times New Roman"/>
        </w:rPr>
        <w:t xml:space="preserve">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r w:rsidRPr="00D704D0">
        <w:rPr>
          <w:rFonts w:ascii="Helvetica" w:eastAsia="Times New Roman" w:hAnsi="Helvetica" w:cs="Times New Roman"/>
          <w:i/>
          <w:iCs/>
        </w:rPr>
        <w:t>.</w:t>
      </w:r>
      <w:r w:rsidRPr="00D704D0">
        <w:rPr>
          <w:rFonts w:ascii="Helvetica" w:eastAsia="Times New Roman" w:hAnsi="Helvetica" w:cs="Times New Roman"/>
        </w:rPr>
        <w:t>,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r w:rsidRPr="00D704D0">
        <w:rPr>
          <w:rFonts w:ascii="Helvetica" w:eastAsia="Times New Roman" w:hAnsi="Helvetica" w:cs="Times New Roman"/>
        </w:rPr>
        <w:t>,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r w:rsidRPr="00D704D0">
        <w:rPr>
          <w:rFonts w:ascii="Helvetica" w:eastAsia="Times New Roman" w:hAnsi="Helvetica" w:cs="Times New Roman"/>
        </w:rPr>
        <w:t>, 5, e1000695.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Anthropocene.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1D8CF3A3" w14:textId="76CC8D29"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Henn, B.M., Cavalli-Sforza, L.L. &amp; Feldman, M.W. (2012). The great human expansion. </w:t>
      </w:r>
      <w:r w:rsidRPr="00034711">
        <w:rPr>
          <w:rFonts w:ascii="Helvetica" w:eastAsia="Times New Roman" w:hAnsi="Helvetica" w:cs="Times New Roman"/>
          <w:i/>
          <w:iCs/>
        </w:rPr>
        <w:t>Proc. Natl. Acad. Sci. U. S. A.</w:t>
      </w:r>
      <w:r w:rsidRPr="00034711">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in Malcolm, S.B. &amp; Zalucki, M.P. (eds).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79F1069A" w14:textId="54E1FBC5"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Kraus, R.H.S., van </w:t>
      </w:r>
      <w:proofErr w:type="spellStart"/>
      <w:r w:rsidRPr="00034711">
        <w:rPr>
          <w:rFonts w:ascii="Helvetica" w:eastAsia="Times New Roman" w:hAnsi="Helvetica" w:cs="Times New Roman"/>
        </w:rPr>
        <w:t>Hooft</w:t>
      </w:r>
      <w:proofErr w:type="spellEnd"/>
      <w:r w:rsidRPr="00034711">
        <w:rPr>
          <w:rFonts w:ascii="Helvetica" w:eastAsia="Times New Roman" w:hAnsi="Helvetica" w:cs="Times New Roman"/>
        </w:rPr>
        <w:t xml:space="preserve">, P., </w:t>
      </w:r>
      <w:proofErr w:type="spellStart"/>
      <w:r w:rsidRPr="00034711">
        <w:rPr>
          <w:rFonts w:ascii="Helvetica" w:eastAsia="Times New Roman" w:hAnsi="Helvetica" w:cs="Times New Roman"/>
        </w:rPr>
        <w:t>Megens</w:t>
      </w:r>
      <w:proofErr w:type="spellEnd"/>
      <w:r w:rsidRPr="00034711">
        <w:rPr>
          <w:rFonts w:ascii="Helvetica" w:eastAsia="Times New Roman" w:hAnsi="Helvetica" w:cs="Times New Roman"/>
        </w:rPr>
        <w:t xml:space="preserve">, H.-J., </w:t>
      </w:r>
      <w:proofErr w:type="spellStart"/>
      <w:r w:rsidRPr="00034711">
        <w:rPr>
          <w:rFonts w:ascii="Helvetica" w:eastAsia="Times New Roman" w:hAnsi="Helvetica" w:cs="Times New Roman"/>
        </w:rPr>
        <w:t>Tsvey</w:t>
      </w:r>
      <w:proofErr w:type="spellEnd"/>
      <w:r w:rsidRPr="00034711">
        <w:rPr>
          <w:rFonts w:ascii="Helvetica" w:eastAsia="Times New Roman" w:hAnsi="Helvetica" w:cs="Times New Roman"/>
        </w:rPr>
        <w:t xml:space="preserve">, A., </w:t>
      </w:r>
      <w:proofErr w:type="spellStart"/>
      <w:r w:rsidRPr="00034711">
        <w:rPr>
          <w:rFonts w:ascii="Helvetica" w:eastAsia="Times New Roman" w:hAnsi="Helvetica" w:cs="Times New Roman"/>
        </w:rPr>
        <w:t>Fokin</w:t>
      </w:r>
      <w:proofErr w:type="spellEnd"/>
      <w:r w:rsidRPr="00034711">
        <w:rPr>
          <w:rFonts w:ascii="Helvetica" w:eastAsia="Times New Roman" w:hAnsi="Helvetica" w:cs="Times New Roman"/>
        </w:rPr>
        <w:t xml:space="preserve">, S.Y., </w:t>
      </w:r>
      <w:proofErr w:type="spellStart"/>
      <w:r w:rsidRPr="00034711">
        <w:rPr>
          <w:rFonts w:ascii="Helvetica" w:eastAsia="Times New Roman" w:hAnsi="Helvetica" w:cs="Times New Roman"/>
        </w:rPr>
        <w:t>Ydenberg</w:t>
      </w:r>
      <w:proofErr w:type="spellEnd"/>
      <w:r w:rsidRPr="00034711">
        <w:rPr>
          <w:rFonts w:ascii="Helvetica" w:eastAsia="Times New Roman" w:hAnsi="Helvetica" w:cs="Times New Roman"/>
        </w:rPr>
        <w:t xml:space="preserve">, R.C.,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Global lack of flyway structure in a cosmopolitan bird revealed by a genome wide survey of single nucleotide polymorphisms. </w:t>
      </w:r>
      <w:r w:rsidRPr="00034711">
        <w:rPr>
          <w:rFonts w:ascii="Helvetica" w:eastAsia="Times New Roman" w:hAnsi="Helvetica" w:cs="Times New Roman"/>
          <w:i/>
          <w:iCs/>
        </w:rPr>
        <w:t>Mol. Ecol.</w:t>
      </w:r>
      <w:r w:rsidRPr="00034711">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xml:space="preserve">, S.R. &amp; Tan, A.-M.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granulosa</w:t>
      </w:r>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Voorhies, K.J.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Paradis,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ape 5.0: an environment for modern phylogenetics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2241921D" w14:textId="2CE7B3C7"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Peel, A.J., </w:t>
      </w:r>
      <w:proofErr w:type="spellStart"/>
      <w:r w:rsidRPr="00034711">
        <w:rPr>
          <w:rFonts w:ascii="Helvetica" w:eastAsia="Times New Roman" w:hAnsi="Helvetica" w:cs="Times New Roman"/>
        </w:rPr>
        <w:t>Sargan</w:t>
      </w:r>
      <w:proofErr w:type="spellEnd"/>
      <w:r w:rsidRPr="00034711">
        <w:rPr>
          <w:rFonts w:ascii="Helvetica" w:eastAsia="Times New Roman" w:hAnsi="Helvetica" w:cs="Times New Roman"/>
        </w:rPr>
        <w:t xml:space="preserve">, D.R., Baker, K.S., Hayman, D.T.S., Barr, J.A., </w:t>
      </w:r>
      <w:proofErr w:type="spellStart"/>
      <w:r w:rsidRPr="00034711">
        <w:rPr>
          <w:rFonts w:ascii="Helvetica" w:eastAsia="Times New Roman" w:hAnsi="Helvetica" w:cs="Times New Roman"/>
        </w:rPr>
        <w:t>Crameri</w:t>
      </w:r>
      <w:proofErr w:type="spellEnd"/>
      <w:r w:rsidRPr="00034711">
        <w:rPr>
          <w:rFonts w:ascii="Helvetica" w:eastAsia="Times New Roman" w:hAnsi="Helvetica" w:cs="Times New Roman"/>
        </w:rPr>
        <w:t xml:space="preserve">, G.,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Continent-wide panmixia of an African fruit bat facilitates transmission of potentially zoonotic viruses. </w:t>
      </w:r>
      <w:r w:rsidRPr="00034711">
        <w:rPr>
          <w:rFonts w:ascii="Helvetica" w:eastAsia="Times New Roman" w:hAnsi="Helvetica" w:cs="Times New Roman"/>
          <w:i/>
          <w:iCs/>
        </w:rPr>
        <w:t xml:space="preserve">Nat. </w:t>
      </w:r>
      <w:proofErr w:type="spellStart"/>
      <w:r w:rsidRPr="00034711">
        <w:rPr>
          <w:rFonts w:ascii="Helvetica" w:eastAsia="Times New Roman" w:hAnsi="Helvetica" w:cs="Times New Roman"/>
          <w:i/>
          <w:iCs/>
        </w:rPr>
        <w:t>Commun</w:t>
      </w:r>
      <w:proofErr w:type="spellEnd"/>
      <w:r w:rsidRPr="00034711">
        <w:rPr>
          <w:rFonts w:ascii="Helvetica" w:eastAsia="Times New Roman" w:hAnsi="Helvetica" w:cs="Times New Roman"/>
          <w:i/>
          <w:iCs/>
        </w:rPr>
        <w:t>.</w:t>
      </w:r>
      <w:r w:rsidRPr="00034711">
        <w:rPr>
          <w:rFonts w:ascii="Helvetica" w:eastAsia="Times New Roman" w:hAnsi="Helvetica" w:cs="Times New Roman"/>
        </w:rPr>
        <w:t>,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E., Nazario-</w:t>
      </w:r>
      <w:proofErr w:type="spellStart"/>
      <w:r w:rsidRPr="00D704D0">
        <w:rPr>
          <w:rFonts w:ascii="Helvetica" w:eastAsia="Times New Roman" w:hAnsi="Helvetica" w:cs="Times New Roman"/>
        </w:rPr>
        <w:t>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r w:rsidRPr="00D704D0">
        <w:rPr>
          <w:rFonts w:ascii="Helvetica" w:eastAsia="Times New Roman" w:hAnsi="Helvetica" w:cs="Times New Roman"/>
          <w:i/>
          <w:iCs/>
        </w:rPr>
        <w:t>.</w:t>
      </w:r>
      <w:r w:rsidRPr="00D704D0">
        <w:rPr>
          <w:rFonts w:ascii="Helvetica" w:eastAsia="Times New Roman" w:hAnsi="Helvetica" w:cs="Times New Roman"/>
        </w:rPr>
        <w:t>,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Pierce, A.A., de </w:t>
      </w:r>
      <w:proofErr w:type="spellStart"/>
      <w:r w:rsidRPr="00D704D0">
        <w:rPr>
          <w:rFonts w:ascii="Helvetica" w:eastAsia="Times New Roman" w:hAnsi="Helvetica" w:cs="Times New Roman"/>
        </w:rPr>
        <w:t>Roode</w:t>
      </w:r>
      <w:proofErr w:type="spellEnd"/>
      <w:r w:rsidRPr="00D704D0">
        <w:rPr>
          <w:rFonts w:ascii="Helvetica" w:eastAsia="Times New Roman" w:hAnsi="Helvetica" w:cs="Times New Roman"/>
        </w:rPr>
        <w:t xml:space="preserv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Bangura,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in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(eds).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Cornell University Press, Ithaca, NY, pp.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Hirschfeld,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r w:rsidRPr="00D704D0">
        <w:rPr>
          <w:rFonts w:ascii="Helvetica" w:eastAsia="Times New Roman" w:hAnsi="Helvetica" w:cs="Times New Roman"/>
        </w:rPr>
        <w:t>,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Shephard,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Scheer,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in Zalucki, M.P. &amp; S.B. Malcolm, (eds).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Cockerham,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1755A5FD" w14:textId="05DC4F6C" w:rsidR="004A5E76" w:rsidRPr="002647E1"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20347AA2" w14:textId="77777777" w:rsidR="00B0663E" w:rsidRDefault="00B0663E">
      <w:pPr>
        <w:rPr>
          <w:rFonts w:ascii="Helvetica Neue" w:hAnsi="Helvetica Neue" w:cs="Arial"/>
          <w:color w:val="000000"/>
        </w:rPr>
      </w:pPr>
      <w:r>
        <w:rPr>
          <w:rFonts w:ascii="Helvetica Neue" w:hAnsi="Helvetica Neue" w:cs="Arial"/>
          <w:color w:val="000000"/>
        </w:rPr>
        <w:br w:type="page"/>
      </w:r>
    </w:p>
    <w:p w14:paraId="511AF01C" w14:textId="192DFDCA" w:rsidR="002647E1" w:rsidRDefault="00B0663E">
      <w:pPr>
        <w:rPr>
          <w:rFonts w:ascii="Helvetica Neue" w:hAnsi="Helvetica Neue" w:cs="Arial"/>
          <w:color w:val="000000"/>
        </w:rPr>
      </w:pPr>
      <w:r>
        <w:rPr>
          <w:rFonts w:ascii="Helvetica Neue" w:hAnsi="Helvetica Neue" w:cs="Arial"/>
          <w:noProof/>
          <w:color w:val="000000"/>
        </w:rPr>
        <w:lastRenderedPageBreak/>
        <mc:AlternateContent>
          <mc:Choice Requires="wps">
            <w:drawing>
              <wp:anchor distT="0" distB="0" distL="114300" distR="114300" simplePos="0" relativeHeight="251659264" behindDoc="0" locked="0" layoutInCell="1" allowOverlap="1" wp14:anchorId="0B79A201" wp14:editId="68BC8F10">
                <wp:simplePos x="0" y="0"/>
                <wp:positionH relativeFrom="column">
                  <wp:posOffset>-685800</wp:posOffset>
                </wp:positionH>
                <wp:positionV relativeFrom="paragraph">
                  <wp:posOffset>2057400</wp:posOffset>
                </wp:positionV>
                <wp:extent cx="65151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5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F7BBB2" w14:textId="016547E8" w:rsidR="00825B90" w:rsidRPr="00B0663E" w:rsidRDefault="00825B90">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79A201" id="_x0000_t202" coordsize="21600,21600" o:spt="202" path="m,l,21600r21600,l21600,xe">
                <v:stroke joinstyle="miter"/>
                <v:path gradientshapeok="t" o:connecttype="rect"/>
              </v:shapetype>
              <v:shape id="Text Box 8" o:spid="_x0000_s1026" type="#_x0000_t202" style="position:absolute;margin-left:-54pt;margin-top:162pt;width:513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" filled="f" stroked="f">
                <v:textbox>
                  <w:txbxContent>
                    <w:p w14:paraId="5EF7BBB2" w14:textId="016547E8" w:rsidR="00825B90" w:rsidRPr="00B0663E" w:rsidRDefault="00825B90">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v:textbox>
                <w10:wrap type="square"/>
              </v:shape>
            </w:pict>
          </mc:Fallback>
        </mc:AlternateContent>
      </w:r>
      <w:r>
        <w:rPr>
          <w:rFonts w:ascii="Helvetica Neue" w:hAnsi="Helvetica Neue" w:cs="Arial"/>
          <w:noProof/>
          <w:color w:val="000000"/>
        </w:rPr>
        <w:drawing>
          <wp:anchor distT="0" distB="0" distL="114300" distR="114300" simplePos="0" relativeHeight="251653120" behindDoc="0" locked="0" layoutInCell="1" allowOverlap="1" wp14:anchorId="1777DE73" wp14:editId="24C94516">
            <wp:simplePos x="0" y="0"/>
            <wp:positionH relativeFrom="column">
              <wp:posOffset>-688340</wp:posOffset>
            </wp:positionH>
            <wp:positionV relativeFrom="paragraph">
              <wp:posOffset>-571500</wp:posOffset>
            </wp:positionV>
            <wp:extent cx="6631940" cy="2628900"/>
            <wp:effectExtent l="0" t="0" r="0" b="1270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9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E76">
        <w:rPr>
          <w:rFonts w:ascii="Helvetica Neue" w:hAnsi="Helvetica Neue" w:cs="Arial"/>
          <w:color w:val="000000"/>
        </w:rPr>
        <w:br w:type="page"/>
      </w:r>
      <w:r w:rsidR="00931CC7">
        <w:rPr>
          <w:noProof/>
        </w:rPr>
        <w:lastRenderedPageBreak/>
        <w:drawing>
          <wp:anchor distT="0" distB="0" distL="114300" distR="114300" simplePos="0" relativeHeight="251661312" behindDoc="0" locked="0" layoutInCell="1" allowOverlap="1" wp14:anchorId="146DEA2E" wp14:editId="586C2286">
            <wp:simplePos x="0" y="0"/>
            <wp:positionH relativeFrom="column">
              <wp:posOffset>-899160</wp:posOffset>
            </wp:positionH>
            <wp:positionV relativeFrom="paragraph">
              <wp:posOffset>-697865</wp:posOffset>
            </wp:positionV>
            <wp:extent cx="7735570" cy="50812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35570" cy="5081270"/>
                    </a:xfrm>
                    <a:prstGeom prst="rect">
                      <a:avLst/>
                    </a:prstGeom>
                  </pic:spPr>
                </pic:pic>
              </a:graphicData>
            </a:graphic>
            <wp14:sizeRelH relativeFrom="page">
              <wp14:pctWidth>0</wp14:pctWidth>
            </wp14:sizeRelH>
            <wp14:sizeRelV relativeFrom="page">
              <wp14:pctHeight>0</wp14:pctHeight>
            </wp14:sizeRelV>
          </wp:anchor>
        </w:drawing>
      </w:r>
      <w:r w:rsidR="000F23E4">
        <w:rPr>
          <w:rFonts w:ascii="Helvetica Neue" w:hAnsi="Helvetica Neue" w:cs="Arial"/>
          <w:noProof/>
          <w:color w:val="000000"/>
        </w:rPr>
        <mc:AlternateContent>
          <mc:Choice Requires="wps">
            <w:drawing>
              <wp:anchor distT="0" distB="0" distL="114300" distR="114300" simplePos="0" relativeHeight="251648000" behindDoc="0" locked="0" layoutInCell="1" allowOverlap="1" wp14:anchorId="0A7907C6" wp14:editId="47755E19">
                <wp:simplePos x="0" y="0"/>
                <wp:positionH relativeFrom="column">
                  <wp:posOffset>-685800</wp:posOffset>
                </wp:positionH>
                <wp:positionV relativeFrom="paragraph">
                  <wp:posOffset>4343400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4FE530" w14:textId="0C54A9D6" w:rsidR="00825B90" w:rsidRDefault="00825B90">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907C6" id="Text Box 5" o:spid="_x0000_s1027" type="#_x0000_t202" style="position:absolute;margin-left:-54pt;margin-top:342pt;width:513pt;height:117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" filled="f" stroked="f">
                <v:textbox>
                  <w:txbxContent>
                    <w:p w14:paraId="1A4FE530" w14:textId="0C54A9D6" w:rsidR="00825B90" w:rsidRDefault="00825B90">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v:textbox>
                <w10:wrap type="square"/>
              </v:shape>
            </w:pict>
          </mc:Fallback>
        </mc:AlternateContent>
      </w:r>
      <w:commentRangeStart w:id="14"/>
      <w:commentRangeEnd w:id="14"/>
      <w:r w:rsidR="001E6764">
        <w:rPr>
          <w:rStyle w:val="CommentReference"/>
        </w:rPr>
        <w:commentReference w:id="14"/>
      </w:r>
      <w:r w:rsidR="002647E1">
        <w:rPr>
          <w:rFonts w:ascii="Helvetica Neue" w:hAnsi="Helvetica Neue" w:cs="Arial"/>
          <w:color w:val="000000"/>
        </w:rPr>
        <w:br w:type="page"/>
      </w:r>
    </w:p>
    <w:p w14:paraId="5307EBA8" w14:textId="5FE19F51" w:rsidR="004A5E76" w:rsidRDefault="0008472C" w:rsidP="004A5E76">
      <w:pPr>
        <w:rPr>
          <w:rFonts w:ascii="Helvetica Neue" w:hAnsi="Helvetica Neue" w:cs="Arial"/>
          <w:color w:val="000000"/>
        </w:rPr>
      </w:pPr>
      <w:r>
        <w:rPr>
          <w:rFonts w:ascii="Helvetica Neue" w:hAnsi="Helvetica Neue" w:cs="Arial"/>
          <w:noProof/>
          <w:color w:val="000000"/>
        </w:rPr>
        <w:lastRenderedPageBreak/>
        <mc:AlternateContent>
          <mc:Choice Requires="wps">
            <w:drawing>
              <wp:anchor distT="0" distB="0" distL="114300" distR="114300" simplePos="0" relativeHeight="251660288" behindDoc="0" locked="0" layoutInCell="1" allowOverlap="1" wp14:anchorId="6DA9D58B" wp14:editId="7CA7C2BD">
                <wp:simplePos x="0" y="0"/>
                <wp:positionH relativeFrom="column">
                  <wp:posOffset>-906780</wp:posOffset>
                </wp:positionH>
                <wp:positionV relativeFrom="paragraph">
                  <wp:posOffset>8031480</wp:posOffset>
                </wp:positionV>
                <wp:extent cx="7764780" cy="6934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764780" cy="693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B82EA1" w14:textId="1DADD583" w:rsidR="00825B90" w:rsidRPr="0008472C" w:rsidRDefault="00825B90" w:rsidP="0008472C">
                            <w:r>
                              <w:t xml:space="preserve">Figure 3 – Derived allele frequency spectra (below diagonal) and directionality indices (above diagonal) for each pairwise comparison between each well-sampled population. Spectra polarized via reference to putative sister taxa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Pr>
                                <w:rFonts w:ascii="Helvetica Neue" w:eastAsia="Times New Roman" w:hAnsi="Helvetica Neue" w:cs="Times New Roman"/>
                                <w:i/>
                                <w:iCs/>
                              </w:rPr>
                              <w:t xml:space="preserve"> </w:t>
                            </w:r>
                            <w:r>
                              <w:rPr>
                                <w:rFonts w:ascii="Helvetica Neue" w:eastAsia="Times New Roman" w:hAnsi="Helvetica Neue" w:cs="Times New Roman"/>
                              </w:rPr>
                              <w:t>and projected to 10 gene copies per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9D58B" id="Text Box 2" o:spid="_x0000_s1028" type="#_x0000_t202" style="position:absolute;margin-left:-71.4pt;margin-top:632.4pt;width:611.4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" filled="f" stroked="f">
                <v:textbox>
                  <w:txbxContent>
                    <w:p w14:paraId="27B82EA1" w14:textId="1DADD583" w:rsidR="00825B90" w:rsidRPr="0008472C" w:rsidRDefault="00825B90" w:rsidP="0008472C">
                      <w:r>
                        <w:t xml:space="preserve">Figure 3 – Derived allele frequency spectra (below diagonal) and directionality indices (above diagonal) for each pairwise comparison between each well-sampled population. Spectra polarized via reference to putative sister taxa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Pr>
                          <w:rFonts w:ascii="Helvetica Neue" w:eastAsia="Times New Roman" w:hAnsi="Helvetica Neue" w:cs="Times New Roman"/>
                          <w:i/>
                          <w:iCs/>
                        </w:rPr>
                        <w:t xml:space="preserve"> </w:t>
                      </w:r>
                      <w:r>
                        <w:rPr>
                          <w:rFonts w:ascii="Helvetica Neue" w:eastAsia="Times New Roman" w:hAnsi="Helvetica Neue" w:cs="Times New Roman"/>
                        </w:rPr>
                        <w:t>and projected to 10 gene copies per population.</w:t>
                      </w:r>
                    </w:p>
                  </w:txbxContent>
                </v:textbox>
                <w10:wrap type="square"/>
              </v:shape>
            </w:pict>
          </mc:Fallback>
        </mc:AlternateContent>
      </w:r>
      <w:r>
        <w:rPr>
          <w:noProof/>
        </w:rPr>
        <w:drawing>
          <wp:anchor distT="0" distB="0" distL="114300" distR="114300" simplePos="0" relativeHeight="251663360" behindDoc="0" locked="0" layoutInCell="1" allowOverlap="1" wp14:anchorId="22474626" wp14:editId="4AE6CECF">
            <wp:simplePos x="0" y="0"/>
            <wp:positionH relativeFrom="column">
              <wp:posOffset>-914400</wp:posOffset>
            </wp:positionH>
            <wp:positionV relativeFrom="paragraph">
              <wp:posOffset>0</wp:posOffset>
            </wp:positionV>
            <wp:extent cx="7772400" cy="783285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72400" cy="7832852"/>
                    </a:xfrm>
                    <a:prstGeom prst="rect">
                      <a:avLst/>
                    </a:prstGeom>
                  </pic:spPr>
                </pic:pic>
              </a:graphicData>
            </a:graphic>
            <wp14:sizeRelH relativeFrom="page">
              <wp14:pctWidth>0</wp14:pctWidth>
            </wp14:sizeRelH>
            <wp14:sizeRelV relativeFrom="page">
              <wp14:pctHeight>0</wp14:pctHeight>
            </wp14:sizeRelV>
          </wp:anchor>
        </w:drawing>
      </w:r>
    </w:p>
    <w:p w14:paraId="17B963A5" w14:textId="265CEF4E" w:rsidR="004A5E76" w:rsidRDefault="004A5E76">
      <w:pPr>
        <w:rPr>
          <w:rFonts w:ascii="Helvetica Neue" w:hAnsi="Helvetica Neue" w:cs="Arial"/>
          <w:color w:val="000000"/>
        </w:rPr>
      </w:pPr>
    </w:p>
    <w:p w14:paraId="0894FC72" w14:textId="4DD0A336" w:rsidR="004A5E76" w:rsidRDefault="004A5E76">
      <w:pPr>
        <w:rPr>
          <w:rFonts w:ascii="Helvetica Neue" w:hAnsi="Helvetica Neue" w:cs="Arial"/>
          <w:color w:val="000000"/>
        </w:rPr>
      </w:pPr>
    </w:p>
    <w:p w14:paraId="1F6BC3DD" w14:textId="42D21CEB" w:rsidR="004A5E76" w:rsidRDefault="004A5E76" w:rsidP="0064060B">
      <w:pPr>
        <w:jc w:val="both"/>
        <w:rPr>
          <w:rFonts w:ascii="Helvetica Neue" w:hAnsi="Helvetica Neue" w:cs="Arial"/>
          <w:color w:val="000000"/>
        </w:rPr>
      </w:pPr>
    </w:p>
    <w:p w14:paraId="0D681D4E" w14:textId="61972D5E" w:rsidR="00B0663E" w:rsidRPr="0008472C" w:rsidRDefault="00B0663E" w:rsidP="0008472C">
      <w:pPr>
        <w:jc w:val="both"/>
        <w:rPr>
          <w:rFonts w:ascii="Helvetica Neue" w:hAnsi="Helvetica Neue" w:cs="Arial"/>
          <w:color w:val="000000"/>
        </w:rPr>
      </w:pPr>
    </w:p>
    <w:p w14:paraId="1F93C3FB" w14:textId="0CEDA533" w:rsidR="00B0663E" w:rsidRDefault="00EE23DF">
      <w:pPr>
        <w:rPr>
          <w:rFonts w:ascii="Helvetica Neue" w:eastAsia="Times New Roman" w:hAnsi="Helvetica Neue" w:cs="Arial"/>
        </w:rPr>
      </w:pPr>
      <w:r>
        <w:rPr>
          <w:rFonts w:ascii="Helvetica Neue" w:eastAsia="Times New Roman" w:hAnsi="Helvetica Neue" w:cs="Arial"/>
          <w:noProof/>
        </w:rPr>
        <mc:AlternateContent>
          <mc:Choice Requires="wps">
            <w:drawing>
              <wp:anchor distT="0" distB="0" distL="114300" distR="114300" simplePos="0" relativeHeight="251651072" behindDoc="0" locked="0" layoutInCell="1" allowOverlap="1" wp14:anchorId="41ED015E" wp14:editId="1398C8AC">
                <wp:simplePos x="0" y="0"/>
                <wp:positionH relativeFrom="column">
                  <wp:posOffset>-830580</wp:posOffset>
                </wp:positionH>
                <wp:positionV relativeFrom="paragraph">
                  <wp:posOffset>6156960</wp:posOffset>
                </wp:positionV>
                <wp:extent cx="7688580" cy="8610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688580" cy="861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712B7F" w14:textId="473B6825" w:rsidR="00825B90" w:rsidRDefault="00825B90">
                            <w:r>
                              <w:t xml:space="preserve">Figure 4 – Results of the </w:t>
                            </w:r>
                            <w:proofErr w:type="spellStart"/>
                            <w:r>
                              <w:t>dadi</w:t>
                            </w:r>
                            <w:proofErr w:type="spellEnd"/>
                            <w:r>
                              <w:t xml:space="preserve"> optimization runs for the “Found and Grow” (Left) and “Three Epoch Found and Grow” (Right) demographic models. (a) Hawaii establishment effective size and years since establishment. (b) Current effective size estimates in North America and Hawaii. (c) Migration rates from North America to Hawaii and vice 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015E" id="Text Box 9" o:spid="_x0000_s1029" type="#_x0000_t202" style="position:absolute;margin-left:-65.4pt;margin-top:484.8pt;width:605.4pt;height:6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" filled="f" stroked="f">
                <v:textbox>
                  <w:txbxContent>
                    <w:p w14:paraId="1E712B7F" w14:textId="473B6825" w:rsidR="00825B90" w:rsidRDefault="00825B90">
                      <w:r>
                        <w:t xml:space="preserve">Figure 4 – Results of the </w:t>
                      </w:r>
                      <w:proofErr w:type="spellStart"/>
                      <w:r>
                        <w:t>dadi</w:t>
                      </w:r>
                      <w:proofErr w:type="spellEnd"/>
                      <w:r>
                        <w:t xml:space="preserve"> optimization runs for the “Found and Grow” (Left) and “Three Epoch Found and Grow” (Right) demographic models. (a) Hawaii establishment effective size and years since establishment. (b) Current effective size estimates in North America and Hawaii. (c) Migration rates from North America to Hawaii and vice versa.</w:t>
                      </w:r>
                    </w:p>
                  </w:txbxContent>
                </v:textbox>
                <w10:wrap type="square"/>
              </v:shape>
            </w:pict>
          </mc:Fallback>
        </mc:AlternateContent>
      </w:r>
      <w:r>
        <w:rPr>
          <w:noProof/>
        </w:rPr>
        <w:drawing>
          <wp:anchor distT="0" distB="0" distL="114300" distR="114300" simplePos="0" relativeHeight="251657216" behindDoc="0" locked="0" layoutInCell="1" allowOverlap="1" wp14:anchorId="056CBB53" wp14:editId="6757306B">
            <wp:simplePos x="0" y="0"/>
            <wp:positionH relativeFrom="column">
              <wp:posOffset>-845820</wp:posOffset>
            </wp:positionH>
            <wp:positionV relativeFrom="paragraph">
              <wp:posOffset>0</wp:posOffset>
            </wp:positionV>
            <wp:extent cx="7696200" cy="599948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96200" cy="5999480"/>
                    </a:xfrm>
                    <a:prstGeom prst="rect">
                      <a:avLst/>
                    </a:prstGeom>
                  </pic:spPr>
                </pic:pic>
              </a:graphicData>
            </a:graphic>
            <wp14:sizeRelH relativeFrom="page">
              <wp14:pctWidth>0</wp14:pctWidth>
            </wp14:sizeRelH>
            <wp14:sizeRelV relativeFrom="page">
              <wp14:pctHeight>0</wp14:pctHeight>
            </wp14:sizeRelV>
          </wp:anchor>
        </w:drawing>
      </w:r>
      <w:r w:rsidR="00B0663E">
        <w:rPr>
          <w:rFonts w:ascii="Helvetica Neue" w:eastAsia="Times New Roman" w:hAnsi="Helvetica Neue" w:cs="Arial"/>
        </w:rPr>
        <w:br w:type="page"/>
      </w:r>
      <w:commentRangeStart w:id="15"/>
      <w:commentRangeEnd w:id="15"/>
      <w:r w:rsidR="005C3817">
        <w:rPr>
          <w:rStyle w:val="CommentReference"/>
        </w:rPr>
        <w:commentReference w:id="15"/>
      </w:r>
    </w:p>
    <w:tbl>
      <w:tblPr>
        <w:tblStyle w:val="TableGrid"/>
        <w:tblW w:w="0" w:type="auto"/>
        <w:tblLook w:val="04A0" w:firstRow="1" w:lastRow="0" w:firstColumn="1" w:lastColumn="0" w:noHBand="0" w:noVBand="1"/>
      </w:tblPr>
      <w:tblGrid>
        <w:gridCol w:w="1434"/>
        <w:gridCol w:w="1470"/>
        <w:gridCol w:w="1470"/>
        <w:gridCol w:w="797"/>
        <w:gridCol w:w="825"/>
        <w:gridCol w:w="1282"/>
      </w:tblGrid>
      <w:tr w:rsidR="00265C46" w:rsidRPr="00EF58E4" w14:paraId="0D0B1C2A" w14:textId="77777777" w:rsidTr="00243D64">
        <w:trPr>
          <w:trHeight w:val="288"/>
        </w:trPr>
        <w:tc>
          <w:tcPr>
            <w:tcW w:w="1434" w:type="dxa"/>
            <w:noWrap/>
            <w:hideMark/>
          </w:tcPr>
          <w:p w14:paraId="100CADDF" w14:textId="77777777" w:rsidR="00265C46" w:rsidRPr="000322C6" w:rsidRDefault="00265C46" w:rsidP="00825B90">
            <w:pPr>
              <w:rPr>
                <w:b/>
                <w:bCs/>
              </w:rPr>
            </w:pPr>
            <w:r w:rsidRPr="000322C6">
              <w:rPr>
                <w:b/>
                <w:bCs/>
              </w:rPr>
              <w:lastRenderedPageBreak/>
              <w:t>Population</w:t>
            </w:r>
          </w:p>
        </w:tc>
        <w:tc>
          <w:tcPr>
            <w:tcW w:w="1470" w:type="dxa"/>
          </w:tcPr>
          <w:p w14:paraId="6053F47E" w14:textId="654893A6" w:rsidR="00265C46" w:rsidRPr="000322C6" w:rsidRDefault="00265C46" w:rsidP="00825B90">
            <w:pPr>
              <w:jc w:val="right"/>
              <w:rPr>
                <w:b/>
                <w:bCs/>
              </w:rPr>
            </w:pPr>
            <w:r>
              <w:rPr>
                <w:b/>
                <w:bCs/>
              </w:rPr>
              <w:t># Samples</w:t>
            </w:r>
          </w:p>
        </w:tc>
        <w:tc>
          <w:tcPr>
            <w:tcW w:w="1470" w:type="dxa"/>
            <w:noWrap/>
            <w:hideMark/>
          </w:tcPr>
          <w:p w14:paraId="5176EF3F" w14:textId="7785BA96" w:rsidR="00265C46" w:rsidRPr="000322C6" w:rsidRDefault="00265C46" w:rsidP="00825B90">
            <w:pPr>
              <w:jc w:val="right"/>
              <w:rPr>
                <w:b/>
                <w:bCs/>
              </w:rPr>
            </w:pPr>
            <w:r w:rsidRPr="000322C6">
              <w:rPr>
                <w:b/>
                <w:bCs/>
              </w:rPr>
              <w:t>Tajima's D</w:t>
            </w:r>
          </w:p>
        </w:tc>
        <w:tc>
          <w:tcPr>
            <w:tcW w:w="797" w:type="dxa"/>
            <w:noWrap/>
            <w:hideMark/>
          </w:tcPr>
          <w:p w14:paraId="5AC5164E" w14:textId="77777777" w:rsidR="00265C46" w:rsidRPr="000322C6" w:rsidRDefault="00265C46" w:rsidP="00825B90">
            <w:pPr>
              <w:jc w:val="right"/>
              <w:rPr>
                <w:b/>
                <w:bCs/>
                <w:vertAlign w:val="subscript"/>
              </w:rPr>
            </w:pPr>
            <w:r w:rsidRPr="000322C6">
              <w:rPr>
                <w:b/>
                <w:bCs/>
              </w:rPr>
              <w:t>H</w:t>
            </w:r>
            <w:r w:rsidRPr="000322C6">
              <w:rPr>
                <w:b/>
                <w:bCs/>
              </w:rPr>
              <w:softHyphen/>
            </w:r>
            <w:r w:rsidRPr="000322C6">
              <w:rPr>
                <w:b/>
                <w:bCs/>
                <w:vertAlign w:val="subscript"/>
              </w:rPr>
              <w:t>O</w:t>
            </w:r>
          </w:p>
        </w:tc>
        <w:tc>
          <w:tcPr>
            <w:tcW w:w="825" w:type="dxa"/>
            <w:noWrap/>
            <w:hideMark/>
          </w:tcPr>
          <w:p w14:paraId="55F5A70B" w14:textId="77777777" w:rsidR="00265C46" w:rsidRPr="000322C6" w:rsidRDefault="00265C46" w:rsidP="00825B90">
            <w:pPr>
              <w:jc w:val="right"/>
              <w:rPr>
                <w:b/>
                <w:bCs/>
              </w:rPr>
            </w:pPr>
            <w:r w:rsidRPr="000322C6">
              <w:rPr>
                <w:rFonts w:cstheme="minorHAnsi"/>
                <w:b/>
                <w:bCs/>
              </w:rPr>
              <w:t>π</w:t>
            </w:r>
          </w:p>
        </w:tc>
        <w:tc>
          <w:tcPr>
            <w:tcW w:w="1282" w:type="dxa"/>
            <w:noWrap/>
            <w:hideMark/>
          </w:tcPr>
          <w:p w14:paraId="4C1642BD" w14:textId="1F7EE07D" w:rsidR="00265C46" w:rsidRPr="000322C6" w:rsidRDefault="00265C46" w:rsidP="00825B90">
            <w:pPr>
              <w:jc w:val="right"/>
              <w:rPr>
                <w:b/>
                <w:bCs/>
              </w:rPr>
            </w:pPr>
            <m:oMathPara>
              <m:oMath>
                <m:f>
                  <m:fPr>
                    <m:type m:val="lin"/>
                    <m:ctrlPr>
                      <w:rPr>
                        <w:rFonts w:ascii="Cambria Math" w:hAnsi="Cambria Math"/>
                        <w:b/>
                        <w:bCs/>
                        <w:i/>
                      </w:rPr>
                    </m:ctrlPr>
                  </m:fPr>
                  <m:num>
                    <m:r>
                      <m:rPr>
                        <m:sty m:val="b"/>
                      </m:rPr>
                      <w:rPr>
                        <w:rFonts w:ascii="Cambria Math" w:hAnsi="Cambria Math"/>
                      </w:rPr>
                      <m:t>Het</m:t>
                    </m:r>
                  </m:num>
                  <m:den>
                    <m:r>
                      <m:rPr>
                        <m:sty m:val="b"/>
                      </m:rPr>
                      <w:rPr>
                        <w:rFonts w:ascii="Cambria Math" w:hAnsi="Cambria Math"/>
                      </w:rPr>
                      <m:t>Hom</m:t>
                    </m:r>
                  </m:den>
                </m:f>
              </m:oMath>
            </m:oMathPara>
          </w:p>
        </w:tc>
      </w:tr>
      <w:tr w:rsidR="00265C46" w:rsidRPr="00EF58E4" w14:paraId="2BCE85A3" w14:textId="77777777" w:rsidTr="00243D64">
        <w:trPr>
          <w:trHeight w:val="288"/>
        </w:trPr>
        <w:tc>
          <w:tcPr>
            <w:tcW w:w="1434" w:type="dxa"/>
            <w:noWrap/>
            <w:hideMark/>
          </w:tcPr>
          <w:p w14:paraId="7E442004" w14:textId="77777777" w:rsidR="00265C46" w:rsidRPr="000322C6" w:rsidRDefault="00265C46" w:rsidP="00825B90">
            <w:pPr>
              <w:jc w:val="right"/>
              <w:rPr>
                <w:b/>
                <w:bCs/>
              </w:rPr>
            </w:pPr>
            <w:r w:rsidRPr="000322C6">
              <w:rPr>
                <w:b/>
                <w:bCs/>
              </w:rPr>
              <w:t>NAM</w:t>
            </w:r>
          </w:p>
        </w:tc>
        <w:tc>
          <w:tcPr>
            <w:tcW w:w="1470" w:type="dxa"/>
          </w:tcPr>
          <w:p w14:paraId="552853F2" w14:textId="5B5DBDA9" w:rsidR="00265C46" w:rsidRPr="00EF58E4" w:rsidRDefault="00265C46" w:rsidP="00825B90">
            <w:pPr>
              <w:jc w:val="right"/>
            </w:pPr>
            <w:r>
              <w:t>83</w:t>
            </w:r>
          </w:p>
        </w:tc>
        <w:tc>
          <w:tcPr>
            <w:tcW w:w="1470" w:type="dxa"/>
            <w:noWrap/>
            <w:hideMark/>
          </w:tcPr>
          <w:p w14:paraId="168D3277" w14:textId="0FD7641D" w:rsidR="00265C46" w:rsidRPr="00EF58E4" w:rsidRDefault="00265C46" w:rsidP="00825B90">
            <w:pPr>
              <w:jc w:val="right"/>
            </w:pPr>
            <w:r w:rsidRPr="00EF58E4">
              <w:t>-1.92</w:t>
            </w:r>
          </w:p>
        </w:tc>
        <w:tc>
          <w:tcPr>
            <w:tcW w:w="797" w:type="dxa"/>
            <w:noWrap/>
            <w:hideMark/>
          </w:tcPr>
          <w:p w14:paraId="41D5C032" w14:textId="77777777" w:rsidR="00265C46" w:rsidRPr="00EF58E4" w:rsidRDefault="00265C46" w:rsidP="00825B90">
            <w:pPr>
              <w:jc w:val="right"/>
            </w:pPr>
            <w:r w:rsidRPr="00EF58E4">
              <w:t>0.055</w:t>
            </w:r>
          </w:p>
        </w:tc>
        <w:tc>
          <w:tcPr>
            <w:tcW w:w="825" w:type="dxa"/>
            <w:noWrap/>
            <w:hideMark/>
          </w:tcPr>
          <w:p w14:paraId="403B0426" w14:textId="77777777" w:rsidR="00265C46" w:rsidRPr="00EF58E4" w:rsidRDefault="00265C46" w:rsidP="00825B90">
            <w:pPr>
              <w:jc w:val="right"/>
            </w:pPr>
            <w:r w:rsidRPr="00EF58E4">
              <w:t>0.064</w:t>
            </w:r>
          </w:p>
        </w:tc>
        <w:tc>
          <w:tcPr>
            <w:tcW w:w="1282" w:type="dxa"/>
            <w:noWrap/>
            <w:hideMark/>
          </w:tcPr>
          <w:p w14:paraId="331AF24F" w14:textId="77777777" w:rsidR="00265C46" w:rsidRPr="00EF58E4" w:rsidRDefault="00265C46" w:rsidP="00825B90">
            <w:pPr>
              <w:jc w:val="right"/>
            </w:pPr>
            <w:r w:rsidRPr="00EF58E4">
              <w:t>0.059</w:t>
            </w:r>
          </w:p>
        </w:tc>
      </w:tr>
      <w:tr w:rsidR="00265C46" w:rsidRPr="00EF58E4" w14:paraId="6EA4D4A0" w14:textId="77777777" w:rsidTr="00243D64">
        <w:trPr>
          <w:trHeight w:val="288"/>
        </w:trPr>
        <w:tc>
          <w:tcPr>
            <w:tcW w:w="1434" w:type="dxa"/>
            <w:noWrap/>
            <w:hideMark/>
          </w:tcPr>
          <w:p w14:paraId="2CE975E3" w14:textId="77777777" w:rsidR="00265C46" w:rsidRPr="000322C6" w:rsidRDefault="00265C46" w:rsidP="00825B90">
            <w:pPr>
              <w:jc w:val="right"/>
              <w:rPr>
                <w:b/>
                <w:bCs/>
              </w:rPr>
            </w:pPr>
            <w:r w:rsidRPr="000322C6">
              <w:rPr>
                <w:b/>
                <w:bCs/>
              </w:rPr>
              <w:t>HAW</w:t>
            </w:r>
          </w:p>
        </w:tc>
        <w:tc>
          <w:tcPr>
            <w:tcW w:w="1470" w:type="dxa"/>
          </w:tcPr>
          <w:p w14:paraId="585E8DD5" w14:textId="3641E3DF" w:rsidR="00265C46" w:rsidRPr="00EF58E4" w:rsidRDefault="00265C46" w:rsidP="00825B90">
            <w:pPr>
              <w:jc w:val="right"/>
            </w:pPr>
            <w:r>
              <w:t>9</w:t>
            </w:r>
          </w:p>
        </w:tc>
        <w:tc>
          <w:tcPr>
            <w:tcW w:w="1470" w:type="dxa"/>
            <w:noWrap/>
            <w:hideMark/>
          </w:tcPr>
          <w:p w14:paraId="135C5DBC" w14:textId="07295996" w:rsidR="00265C46" w:rsidRPr="00EF58E4" w:rsidRDefault="00265C46" w:rsidP="00825B90">
            <w:pPr>
              <w:jc w:val="right"/>
            </w:pPr>
            <w:r w:rsidRPr="00EF58E4">
              <w:t>-0.211</w:t>
            </w:r>
          </w:p>
        </w:tc>
        <w:tc>
          <w:tcPr>
            <w:tcW w:w="797" w:type="dxa"/>
            <w:noWrap/>
            <w:hideMark/>
          </w:tcPr>
          <w:p w14:paraId="5984A7B9" w14:textId="77777777" w:rsidR="00265C46" w:rsidRPr="00EF58E4" w:rsidRDefault="00265C46" w:rsidP="00825B90">
            <w:pPr>
              <w:jc w:val="right"/>
            </w:pPr>
            <w:r w:rsidRPr="00EF58E4">
              <w:t>0.048</w:t>
            </w:r>
          </w:p>
        </w:tc>
        <w:tc>
          <w:tcPr>
            <w:tcW w:w="825" w:type="dxa"/>
            <w:noWrap/>
            <w:hideMark/>
          </w:tcPr>
          <w:p w14:paraId="51234769" w14:textId="77777777" w:rsidR="00265C46" w:rsidRPr="00EF58E4" w:rsidRDefault="00265C46" w:rsidP="00825B90">
            <w:pPr>
              <w:jc w:val="right"/>
            </w:pPr>
            <w:r w:rsidRPr="00EF58E4">
              <w:t>0.055</w:t>
            </w:r>
          </w:p>
        </w:tc>
        <w:tc>
          <w:tcPr>
            <w:tcW w:w="1282" w:type="dxa"/>
            <w:noWrap/>
            <w:hideMark/>
          </w:tcPr>
          <w:p w14:paraId="517773DD" w14:textId="77777777" w:rsidR="00265C46" w:rsidRPr="00EF58E4" w:rsidRDefault="00265C46" w:rsidP="00825B90">
            <w:pPr>
              <w:jc w:val="right"/>
            </w:pPr>
            <w:r w:rsidRPr="00EF58E4">
              <w:t>0.051</w:t>
            </w:r>
          </w:p>
        </w:tc>
      </w:tr>
      <w:tr w:rsidR="00265C46" w:rsidRPr="00EF58E4" w14:paraId="23BAD5F1" w14:textId="77777777" w:rsidTr="00243D64">
        <w:trPr>
          <w:trHeight w:val="288"/>
        </w:trPr>
        <w:tc>
          <w:tcPr>
            <w:tcW w:w="1434" w:type="dxa"/>
            <w:noWrap/>
            <w:hideMark/>
          </w:tcPr>
          <w:p w14:paraId="447DFB2E" w14:textId="77777777" w:rsidR="00265C46" w:rsidRPr="000322C6" w:rsidRDefault="00265C46" w:rsidP="00825B90">
            <w:pPr>
              <w:jc w:val="right"/>
              <w:rPr>
                <w:b/>
                <w:bCs/>
              </w:rPr>
            </w:pPr>
            <w:r w:rsidRPr="000322C6">
              <w:rPr>
                <w:b/>
                <w:bCs/>
              </w:rPr>
              <w:t>GUA</w:t>
            </w:r>
          </w:p>
        </w:tc>
        <w:tc>
          <w:tcPr>
            <w:tcW w:w="1470" w:type="dxa"/>
          </w:tcPr>
          <w:p w14:paraId="03A473BE" w14:textId="73835615" w:rsidR="00265C46" w:rsidRPr="00EF58E4" w:rsidRDefault="00265C46" w:rsidP="00825B90">
            <w:pPr>
              <w:jc w:val="right"/>
            </w:pPr>
            <w:r>
              <w:t>19</w:t>
            </w:r>
          </w:p>
        </w:tc>
        <w:tc>
          <w:tcPr>
            <w:tcW w:w="1470" w:type="dxa"/>
            <w:noWrap/>
            <w:hideMark/>
          </w:tcPr>
          <w:p w14:paraId="3019F3B2" w14:textId="3E740304" w:rsidR="00265C46" w:rsidRPr="00EF58E4" w:rsidRDefault="00265C46" w:rsidP="00825B90">
            <w:pPr>
              <w:jc w:val="right"/>
            </w:pPr>
            <w:r w:rsidRPr="00EF58E4">
              <w:t>0.091</w:t>
            </w:r>
          </w:p>
        </w:tc>
        <w:tc>
          <w:tcPr>
            <w:tcW w:w="797" w:type="dxa"/>
            <w:noWrap/>
            <w:hideMark/>
          </w:tcPr>
          <w:p w14:paraId="6EA6C14A" w14:textId="77777777" w:rsidR="00265C46" w:rsidRPr="00EF58E4" w:rsidRDefault="00265C46" w:rsidP="00825B90">
            <w:pPr>
              <w:jc w:val="right"/>
            </w:pPr>
            <w:r w:rsidRPr="00EF58E4">
              <w:t>0.031</w:t>
            </w:r>
          </w:p>
        </w:tc>
        <w:tc>
          <w:tcPr>
            <w:tcW w:w="825" w:type="dxa"/>
            <w:noWrap/>
            <w:hideMark/>
          </w:tcPr>
          <w:p w14:paraId="0E52149E" w14:textId="77777777" w:rsidR="00265C46" w:rsidRPr="00EF58E4" w:rsidRDefault="00265C46" w:rsidP="00825B90">
            <w:pPr>
              <w:jc w:val="right"/>
            </w:pPr>
            <w:r w:rsidRPr="00EF58E4">
              <w:t>0.032</w:t>
            </w:r>
          </w:p>
        </w:tc>
        <w:tc>
          <w:tcPr>
            <w:tcW w:w="1282" w:type="dxa"/>
            <w:noWrap/>
            <w:hideMark/>
          </w:tcPr>
          <w:p w14:paraId="7DEDB80D" w14:textId="77777777" w:rsidR="00265C46" w:rsidRPr="00EF58E4" w:rsidRDefault="00265C46" w:rsidP="00825B90">
            <w:pPr>
              <w:jc w:val="right"/>
            </w:pPr>
            <w:r w:rsidRPr="00EF58E4">
              <w:t>0.032</w:t>
            </w:r>
          </w:p>
        </w:tc>
      </w:tr>
      <w:tr w:rsidR="00265C46" w:rsidRPr="00EF58E4" w14:paraId="74C945E8" w14:textId="77777777" w:rsidTr="00243D64">
        <w:trPr>
          <w:trHeight w:val="288"/>
        </w:trPr>
        <w:tc>
          <w:tcPr>
            <w:tcW w:w="1434" w:type="dxa"/>
            <w:noWrap/>
            <w:hideMark/>
          </w:tcPr>
          <w:p w14:paraId="51AE44E8" w14:textId="77777777" w:rsidR="00265C46" w:rsidRPr="000322C6" w:rsidRDefault="00265C46" w:rsidP="00825B90">
            <w:pPr>
              <w:jc w:val="right"/>
              <w:rPr>
                <w:b/>
                <w:bCs/>
              </w:rPr>
            </w:pPr>
            <w:r w:rsidRPr="000322C6">
              <w:rPr>
                <w:b/>
                <w:bCs/>
              </w:rPr>
              <w:t>ROT</w:t>
            </w:r>
          </w:p>
        </w:tc>
        <w:tc>
          <w:tcPr>
            <w:tcW w:w="1470" w:type="dxa"/>
          </w:tcPr>
          <w:p w14:paraId="2848FFAC" w14:textId="251F76FE" w:rsidR="00265C46" w:rsidRPr="00EF58E4" w:rsidRDefault="00265C46" w:rsidP="00825B90">
            <w:pPr>
              <w:jc w:val="right"/>
            </w:pPr>
            <w:r>
              <w:t>16</w:t>
            </w:r>
          </w:p>
        </w:tc>
        <w:tc>
          <w:tcPr>
            <w:tcW w:w="1470" w:type="dxa"/>
            <w:noWrap/>
            <w:hideMark/>
          </w:tcPr>
          <w:p w14:paraId="259667A0" w14:textId="56F8F7D8" w:rsidR="00265C46" w:rsidRPr="00EF58E4" w:rsidRDefault="00265C46" w:rsidP="00825B90">
            <w:pPr>
              <w:jc w:val="right"/>
            </w:pPr>
            <w:r w:rsidRPr="00EF58E4">
              <w:t>0.388</w:t>
            </w:r>
          </w:p>
        </w:tc>
        <w:tc>
          <w:tcPr>
            <w:tcW w:w="797" w:type="dxa"/>
            <w:noWrap/>
            <w:hideMark/>
          </w:tcPr>
          <w:p w14:paraId="16123BD2" w14:textId="77777777" w:rsidR="00265C46" w:rsidRPr="00EF58E4" w:rsidRDefault="00265C46" w:rsidP="00825B90">
            <w:pPr>
              <w:jc w:val="right"/>
            </w:pPr>
            <w:r w:rsidRPr="00EF58E4">
              <w:t>0.035</w:t>
            </w:r>
          </w:p>
        </w:tc>
        <w:tc>
          <w:tcPr>
            <w:tcW w:w="825" w:type="dxa"/>
            <w:noWrap/>
            <w:hideMark/>
          </w:tcPr>
          <w:p w14:paraId="548DA0D5" w14:textId="77777777" w:rsidR="00265C46" w:rsidRPr="00EF58E4" w:rsidRDefault="00265C46" w:rsidP="00825B90">
            <w:pPr>
              <w:jc w:val="right"/>
            </w:pPr>
            <w:r w:rsidRPr="00EF58E4">
              <w:t>0.038</w:t>
            </w:r>
          </w:p>
        </w:tc>
        <w:tc>
          <w:tcPr>
            <w:tcW w:w="1282" w:type="dxa"/>
            <w:noWrap/>
            <w:hideMark/>
          </w:tcPr>
          <w:p w14:paraId="585FF866" w14:textId="77777777" w:rsidR="00265C46" w:rsidRPr="00EF58E4" w:rsidRDefault="00265C46" w:rsidP="00825B90">
            <w:pPr>
              <w:jc w:val="right"/>
            </w:pPr>
            <w:r w:rsidRPr="00EF58E4">
              <w:t>0.037</w:t>
            </w:r>
          </w:p>
        </w:tc>
      </w:tr>
      <w:tr w:rsidR="00265C46" w:rsidRPr="00EF58E4" w14:paraId="5BDAE6A1" w14:textId="77777777" w:rsidTr="00243D64">
        <w:trPr>
          <w:trHeight w:val="288"/>
        </w:trPr>
        <w:tc>
          <w:tcPr>
            <w:tcW w:w="1434" w:type="dxa"/>
            <w:noWrap/>
            <w:hideMark/>
          </w:tcPr>
          <w:p w14:paraId="688BC1DA" w14:textId="77777777" w:rsidR="00265C46" w:rsidRPr="000322C6" w:rsidRDefault="00265C46" w:rsidP="00825B90">
            <w:pPr>
              <w:jc w:val="right"/>
              <w:rPr>
                <w:b/>
                <w:bCs/>
              </w:rPr>
            </w:pPr>
            <w:r w:rsidRPr="000322C6">
              <w:rPr>
                <w:b/>
                <w:bCs/>
              </w:rPr>
              <w:t>SAI</w:t>
            </w:r>
          </w:p>
        </w:tc>
        <w:tc>
          <w:tcPr>
            <w:tcW w:w="1470" w:type="dxa"/>
          </w:tcPr>
          <w:p w14:paraId="791028DC" w14:textId="4324AB44" w:rsidR="00265C46" w:rsidRPr="00EF58E4" w:rsidRDefault="00265C46" w:rsidP="00825B90">
            <w:pPr>
              <w:jc w:val="right"/>
            </w:pPr>
            <w:r>
              <w:t>4</w:t>
            </w:r>
          </w:p>
        </w:tc>
        <w:tc>
          <w:tcPr>
            <w:tcW w:w="1470" w:type="dxa"/>
            <w:noWrap/>
            <w:hideMark/>
          </w:tcPr>
          <w:p w14:paraId="5498A9AD" w14:textId="13853A09" w:rsidR="00265C46" w:rsidRPr="00EF58E4" w:rsidRDefault="00265C46" w:rsidP="00825B90">
            <w:pPr>
              <w:jc w:val="right"/>
            </w:pPr>
            <w:r w:rsidRPr="00EF58E4">
              <w:t>0.326</w:t>
            </w:r>
          </w:p>
        </w:tc>
        <w:tc>
          <w:tcPr>
            <w:tcW w:w="797" w:type="dxa"/>
            <w:noWrap/>
            <w:hideMark/>
          </w:tcPr>
          <w:p w14:paraId="7FB237BF" w14:textId="77777777" w:rsidR="00265C46" w:rsidRPr="00EF58E4" w:rsidRDefault="00265C46" w:rsidP="00825B90">
            <w:pPr>
              <w:jc w:val="right"/>
            </w:pPr>
            <w:r w:rsidRPr="00EF58E4">
              <w:t>0.022</w:t>
            </w:r>
          </w:p>
        </w:tc>
        <w:tc>
          <w:tcPr>
            <w:tcW w:w="825" w:type="dxa"/>
            <w:noWrap/>
            <w:hideMark/>
          </w:tcPr>
          <w:p w14:paraId="73119BC9" w14:textId="77777777" w:rsidR="00265C46" w:rsidRPr="00EF58E4" w:rsidRDefault="00265C46" w:rsidP="00825B90">
            <w:pPr>
              <w:jc w:val="right"/>
            </w:pPr>
            <w:r w:rsidRPr="00EF58E4">
              <w:t>0.025</w:t>
            </w:r>
          </w:p>
        </w:tc>
        <w:tc>
          <w:tcPr>
            <w:tcW w:w="1282" w:type="dxa"/>
            <w:noWrap/>
            <w:hideMark/>
          </w:tcPr>
          <w:p w14:paraId="05926289" w14:textId="77777777" w:rsidR="00265C46" w:rsidRPr="00EF58E4" w:rsidRDefault="00265C46" w:rsidP="00825B90">
            <w:pPr>
              <w:jc w:val="right"/>
            </w:pPr>
            <w:r w:rsidRPr="00EF58E4">
              <w:t>0.023</w:t>
            </w:r>
          </w:p>
        </w:tc>
      </w:tr>
      <w:tr w:rsidR="00265C46" w:rsidRPr="00EF58E4" w14:paraId="7D4A7F6E" w14:textId="77777777" w:rsidTr="00243D64">
        <w:trPr>
          <w:trHeight w:val="288"/>
        </w:trPr>
        <w:tc>
          <w:tcPr>
            <w:tcW w:w="1434" w:type="dxa"/>
            <w:noWrap/>
            <w:hideMark/>
          </w:tcPr>
          <w:p w14:paraId="77CE858D" w14:textId="77777777" w:rsidR="00265C46" w:rsidRPr="000322C6" w:rsidRDefault="00265C46" w:rsidP="00825B90">
            <w:pPr>
              <w:jc w:val="right"/>
              <w:rPr>
                <w:b/>
                <w:bCs/>
              </w:rPr>
            </w:pPr>
            <w:r w:rsidRPr="000322C6">
              <w:rPr>
                <w:b/>
                <w:bCs/>
              </w:rPr>
              <w:t>QLD</w:t>
            </w:r>
          </w:p>
        </w:tc>
        <w:tc>
          <w:tcPr>
            <w:tcW w:w="1470" w:type="dxa"/>
          </w:tcPr>
          <w:p w14:paraId="1CD28B28" w14:textId="3C30D4BD" w:rsidR="00265C46" w:rsidRPr="00EF58E4" w:rsidRDefault="00265C46" w:rsidP="00825B90">
            <w:pPr>
              <w:jc w:val="right"/>
            </w:pPr>
            <w:r>
              <w:t>15</w:t>
            </w:r>
          </w:p>
        </w:tc>
        <w:tc>
          <w:tcPr>
            <w:tcW w:w="1470" w:type="dxa"/>
            <w:noWrap/>
            <w:hideMark/>
          </w:tcPr>
          <w:p w14:paraId="48E674F9" w14:textId="7BFC6599" w:rsidR="00265C46" w:rsidRPr="00EF58E4" w:rsidRDefault="00265C46" w:rsidP="00825B90">
            <w:pPr>
              <w:jc w:val="right"/>
            </w:pPr>
            <w:r w:rsidRPr="00EF58E4">
              <w:t>0.349</w:t>
            </w:r>
          </w:p>
        </w:tc>
        <w:tc>
          <w:tcPr>
            <w:tcW w:w="797" w:type="dxa"/>
            <w:noWrap/>
            <w:hideMark/>
          </w:tcPr>
          <w:p w14:paraId="4C224CF2" w14:textId="77777777" w:rsidR="00265C46" w:rsidRPr="00EF58E4" w:rsidRDefault="00265C46" w:rsidP="00825B90">
            <w:pPr>
              <w:jc w:val="right"/>
            </w:pPr>
            <w:r w:rsidRPr="00EF58E4">
              <w:t>0.042</w:t>
            </w:r>
          </w:p>
        </w:tc>
        <w:tc>
          <w:tcPr>
            <w:tcW w:w="825" w:type="dxa"/>
            <w:noWrap/>
            <w:hideMark/>
          </w:tcPr>
          <w:p w14:paraId="5AEECD9C" w14:textId="77777777" w:rsidR="00265C46" w:rsidRPr="00EF58E4" w:rsidRDefault="00265C46" w:rsidP="00825B90">
            <w:pPr>
              <w:jc w:val="right"/>
            </w:pPr>
            <w:r w:rsidRPr="00EF58E4">
              <w:t>0.044</w:t>
            </w:r>
          </w:p>
        </w:tc>
        <w:tc>
          <w:tcPr>
            <w:tcW w:w="1282" w:type="dxa"/>
            <w:noWrap/>
            <w:hideMark/>
          </w:tcPr>
          <w:p w14:paraId="1652B084" w14:textId="77777777" w:rsidR="00265C46" w:rsidRPr="00EF58E4" w:rsidRDefault="00265C46" w:rsidP="00825B90">
            <w:pPr>
              <w:jc w:val="right"/>
            </w:pPr>
            <w:r w:rsidRPr="00EF58E4">
              <w:t>0.043</w:t>
            </w:r>
          </w:p>
        </w:tc>
      </w:tr>
      <w:tr w:rsidR="00265C46" w:rsidRPr="00EF58E4" w14:paraId="3CCC2699" w14:textId="77777777" w:rsidTr="00243D64">
        <w:trPr>
          <w:trHeight w:val="288"/>
        </w:trPr>
        <w:tc>
          <w:tcPr>
            <w:tcW w:w="1434" w:type="dxa"/>
            <w:noWrap/>
            <w:hideMark/>
          </w:tcPr>
          <w:p w14:paraId="2E07AA1B" w14:textId="77777777" w:rsidR="00265C46" w:rsidRPr="000322C6" w:rsidRDefault="00265C46" w:rsidP="00825B90">
            <w:pPr>
              <w:jc w:val="right"/>
              <w:rPr>
                <w:b/>
                <w:bCs/>
              </w:rPr>
            </w:pPr>
            <w:r w:rsidRPr="000322C6">
              <w:rPr>
                <w:b/>
                <w:bCs/>
              </w:rPr>
              <w:t>NSW</w:t>
            </w:r>
          </w:p>
        </w:tc>
        <w:tc>
          <w:tcPr>
            <w:tcW w:w="1470" w:type="dxa"/>
          </w:tcPr>
          <w:p w14:paraId="7F571E34" w14:textId="385E2E1A" w:rsidR="00265C46" w:rsidRPr="00EF58E4" w:rsidRDefault="00265C46" w:rsidP="00825B90">
            <w:pPr>
              <w:jc w:val="right"/>
            </w:pPr>
            <w:r>
              <w:t>5</w:t>
            </w:r>
          </w:p>
        </w:tc>
        <w:tc>
          <w:tcPr>
            <w:tcW w:w="1470" w:type="dxa"/>
            <w:noWrap/>
            <w:hideMark/>
          </w:tcPr>
          <w:p w14:paraId="77158D1F" w14:textId="543138A6" w:rsidR="00265C46" w:rsidRPr="00EF58E4" w:rsidRDefault="00265C46" w:rsidP="00825B90">
            <w:pPr>
              <w:jc w:val="right"/>
            </w:pPr>
            <w:r w:rsidRPr="00EF58E4">
              <w:t>0.433</w:t>
            </w:r>
          </w:p>
        </w:tc>
        <w:tc>
          <w:tcPr>
            <w:tcW w:w="797" w:type="dxa"/>
            <w:noWrap/>
            <w:hideMark/>
          </w:tcPr>
          <w:p w14:paraId="10D3CAC3" w14:textId="77777777" w:rsidR="00265C46" w:rsidRPr="00EF58E4" w:rsidRDefault="00265C46" w:rsidP="00825B90">
            <w:pPr>
              <w:jc w:val="right"/>
            </w:pPr>
            <w:r w:rsidRPr="00EF58E4">
              <w:t>0.038</w:t>
            </w:r>
          </w:p>
        </w:tc>
        <w:tc>
          <w:tcPr>
            <w:tcW w:w="825" w:type="dxa"/>
            <w:noWrap/>
            <w:hideMark/>
          </w:tcPr>
          <w:p w14:paraId="28164EEB" w14:textId="77777777" w:rsidR="00265C46" w:rsidRPr="00EF58E4" w:rsidRDefault="00265C46" w:rsidP="00825B90">
            <w:pPr>
              <w:jc w:val="right"/>
            </w:pPr>
            <w:r w:rsidRPr="00EF58E4">
              <w:t>0.042</w:t>
            </w:r>
          </w:p>
        </w:tc>
        <w:tc>
          <w:tcPr>
            <w:tcW w:w="1282" w:type="dxa"/>
            <w:noWrap/>
            <w:hideMark/>
          </w:tcPr>
          <w:p w14:paraId="7ADE4A0F" w14:textId="77777777" w:rsidR="00265C46" w:rsidRPr="00EF58E4" w:rsidRDefault="00265C46" w:rsidP="00825B90">
            <w:pPr>
              <w:jc w:val="right"/>
            </w:pPr>
            <w:r w:rsidRPr="00EF58E4">
              <w:t>0.039</w:t>
            </w:r>
          </w:p>
        </w:tc>
      </w:tr>
      <w:tr w:rsidR="00265C46" w:rsidRPr="00EF58E4" w14:paraId="0A9CCEA9" w14:textId="77777777" w:rsidTr="00243D64">
        <w:trPr>
          <w:trHeight w:val="288"/>
        </w:trPr>
        <w:tc>
          <w:tcPr>
            <w:tcW w:w="1434" w:type="dxa"/>
            <w:noWrap/>
            <w:hideMark/>
          </w:tcPr>
          <w:p w14:paraId="7EF18CE0" w14:textId="77777777" w:rsidR="00265C46" w:rsidRPr="000322C6" w:rsidRDefault="00265C46" w:rsidP="00825B90">
            <w:pPr>
              <w:jc w:val="right"/>
              <w:rPr>
                <w:b/>
                <w:bCs/>
              </w:rPr>
            </w:pPr>
            <w:r w:rsidRPr="000322C6">
              <w:rPr>
                <w:b/>
                <w:bCs/>
              </w:rPr>
              <w:t>VIC</w:t>
            </w:r>
          </w:p>
        </w:tc>
        <w:tc>
          <w:tcPr>
            <w:tcW w:w="1470" w:type="dxa"/>
          </w:tcPr>
          <w:p w14:paraId="367AB566" w14:textId="101B7450" w:rsidR="00265C46" w:rsidRPr="00EF58E4" w:rsidRDefault="00265C46" w:rsidP="00825B90">
            <w:pPr>
              <w:jc w:val="right"/>
            </w:pPr>
            <w:r>
              <w:t>2</w:t>
            </w:r>
          </w:p>
        </w:tc>
        <w:tc>
          <w:tcPr>
            <w:tcW w:w="1470" w:type="dxa"/>
            <w:noWrap/>
            <w:hideMark/>
          </w:tcPr>
          <w:p w14:paraId="13B670A7" w14:textId="4C2EB24B" w:rsidR="00265C46" w:rsidRPr="00EF58E4" w:rsidRDefault="00265C46" w:rsidP="00825B90">
            <w:pPr>
              <w:jc w:val="right"/>
            </w:pPr>
            <w:r w:rsidRPr="00EF58E4">
              <w:t>0.899</w:t>
            </w:r>
          </w:p>
        </w:tc>
        <w:tc>
          <w:tcPr>
            <w:tcW w:w="797" w:type="dxa"/>
            <w:noWrap/>
            <w:hideMark/>
          </w:tcPr>
          <w:p w14:paraId="590C7322" w14:textId="77777777" w:rsidR="00265C46" w:rsidRPr="00EF58E4" w:rsidRDefault="00265C46" w:rsidP="00825B90">
            <w:pPr>
              <w:jc w:val="right"/>
            </w:pPr>
            <w:r w:rsidRPr="00EF58E4">
              <w:t>0.041</w:t>
            </w:r>
          </w:p>
        </w:tc>
        <w:tc>
          <w:tcPr>
            <w:tcW w:w="825" w:type="dxa"/>
            <w:noWrap/>
            <w:hideMark/>
          </w:tcPr>
          <w:p w14:paraId="4DA9CF98" w14:textId="77777777" w:rsidR="00265C46" w:rsidRPr="00EF58E4" w:rsidRDefault="00265C46" w:rsidP="00825B90">
            <w:pPr>
              <w:jc w:val="right"/>
            </w:pPr>
            <w:r w:rsidRPr="00EF58E4">
              <w:t>0.043</w:t>
            </w:r>
          </w:p>
        </w:tc>
        <w:tc>
          <w:tcPr>
            <w:tcW w:w="1282" w:type="dxa"/>
            <w:noWrap/>
            <w:hideMark/>
          </w:tcPr>
          <w:p w14:paraId="068DD7CF" w14:textId="77777777" w:rsidR="00265C46" w:rsidRPr="00EF58E4" w:rsidRDefault="00265C46" w:rsidP="00825B90">
            <w:pPr>
              <w:jc w:val="right"/>
            </w:pPr>
            <w:r w:rsidRPr="00EF58E4">
              <w:t>0.042</w:t>
            </w:r>
          </w:p>
        </w:tc>
      </w:tr>
      <w:tr w:rsidR="00265C46" w:rsidRPr="00EF58E4" w14:paraId="7AC7292F" w14:textId="77777777" w:rsidTr="00A22264">
        <w:trPr>
          <w:trHeight w:val="288"/>
        </w:trPr>
        <w:tc>
          <w:tcPr>
            <w:tcW w:w="7278" w:type="dxa"/>
            <w:gridSpan w:val="6"/>
          </w:tcPr>
          <w:p w14:paraId="30A310C5" w14:textId="68452E83" w:rsidR="00265C46" w:rsidRPr="000322C6" w:rsidRDefault="00265C46" w:rsidP="000322C6">
            <w:r>
              <w:t xml:space="preserve">Table 1: Number of samples remaining after filtering, </w:t>
            </w:r>
            <w:proofErr w:type="spellStart"/>
            <w:r>
              <w:t>Tajima’D</w:t>
            </w:r>
            <w:proofErr w:type="spellEnd"/>
            <w:r>
              <w:t>, Observed Heterozygosity (H</w:t>
            </w:r>
            <w:r>
              <w:rPr>
                <w:vertAlign w:val="subscript"/>
              </w:rPr>
              <w:t>O</w:t>
            </w:r>
            <w:r>
              <w:t>), nucleotide diversity (</w:t>
            </w:r>
            <w:r w:rsidRPr="000322C6">
              <w:rPr>
                <w:rFonts w:cstheme="minorHAnsi"/>
              </w:rPr>
              <w:t>π)</w:t>
            </w:r>
            <w:r>
              <w:rPr>
                <w:rFonts w:cstheme="minorHAnsi"/>
              </w:rPr>
              <w:t>, and the average ratio of Heterozygous to Homozygous sites across all individuals in each population</w:t>
            </w:r>
          </w:p>
        </w:tc>
      </w:tr>
    </w:tbl>
    <w:p w14:paraId="3CB0CE2F" w14:textId="77777777" w:rsidR="000322C6" w:rsidRDefault="000322C6" w:rsidP="000322C6"/>
    <w:tbl>
      <w:tblPr>
        <w:tblStyle w:val="TableGrid"/>
        <w:tblpPr w:leftFromText="180" w:rightFromText="180" w:vertAnchor="text" w:horzAnchor="margin" w:tblpY="394"/>
        <w:tblW w:w="0" w:type="auto"/>
        <w:tblLook w:val="04A0" w:firstRow="1" w:lastRow="0" w:firstColumn="1" w:lastColumn="0" w:noHBand="0" w:noVBand="1"/>
      </w:tblPr>
      <w:tblGrid>
        <w:gridCol w:w="1434"/>
        <w:gridCol w:w="960"/>
        <w:gridCol w:w="960"/>
        <w:gridCol w:w="960"/>
        <w:gridCol w:w="960"/>
        <w:gridCol w:w="960"/>
        <w:gridCol w:w="960"/>
        <w:gridCol w:w="960"/>
      </w:tblGrid>
      <w:tr w:rsidR="000322C6" w:rsidRPr="00EF58E4" w14:paraId="481CA0D9" w14:textId="77777777" w:rsidTr="000322C6">
        <w:trPr>
          <w:trHeight w:val="288"/>
        </w:trPr>
        <w:tc>
          <w:tcPr>
            <w:tcW w:w="1434" w:type="dxa"/>
            <w:noWrap/>
            <w:hideMark/>
          </w:tcPr>
          <w:p w14:paraId="4BFC4E95" w14:textId="045BD5FB" w:rsidR="000322C6" w:rsidRPr="000322C6" w:rsidRDefault="000322C6" w:rsidP="00825B90">
            <w:pPr>
              <w:jc w:val="right"/>
              <w:rPr>
                <w:b/>
                <w:bCs/>
              </w:rPr>
            </w:pPr>
            <w:r w:rsidRPr="000322C6">
              <w:rPr>
                <w:b/>
                <w:bCs/>
              </w:rPr>
              <w:t>Population</w:t>
            </w:r>
          </w:p>
        </w:tc>
        <w:tc>
          <w:tcPr>
            <w:tcW w:w="960" w:type="dxa"/>
            <w:noWrap/>
            <w:hideMark/>
          </w:tcPr>
          <w:p w14:paraId="295F9A13" w14:textId="77777777" w:rsidR="000322C6" w:rsidRPr="000322C6" w:rsidRDefault="000322C6" w:rsidP="00825B90">
            <w:pPr>
              <w:jc w:val="right"/>
              <w:rPr>
                <w:b/>
                <w:bCs/>
              </w:rPr>
            </w:pPr>
            <w:r w:rsidRPr="000322C6">
              <w:rPr>
                <w:b/>
                <w:bCs/>
              </w:rPr>
              <w:t>NAM</w:t>
            </w:r>
          </w:p>
        </w:tc>
        <w:tc>
          <w:tcPr>
            <w:tcW w:w="960" w:type="dxa"/>
            <w:noWrap/>
            <w:hideMark/>
          </w:tcPr>
          <w:p w14:paraId="53A68C9D" w14:textId="77777777" w:rsidR="000322C6" w:rsidRPr="000322C6" w:rsidRDefault="000322C6" w:rsidP="00825B90">
            <w:pPr>
              <w:jc w:val="right"/>
              <w:rPr>
                <w:b/>
                <w:bCs/>
              </w:rPr>
            </w:pPr>
            <w:r w:rsidRPr="000322C6">
              <w:rPr>
                <w:b/>
                <w:bCs/>
              </w:rPr>
              <w:t>HAW</w:t>
            </w:r>
          </w:p>
        </w:tc>
        <w:tc>
          <w:tcPr>
            <w:tcW w:w="960" w:type="dxa"/>
            <w:noWrap/>
            <w:hideMark/>
          </w:tcPr>
          <w:p w14:paraId="376D4857" w14:textId="77777777" w:rsidR="000322C6" w:rsidRPr="000322C6" w:rsidRDefault="000322C6" w:rsidP="00825B90">
            <w:pPr>
              <w:jc w:val="right"/>
              <w:rPr>
                <w:b/>
                <w:bCs/>
              </w:rPr>
            </w:pPr>
            <w:r w:rsidRPr="000322C6">
              <w:rPr>
                <w:b/>
                <w:bCs/>
              </w:rPr>
              <w:t>GUA</w:t>
            </w:r>
          </w:p>
        </w:tc>
        <w:tc>
          <w:tcPr>
            <w:tcW w:w="960" w:type="dxa"/>
            <w:noWrap/>
            <w:hideMark/>
          </w:tcPr>
          <w:p w14:paraId="767CFB42" w14:textId="77777777" w:rsidR="000322C6" w:rsidRPr="000322C6" w:rsidRDefault="000322C6" w:rsidP="00825B90">
            <w:pPr>
              <w:jc w:val="right"/>
              <w:rPr>
                <w:b/>
                <w:bCs/>
              </w:rPr>
            </w:pPr>
            <w:r w:rsidRPr="000322C6">
              <w:rPr>
                <w:b/>
                <w:bCs/>
              </w:rPr>
              <w:t>ROT</w:t>
            </w:r>
          </w:p>
        </w:tc>
        <w:tc>
          <w:tcPr>
            <w:tcW w:w="960" w:type="dxa"/>
            <w:noWrap/>
            <w:hideMark/>
          </w:tcPr>
          <w:p w14:paraId="33C00205" w14:textId="77777777" w:rsidR="000322C6" w:rsidRPr="000322C6" w:rsidRDefault="000322C6" w:rsidP="00825B90">
            <w:pPr>
              <w:jc w:val="right"/>
              <w:rPr>
                <w:b/>
                <w:bCs/>
              </w:rPr>
            </w:pPr>
            <w:r w:rsidRPr="000322C6">
              <w:rPr>
                <w:b/>
                <w:bCs/>
              </w:rPr>
              <w:t>SAI</w:t>
            </w:r>
          </w:p>
        </w:tc>
        <w:tc>
          <w:tcPr>
            <w:tcW w:w="960" w:type="dxa"/>
            <w:noWrap/>
            <w:hideMark/>
          </w:tcPr>
          <w:p w14:paraId="681A5B25" w14:textId="77777777" w:rsidR="000322C6" w:rsidRPr="000322C6" w:rsidRDefault="000322C6" w:rsidP="00825B90">
            <w:pPr>
              <w:jc w:val="right"/>
              <w:rPr>
                <w:b/>
                <w:bCs/>
              </w:rPr>
            </w:pPr>
            <w:r w:rsidRPr="000322C6">
              <w:rPr>
                <w:b/>
                <w:bCs/>
              </w:rPr>
              <w:t>QLD</w:t>
            </w:r>
          </w:p>
        </w:tc>
        <w:tc>
          <w:tcPr>
            <w:tcW w:w="960" w:type="dxa"/>
            <w:noWrap/>
            <w:hideMark/>
          </w:tcPr>
          <w:p w14:paraId="562798C5" w14:textId="77777777" w:rsidR="000322C6" w:rsidRPr="000322C6" w:rsidRDefault="000322C6" w:rsidP="00825B90">
            <w:pPr>
              <w:jc w:val="right"/>
              <w:rPr>
                <w:b/>
                <w:bCs/>
              </w:rPr>
            </w:pPr>
            <w:r w:rsidRPr="000322C6">
              <w:rPr>
                <w:b/>
                <w:bCs/>
              </w:rPr>
              <w:t>NSW</w:t>
            </w:r>
          </w:p>
        </w:tc>
      </w:tr>
      <w:tr w:rsidR="000322C6" w:rsidRPr="00EF58E4" w14:paraId="3BA0A65C" w14:textId="77777777" w:rsidTr="000322C6">
        <w:trPr>
          <w:trHeight w:val="288"/>
        </w:trPr>
        <w:tc>
          <w:tcPr>
            <w:tcW w:w="1434" w:type="dxa"/>
            <w:noWrap/>
            <w:hideMark/>
          </w:tcPr>
          <w:p w14:paraId="0D537229" w14:textId="77777777" w:rsidR="000322C6" w:rsidRPr="000322C6" w:rsidRDefault="000322C6" w:rsidP="00825B90">
            <w:pPr>
              <w:jc w:val="right"/>
              <w:rPr>
                <w:b/>
                <w:bCs/>
              </w:rPr>
            </w:pPr>
            <w:r w:rsidRPr="000322C6">
              <w:rPr>
                <w:b/>
                <w:bCs/>
              </w:rPr>
              <w:t>HAW</w:t>
            </w:r>
          </w:p>
        </w:tc>
        <w:tc>
          <w:tcPr>
            <w:tcW w:w="960" w:type="dxa"/>
            <w:noWrap/>
            <w:hideMark/>
          </w:tcPr>
          <w:p w14:paraId="554F53C1" w14:textId="77777777" w:rsidR="000322C6" w:rsidRPr="00EF58E4" w:rsidRDefault="000322C6" w:rsidP="00825B90">
            <w:pPr>
              <w:jc w:val="right"/>
            </w:pPr>
            <w:r w:rsidRPr="00EF58E4">
              <w:t>0.026</w:t>
            </w:r>
          </w:p>
        </w:tc>
        <w:tc>
          <w:tcPr>
            <w:tcW w:w="960" w:type="dxa"/>
            <w:noWrap/>
            <w:hideMark/>
          </w:tcPr>
          <w:p w14:paraId="5F4CEA2E" w14:textId="77777777" w:rsidR="000322C6" w:rsidRPr="00EF58E4" w:rsidRDefault="000322C6" w:rsidP="00825B90">
            <w:pPr>
              <w:jc w:val="right"/>
            </w:pPr>
          </w:p>
        </w:tc>
        <w:tc>
          <w:tcPr>
            <w:tcW w:w="960" w:type="dxa"/>
            <w:noWrap/>
            <w:hideMark/>
          </w:tcPr>
          <w:p w14:paraId="24C0C319" w14:textId="77777777" w:rsidR="000322C6" w:rsidRPr="00EF58E4" w:rsidRDefault="000322C6" w:rsidP="00825B90">
            <w:pPr>
              <w:jc w:val="right"/>
            </w:pPr>
          </w:p>
        </w:tc>
        <w:tc>
          <w:tcPr>
            <w:tcW w:w="960" w:type="dxa"/>
            <w:noWrap/>
            <w:hideMark/>
          </w:tcPr>
          <w:p w14:paraId="12096E80" w14:textId="77777777" w:rsidR="000322C6" w:rsidRPr="00EF58E4" w:rsidRDefault="000322C6" w:rsidP="00825B90">
            <w:pPr>
              <w:jc w:val="right"/>
            </w:pPr>
          </w:p>
        </w:tc>
        <w:tc>
          <w:tcPr>
            <w:tcW w:w="960" w:type="dxa"/>
            <w:noWrap/>
            <w:hideMark/>
          </w:tcPr>
          <w:p w14:paraId="0EE0E4DE" w14:textId="77777777" w:rsidR="000322C6" w:rsidRPr="00EF58E4" w:rsidRDefault="000322C6" w:rsidP="00825B90">
            <w:pPr>
              <w:jc w:val="right"/>
            </w:pPr>
          </w:p>
        </w:tc>
        <w:tc>
          <w:tcPr>
            <w:tcW w:w="960" w:type="dxa"/>
            <w:noWrap/>
            <w:hideMark/>
          </w:tcPr>
          <w:p w14:paraId="64B8CD3F" w14:textId="77777777" w:rsidR="000322C6" w:rsidRPr="00EF58E4" w:rsidRDefault="000322C6" w:rsidP="00825B90">
            <w:pPr>
              <w:jc w:val="right"/>
            </w:pPr>
          </w:p>
        </w:tc>
        <w:tc>
          <w:tcPr>
            <w:tcW w:w="960" w:type="dxa"/>
            <w:noWrap/>
            <w:hideMark/>
          </w:tcPr>
          <w:p w14:paraId="20A6D75C" w14:textId="77777777" w:rsidR="000322C6" w:rsidRPr="00EF58E4" w:rsidRDefault="000322C6" w:rsidP="00825B90">
            <w:pPr>
              <w:jc w:val="right"/>
            </w:pPr>
          </w:p>
        </w:tc>
      </w:tr>
      <w:tr w:rsidR="000322C6" w:rsidRPr="00EF58E4" w14:paraId="57D3179B" w14:textId="77777777" w:rsidTr="000322C6">
        <w:trPr>
          <w:trHeight w:val="288"/>
        </w:trPr>
        <w:tc>
          <w:tcPr>
            <w:tcW w:w="1434" w:type="dxa"/>
            <w:noWrap/>
            <w:hideMark/>
          </w:tcPr>
          <w:p w14:paraId="1D1AEB45" w14:textId="77777777" w:rsidR="000322C6" w:rsidRPr="000322C6" w:rsidRDefault="000322C6" w:rsidP="00825B90">
            <w:pPr>
              <w:jc w:val="right"/>
              <w:rPr>
                <w:b/>
                <w:bCs/>
              </w:rPr>
            </w:pPr>
            <w:r w:rsidRPr="000322C6">
              <w:rPr>
                <w:b/>
                <w:bCs/>
              </w:rPr>
              <w:t>GUA</w:t>
            </w:r>
          </w:p>
        </w:tc>
        <w:tc>
          <w:tcPr>
            <w:tcW w:w="960" w:type="dxa"/>
            <w:noWrap/>
            <w:hideMark/>
          </w:tcPr>
          <w:p w14:paraId="2CC0735C" w14:textId="77777777" w:rsidR="000322C6" w:rsidRPr="00EF58E4" w:rsidRDefault="000322C6" w:rsidP="00825B90">
            <w:pPr>
              <w:jc w:val="right"/>
            </w:pPr>
            <w:r w:rsidRPr="00EF58E4">
              <w:t>0.04</w:t>
            </w:r>
          </w:p>
        </w:tc>
        <w:tc>
          <w:tcPr>
            <w:tcW w:w="960" w:type="dxa"/>
            <w:noWrap/>
            <w:hideMark/>
          </w:tcPr>
          <w:p w14:paraId="6E165A39" w14:textId="77777777" w:rsidR="000322C6" w:rsidRPr="00EF58E4" w:rsidRDefault="000322C6" w:rsidP="00825B90">
            <w:pPr>
              <w:jc w:val="right"/>
            </w:pPr>
            <w:r w:rsidRPr="00EF58E4">
              <w:t>0.164</w:t>
            </w:r>
          </w:p>
        </w:tc>
        <w:tc>
          <w:tcPr>
            <w:tcW w:w="960" w:type="dxa"/>
            <w:noWrap/>
            <w:hideMark/>
          </w:tcPr>
          <w:p w14:paraId="6A9039AF" w14:textId="77777777" w:rsidR="000322C6" w:rsidRPr="00EF58E4" w:rsidRDefault="000322C6" w:rsidP="00825B90">
            <w:pPr>
              <w:jc w:val="right"/>
            </w:pPr>
          </w:p>
        </w:tc>
        <w:tc>
          <w:tcPr>
            <w:tcW w:w="960" w:type="dxa"/>
            <w:noWrap/>
            <w:hideMark/>
          </w:tcPr>
          <w:p w14:paraId="3A01EDE1" w14:textId="77777777" w:rsidR="000322C6" w:rsidRPr="00EF58E4" w:rsidRDefault="000322C6" w:rsidP="00825B90">
            <w:pPr>
              <w:jc w:val="right"/>
            </w:pPr>
          </w:p>
        </w:tc>
        <w:tc>
          <w:tcPr>
            <w:tcW w:w="960" w:type="dxa"/>
            <w:noWrap/>
            <w:hideMark/>
          </w:tcPr>
          <w:p w14:paraId="770F9B84" w14:textId="77777777" w:rsidR="000322C6" w:rsidRPr="00EF58E4" w:rsidRDefault="000322C6" w:rsidP="00825B90">
            <w:pPr>
              <w:jc w:val="right"/>
            </w:pPr>
          </w:p>
        </w:tc>
        <w:tc>
          <w:tcPr>
            <w:tcW w:w="960" w:type="dxa"/>
            <w:noWrap/>
            <w:hideMark/>
          </w:tcPr>
          <w:p w14:paraId="2CCDFB6F" w14:textId="77777777" w:rsidR="000322C6" w:rsidRPr="00EF58E4" w:rsidRDefault="000322C6" w:rsidP="00825B90">
            <w:pPr>
              <w:jc w:val="right"/>
            </w:pPr>
          </w:p>
        </w:tc>
        <w:tc>
          <w:tcPr>
            <w:tcW w:w="960" w:type="dxa"/>
            <w:noWrap/>
            <w:hideMark/>
          </w:tcPr>
          <w:p w14:paraId="75339B20" w14:textId="77777777" w:rsidR="000322C6" w:rsidRPr="00EF58E4" w:rsidRDefault="000322C6" w:rsidP="00825B90">
            <w:pPr>
              <w:jc w:val="right"/>
            </w:pPr>
          </w:p>
        </w:tc>
      </w:tr>
      <w:tr w:rsidR="000322C6" w:rsidRPr="00EF58E4" w14:paraId="5C53D5B1" w14:textId="77777777" w:rsidTr="000322C6">
        <w:trPr>
          <w:trHeight w:val="288"/>
        </w:trPr>
        <w:tc>
          <w:tcPr>
            <w:tcW w:w="1434" w:type="dxa"/>
            <w:noWrap/>
            <w:hideMark/>
          </w:tcPr>
          <w:p w14:paraId="583D6E3F" w14:textId="77777777" w:rsidR="000322C6" w:rsidRPr="000322C6" w:rsidRDefault="000322C6" w:rsidP="00825B90">
            <w:pPr>
              <w:jc w:val="right"/>
              <w:rPr>
                <w:b/>
                <w:bCs/>
              </w:rPr>
            </w:pPr>
            <w:r w:rsidRPr="000322C6">
              <w:rPr>
                <w:b/>
                <w:bCs/>
              </w:rPr>
              <w:t>ROT</w:t>
            </w:r>
          </w:p>
        </w:tc>
        <w:tc>
          <w:tcPr>
            <w:tcW w:w="960" w:type="dxa"/>
            <w:noWrap/>
            <w:hideMark/>
          </w:tcPr>
          <w:p w14:paraId="47BB5807" w14:textId="77777777" w:rsidR="000322C6" w:rsidRPr="00EF58E4" w:rsidRDefault="000322C6" w:rsidP="00825B90">
            <w:pPr>
              <w:jc w:val="right"/>
            </w:pPr>
            <w:r w:rsidRPr="00EF58E4">
              <w:t>0.037</w:t>
            </w:r>
          </w:p>
        </w:tc>
        <w:tc>
          <w:tcPr>
            <w:tcW w:w="960" w:type="dxa"/>
            <w:noWrap/>
            <w:hideMark/>
          </w:tcPr>
          <w:p w14:paraId="792CE905" w14:textId="77777777" w:rsidR="000322C6" w:rsidRPr="00EF58E4" w:rsidRDefault="000322C6" w:rsidP="00825B90">
            <w:pPr>
              <w:jc w:val="right"/>
            </w:pPr>
            <w:r w:rsidRPr="00EF58E4">
              <w:t>0.135</w:t>
            </w:r>
          </w:p>
        </w:tc>
        <w:tc>
          <w:tcPr>
            <w:tcW w:w="960" w:type="dxa"/>
            <w:noWrap/>
            <w:hideMark/>
          </w:tcPr>
          <w:p w14:paraId="4AF454E9" w14:textId="77777777" w:rsidR="000322C6" w:rsidRPr="00EF58E4" w:rsidRDefault="000322C6" w:rsidP="00825B90">
            <w:pPr>
              <w:jc w:val="right"/>
            </w:pPr>
            <w:r w:rsidRPr="00EF58E4">
              <w:t>0.164</w:t>
            </w:r>
          </w:p>
        </w:tc>
        <w:tc>
          <w:tcPr>
            <w:tcW w:w="960" w:type="dxa"/>
            <w:noWrap/>
            <w:hideMark/>
          </w:tcPr>
          <w:p w14:paraId="1A6A3E4C" w14:textId="77777777" w:rsidR="000322C6" w:rsidRPr="00EF58E4" w:rsidRDefault="000322C6" w:rsidP="00825B90">
            <w:pPr>
              <w:jc w:val="right"/>
            </w:pPr>
          </w:p>
        </w:tc>
        <w:tc>
          <w:tcPr>
            <w:tcW w:w="960" w:type="dxa"/>
            <w:noWrap/>
            <w:hideMark/>
          </w:tcPr>
          <w:p w14:paraId="78E4A04E" w14:textId="77777777" w:rsidR="000322C6" w:rsidRPr="00EF58E4" w:rsidRDefault="000322C6" w:rsidP="00825B90">
            <w:pPr>
              <w:jc w:val="right"/>
            </w:pPr>
          </w:p>
        </w:tc>
        <w:tc>
          <w:tcPr>
            <w:tcW w:w="960" w:type="dxa"/>
            <w:noWrap/>
            <w:hideMark/>
          </w:tcPr>
          <w:p w14:paraId="75E6C11A" w14:textId="77777777" w:rsidR="000322C6" w:rsidRPr="00EF58E4" w:rsidRDefault="000322C6" w:rsidP="00825B90">
            <w:pPr>
              <w:jc w:val="right"/>
            </w:pPr>
          </w:p>
        </w:tc>
        <w:tc>
          <w:tcPr>
            <w:tcW w:w="960" w:type="dxa"/>
            <w:noWrap/>
            <w:hideMark/>
          </w:tcPr>
          <w:p w14:paraId="308AEA86" w14:textId="77777777" w:rsidR="000322C6" w:rsidRPr="00EF58E4" w:rsidRDefault="000322C6" w:rsidP="00825B90">
            <w:pPr>
              <w:jc w:val="right"/>
            </w:pPr>
          </w:p>
        </w:tc>
      </w:tr>
      <w:tr w:rsidR="000322C6" w:rsidRPr="00EF58E4" w14:paraId="39473576" w14:textId="77777777" w:rsidTr="000322C6">
        <w:trPr>
          <w:trHeight w:val="288"/>
        </w:trPr>
        <w:tc>
          <w:tcPr>
            <w:tcW w:w="1434" w:type="dxa"/>
            <w:noWrap/>
            <w:hideMark/>
          </w:tcPr>
          <w:p w14:paraId="1739DE4A" w14:textId="77777777" w:rsidR="000322C6" w:rsidRPr="000322C6" w:rsidRDefault="000322C6" w:rsidP="00825B90">
            <w:pPr>
              <w:jc w:val="right"/>
              <w:rPr>
                <w:b/>
                <w:bCs/>
              </w:rPr>
            </w:pPr>
            <w:r w:rsidRPr="000322C6">
              <w:rPr>
                <w:b/>
                <w:bCs/>
              </w:rPr>
              <w:t>SAI</w:t>
            </w:r>
          </w:p>
        </w:tc>
        <w:tc>
          <w:tcPr>
            <w:tcW w:w="960" w:type="dxa"/>
            <w:noWrap/>
            <w:hideMark/>
          </w:tcPr>
          <w:p w14:paraId="22118172" w14:textId="77777777" w:rsidR="000322C6" w:rsidRPr="00EF58E4" w:rsidRDefault="000322C6" w:rsidP="00825B90">
            <w:pPr>
              <w:jc w:val="right"/>
            </w:pPr>
            <w:r w:rsidRPr="00EF58E4">
              <w:t>0.016</w:t>
            </w:r>
          </w:p>
        </w:tc>
        <w:tc>
          <w:tcPr>
            <w:tcW w:w="960" w:type="dxa"/>
            <w:noWrap/>
            <w:hideMark/>
          </w:tcPr>
          <w:p w14:paraId="149FAD9C" w14:textId="77777777" w:rsidR="000322C6" w:rsidRPr="00EF58E4" w:rsidRDefault="000322C6" w:rsidP="00825B90">
            <w:pPr>
              <w:jc w:val="right"/>
            </w:pPr>
            <w:r w:rsidRPr="00EF58E4">
              <w:t>0.146</w:t>
            </w:r>
          </w:p>
        </w:tc>
        <w:tc>
          <w:tcPr>
            <w:tcW w:w="960" w:type="dxa"/>
            <w:noWrap/>
            <w:hideMark/>
          </w:tcPr>
          <w:p w14:paraId="4CD4002E" w14:textId="77777777" w:rsidR="000322C6" w:rsidRPr="00EF58E4" w:rsidRDefault="000322C6" w:rsidP="00825B90">
            <w:pPr>
              <w:jc w:val="right"/>
            </w:pPr>
            <w:r w:rsidRPr="00EF58E4">
              <w:t>0.177</w:t>
            </w:r>
          </w:p>
        </w:tc>
        <w:tc>
          <w:tcPr>
            <w:tcW w:w="960" w:type="dxa"/>
            <w:noWrap/>
            <w:hideMark/>
          </w:tcPr>
          <w:p w14:paraId="7C17BBA0" w14:textId="77777777" w:rsidR="000322C6" w:rsidRPr="00EF58E4" w:rsidRDefault="000322C6" w:rsidP="00825B90">
            <w:pPr>
              <w:jc w:val="right"/>
            </w:pPr>
            <w:r w:rsidRPr="00EF58E4">
              <w:t>0.227</w:t>
            </w:r>
          </w:p>
        </w:tc>
        <w:tc>
          <w:tcPr>
            <w:tcW w:w="960" w:type="dxa"/>
            <w:noWrap/>
            <w:hideMark/>
          </w:tcPr>
          <w:p w14:paraId="3585DDF0" w14:textId="77777777" w:rsidR="000322C6" w:rsidRPr="00EF58E4" w:rsidRDefault="000322C6" w:rsidP="00825B90">
            <w:pPr>
              <w:jc w:val="right"/>
            </w:pPr>
          </w:p>
        </w:tc>
        <w:tc>
          <w:tcPr>
            <w:tcW w:w="960" w:type="dxa"/>
            <w:noWrap/>
            <w:hideMark/>
          </w:tcPr>
          <w:p w14:paraId="6BA020EB" w14:textId="77777777" w:rsidR="000322C6" w:rsidRPr="00EF58E4" w:rsidRDefault="000322C6" w:rsidP="00825B90">
            <w:pPr>
              <w:jc w:val="right"/>
            </w:pPr>
          </w:p>
        </w:tc>
        <w:tc>
          <w:tcPr>
            <w:tcW w:w="960" w:type="dxa"/>
            <w:noWrap/>
            <w:hideMark/>
          </w:tcPr>
          <w:p w14:paraId="791BC450" w14:textId="77777777" w:rsidR="000322C6" w:rsidRPr="00EF58E4" w:rsidRDefault="000322C6" w:rsidP="00825B90">
            <w:pPr>
              <w:jc w:val="right"/>
            </w:pPr>
          </w:p>
        </w:tc>
      </w:tr>
      <w:tr w:rsidR="000322C6" w:rsidRPr="00EF58E4" w14:paraId="06A8E3C3" w14:textId="77777777" w:rsidTr="000322C6">
        <w:trPr>
          <w:trHeight w:val="288"/>
        </w:trPr>
        <w:tc>
          <w:tcPr>
            <w:tcW w:w="1434" w:type="dxa"/>
            <w:noWrap/>
            <w:hideMark/>
          </w:tcPr>
          <w:p w14:paraId="7BDAC834" w14:textId="77777777" w:rsidR="000322C6" w:rsidRPr="000322C6" w:rsidRDefault="000322C6" w:rsidP="00825B90">
            <w:pPr>
              <w:jc w:val="right"/>
              <w:rPr>
                <w:b/>
                <w:bCs/>
              </w:rPr>
            </w:pPr>
            <w:r w:rsidRPr="000322C6">
              <w:rPr>
                <w:b/>
                <w:bCs/>
              </w:rPr>
              <w:t>QLD</w:t>
            </w:r>
          </w:p>
        </w:tc>
        <w:tc>
          <w:tcPr>
            <w:tcW w:w="960" w:type="dxa"/>
            <w:noWrap/>
            <w:hideMark/>
          </w:tcPr>
          <w:p w14:paraId="133F7904" w14:textId="77777777" w:rsidR="000322C6" w:rsidRPr="00EF58E4" w:rsidRDefault="000322C6" w:rsidP="00825B90">
            <w:pPr>
              <w:jc w:val="right"/>
            </w:pPr>
            <w:r w:rsidRPr="00EF58E4">
              <w:t>0.036</w:t>
            </w:r>
          </w:p>
        </w:tc>
        <w:tc>
          <w:tcPr>
            <w:tcW w:w="960" w:type="dxa"/>
            <w:noWrap/>
            <w:hideMark/>
          </w:tcPr>
          <w:p w14:paraId="05124754" w14:textId="77777777" w:rsidR="000322C6" w:rsidRPr="00EF58E4" w:rsidRDefault="000322C6" w:rsidP="00825B90">
            <w:pPr>
              <w:jc w:val="right"/>
            </w:pPr>
            <w:r w:rsidRPr="00EF58E4">
              <w:t>0.108</w:t>
            </w:r>
          </w:p>
        </w:tc>
        <w:tc>
          <w:tcPr>
            <w:tcW w:w="960" w:type="dxa"/>
            <w:noWrap/>
            <w:hideMark/>
          </w:tcPr>
          <w:p w14:paraId="29470FD3" w14:textId="77777777" w:rsidR="000322C6" w:rsidRPr="00EF58E4" w:rsidRDefault="000322C6" w:rsidP="00825B90">
            <w:pPr>
              <w:jc w:val="right"/>
            </w:pPr>
            <w:r w:rsidRPr="00EF58E4">
              <w:t>0.177</w:t>
            </w:r>
          </w:p>
        </w:tc>
        <w:tc>
          <w:tcPr>
            <w:tcW w:w="960" w:type="dxa"/>
            <w:noWrap/>
            <w:hideMark/>
          </w:tcPr>
          <w:p w14:paraId="2636CEDF" w14:textId="77777777" w:rsidR="000322C6" w:rsidRPr="00EF58E4" w:rsidRDefault="000322C6" w:rsidP="00825B90">
            <w:pPr>
              <w:jc w:val="right"/>
            </w:pPr>
            <w:r w:rsidRPr="00EF58E4">
              <w:t>0.158</w:t>
            </w:r>
          </w:p>
        </w:tc>
        <w:tc>
          <w:tcPr>
            <w:tcW w:w="960" w:type="dxa"/>
            <w:noWrap/>
            <w:hideMark/>
          </w:tcPr>
          <w:p w14:paraId="1FAB03DA" w14:textId="77777777" w:rsidR="000322C6" w:rsidRPr="00EF58E4" w:rsidRDefault="000322C6" w:rsidP="00825B90">
            <w:pPr>
              <w:jc w:val="right"/>
            </w:pPr>
            <w:r w:rsidRPr="00EF58E4">
              <w:t>0.204</w:t>
            </w:r>
          </w:p>
        </w:tc>
        <w:tc>
          <w:tcPr>
            <w:tcW w:w="960" w:type="dxa"/>
            <w:noWrap/>
            <w:hideMark/>
          </w:tcPr>
          <w:p w14:paraId="7EBF7691" w14:textId="77777777" w:rsidR="000322C6" w:rsidRPr="00EF58E4" w:rsidRDefault="000322C6" w:rsidP="00825B90">
            <w:pPr>
              <w:jc w:val="right"/>
            </w:pPr>
          </w:p>
        </w:tc>
        <w:tc>
          <w:tcPr>
            <w:tcW w:w="960" w:type="dxa"/>
            <w:noWrap/>
            <w:hideMark/>
          </w:tcPr>
          <w:p w14:paraId="1234979C" w14:textId="77777777" w:rsidR="000322C6" w:rsidRPr="00EF58E4" w:rsidRDefault="000322C6" w:rsidP="00825B90">
            <w:pPr>
              <w:jc w:val="right"/>
            </w:pPr>
          </w:p>
        </w:tc>
      </w:tr>
      <w:tr w:rsidR="000322C6" w:rsidRPr="00EF58E4" w14:paraId="0B3A41F9" w14:textId="77777777" w:rsidTr="000322C6">
        <w:trPr>
          <w:trHeight w:val="288"/>
        </w:trPr>
        <w:tc>
          <w:tcPr>
            <w:tcW w:w="1434" w:type="dxa"/>
            <w:noWrap/>
            <w:hideMark/>
          </w:tcPr>
          <w:p w14:paraId="18366A23" w14:textId="77777777" w:rsidR="000322C6" w:rsidRPr="000322C6" w:rsidRDefault="000322C6" w:rsidP="00825B90">
            <w:pPr>
              <w:jc w:val="right"/>
              <w:rPr>
                <w:b/>
                <w:bCs/>
              </w:rPr>
            </w:pPr>
            <w:r w:rsidRPr="000322C6">
              <w:rPr>
                <w:b/>
                <w:bCs/>
              </w:rPr>
              <w:t>NSW</w:t>
            </w:r>
          </w:p>
        </w:tc>
        <w:tc>
          <w:tcPr>
            <w:tcW w:w="960" w:type="dxa"/>
            <w:noWrap/>
            <w:hideMark/>
          </w:tcPr>
          <w:p w14:paraId="7A928053" w14:textId="77777777" w:rsidR="000322C6" w:rsidRPr="00EF58E4" w:rsidRDefault="000322C6" w:rsidP="00825B90">
            <w:pPr>
              <w:jc w:val="right"/>
            </w:pPr>
            <w:r w:rsidRPr="00EF58E4">
              <w:t>0.02</w:t>
            </w:r>
          </w:p>
        </w:tc>
        <w:tc>
          <w:tcPr>
            <w:tcW w:w="960" w:type="dxa"/>
            <w:noWrap/>
            <w:hideMark/>
          </w:tcPr>
          <w:p w14:paraId="6151F885" w14:textId="77777777" w:rsidR="000322C6" w:rsidRPr="00EF58E4" w:rsidRDefault="000322C6" w:rsidP="00825B90">
            <w:pPr>
              <w:jc w:val="right"/>
            </w:pPr>
            <w:r w:rsidRPr="00EF58E4">
              <w:t>0.107</w:t>
            </w:r>
          </w:p>
        </w:tc>
        <w:tc>
          <w:tcPr>
            <w:tcW w:w="960" w:type="dxa"/>
            <w:noWrap/>
            <w:hideMark/>
          </w:tcPr>
          <w:p w14:paraId="20B7F6A3" w14:textId="77777777" w:rsidR="000322C6" w:rsidRPr="00EF58E4" w:rsidRDefault="000322C6" w:rsidP="00825B90">
            <w:pPr>
              <w:jc w:val="right"/>
            </w:pPr>
            <w:r w:rsidRPr="00EF58E4">
              <w:t>0.242</w:t>
            </w:r>
          </w:p>
        </w:tc>
        <w:tc>
          <w:tcPr>
            <w:tcW w:w="960" w:type="dxa"/>
            <w:noWrap/>
            <w:hideMark/>
          </w:tcPr>
          <w:p w14:paraId="4C7D8968" w14:textId="77777777" w:rsidR="000322C6" w:rsidRPr="00EF58E4" w:rsidRDefault="000322C6" w:rsidP="00825B90">
            <w:pPr>
              <w:jc w:val="right"/>
            </w:pPr>
            <w:r w:rsidRPr="00EF58E4">
              <w:t>0.208</w:t>
            </w:r>
          </w:p>
        </w:tc>
        <w:tc>
          <w:tcPr>
            <w:tcW w:w="960" w:type="dxa"/>
            <w:noWrap/>
            <w:hideMark/>
          </w:tcPr>
          <w:p w14:paraId="070D2B7C" w14:textId="77777777" w:rsidR="000322C6" w:rsidRPr="00EF58E4" w:rsidRDefault="000322C6" w:rsidP="00825B90">
            <w:pPr>
              <w:jc w:val="right"/>
            </w:pPr>
            <w:r w:rsidRPr="00EF58E4">
              <w:t>0.283</w:t>
            </w:r>
          </w:p>
        </w:tc>
        <w:tc>
          <w:tcPr>
            <w:tcW w:w="960" w:type="dxa"/>
            <w:noWrap/>
            <w:hideMark/>
          </w:tcPr>
          <w:p w14:paraId="1F49D937" w14:textId="77777777" w:rsidR="000322C6" w:rsidRPr="00EF58E4" w:rsidRDefault="000322C6" w:rsidP="00825B90">
            <w:pPr>
              <w:jc w:val="right"/>
            </w:pPr>
            <w:r w:rsidRPr="00EF58E4">
              <w:t>0.038</w:t>
            </w:r>
          </w:p>
        </w:tc>
        <w:tc>
          <w:tcPr>
            <w:tcW w:w="960" w:type="dxa"/>
            <w:noWrap/>
            <w:hideMark/>
          </w:tcPr>
          <w:p w14:paraId="6F1ECA0D" w14:textId="77777777" w:rsidR="000322C6" w:rsidRPr="00EF58E4" w:rsidRDefault="000322C6" w:rsidP="00825B90">
            <w:pPr>
              <w:jc w:val="right"/>
            </w:pPr>
          </w:p>
        </w:tc>
      </w:tr>
      <w:tr w:rsidR="000322C6" w:rsidRPr="00EF58E4" w14:paraId="06030FA6" w14:textId="77777777" w:rsidTr="000322C6">
        <w:trPr>
          <w:trHeight w:val="288"/>
        </w:trPr>
        <w:tc>
          <w:tcPr>
            <w:tcW w:w="1434" w:type="dxa"/>
            <w:noWrap/>
            <w:hideMark/>
          </w:tcPr>
          <w:p w14:paraId="55019AA3" w14:textId="77777777" w:rsidR="000322C6" w:rsidRPr="000322C6" w:rsidRDefault="000322C6" w:rsidP="00825B90">
            <w:pPr>
              <w:jc w:val="right"/>
              <w:rPr>
                <w:b/>
                <w:bCs/>
              </w:rPr>
            </w:pPr>
            <w:r w:rsidRPr="000322C6">
              <w:rPr>
                <w:b/>
                <w:bCs/>
              </w:rPr>
              <w:t>VIC</w:t>
            </w:r>
          </w:p>
        </w:tc>
        <w:tc>
          <w:tcPr>
            <w:tcW w:w="960" w:type="dxa"/>
            <w:noWrap/>
            <w:hideMark/>
          </w:tcPr>
          <w:p w14:paraId="39964D5C" w14:textId="77777777" w:rsidR="000322C6" w:rsidRPr="00EF58E4" w:rsidRDefault="000322C6" w:rsidP="00825B90">
            <w:pPr>
              <w:jc w:val="right"/>
            </w:pPr>
            <w:r w:rsidRPr="00EF58E4">
              <w:t>-0.025</w:t>
            </w:r>
          </w:p>
        </w:tc>
        <w:tc>
          <w:tcPr>
            <w:tcW w:w="960" w:type="dxa"/>
            <w:noWrap/>
            <w:hideMark/>
          </w:tcPr>
          <w:p w14:paraId="56229CB6" w14:textId="77777777" w:rsidR="000322C6" w:rsidRPr="00EF58E4" w:rsidRDefault="000322C6" w:rsidP="00825B90">
            <w:pPr>
              <w:jc w:val="right"/>
            </w:pPr>
            <w:r w:rsidRPr="00EF58E4">
              <w:t>0.102</w:t>
            </w:r>
          </w:p>
        </w:tc>
        <w:tc>
          <w:tcPr>
            <w:tcW w:w="960" w:type="dxa"/>
            <w:noWrap/>
            <w:hideMark/>
          </w:tcPr>
          <w:p w14:paraId="08E2C73D" w14:textId="77777777" w:rsidR="000322C6" w:rsidRPr="00EF58E4" w:rsidRDefault="000322C6" w:rsidP="00825B90">
            <w:pPr>
              <w:jc w:val="right"/>
            </w:pPr>
            <w:r w:rsidRPr="00EF58E4">
              <w:t>0.28</w:t>
            </w:r>
          </w:p>
        </w:tc>
        <w:tc>
          <w:tcPr>
            <w:tcW w:w="960" w:type="dxa"/>
            <w:noWrap/>
            <w:hideMark/>
          </w:tcPr>
          <w:p w14:paraId="7F022FD2" w14:textId="77777777" w:rsidR="000322C6" w:rsidRPr="00EF58E4" w:rsidRDefault="000322C6" w:rsidP="00825B90">
            <w:pPr>
              <w:jc w:val="right"/>
            </w:pPr>
            <w:r w:rsidRPr="00EF58E4">
              <w:t>0.236</w:t>
            </w:r>
          </w:p>
        </w:tc>
        <w:tc>
          <w:tcPr>
            <w:tcW w:w="960" w:type="dxa"/>
            <w:noWrap/>
            <w:hideMark/>
          </w:tcPr>
          <w:p w14:paraId="11F18221" w14:textId="77777777" w:rsidR="000322C6" w:rsidRPr="00EF58E4" w:rsidRDefault="000322C6" w:rsidP="00825B90">
            <w:pPr>
              <w:jc w:val="right"/>
            </w:pPr>
            <w:r w:rsidRPr="00EF58E4">
              <w:t>0.377</w:t>
            </w:r>
          </w:p>
        </w:tc>
        <w:tc>
          <w:tcPr>
            <w:tcW w:w="960" w:type="dxa"/>
            <w:noWrap/>
            <w:hideMark/>
          </w:tcPr>
          <w:p w14:paraId="7919E2C2" w14:textId="77777777" w:rsidR="000322C6" w:rsidRPr="00EF58E4" w:rsidRDefault="000322C6" w:rsidP="00825B90">
            <w:pPr>
              <w:jc w:val="right"/>
            </w:pPr>
            <w:r w:rsidRPr="00EF58E4">
              <w:t>0.053</w:t>
            </w:r>
          </w:p>
        </w:tc>
        <w:tc>
          <w:tcPr>
            <w:tcW w:w="960" w:type="dxa"/>
            <w:noWrap/>
            <w:hideMark/>
          </w:tcPr>
          <w:p w14:paraId="711D2436" w14:textId="77777777" w:rsidR="000322C6" w:rsidRPr="00EF58E4" w:rsidRDefault="000322C6" w:rsidP="00825B90">
            <w:pPr>
              <w:jc w:val="right"/>
            </w:pPr>
            <w:r w:rsidRPr="00EF58E4">
              <w:t>0.078</w:t>
            </w:r>
          </w:p>
        </w:tc>
      </w:tr>
      <w:tr w:rsidR="000322C6" w:rsidRPr="00EF58E4" w14:paraId="31BB646F" w14:textId="77777777" w:rsidTr="00825B90">
        <w:trPr>
          <w:trHeight w:val="288"/>
        </w:trPr>
        <w:tc>
          <w:tcPr>
            <w:tcW w:w="8154" w:type="dxa"/>
            <w:gridSpan w:val="8"/>
            <w:noWrap/>
          </w:tcPr>
          <w:p w14:paraId="4932823E" w14:textId="5EBAFAA6" w:rsidR="000322C6" w:rsidRPr="000322C6" w:rsidRDefault="000322C6" w:rsidP="000322C6">
            <w:r>
              <w:t>Table 2: Average pairwise F</w:t>
            </w:r>
            <w:r>
              <w:rPr>
                <w:vertAlign w:val="subscript"/>
              </w:rPr>
              <w:t>ST</w:t>
            </w:r>
            <w:r>
              <w:t xml:space="preserve"> across all sites for each pair of populations.</w:t>
            </w:r>
          </w:p>
        </w:tc>
      </w:tr>
    </w:tbl>
    <w:p w14:paraId="53B40EBA" w14:textId="6BD2B16D" w:rsidR="00625A53" w:rsidRDefault="00625A53" w:rsidP="00625A53">
      <w:pPr>
        <w:spacing w:after="240"/>
        <w:rPr>
          <w:rFonts w:ascii="Helvetica Neue" w:eastAsia="Times New Roman" w:hAnsi="Helvetica Neue" w:cs="Arial"/>
        </w:rPr>
      </w:pPr>
    </w:p>
    <w:p w14:paraId="3AFD0591" w14:textId="77777777" w:rsidR="00B0663E" w:rsidRDefault="00B0663E" w:rsidP="00625A53">
      <w:pPr>
        <w:spacing w:after="240"/>
        <w:rPr>
          <w:rFonts w:ascii="Helvetica Neue" w:eastAsia="Times New Roman" w:hAnsi="Helvetica Neue" w:cs="Arial"/>
        </w:rPr>
      </w:pPr>
    </w:p>
    <w:p w14:paraId="17CB69A3" w14:textId="77777777" w:rsidR="00B0663E" w:rsidRDefault="00B0663E" w:rsidP="00625A53">
      <w:pPr>
        <w:spacing w:after="240"/>
        <w:rPr>
          <w:rFonts w:ascii="Helvetica Neue" w:eastAsia="Times New Roman" w:hAnsi="Helvetica Neue" w:cs="Arial"/>
        </w:rPr>
      </w:pPr>
    </w:p>
    <w:p w14:paraId="71A06382" w14:textId="77777777" w:rsidR="00B0663E" w:rsidRDefault="00B0663E" w:rsidP="00625A53">
      <w:pPr>
        <w:spacing w:after="240"/>
        <w:rPr>
          <w:rFonts w:ascii="Helvetica Neue" w:eastAsia="Times New Roman" w:hAnsi="Helvetica Neue" w:cs="Arial"/>
        </w:rPr>
      </w:pPr>
    </w:p>
    <w:p w14:paraId="31167581" w14:textId="77777777" w:rsidR="00B0663E" w:rsidRDefault="00B0663E" w:rsidP="00625A53">
      <w:pPr>
        <w:spacing w:after="240"/>
        <w:rPr>
          <w:rFonts w:ascii="Helvetica Neue" w:eastAsia="Times New Roman" w:hAnsi="Helvetica Neue" w:cs="Arial"/>
        </w:rPr>
      </w:pPr>
    </w:p>
    <w:p w14:paraId="45A69255" w14:textId="77777777" w:rsidR="00B0663E" w:rsidRPr="001B063A" w:rsidRDefault="00B0663E" w:rsidP="00625A53">
      <w:pPr>
        <w:spacing w:after="240"/>
        <w:rPr>
          <w:rFonts w:ascii="Helvetica Neue" w:eastAsia="Times New Roman" w:hAnsi="Helvetica Neue" w:cs="Arial"/>
        </w:rPr>
      </w:pPr>
    </w:p>
    <w:p w14:paraId="6E38F640" w14:textId="462E9D74" w:rsidR="00625A53" w:rsidRDefault="00625A53" w:rsidP="00625A53">
      <w:pPr>
        <w:rPr>
          <w:rFonts w:ascii="Helvetica Neue" w:hAnsi="Helvetica Neue" w:cs="Arial"/>
          <w:color w:val="000000"/>
        </w:rPr>
      </w:pPr>
    </w:p>
    <w:p w14:paraId="055B3B3E" w14:textId="17FC73AC" w:rsidR="000322C6" w:rsidRDefault="000322C6" w:rsidP="00625A53">
      <w:pPr>
        <w:rPr>
          <w:rFonts w:ascii="Helvetica Neue" w:hAnsi="Helvetica Neue" w:cs="Arial"/>
          <w:color w:val="000000"/>
        </w:rPr>
      </w:pPr>
    </w:p>
    <w:p w14:paraId="4AEE3F29" w14:textId="30F9F225" w:rsidR="000322C6" w:rsidRDefault="000322C6" w:rsidP="00625A53">
      <w:pPr>
        <w:rPr>
          <w:rFonts w:ascii="Helvetica Neue" w:hAnsi="Helvetica Neue" w:cs="Arial"/>
          <w:color w:val="000000"/>
        </w:rPr>
      </w:pPr>
    </w:p>
    <w:p w14:paraId="7FCB3EA5" w14:textId="332F2B8A" w:rsidR="000322C6" w:rsidRDefault="000322C6" w:rsidP="00625A53">
      <w:pPr>
        <w:rPr>
          <w:rFonts w:ascii="Helvetica Neue" w:hAnsi="Helvetica Neue" w:cs="Arial"/>
          <w:color w:val="000000"/>
        </w:rPr>
      </w:pPr>
    </w:p>
    <w:p w14:paraId="33A620AE" w14:textId="07407AFF" w:rsidR="000322C6" w:rsidRDefault="000322C6" w:rsidP="00625A53">
      <w:pPr>
        <w:rPr>
          <w:rFonts w:ascii="Helvetica Neue" w:hAnsi="Helvetica Neue" w:cs="Arial"/>
          <w:color w:val="000000"/>
        </w:rPr>
      </w:pPr>
    </w:p>
    <w:p w14:paraId="4FBB3C90" w14:textId="5D0F356E" w:rsidR="000322C6" w:rsidRDefault="000322C6" w:rsidP="00625A53">
      <w:pPr>
        <w:rPr>
          <w:rFonts w:ascii="Helvetica Neue" w:hAnsi="Helvetica Neue" w:cs="Arial"/>
          <w:color w:val="000000"/>
        </w:rPr>
      </w:pPr>
    </w:p>
    <w:p w14:paraId="2B81A3FD" w14:textId="277CF163" w:rsidR="000322C6" w:rsidRDefault="000322C6" w:rsidP="00625A53">
      <w:pPr>
        <w:rPr>
          <w:rFonts w:ascii="Helvetica Neue" w:hAnsi="Helvetica Neue" w:cs="Arial"/>
          <w:color w:val="000000"/>
        </w:rPr>
      </w:pPr>
    </w:p>
    <w:p w14:paraId="7F451996" w14:textId="18F3794B" w:rsidR="000322C6" w:rsidRDefault="000322C6" w:rsidP="00625A53">
      <w:pPr>
        <w:rPr>
          <w:rFonts w:ascii="Helvetica Neue" w:hAnsi="Helvetica Neue" w:cs="Arial"/>
          <w:color w:val="000000"/>
        </w:rPr>
      </w:pPr>
    </w:p>
    <w:p w14:paraId="4F80F801" w14:textId="21B71C53" w:rsidR="000322C6" w:rsidRDefault="000322C6" w:rsidP="00625A53">
      <w:pPr>
        <w:rPr>
          <w:rFonts w:ascii="Helvetica Neue" w:hAnsi="Helvetica Neue" w:cs="Arial"/>
          <w:color w:val="000000"/>
        </w:rPr>
      </w:pPr>
    </w:p>
    <w:p w14:paraId="08C66D74" w14:textId="3F61B1B0" w:rsidR="000322C6" w:rsidRDefault="000322C6" w:rsidP="00625A53">
      <w:pPr>
        <w:rPr>
          <w:rFonts w:ascii="Helvetica Neue" w:hAnsi="Helvetica Neue" w:cs="Arial"/>
          <w:color w:val="000000"/>
        </w:rPr>
      </w:pPr>
    </w:p>
    <w:p w14:paraId="21EA8FC5" w14:textId="3E9A4272" w:rsidR="000322C6" w:rsidRDefault="000322C6" w:rsidP="00625A53">
      <w:pPr>
        <w:rPr>
          <w:rFonts w:ascii="Helvetica Neue" w:hAnsi="Helvetica Neue" w:cs="Arial"/>
          <w:color w:val="000000"/>
        </w:rPr>
      </w:pPr>
    </w:p>
    <w:p w14:paraId="3EF3ED00" w14:textId="2ED7EDD2" w:rsidR="000322C6" w:rsidRDefault="000322C6" w:rsidP="00625A53">
      <w:pPr>
        <w:rPr>
          <w:rFonts w:ascii="Helvetica Neue" w:hAnsi="Helvetica Neue" w:cs="Arial"/>
          <w:color w:val="000000"/>
        </w:rPr>
      </w:pPr>
    </w:p>
    <w:p w14:paraId="2CCB5C72" w14:textId="10A63C03" w:rsidR="000322C6" w:rsidRDefault="000322C6" w:rsidP="00625A53">
      <w:pPr>
        <w:rPr>
          <w:rFonts w:ascii="Helvetica Neue" w:hAnsi="Helvetica Neue" w:cs="Arial"/>
          <w:color w:val="000000"/>
        </w:rPr>
      </w:pPr>
    </w:p>
    <w:p w14:paraId="5458F437" w14:textId="739DB380" w:rsidR="000322C6" w:rsidRDefault="000322C6" w:rsidP="00625A53">
      <w:pPr>
        <w:rPr>
          <w:rFonts w:ascii="Helvetica Neue" w:hAnsi="Helvetica Neue" w:cs="Arial"/>
          <w:color w:val="000000"/>
        </w:rPr>
      </w:pPr>
    </w:p>
    <w:p w14:paraId="03FC2752" w14:textId="7B7D24F7" w:rsidR="000322C6" w:rsidRDefault="000322C6" w:rsidP="00625A53">
      <w:pPr>
        <w:rPr>
          <w:rFonts w:ascii="Helvetica Neue" w:hAnsi="Helvetica Neue" w:cs="Arial"/>
          <w:color w:val="000000"/>
        </w:rPr>
      </w:pPr>
    </w:p>
    <w:p w14:paraId="0B001012" w14:textId="1C752B3A" w:rsidR="000322C6" w:rsidRDefault="000322C6" w:rsidP="00625A53">
      <w:pPr>
        <w:rPr>
          <w:rFonts w:ascii="Helvetica Neue" w:hAnsi="Helvetica Neue" w:cs="Arial"/>
          <w:color w:val="000000"/>
        </w:rPr>
      </w:pPr>
    </w:p>
    <w:p w14:paraId="56081BBF" w14:textId="77777777" w:rsidR="000322C6" w:rsidRPr="001B063A" w:rsidRDefault="000322C6"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40A055F3"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58E69F8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r w:rsidR="0008472C">
              <w:rPr>
                <w:rFonts w:ascii="Helvetica Neue" w:eastAsia="Times New Roman" w:hAnsi="Helvetica Neue" w:cs="Arial"/>
              </w:rPr>
              <w:t>.</w:t>
            </w:r>
          </w:p>
        </w:tc>
      </w:tr>
    </w:tbl>
    <w:p w14:paraId="73145585" w14:textId="77777777" w:rsidR="00C748B1" w:rsidRPr="001B063A" w:rsidRDefault="00C748B1" w:rsidP="00625A53">
      <w:pPr>
        <w:rPr>
          <w:rFonts w:ascii="Helvetica Neue" w:eastAsia="Times New Roman" w:hAnsi="Helvetica Neue" w:cs="Arial"/>
        </w:rPr>
      </w:pPr>
    </w:p>
    <w:p w14:paraId="6E21C540" w14:textId="2F356102" w:rsidR="004C5CDD" w:rsidRDefault="004C5CDD">
      <w:pPr>
        <w:rPr>
          <w:rFonts w:ascii="Helvetica Neue" w:hAnsi="Helvetica Neue" w:cs="Arial"/>
        </w:rPr>
      </w:pPr>
    </w:p>
    <w:p w14:paraId="2DD74A51" w14:textId="374ACEEE" w:rsidR="0008472C" w:rsidRDefault="0008472C">
      <w:pPr>
        <w:rPr>
          <w:rFonts w:ascii="Helvetica Neue" w:hAnsi="Helvetica Neue" w:cs="Arial"/>
        </w:rPr>
      </w:pPr>
    </w:p>
    <w:p w14:paraId="4BF16191" w14:textId="0638E11B" w:rsidR="0008472C" w:rsidRDefault="0008472C">
      <w:pPr>
        <w:rPr>
          <w:rFonts w:ascii="Helvetica Neue" w:hAnsi="Helvetica Neue" w:cs="Arial"/>
        </w:rPr>
      </w:pPr>
    </w:p>
    <w:p w14:paraId="4F206BB9" w14:textId="29D18AC6" w:rsidR="0008472C" w:rsidRDefault="0008472C">
      <w:pPr>
        <w:rPr>
          <w:rFonts w:ascii="Helvetica Neue" w:hAnsi="Helvetica Neue" w:cs="Arial"/>
        </w:rPr>
      </w:pPr>
    </w:p>
    <w:p w14:paraId="66C59D5A" w14:textId="46327437" w:rsidR="0008472C" w:rsidRDefault="0008472C">
      <w:pPr>
        <w:rPr>
          <w:rFonts w:ascii="Helvetica Neue" w:hAnsi="Helvetica Neue" w:cs="Arial"/>
        </w:rPr>
      </w:pPr>
    </w:p>
    <w:p w14:paraId="18A138C0" w14:textId="7C0ADE43" w:rsidR="0008472C" w:rsidRDefault="0008472C">
      <w:pPr>
        <w:rPr>
          <w:rFonts w:ascii="Helvetica Neue" w:hAnsi="Helvetica Neue" w:cs="Arial"/>
        </w:rPr>
      </w:pPr>
    </w:p>
    <w:p w14:paraId="47FD993D" w14:textId="66EC9E63" w:rsidR="0008472C" w:rsidRDefault="0008472C">
      <w:pPr>
        <w:rPr>
          <w:rFonts w:ascii="Helvetica Neue" w:hAnsi="Helvetica Neue" w:cs="Arial"/>
        </w:rPr>
      </w:pPr>
    </w:p>
    <w:p w14:paraId="1E852504" w14:textId="74E9D740" w:rsidR="0008472C" w:rsidRDefault="0008472C">
      <w:pPr>
        <w:rPr>
          <w:rFonts w:ascii="Helvetica Neue" w:hAnsi="Helvetica Neue" w:cs="Arial"/>
        </w:rPr>
      </w:pPr>
    </w:p>
    <w:p w14:paraId="49F3B96C" w14:textId="261D31C9" w:rsidR="0008472C" w:rsidRDefault="0008472C">
      <w:pPr>
        <w:rPr>
          <w:rFonts w:ascii="Helvetica Neue" w:hAnsi="Helvetica Neue" w:cs="Arial"/>
        </w:rPr>
      </w:pPr>
    </w:p>
    <w:p w14:paraId="490BC5C9" w14:textId="63AF7AB9" w:rsidR="0008472C" w:rsidRDefault="0008472C">
      <w:pPr>
        <w:rPr>
          <w:rFonts w:ascii="Helvetica Neue" w:hAnsi="Helvetica Neue" w:cs="Arial"/>
        </w:rPr>
      </w:pPr>
    </w:p>
    <w:p w14:paraId="5E03E8B7" w14:textId="5703A8B1" w:rsidR="0008472C" w:rsidRDefault="0008472C">
      <w:pPr>
        <w:rPr>
          <w:rFonts w:ascii="Helvetica Neue" w:hAnsi="Helvetica Neue" w:cs="Arial"/>
        </w:rPr>
      </w:pPr>
    </w:p>
    <w:p w14:paraId="426B83F0" w14:textId="31B16EC5" w:rsidR="0008472C" w:rsidRDefault="0008472C">
      <w:pPr>
        <w:rPr>
          <w:rFonts w:ascii="Helvetica Neue" w:hAnsi="Helvetica Neue" w:cs="Arial"/>
        </w:rPr>
      </w:pPr>
    </w:p>
    <w:p w14:paraId="7EF35A92" w14:textId="77777777" w:rsidR="0008472C" w:rsidRDefault="0008472C">
      <w:pPr>
        <w:rPr>
          <w:rFonts w:ascii="Helvetica Neue" w:hAnsi="Helvetica Neue" w:cs="Arial"/>
        </w:rPr>
      </w:pPr>
    </w:p>
    <w:p w14:paraId="209924DC" w14:textId="77777777" w:rsidR="00D7319C" w:rsidRDefault="00D7319C">
      <w:pPr>
        <w:rPr>
          <w:rFonts w:ascii="Helvetica Neue" w:hAnsi="Helvetica Neue" w:cs="Arial"/>
        </w:rPr>
      </w:pPr>
    </w:p>
    <w:tbl>
      <w:tblPr>
        <w:tblStyle w:val="TableGrid"/>
        <w:tblW w:w="8892" w:type="dxa"/>
        <w:tblLook w:val="04A0" w:firstRow="1" w:lastRow="0" w:firstColumn="1" w:lastColumn="0" w:noHBand="0" w:noVBand="1"/>
      </w:tblPr>
      <w:tblGrid>
        <w:gridCol w:w="1778"/>
        <w:gridCol w:w="3204"/>
        <w:gridCol w:w="1866"/>
        <w:gridCol w:w="2044"/>
      </w:tblGrid>
      <w:tr w:rsidR="009B5463" w:rsidRPr="001B063A" w14:paraId="21B09218" w14:textId="77777777" w:rsidTr="00825B90">
        <w:tc>
          <w:tcPr>
            <w:tcW w:w="1778" w:type="dxa"/>
            <w:vAlign w:val="center"/>
          </w:tcPr>
          <w:p w14:paraId="4A29D804" w14:textId="24FCAF1C" w:rsidR="009B5463" w:rsidRPr="001B063A" w:rsidRDefault="009B5463" w:rsidP="00825B90">
            <w:pPr>
              <w:jc w:val="center"/>
              <w:rPr>
                <w:rFonts w:ascii="Helvetica Neue" w:eastAsia="Times New Roman" w:hAnsi="Helvetica Neue" w:cs="Arial"/>
                <w:b/>
              </w:rPr>
            </w:pPr>
            <w:r>
              <w:rPr>
                <w:rFonts w:ascii="Helvetica Neue" w:eastAsia="Times New Roman" w:hAnsi="Helvetica Neue" w:cs="Arial"/>
                <w:b/>
              </w:rPr>
              <w:lastRenderedPageBreak/>
              <w:t>Run</w:t>
            </w:r>
          </w:p>
        </w:tc>
        <w:tc>
          <w:tcPr>
            <w:tcW w:w="3204" w:type="dxa"/>
            <w:vAlign w:val="center"/>
          </w:tcPr>
          <w:p w14:paraId="4250DBC8" w14:textId="257DD760" w:rsidR="009B5463" w:rsidRPr="001B063A" w:rsidRDefault="009B5463" w:rsidP="00825B90">
            <w:pPr>
              <w:jc w:val="center"/>
              <w:rPr>
                <w:rFonts w:ascii="Helvetica Neue" w:eastAsia="Times New Roman" w:hAnsi="Helvetica Neue" w:cs="Arial"/>
                <w:b/>
              </w:rPr>
            </w:pPr>
            <w:r>
              <w:rPr>
                <w:rFonts w:ascii="Helvetica Neue" w:eastAsia="Times New Roman" w:hAnsi="Helvetica Neue" w:cs="Arial"/>
                <w:b/>
              </w:rPr>
              <w:t>Parameter Permutation</w:t>
            </w:r>
          </w:p>
        </w:tc>
        <w:tc>
          <w:tcPr>
            <w:tcW w:w="1866" w:type="dxa"/>
            <w:vAlign w:val="center"/>
          </w:tcPr>
          <w:p w14:paraId="330C68B1" w14:textId="1D76D687" w:rsidR="009B5463" w:rsidRPr="001B063A" w:rsidRDefault="009B5463" w:rsidP="00825B90">
            <w:pPr>
              <w:jc w:val="center"/>
              <w:rPr>
                <w:rFonts w:ascii="Helvetica Neue" w:eastAsia="Times New Roman" w:hAnsi="Helvetica Neue" w:cs="Arial"/>
                <w:b/>
              </w:rPr>
            </w:pPr>
            <w:r>
              <w:rPr>
                <w:rFonts w:ascii="Helvetica Neue" w:eastAsia="Times New Roman" w:hAnsi="Helvetica Neue" w:cs="Arial"/>
                <w:b/>
              </w:rPr>
              <w:t>Number of Runs</w:t>
            </w:r>
          </w:p>
        </w:tc>
        <w:tc>
          <w:tcPr>
            <w:tcW w:w="2044" w:type="dxa"/>
            <w:vAlign w:val="center"/>
          </w:tcPr>
          <w:p w14:paraId="7E190A64" w14:textId="202ECBD0" w:rsidR="009B5463" w:rsidRPr="001B063A" w:rsidRDefault="009B5463" w:rsidP="00825B90">
            <w:pPr>
              <w:jc w:val="center"/>
              <w:rPr>
                <w:rFonts w:ascii="Helvetica Neue" w:eastAsia="Times New Roman" w:hAnsi="Helvetica Neue" w:cs="Arial"/>
                <w:b/>
              </w:rPr>
            </w:pPr>
            <w:r>
              <w:rPr>
                <w:rFonts w:ascii="Helvetica Neue" w:eastAsia="Times New Roman" w:hAnsi="Helvetica Neue" w:cs="Arial"/>
                <w:b/>
              </w:rPr>
              <w:t>Number of Optimization Iterations</w:t>
            </w:r>
          </w:p>
        </w:tc>
      </w:tr>
      <w:tr w:rsidR="009B5463" w:rsidRPr="001B063A" w14:paraId="1F0C0DD0" w14:textId="77777777" w:rsidTr="009B5463">
        <w:trPr>
          <w:trHeight w:val="636"/>
        </w:trPr>
        <w:tc>
          <w:tcPr>
            <w:tcW w:w="1778" w:type="dxa"/>
            <w:vAlign w:val="center"/>
          </w:tcPr>
          <w:p w14:paraId="0DE16EA0" w14:textId="2866EBAD" w:rsidR="009B5463" w:rsidRPr="001B063A" w:rsidRDefault="009B5463" w:rsidP="00825B90">
            <w:pPr>
              <w:jc w:val="center"/>
              <w:rPr>
                <w:rFonts w:ascii="Helvetica Neue" w:eastAsia="Times New Roman" w:hAnsi="Helvetica Neue" w:cs="Arial"/>
                <w:b/>
              </w:rPr>
            </w:pPr>
            <w:r>
              <w:rPr>
                <w:rFonts w:ascii="Helvetica Neue" w:eastAsia="Times New Roman" w:hAnsi="Helvetica Neue" w:cs="Arial"/>
                <w:b/>
              </w:rPr>
              <w:t>1</w:t>
            </w:r>
          </w:p>
        </w:tc>
        <w:tc>
          <w:tcPr>
            <w:tcW w:w="3204" w:type="dxa"/>
            <w:vAlign w:val="center"/>
          </w:tcPr>
          <w:p w14:paraId="1C5DA3AE" w14:textId="41BDFBD2" w:rsidR="009B5463" w:rsidRPr="001B063A" w:rsidRDefault="009B5463" w:rsidP="00825B90">
            <w:pPr>
              <w:jc w:val="center"/>
              <w:rPr>
                <w:rFonts w:ascii="Helvetica Neue" w:eastAsia="Times New Roman" w:hAnsi="Helvetica Neue" w:cs="Arial"/>
              </w:rPr>
            </w:pPr>
            <w:r>
              <w:rPr>
                <w:rFonts w:ascii="Helvetica Neue" w:eastAsia="Times New Roman" w:hAnsi="Helvetica Neue" w:cs="Arial"/>
              </w:rPr>
              <w:t>3</w:t>
            </w:r>
          </w:p>
        </w:tc>
        <w:tc>
          <w:tcPr>
            <w:tcW w:w="1866" w:type="dxa"/>
            <w:vAlign w:val="center"/>
          </w:tcPr>
          <w:p w14:paraId="4F5CFC7D" w14:textId="44733D55" w:rsidR="009B5463" w:rsidRPr="001B063A" w:rsidRDefault="009B5463" w:rsidP="00825B90">
            <w:pPr>
              <w:jc w:val="center"/>
              <w:rPr>
                <w:rFonts w:ascii="Helvetica Neue" w:eastAsia="Times New Roman" w:hAnsi="Helvetica Neue" w:cs="Arial"/>
              </w:rPr>
            </w:pPr>
            <w:r>
              <w:rPr>
                <w:rFonts w:ascii="Helvetica Neue" w:eastAsia="Times New Roman" w:hAnsi="Helvetica Neue" w:cs="Arial"/>
              </w:rPr>
              <w:t>50</w:t>
            </w:r>
          </w:p>
        </w:tc>
        <w:tc>
          <w:tcPr>
            <w:tcW w:w="2044" w:type="dxa"/>
            <w:vAlign w:val="center"/>
          </w:tcPr>
          <w:p w14:paraId="3D4F1CAE" w14:textId="41349E63" w:rsidR="009B5463" w:rsidRPr="001B063A" w:rsidRDefault="009B5463" w:rsidP="00825B90">
            <w:pPr>
              <w:jc w:val="center"/>
              <w:rPr>
                <w:rFonts w:ascii="Helvetica Neue" w:eastAsia="Times New Roman" w:hAnsi="Helvetica Neue" w:cs="Arial"/>
              </w:rPr>
            </w:pPr>
            <w:r>
              <w:rPr>
                <w:rFonts w:ascii="Helvetica Neue" w:eastAsia="Times New Roman" w:hAnsi="Helvetica Neue" w:cs="Arial"/>
              </w:rPr>
              <w:t>30</w:t>
            </w:r>
          </w:p>
        </w:tc>
      </w:tr>
      <w:tr w:rsidR="009B5463" w:rsidRPr="001B063A" w14:paraId="64ED8493" w14:textId="77777777" w:rsidTr="009B5463">
        <w:trPr>
          <w:trHeight w:val="636"/>
        </w:trPr>
        <w:tc>
          <w:tcPr>
            <w:tcW w:w="1778" w:type="dxa"/>
            <w:vAlign w:val="center"/>
          </w:tcPr>
          <w:p w14:paraId="703C914A" w14:textId="0703D6AB" w:rsidR="009B5463" w:rsidRDefault="009B5463" w:rsidP="00825B90">
            <w:pPr>
              <w:jc w:val="center"/>
              <w:rPr>
                <w:rFonts w:ascii="Helvetica Neue" w:eastAsia="Times New Roman" w:hAnsi="Helvetica Neue" w:cs="Arial"/>
                <w:b/>
              </w:rPr>
            </w:pPr>
            <w:r>
              <w:rPr>
                <w:rFonts w:ascii="Helvetica Neue" w:eastAsia="Times New Roman" w:hAnsi="Helvetica Neue" w:cs="Arial"/>
                <w:b/>
              </w:rPr>
              <w:t>2</w:t>
            </w:r>
          </w:p>
        </w:tc>
        <w:tc>
          <w:tcPr>
            <w:tcW w:w="3204" w:type="dxa"/>
            <w:vAlign w:val="center"/>
          </w:tcPr>
          <w:p w14:paraId="5E9EAA75" w14:textId="394F1ABD" w:rsidR="009B5463" w:rsidRDefault="009B5463" w:rsidP="00825B90">
            <w:pPr>
              <w:jc w:val="center"/>
              <w:rPr>
                <w:rFonts w:ascii="Helvetica Neue" w:eastAsia="Times New Roman" w:hAnsi="Helvetica Neue" w:cs="Arial"/>
              </w:rPr>
            </w:pPr>
            <w:r>
              <w:rPr>
                <w:rFonts w:ascii="Helvetica Neue" w:eastAsia="Times New Roman" w:hAnsi="Helvetica Neue" w:cs="Arial"/>
              </w:rPr>
              <w:t>2</w:t>
            </w:r>
          </w:p>
        </w:tc>
        <w:tc>
          <w:tcPr>
            <w:tcW w:w="1866" w:type="dxa"/>
            <w:vAlign w:val="center"/>
          </w:tcPr>
          <w:p w14:paraId="07FE3DF9" w14:textId="609CC9A9" w:rsidR="009B5463" w:rsidRDefault="009B5463" w:rsidP="00825B90">
            <w:pPr>
              <w:jc w:val="center"/>
              <w:rPr>
                <w:rFonts w:ascii="Helvetica Neue" w:eastAsia="Times New Roman" w:hAnsi="Helvetica Neue" w:cs="Arial"/>
              </w:rPr>
            </w:pPr>
            <w:r>
              <w:rPr>
                <w:rFonts w:ascii="Helvetica Neue" w:eastAsia="Times New Roman" w:hAnsi="Helvetica Neue" w:cs="Arial"/>
              </w:rPr>
              <w:t>50</w:t>
            </w:r>
          </w:p>
        </w:tc>
        <w:tc>
          <w:tcPr>
            <w:tcW w:w="2044" w:type="dxa"/>
            <w:vAlign w:val="center"/>
          </w:tcPr>
          <w:p w14:paraId="3F9C2969" w14:textId="3A3CDEA0" w:rsidR="009B5463" w:rsidRDefault="009B5463" w:rsidP="00825B90">
            <w:pPr>
              <w:jc w:val="center"/>
              <w:rPr>
                <w:rFonts w:ascii="Helvetica Neue" w:eastAsia="Times New Roman" w:hAnsi="Helvetica Neue" w:cs="Arial"/>
              </w:rPr>
            </w:pPr>
            <w:r>
              <w:rPr>
                <w:rFonts w:ascii="Helvetica Neue" w:eastAsia="Times New Roman" w:hAnsi="Helvetica Neue" w:cs="Arial"/>
              </w:rPr>
              <w:t>50</w:t>
            </w:r>
          </w:p>
        </w:tc>
      </w:tr>
      <w:tr w:rsidR="009B5463" w:rsidRPr="001B063A" w14:paraId="600DEFFA" w14:textId="77777777" w:rsidTr="009B5463">
        <w:trPr>
          <w:trHeight w:val="636"/>
        </w:trPr>
        <w:tc>
          <w:tcPr>
            <w:tcW w:w="1778" w:type="dxa"/>
            <w:vAlign w:val="center"/>
          </w:tcPr>
          <w:p w14:paraId="3EE00DE7" w14:textId="11BC468B" w:rsidR="009B5463" w:rsidRDefault="009B5463" w:rsidP="00825B90">
            <w:pPr>
              <w:jc w:val="center"/>
              <w:rPr>
                <w:rFonts w:ascii="Helvetica Neue" w:eastAsia="Times New Roman" w:hAnsi="Helvetica Neue" w:cs="Arial"/>
                <w:b/>
              </w:rPr>
            </w:pPr>
            <w:r>
              <w:rPr>
                <w:rFonts w:ascii="Helvetica Neue" w:eastAsia="Times New Roman" w:hAnsi="Helvetica Neue" w:cs="Arial"/>
                <w:b/>
              </w:rPr>
              <w:t>3</w:t>
            </w:r>
          </w:p>
        </w:tc>
        <w:tc>
          <w:tcPr>
            <w:tcW w:w="3204" w:type="dxa"/>
            <w:vAlign w:val="center"/>
          </w:tcPr>
          <w:p w14:paraId="34822B10" w14:textId="7EEAEFE6" w:rsidR="009B5463" w:rsidRDefault="009B5463" w:rsidP="00825B90">
            <w:pPr>
              <w:jc w:val="center"/>
              <w:rPr>
                <w:rFonts w:ascii="Helvetica Neue" w:eastAsia="Times New Roman" w:hAnsi="Helvetica Neue" w:cs="Arial"/>
              </w:rPr>
            </w:pPr>
            <w:r>
              <w:rPr>
                <w:rFonts w:ascii="Helvetica Neue" w:eastAsia="Times New Roman" w:hAnsi="Helvetica Neue" w:cs="Arial"/>
              </w:rPr>
              <w:t>2</w:t>
            </w:r>
          </w:p>
        </w:tc>
        <w:tc>
          <w:tcPr>
            <w:tcW w:w="1866" w:type="dxa"/>
            <w:vAlign w:val="center"/>
          </w:tcPr>
          <w:p w14:paraId="00BADDFB" w14:textId="7168014E" w:rsidR="009B5463" w:rsidRDefault="009B5463" w:rsidP="00825B90">
            <w:pPr>
              <w:jc w:val="center"/>
              <w:rPr>
                <w:rFonts w:ascii="Helvetica Neue" w:eastAsia="Times New Roman" w:hAnsi="Helvetica Neue" w:cs="Arial"/>
              </w:rPr>
            </w:pPr>
            <w:r>
              <w:rPr>
                <w:rFonts w:ascii="Helvetica Neue" w:eastAsia="Times New Roman" w:hAnsi="Helvetica Neue" w:cs="Arial"/>
              </w:rPr>
              <w:t>60</w:t>
            </w:r>
          </w:p>
        </w:tc>
        <w:tc>
          <w:tcPr>
            <w:tcW w:w="2044" w:type="dxa"/>
            <w:vAlign w:val="center"/>
          </w:tcPr>
          <w:p w14:paraId="1BE29F82" w14:textId="302092FC" w:rsidR="009B5463" w:rsidRDefault="009B5463" w:rsidP="00825B90">
            <w:pPr>
              <w:jc w:val="center"/>
              <w:rPr>
                <w:rFonts w:ascii="Helvetica Neue" w:eastAsia="Times New Roman" w:hAnsi="Helvetica Neue" w:cs="Arial"/>
              </w:rPr>
            </w:pPr>
            <w:r>
              <w:rPr>
                <w:rFonts w:ascii="Helvetica Neue" w:eastAsia="Times New Roman" w:hAnsi="Helvetica Neue" w:cs="Arial"/>
              </w:rPr>
              <w:t>50</w:t>
            </w:r>
          </w:p>
        </w:tc>
      </w:tr>
      <w:tr w:rsidR="009B5463" w:rsidRPr="001B063A" w14:paraId="11B98C13" w14:textId="77777777" w:rsidTr="009B5463">
        <w:trPr>
          <w:trHeight w:val="636"/>
        </w:trPr>
        <w:tc>
          <w:tcPr>
            <w:tcW w:w="1778" w:type="dxa"/>
            <w:vAlign w:val="center"/>
          </w:tcPr>
          <w:p w14:paraId="0721AB91" w14:textId="163F75DE" w:rsidR="009B5463" w:rsidRDefault="009B5463" w:rsidP="00825B90">
            <w:pPr>
              <w:jc w:val="center"/>
              <w:rPr>
                <w:rFonts w:ascii="Helvetica Neue" w:eastAsia="Times New Roman" w:hAnsi="Helvetica Neue" w:cs="Arial"/>
                <w:b/>
              </w:rPr>
            </w:pPr>
            <w:r>
              <w:rPr>
                <w:rFonts w:ascii="Helvetica Neue" w:eastAsia="Times New Roman" w:hAnsi="Helvetica Neue" w:cs="Arial"/>
                <w:b/>
              </w:rPr>
              <w:t>4</w:t>
            </w:r>
          </w:p>
        </w:tc>
        <w:tc>
          <w:tcPr>
            <w:tcW w:w="3204" w:type="dxa"/>
            <w:vAlign w:val="center"/>
          </w:tcPr>
          <w:p w14:paraId="31BF958B" w14:textId="1B998BA2" w:rsidR="009B5463" w:rsidRDefault="009B5463" w:rsidP="00825B90">
            <w:pPr>
              <w:jc w:val="center"/>
              <w:rPr>
                <w:rFonts w:ascii="Helvetica Neue" w:eastAsia="Times New Roman" w:hAnsi="Helvetica Neue" w:cs="Arial"/>
              </w:rPr>
            </w:pPr>
            <w:r>
              <w:rPr>
                <w:rFonts w:ascii="Helvetica Neue" w:eastAsia="Times New Roman" w:hAnsi="Helvetica Neue" w:cs="Arial"/>
              </w:rPr>
              <w:t>1</w:t>
            </w:r>
          </w:p>
        </w:tc>
        <w:tc>
          <w:tcPr>
            <w:tcW w:w="1866" w:type="dxa"/>
            <w:vAlign w:val="center"/>
          </w:tcPr>
          <w:p w14:paraId="1DD8D45C" w14:textId="4ACEFB4F" w:rsidR="009B5463" w:rsidRDefault="009B5463" w:rsidP="00825B90">
            <w:pPr>
              <w:jc w:val="center"/>
              <w:rPr>
                <w:rFonts w:ascii="Helvetica Neue" w:eastAsia="Times New Roman" w:hAnsi="Helvetica Neue" w:cs="Arial"/>
              </w:rPr>
            </w:pPr>
            <w:r>
              <w:rPr>
                <w:rFonts w:ascii="Helvetica Neue" w:eastAsia="Times New Roman" w:hAnsi="Helvetica Neue" w:cs="Arial"/>
              </w:rPr>
              <w:t>100</w:t>
            </w:r>
          </w:p>
        </w:tc>
        <w:tc>
          <w:tcPr>
            <w:tcW w:w="2044" w:type="dxa"/>
            <w:vAlign w:val="center"/>
          </w:tcPr>
          <w:p w14:paraId="22577F40" w14:textId="3EDF4286" w:rsidR="009B5463" w:rsidRDefault="009B5463" w:rsidP="00825B90">
            <w:pPr>
              <w:jc w:val="center"/>
              <w:rPr>
                <w:rFonts w:ascii="Helvetica Neue" w:eastAsia="Times New Roman" w:hAnsi="Helvetica Neue" w:cs="Arial"/>
              </w:rPr>
            </w:pPr>
            <w:r>
              <w:rPr>
                <w:rFonts w:ascii="Helvetica Neue" w:eastAsia="Times New Roman" w:hAnsi="Helvetica Neue" w:cs="Arial"/>
              </w:rPr>
              <w:t>100</w:t>
            </w:r>
          </w:p>
        </w:tc>
      </w:tr>
      <w:tr w:rsidR="009B5463" w:rsidRPr="001B063A" w14:paraId="24525060" w14:textId="77777777" w:rsidTr="00825B90">
        <w:tc>
          <w:tcPr>
            <w:tcW w:w="8892" w:type="dxa"/>
            <w:gridSpan w:val="4"/>
            <w:vAlign w:val="center"/>
          </w:tcPr>
          <w:p w14:paraId="0AF9983F" w14:textId="33E9E650" w:rsidR="009B5463" w:rsidRPr="001B063A" w:rsidRDefault="009B5463" w:rsidP="0008472C">
            <w:pPr>
              <w:rPr>
                <w:rFonts w:ascii="Helvetica Neue" w:eastAsia="Times New Roman" w:hAnsi="Helvetica Neue" w:cs="Arial"/>
              </w:rPr>
            </w:pPr>
            <w:r w:rsidRPr="001B063A">
              <w:rPr>
                <w:rFonts w:ascii="Helvetica Neue" w:eastAsia="Times New Roman" w:hAnsi="Helvetica Neue" w:cs="Arial"/>
              </w:rPr>
              <w:t>Table S</w:t>
            </w:r>
            <w:r w:rsidR="0008472C">
              <w:rPr>
                <w:rFonts w:ascii="Helvetica Neue" w:eastAsia="Times New Roman" w:hAnsi="Helvetica Neue" w:cs="Arial"/>
              </w:rPr>
              <w:t>2</w:t>
            </w:r>
            <w:r w:rsidRPr="001B063A">
              <w:rPr>
                <w:rFonts w:ascii="Helvetica Neue" w:eastAsia="Times New Roman" w:hAnsi="Helvetica Neue" w:cs="Arial"/>
              </w:rPr>
              <w:t xml:space="preserve"> – </w:t>
            </w:r>
            <w:r w:rsidR="0008472C">
              <w:rPr>
                <w:rFonts w:ascii="Helvetica Neue" w:eastAsia="Times New Roman" w:hAnsi="Helvetica Neue" w:cs="Arial"/>
              </w:rPr>
              <w:t xml:space="preserve">Degree of parameter permutation, number of independent </w:t>
            </w:r>
            <w:proofErr w:type="spellStart"/>
            <w:r w:rsidR="0008472C">
              <w:rPr>
                <w:rFonts w:ascii="Helvetica Neue" w:eastAsia="Times New Roman" w:hAnsi="Helvetica Neue" w:cs="Arial"/>
              </w:rPr>
              <w:t>dadi</w:t>
            </w:r>
            <w:proofErr w:type="spellEnd"/>
            <w:r w:rsidR="0008472C">
              <w:rPr>
                <w:rFonts w:ascii="Helvetica Neue" w:eastAsia="Times New Roman" w:hAnsi="Helvetica Neue" w:cs="Arial"/>
              </w:rPr>
              <w:t xml:space="preserve"> runs, and the number of iterations per run for each of the </w:t>
            </w:r>
            <w:proofErr w:type="spellStart"/>
            <w:r w:rsidR="0008472C">
              <w:rPr>
                <w:rFonts w:ascii="Helvetica Neue" w:eastAsia="Times New Roman" w:hAnsi="Helvetica Neue" w:cs="Arial"/>
              </w:rPr>
              <w:t>dadi</w:t>
            </w:r>
            <w:proofErr w:type="spellEnd"/>
            <w:r w:rsidR="0008472C">
              <w:rPr>
                <w:rFonts w:ascii="Helvetica Neue" w:eastAsia="Times New Roman" w:hAnsi="Helvetica Neue" w:cs="Arial"/>
              </w:rPr>
              <w:t xml:space="preserve"> optimization passes (see </w:t>
            </w:r>
            <w:r w:rsidR="0008472C">
              <w:rPr>
                <w:rFonts w:ascii="Helvetica Neue" w:eastAsia="Times New Roman" w:hAnsi="Helvetica Neue" w:cs="Arial"/>
              </w:rPr>
              <w:fldChar w:fldCharType="begin" w:fldLock="1"/>
            </w:r>
            <w:r w:rsidR="0008472C">
              <w:rPr>
                <w:rFonts w:ascii="Helvetica Neue" w:eastAsia="Times New Roman" w:hAnsi="Helvetica Neue" w:cs="Arial"/>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2017)"},"properties":{"noteIndex":0},"schema":"https://github.com/citation-style-language/schema/raw/master/csl-citation.json"}</w:instrText>
            </w:r>
            <w:r w:rsidR="0008472C">
              <w:rPr>
                <w:rFonts w:ascii="Helvetica Neue" w:eastAsia="Times New Roman" w:hAnsi="Helvetica Neue" w:cs="Arial"/>
              </w:rPr>
              <w:fldChar w:fldCharType="separate"/>
            </w:r>
            <w:r w:rsidR="0008472C" w:rsidRPr="0008472C">
              <w:rPr>
                <w:rFonts w:ascii="Helvetica Neue" w:eastAsia="Times New Roman" w:hAnsi="Helvetica Neue" w:cs="Arial"/>
                <w:noProof/>
              </w:rPr>
              <w:t>Portik et al., 2017)</w:t>
            </w:r>
            <w:r w:rsidR="0008472C">
              <w:rPr>
                <w:rFonts w:ascii="Helvetica Neue" w:eastAsia="Times New Roman" w:hAnsi="Helvetica Neue" w:cs="Arial"/>
              </w:rPr>
              <w:fldChar w:fldCharType="end"/>
            </w:r>
            <w:r w:rsidR="0008472C">
              <w:rPr>
                <w:rFonts w:ascii="Helvetica Neue" w:eastAsia="Times New Roman" w:hAnsi="Helvetica Neue" w:cs="Arial"/>
              </w:rPr>
              <w:t>.</w:t>
            </w:r>
          </w:p>
        </w:tc>
      </w:tr>
    </w:tbl>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lliam Hemstrom" w:date="2019-11-06T14:46:00Z" w:initials="WH">
    <w:p w14:paraId="7E731E3C" w14:textId="77777777" w:rsidR="00825B90" w:rsidRDefault="00825B90" w:rsidP="004C52F5">
      <w:pPr>
        <w:pStyle w:val="CommentText"/>
      </w:pPr>
      <w:r>
        <w:rPr>
          <w:rStyle w:val="CommentReference"/>
        </w:rPr>
        <w:annotationRef/>
      </w:r>
      <w:r>
        <w:t>Could you be a bit more explicit with this part? How does phenotypic divergence suggest a recent establishment?</w:t>
      </w:r>
    </w:p>
  </w:comment>
  <w:comment w:id="1" w:author="Micah Freedman" w:date="2019-11-07T12:24:00Z" w:initials="MF">
    <w:p w14:paraId="1835AA3B" w14:textId="77067AB0" w:rsidR="00825B90" w:rsidRDefault="00825B90">
      <w:pPr>
        <w:pStyle w:val="CommentText"/>
      </w:pPr>
      <w:r>
        <w:rPr>
          <w:rStyle w:val="CommentReference"/>
        </w:rPr>
        <w:annotationRef/>
      </w:r>
      <w:r>
        <w:t xml:space="preserve">Talk about phenotypic differentiation – Pacific and North American populations are indistinguishable versus </w:t>
      </w:r>
      <w:proofErr w:type="spellStart"/>
      <w:r>
        <w:t>Cariibean</w:t>
      </w:r>
      <w:proofErr w:type="spellEnd"/>
      <w:r>
        <w:t>/ South American populations which are very obviously different</w:t>
      </w:r>
    </w:p>
  </w:comment>
  <w:comment w:id="10" w:author="William Hemstrom" w:date="2019-11-05T12:44:00Z" w:initials="WH">
    <w:p w14:paraId="7F97D171" w14:textId="77777777" w:rsidR="00825B90" w:rsidRDefault="00825B90">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825B90" w:rsidRDefault="00825B90">
      <w:pPr>
        <w:pStyle w:val="CommentText"/>
      </w:pPr>
    </w:p>
    <w:p w14:paraId="68BD914B" w14:textId="5956EEBD" w:rsidR="00825B90" w:rsidRDefault="00825B90">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Note that the optimized parameter combinations of establishment time and size are correlated: stronger </w:t>
      </w:r>
      <w:proofErr w:type="spellStart"/>
      <w:r>
        <w:t>bottlnecks</w:t>
      </w:r>
      <w:proofErr w:type="spellEnd"/>
      <w:r>
        <w:t xml:space="preserve"> optimize to more recent introductions over all! Basically, our model can’t exclude a recent, small introduction, since some runs did optimize to that parameter space with really similar AIC scores to the best scores!</w:t>
      </w:r>
    </w:p>
  </w:comment>
  <w:comment w:id="14" w:author="Micah Freedman" w:date="2019-11-07T11:25:00Z" w:initials="MF">
    <w:p w14:paraId="27042679" w14:textId="413F25D8" w:rsidR="00825B90" w:rsidRDefault="00825B90">
      <w:pPr>
        <w:pStyle w:val="CommentText"/>
      </w:pPr>
      <w:r>
        <w:rPr>
          <w:rStyle w:val="CommentReference"/>
        </w:rPr>
        <w:annotationRef/>
      </w:r>
      <w:r>
        <w:t>For the map in part D, maybe we should just use the k = 5 or k = 6 values, since anything beyond this becomes mostly uninformative. I would be inclined to show k = 5 ancestry proportions, since that reflects Hawaii as intermediate between all other populations.</w:t>
      </w:r>
    </w:p>
  </w:comment>
  <w:comment w:id="15" w:author="Micah Freedman" w:date="2019-11-07T12:19:00Z" w:initials="MF">
    <w:p w14:paraId="221167C9" w14:textId="77777777" w:rsidR="00825B90" w:rsidRDefault="00825B90">
      <w:pPr>
        <w:pStyle w:val="CommentText"/>
      </w:pPr>
      <w:r>
        <w:rPr>
          <w:rStyle w:val="CommentReference"/>
        </w:rPr>
        <w:annotationRef/>
      </w:r>
      <w:r>
        <w:t>axis labels overlapping</w:t>
      </w:r>
    </w:p>
    <w:p w14:paraId="484C8EC3" w14:textId="77777777" w:rsidR="00825B90" w:rsidRDefault="00825B90">
      <w:pPr>
        <w:pStyle w:val="CommentText"/>
      </w:pPr>
    </w:p>
    <w:p w14:paraId="785AC2F6" w14:textId="3C0DB5A4" w:rsidR="00825B90" w:rsidRDefault="00825B90">
      <w:pPr>
        <w:pStyle w:val="CommentText"/>
      </w:pPr>
      <w:r>
        <w:t>add panel labels (</w:t>
      </w:r>
      <w:proofErr w:type="spellStart"/>
      <w:r>
        <w:t>abc</w:t>
      </w:r>
      <w:proofErr w:type="spellEnd"/>
      <w:r>
        <w:t xml:space="preserve"> for found and grow, def for three epoch)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1835AA3B" w15:done="0"/>
  <w15:commentEx w15:paraId="68BD914B" w15:done="0"/>
  <w15:commentEx w15:paraId="27042679" w15:done="0"/>
  <w15:commentEx w15:paraId="785AC2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1835AA3B" w16cid:durableId="2175524F"/>
  <w16cid:commentId w16cid:paraId="68BD914B" w16cid:durableId="216BED28"/>
  <w16cid:commentId w16cid:paraId="27042679" w16cid:durableId="21755251"/>
  <w16cid:commentId w16cid:paraId="785AC2F6" w16cid:durableId="21755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F2A1" w14:textId="77777777" w:rsidR="00A2160F" w:rsidRDefault="00A2160F" w:rsidP="003B1AAE">
      <w:r>
        <w:separator/>
      </w:r>
    </w:p>
  </w:endnote>
  <w:endnote w:type="continuationSeparator" w:id="0">
    <w:p w14:paraId="0E00C3F3" w14:textId="77777777" w:rsidR="00A2160F" w:rsidRDefault="00A2160F"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Noteworthy Light">
    <w:charset w:val="00"/>
    <w:family w:val="auto"/>
    <w:pitch w:val="variable"/>
    <w:sig w:usb0="8000006F"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64068" w14:textId="77777777" w:rsidR="00A2160F" w:rsidRDefault="00A2160F" w:rsidP="003B1AAE">
      <w:r>
        <w:separator/>
      </w:r>
    </w:p>
  </w:footnote>
  <w:footnote w:type="continuationSeparator" w:id="0">
    <w:p w14:paraId="729904B3" w14:textId="77777777" w:rsidR="00A2160F" w:rsidRDefault="00A2160F"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322C6"/>
    <w:rsid w:val="00034711"/>
    <w:rsid w:val="00063421"/>
    <w:rsid w:val="00081A26"/>
    <w:rsid w:val="0008472C"/>
    <w:rsid w:val="000867B1"/>
    <w:rsid w:val="000A25FC"/>
    <w:rsid w:val="000A27A6"/>
    <w:rsid w:val="000B1142"/>
    <w:rsid w:val="000C4EA1"/>
    <w:rsid w:val="000D6C26"/>
    <w:rsid w:val="000F0C5E"/>
    <w:rsid w:val="000F23E4"/>
    <w:rsid w:val="00106869"/>
    <w:rsid w:val="001222A7"/>
    <w:rsid w:val="00171572"/>
    <w:rsid w:val="00191C48"/>
    <w:rsid w:val="001B063A"/>
    <w:rsid w:val="001E6764"/>
    <w:rsid w:val="001F1D1D"/>
    <w:rsid w:val="00207A66"/>
    <w:rsid w:val="00242F9B"/>
    <w:rsid w:val="002647E1"/>
    <w:rsid w:val="00265C46"/>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5B5B6F"/>
    <w:rsid w:val="005C3817"/>
    <w:rsid w:val="00621411"/>
    <w:rsid w:val="00625A53"/>
    <w:rsid w:val="00633533"/>
    <w:rsid w:val="0064060B"/>
    <w:rsid w:val="00646FB0"/>
    <w:rsid w:val="00651F22"/>
    <w:rsid w:val="00652050"/>
    <w:rsid w:val="006A1B71"/>
    <w:rsid w:val="007209A4"/>
    <w:rsid w:val="00764127"/>
    <w:rsid w:val="007851D0"/>
    <w:rsid w:val="007C2C9D"/>
    <w:rsid w:val="007D59EC"/>
    <w:rsid w:val="00825B90"/>
    <w:rsid w:val="00846222"/>
    <w:rsid w:val="00873DA2"/>
    <w:rsid w:val="00894E0B"/>
    <w:rsid w:val="008C23FC"/>
    <w:rsid w:val="008C2E8F"/>
    <w:rsid w:val="008C4E05"/>
    <w:rsid w:val="008C5A2F"/>
    <w:rsid w:val="008E47D6"/>
    <w:rsid w:val="008F42B9"/>
    <w:rsid w:val="0092063F"/>
    <w:rsid w:val="00923990"/>
    <w:rsid w:val="00931CC7"/>
    <w:rsid w:val="0097017A"/>
    <w:rsid w:val="00977D34"/>
    <w:rsid w:val="009A26B0"/>
    <w:rsid w:val="009B265E"/>
    <w:rsid w:val="009B2AE0"/>
    <w:rsid w:val="009B5463"/>
    <w:rsid w:val="009B7DF1"/>
    <w:rsid w:val="009E3CBB"/>
    <w:rsid w:val="009F6939"/>
    <w:rsid w:val="00A2160F"/>
    <w:rsid w:val="00A35831"/>
    <w:rsid w:val="00A474B5"/>
    <w:rsid w:val="00A53C00"/>
    <w:rsid w:val="00AB278B"/>
    <w:rsid w:val="00AC3C2F"/>
    <w:rsid w:val="00AC6FE1"/>
    <w:rsid w:val="00B0663E"/>
    <w:rsid w:val="00B13D33"/>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95E79"/>
    <w:rsid w:val="00DD4E8A"/>
    <w:rsid w:val="00E1737F"/>
    <w:rsid w:val="00E302B1"/>
    <w:rsid w:val="00E37B4C"/>
    <w:rsid w:val="00E46C9F"/>
    <w:rsid w:val="00E52322"/>
    <w:rsid w:val="00E70B1E"/>
    <w:rsid w:val="00E77EF4"/>
    <w:rsid w:val="00E82EB8"/>
    <w:rsid w:val="00E85F07"/>
    <w:rsid w:val="00EE23DF"/>
    <w:rsid w:val="00EF22AE"/>
    <w:rsid w:val="00F3704A"/>
    <w:rsid w:val="00F4022E"/>
    <w:rsid w:val="00F81228"/>
    <w:rsid w:val="00F8441E"/>
    <w:rsid w:val="00FA2743"/>
    <w:rsid w:val="00FB074A"/>
    <w:rsid w:val="00FB2746"/>
    <w:rsid w:val="00FB61F8"/>
    <w:rsid w:val="00FD18CC"/>
    <w:rsid w:val="00FD577D"/>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12F7B9EE-118D-4F56-9938-52DFB315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3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196740824">
      <w:bodyDiv w:val="1"/>
      <w:marLeft w:val="0"/>
      <w:marRight w:val="0"/>
      <w:marTop w:val="0"/>
      <w:marBottom w:val="0"/>
      <w:divBdr>
        <w:top w:val="none" w:sz="0" w:space="0" w:color="auto"/>
        <w:left w:val="none" w:sz="0" w:space="0" w:color="auto"/>
        <w:bottom w:val="none" w:sz="0" w:space="0" w:color="auto"/>
        <w:right w:val="none" w:sz="0" w:space="0" w:color="auto"/>
      </w:divBdr>
    </w:div>
    <w:div w:id="292057768">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63299471">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190073029">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871991333">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DC73-9204-42A7-983B-2F2AF50B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10501</TotalTime>
  <Pages>22</Pages>
  <Words>16603</Words>
  <Characters>94638</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39</cp:revision>
  <dcterms:created xsi:type="dcterms:W3CDTF">2019-07-22T21:19:00Z</dcterms:created>
  <dcterms:modified xsi:type="dcterms:W3CDTF">2019-11-13T00:56:00Z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