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1D6917C8"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015F3D1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 For all datasets</w:t>
      </w:r>
      <w:r w:rsidR="00820779">
        <w:rPr>
          <w:rFonts w:ascii="Arial" w:hAnsi="Arial" w:cs="Arial"/>
          <w:sz w:val="22"/>
          <w:szCs w:val="22"/>
        </w:rPr>
        <w:t xml:space="preserve">, </w:t>
      </w:r>
      <w:r w:rsidR="00FE6279">
        <w:rPr>
          <w:rFonts w:ascii="Arial" w:hAnsi="Arial" w:cs="Arial"/>
          <w:sz w:val="22"/>
          <w:szCs w:val="22"/>
        </w:rPr>
        <w:t>we first removed</w:t>
      </w:r>
      <w:r w:rsidR="00FE6279" w:rsidRPr="00FE6279">
        <w:rPr>
          <w:rFonts w:ascii="Arial" w:hAnsi="Arial" w:cs="Arial"/>
          <w:sz w:val="22"/>
          <w:szCs w:val="22"/>
        </w:rPr>
        <w:t xml:space="preserve"> </w:t>
      </w:r>
      <w:r w:rsidR="00FE6279" w:rsidRPr="001A0367">
        <w:rPr>
          <w:rFonts w:ascii="Arial" w:hAnsi="Arial" w:cs="Arial"/>
          <w:sz w:val="22"/>
          <w:szCs w:val="22"/>
        </w:rPr>
        <w:t xml:space="preserve">potential paralogous sites using the </w:t>
      </w:r>
      <w:proofErr w:type="spellStart"/>
      <w:r w:rsidR="00FE6279" w:rsidRPr="001A0367">
        <w:rPr>
          <w:rFonts w:ascii="Arial" w:hAnsi="Arial" w:cs="Arial"/>
          <w:sz w:val="22"/>
          <w:szCs w:val="22"/>
        </w:rPr>
        <w:t>ngsParalog</w:t>
      </w:r>
      <w:proofErr w:type="spellEnd"/>
      <w:r w:rsidR="00FE6279" w:rsidRPr="001A0367">
        <w:rPr>
          <w:rFonts w:ascii="Arial" w:hAnsi="Arial" w:cs="Arial"/>
          <w:sz w:val="22"/>
          <w:szCs w:val="22"/>
        </w:rPr>
        <w:t xml:space="preserve"> tool by removing all sites within a kilobase of any SNP with a log ratio test statistic of &gt; 10 in any population </w:t>
      </w:r>
      <w:hyperlink r:id="rId11">
        <w:r w:rsidR="00FE6279" w:rsidRPr="001A0367">
          <w:rPr>
            <w:rFonts w:ascii="Arial" w:hAnsi="Arial" w:cs="Arial"/>
            <w:color w:val="000000"/>
            <w:sz w:val="22"/>
            <w:szCs w:val="22"/>
          </w:rPr>
          <w:t>(</w:t>
        </w:r>
        <w:proofErr w:type="spellStart"/>
      </w:hyperlink>
      <w:r w:rsidR="00FE6279" w:rsidRPr="001A0367">
        <w:rPr>
          <w:rFonts w:ascii="Arial" w:hAnsi="Arial" w:cs="Arial"/>
          <w:color w:val="000000"/>
          <w:sz w:val="22"/>
          <w:szCs w:val="22"/>
        </w:rPr>
        <w:t>Linderoth</w:t>
      </w:r>
      <w:proofErr w:type="spellEnd"/>
      <w:r w:rsidR="00FE6279" w:rsidRPr="001A0367">
        <w:rPr>
          <w:rFonts w:ascii="Arial" w:hAnsi="Arial" w:cs="Arial"/>
          <w:color w:val="000000"/>
          <w:sz w:val="22"/>
          <w:szCs w:val="22"/>
        </w:rPr>
        <w:t xml:space="preserve"> 2018)</w:t>
      </w:r>
      <w:r w:rsidR="00FE6279" w:rsidRPr="001A0367">
        <w:rPr>
          <w:rFonts w:ascii="Arial" w:hAnsi="Arial" w:cs="Arial"/>
          <w:sz w:val="22"/>
          <w:szCs w:val="22"/>
        </w:rPr>
        <w:t>.</w:t>
      </w:r>
    </w:p>
    <w:p w14:paraId="3391B92D" w14:textId="7A13CB12" w:rsidR="00FE6279" w:rsidRDefault="00FE6279" w:rsidP="009F0367">
      <w:pPr>
        <w:spacing w:line="480" w:lineRule="auto"/>
        <w:jc w:val="both"/>
        <w:rPr>
          <w:rFonts w:ascii="Arial" w:hAnsi="Arial" w:cs="Arial"/>
          <w:sz w:val="22"/>
          <w:szCs w:val="22"/>
        </w:rPr>
      </w:pPr>
      <w:r>
        <w:rPr>
          <w:rFonts w:ascii="Arial" w:hAnsi="Arial" w:cs="Arial"/>
          <w:sz w:val="22"/>
          <w:szCs w:val="22"/>
        </w:rPr>
        <w:tab/>
      </w:r>
      <w:r>
        <w:rPr>
          <w:rFonts w:ascii="Arial" w:hAnsi="Arial" w:cs="Arial"/>
          <w:i/>
          <w:iCs/>
          <w:sz w:val="22"/>
          <w:szCs w:val="22"/>
        </w:rPr>
        <w:t>Datasets:</w:t>
      </w:r>
    </w:p>
    <w:p w14:paraId="64626441" w14:textId="2D7DA185"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proofErr w:type="spellStart"/>
      <w:r w:rsidRPr="001A0367">
        <w:t>SAMtools</w:t>
      </w:r>
      <w:proofErr w:type="spellEnd"/>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ANGSD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R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w:t>
      </w:r>
      <w:r w:rsidR="00010CA2" w:rsidRPr="00FE6279">
        <w:lastRenderedPageBreak/>
        <w:t>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 sister taxon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p>
    <w:p w14:paraId="2E3BA8B3" w14:textId="36AFFDA0"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Some populations did not remain in the analysis after filtering.</w:t>
      </w:r>
    </w:p>
    <w:p w14:paraId="1909D32B" w14:textId="3A8F57F4" w:rsidR="00355224" w:rsidRDefault="005636A1" w:rsidP="009F0367">
      <w:pPr>
        <w:pStyle w:val="ListParagraph"/>
        <w:numPr>
          <w:ilvl w:val="0"/>
          <w:numId w:val="3"/>
        </w:numPr>
        <w:spacing w:line="480" w:lineRule="auto"/>
        <w:jc w:val="both"/>
      </w:pPr>
      <w:r>
        <w:t xml:space="preserve">For calculating Tajima’s D, we used a slightly different version of dataset 2 produced without using a SNP p-value filter in ANGSD. </w:t>
      </w:r>
    </w:p>
    <w:p w14:paraId="282E10DF" w14:textId="62F13A68" w:rsidR="005636A1"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ANGSD as in dataset 1, but did 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ANGSD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D10D31F" w14:textId="08DAE9C6" w:rsidR="005636A1" w:rsidRPr="005636A1" w:rsidRDefault="005636A1" w:rsidP="005636A1">
      <w:pPr>
        <w:spacing w:line="480" w:lineRule="auto"/>
        <w:jc w:val="both"/>
      </w:pP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lastRenderedPageBreak/>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w:t>
      </w:r>
      <w:r w:rsidR="0049017D">
        <w:rPr>
          <w:rFonts w:ascii="Arial" w:hAnsi="Arial" w:cs="Arial"/>
          <w:sz w:val="22"/>
          <w:szCs w:val="22"/>
        </w:rPr>
        <w:t>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41F94746" w:rsidR="0049017D" w:rsidRPr="001A0EC8"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59718437" w14:textId="3D91B636"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2B36B4F"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78F5B786" w14:textId="2BA2B4D4"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w:t>
      </w:r>
      <w:r>
        <w:rPr>
          <w:rFonts w:ascii="Arial" w:hAnsi="Arial" w:cs="Arial"/>
          <w:sz w:val="22"/>
          <w:szCs w:val="22"/>
        </w:rPr>
        <w:t>As with F</w:t>
      </w:r>
      <w:r>
        <w:rPr>
          <w:rFonts w:ascii="Arial" w:hAnsi="Arial" w:cs="Arial"/>
          <w:sz w:val="22"/>
          <w:szCs w:val="22"/>
          <w:vertAlign w:val="subscript"/>
        </w:rPr>
        <w:t>ST</w:t>
      </w:r>
      <w:r>
        <w:rPr>
          <w:rFonts w:ascii="Arial" w:hAnsi="Arial" w:cs="Arial"/>
          <w:sz w:val="22"/>
          <w:szCs w:val="22"/>
        </w:rPr>
        <w:t>, we used dataset 2 with an additional minor allele frequency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630FF442"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Pr>
          <w:rFonts w:ascii="Arial" w:hAnsi="Arial" w:cs="Arial"/>
          <w:sz w:val="22"/>
          <w:szCs w:val="22"/>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dadi,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an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a SFS can be used to infer historic population processes.</w:t>
      </w:r>
      <w:r w:rsidR="00DC27E7">
        <w:rPr>
          <w:rFonts w:ascii="Arial" w:hAnsi="Arial" w:cs="Arial"/>
          <w:sz w:val="22"/>
          <w:szCs w:val="22"/>
        </w:rPr>
        <w:t xml:space="preserve"> </w:t>
      </w:r>
      <w:r w:rsidR="000E1B16">
        <w:rPr>
          <w:rFonts w:ascii="Arial" w:hAnsi="Arial" w:cs="Arial"/>
          <w:sz w:val="22"/>
          <w:szCs w:val="22"/>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optimize the parameters of that model. </w:t>
      </w:r>
      <w:r w:rsidR="00546852" w:rsidRPr="0013530C">
        <w:rPr>
          <w:rFonts w:ascii="Arial" w:hAnsi="Arial" w:cs="Arial"/>
          <w:sz w:val="22"/>
          <w:szCs w:val="22"/>
        </w:rPr>
        <w:t xml:space="preserve">We chose to focus on Hawaii since prior work has suggested that the island chain was likely the first in the Pacific colonized by monarchs (Zhan et al. 2014), and </w:t>
      </w:r>
      <w:r w:rsidR="00546852" w:rsidRPr="0013530C">
        <w:rPr>
          <w:rFonts w:ascii="Arial" w:hAnsi="Arial" w:cs="Arial"/>
          <w:sz w:val="22"/>
          <w:szCs w:val="22"/>
        </w:rPr>
        <w:lastRenderedPageBreak/>
        <w:t xml:space="preserve">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1B71B080"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dadi model selection</w:t>
      </w:r>
    </w:p>
    <w:p w14:paraId="435ED337" w14:textId="4E7CB1E1"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in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4E6AC32E"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w:t>
      </w:r>
      <w:r w:rsidRPr="001A0367">
        <w:rPr>
          <w:rFonts w:ascii="Arial" w:hAnsi="Arial" w:cs="Arial"/>
          <w:sz w:val="22"/>
          <w:szCs w:val="22"/>
        </w:rPr>
        <w:lastRenderedPageBreak/>
        <w:t xml:space="preserve">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xml:space="preserve">. Most runs completed in under 48hrs and are included in the results. </w:t>
      </w:r>
    </w:p>
    <w:p w14:paraId="70CE87C3" w14:textId="583C7F13"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21D42F83"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 xml:space="preserve">loci after removing loci within 10kb of </w:t>
      </w:r>
      <w:proofErr w:type="spellStart"/>
      <w:r w:rsidR="001B470C">
        <w:rPr>
          <w:rFonts w:ascii="Arial" w:hAnsi="Arial" w:cs="Arial"/>
          <w:sz w:val="22"/>
          <w:szCs w:val="22"/>
        </w:rPr>
        <w:t>eachother</w:t>
      </w:r>
      <w:proofErr w:type="spellEnd"/>
      <w:r w:rsidR="001B470C">
        <w:rPr>
          <w:rFonts w:ascii="Arial" w:hAnsi="Arial" w:cs="Arial"/>
          <w:sz w:val="22"/>
          <w:szCs w:val="22"/>
        </w:rPr>
        <w:t xml:space="preserve">.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 xml:space="preserve">sites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Chen et al., 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39C16C2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0.723</w:t>
      </w:r>
      <w:r w:rsidR="00246820">
        <w:rPr>
          <w:rFonts w:ascii="Arial" w:hAnsi="Arial" w:cs="Arial"/>
          <w:sz w:val="22"/>
          <w:szCs w:val="22"/>
        </w:rPr>
        <w:t xml:space="preserve">), and Hawaiian (p = 0.005, r = 0.456) samples, and </w:t>
      </w:r>
      <w:r w:rsidR="000235BA" w:rsidRPr="001A0367">
        <w:rPr>
          <w:rFonts w:ascii="Arial" w:hAnsi="Arial" w:cs="Arial"/>
          <w:sz w:val="22"/>
          <w:szCs w:val="22"/>
        </w:rPr>
        <w:t>were present but not significant in Australia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In the heavily filtered dataset, IBD patterns were significant 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EE7D468"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three models were top </w:t>
      </w:r>
      <w:r>
        <w:rPr>
          <w:rFonts w:ascii="Arial" w:hAnsi="Arial" w:cs="Arial"/>
          <w:sz w:val="22"/>
          <w:szCs w:val="22"/>
        </w:rPr>
        <w:lastRenderedPageBreak/>
        <w:t>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10459658"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dadi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09A82D7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w:t>
      </w:r>
      <w:r w:rsidR="0032621F">
        <w:rPr>
          <w:rFonts w:ascii="Arial" w:hAnsi="Arial" w:cs="Arial"/>
          <w:sz w:val="22"/>
          <w:szCs w:val="22"/>
        </w:rPr>
        <w:lastRenderedPageBreak/>
        <w:t>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 xml:space="preserve">Using a more accurate generation time and mutation rate than the values used by Zhan produced </w:t>
      </w:r>
      <w:r w:rsidR="00BE118A" w:rsidRPr="001A0367">
        <w:rPr>
          <w:rFonts w:ascii="Arial" w:hAnsi="Arial" w:cs="Arial"/>
          <w:sz w:val="22"/>
          <w:szCs w:val="22"/>
        </w:rPr>
        <w:t>result of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w:t>
      </w:r>
      <w:r w:rsidRPr="001A0367">
        <w:rPr>
          <w:rFonts w:ascii="Arial" w:hAnsi="Arial" w:cs="Arial"/>
          <w:sz w:val="22"/>
          <w:szCs w:val="22"/>
        </w:rPr>
        <w:lastRenderedPageBreak/>
        <w:t>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2511DA5E"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lastRenderedPageBreak/>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71D1F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w:t>
      </w:r>
      <w:r w:rsidRPr="001A0367">
        <w:rPr>
          <w:rFonts w:ascii="Arial" w:hAnsi="Arial" w:cs="Arial"/>
          <w:sz w:val="22"/>
          <w:szCs w:val="22"/>
        </w:rPr>
        <w:lastRenderedPageBreak/>
        <w:t>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711EE3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w:t>
      </w:r>
      <w:r w:rsidRPr="001A0367">
        <w:rPr>
          <w:rFonts w:ascii="Arial" w:hAnsi="Arial" w:cs="Arial"/>
          <w:sz w:val="22"/>
          <w:szCs w:val="22"/>
        </w:rPr>
        <w:lastRenderedPageBreak/>
        <w:t>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w:t>
      </w:r>
      <w:r w:rsidRPr="001A0367">
        <w:rPr>
          <w:rFonts w:ascii="Arial" w:hAnsi="Arial" w:cs="Arial"/>
          <w:sz w:val="22"/>
          <w:szCs w:val="22"/>
        </w:rPr>
        <w:lastRenderedPageBreak/>
        <w:t xml:space="preserve">(nearly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w:t>
      </w:r>
      <w:proofErr w:type="gramStart"/>
      <w:r w:rsidRPr="001A0367">
        <w:rPr>
          <w:rFonts w:ascii="Arial" w:hAnsi="Arial" w:cs="Arial"/>
          <w:sz w:val="22"/>
          <w:szCs w:val="22"/>
        </w:rPr>
        <w:t>America, and</w:t>
      </w:r>
      <w:proofErr w:type="gramEnd"/>
      <w:r w:rsidRPr="001A0367">
        <w:rPr>
          <w:rFonts w:ascii="Arial" w:hAnsi="Arial" w:cs="Arial"/>
          <w:sz w:val="22"/>
          <w:szCs w:val="22"/>
        </w:rPr>
        <w:t xml:space="preserve">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9F0367">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9F0367">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12E14948" w14:textId="2276631E"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r w:rsidR="00DE4C4E">
        <w:t>Populations from Guam, Rota, and Saipan are all part of the Mariana Islands archipelago. Queensland, New South Wales, and Victoria are all within the Australian continent.</w:t>
      </w:r>
    </w:p>
    <w:p w14:paraId="67C51344" w14:textId="77777777" w:rsidR="00355224" w:rsidRDefault="00355224"/>
    <w:p w14:paraId="0E80F5D1" w14:textId="77777777" w:rsidR="00355224" w:rsidRDefault="003F0723">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Visual depiction of the four best performing models from dadi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17879075" w:rsidR="00355224" w:rsidRPr="00C71825" w:rsidRDefault="003F0723">
      <w:r>
        <w:rPr>
          <w:b/>
        </w:rPr>
        <w:t xml:space="preserve">Figure </w:t>
      </w:r>
      <w:r w:rsidR="00446AA4">
        <w:rPr>
          <w:b/>
        </w:rPr>
        <w:t>3</w:t>
      </w:r>
      <w:r>
        <w:rPr>
          <w:b/>
        </w:rPr>
        <w:t xml:space="preserve"> - </w:t>
      </w:r>
      <w:r>
        <w:t>Results of the dadi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68237C11" w:rsidR="009A69BA" w:rsidRDefault="00C71825">
      <w:pPr>
        <w:rPr>
          <w:b/>
        </w:rPr>
      </w:pPr>
      <w:r>
        <w:rPr>
          <w:noProof/>
        </w:rPr>
        <w:lastRenderedPageBreak/>
        <w:drawing>
          <wp:inline distT="0" distB="0" distL="0" distR="0" wp14:anchorId="345B8439" wp14:editId="562AD02B">
            <wp:extent cx="5943600" cy="3368675"/>
            <wp:effectExtent l="0" t="0" r="0" b="3175"/>
            <wp:docPr id="168" name="Picture 16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A picture containing chart&#10;&#10;Description automatically generated"/>
                    <pic:cNvPicPr/>
                  </pic:nvPicPr>
                  <pic:blipFill>
                    <a:blip r:embed="rId23"/>
                    <a:stretch>
                      <a:fillRect/>
                    </a:stretch>
                  </pic:blipFill>
                  <pic:spPr>
                    <a:xfrm>
                      <a:off x="0" y="0"/>
                      <a:ext cx="5943600" cy="3368675"/>
                    </a:xfrm>
                    <a:prstGeom prst="rect">
                      <a:avLst/>
                    </a:prstGeom>
                  </pic:spPr>
                </pic:pic>
              </a:graphicData>
            </a:graphic>
          </wp:inline>
        </w:drawing>
      </w:r>
    </w:p>
    <w:p w14:paraId="17244ED9" w14:textId="790BCACA" w:rsidR="00FB2144" w:rsidRPr="009A69BA" w:rsidRDefault="009A69BA">
      <w:r>
        <w:rPr>
          <w:b/>
        </w:rPr>
        <w:t xml:space="preserve">Figure </w:t>
      </w:r>
      <w:r w:rsidR="00C71825">
        <w:rPr>
          <w:b/>
        </w:rPr>
        <w:t>4</w:t>
      </w:r>
      <w:r>
        <w:rPr>
          <w:b/>
        </w:rPr>
        <w:t xml:space="preserve"> – </w:t>
      </w:r>
      <w:r>
        <w:t xml:space="preserve">Observed (Left) and estimated (Right)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Estimated spectra based on the parameters from the runs with the lowest AIC score from each quadrant of the establishment time/founding population size parameter space for each model are shown for comparison </w:t>
      </w:r>
      <w:r>
        <w:rPr>
          <w:bCs/>
        </w:rPr>
        <w:t xml:space="preserve">(BL: bottom left, BR: bottom right, TL: top left, TR: top right), corresponding to the points marked in red in Figure </w:t>
      </w:r>
      <w:r w:rsidR="00B566CE">
        <w:rPr>
          <w:bCs/>
        </w:rPr>
        <w:t>3</w:t>
      </w:r>
      <w:bookmarkEnd w:id="2"/>
      <w:r w:rsidR="00C71825">
        <w:rPr>
          <w:bCs/>
        </w:rPr>
        <w:t>. Figures S6-8 are similar plots for the other three top models.</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CF5E" w14:textId="77777777" w:rsidR="00251568" w:rsidRDefault="00251568" w:rsidP="00F644B5">
      <w:r>
        <w:separator/>
      </w:r>
    </w:p>
  </w:endnote>
  <w:endnote w:type="continuationSeparator" w:id="0">
    <w:p w14:paraId="4265A7CD" w14:textId="77777777" w:rsidR="00251568" w:rsidRDefault="00251568"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B9B3" w14:textId="77777777" w:rsidR="00251568" w:rsidRDefault="00251568" w:rsidP="00F644B5">
      <w:r>
        <w:separator/>
      </w:r>
    </w:p>
  </w:footnote>
  <w:footnote w:type="continuationSeparator" w:id="0">
    <w:p w14:paraId="16A4D9A5" w14:textId="77777777" w:rsidR="00251568" w:rsidRDefault="00251568"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52F36"/>
    <w:rsid w:val="0006299D"/>
    <w:rsid w:val="00076730"/>
    <w:rsid w:val="000A7BBC"/>
    <w:rsid w:val="000E1B16"/>
    <w:rsid w:val="000E2CEA"/>
    <w:rsid w:val="001108DE"/>
    <w:rsid w:val="0011459D"/>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96E02"/>
    <w:rsid w:val="002B0E25"/>
    <w:rsid w:val="002D353D"/>
    <w:rsid w:val="002F6DFF"/>
    <w:rsid w:val="00302A29"/>
    <w:rsid w:val="003056E8"/>
    <w:rsid w:val="003169AB"/>
    <w:rsid w:val="0032621F"/>
    <w:rsid w:val="003542CD"/>
    <w:rsid w:val="00354744"/>
    <w:rsid w:val="00355224"/>
    <w:rsid w:val="00356B86"/>
    <w:rsid w:val="00366864"/>
    <w:rsid w:val="00380F5C"/>
    <w:rsid w:val="003843D2"/>
    <w:rsid w:val="00394A82"/>
    <w:rsid w:val="003A19F1"/>
    <w:rsid w:val="003A7902"/>
    <w:rsid w:val="003B7F97"/>
    <w:rsid w:val="003C021A"/>
    <w:rsid w:val="003D5BED"/>
    <w:rsid w:val="003E3175"/>
    <w:rsid w:val="003F0723"/>
    <w:rsid w:val="003F138A"/>
    <w:rsid w:val="003F2EF0"/>
    <w:rsid w:val="003F4F83"/>
    <w:rsid w:val="00416C2B"/>
    <w:rsid w:val="00446AA4"/>
    <w:rsid w:val="0045465B"/>
    <w:rsid w:val="004728DB"/>
    <w:rsid w:val="0049017D"/>
    <w:rsid w:val="004D1E24"/>
    <w:rsid w:val="0051365D"/>
    <w:rsid w:val="00546852"/>
    <w:rsid w:val="005601E7"/>
    <w:rsid w:val="005636A1"/>
    <w:rsid w:val="00573516"/>
    <w:rsid w:val="00581393"/>
    <w:rsid w:val="005A1ECC"/>
    <w:rsid w:val="005A6990"/>
    <w:rsid w:val="005B090F"/>
    <w:rsid w:val="005B44B7"/>
    <w:rsid w:val="005E6500"/>
    <w:rsid w:val="005F3CB8"/>
    <w:rsid w:val="006154EC"/>
    <w:rsid w:val="00637496"/>
    <w:rsid w:val="006776C2"/>
    <w:rsid w:val="006A04A7"/>
    <w:rsid w:val="006A6F8F"/>
    <w:rsid w:val="006B5881"/>
    <w:rsid w:val="006C2257"/>
    <w:rsid w:val="006C6BDF"/>
    <w:rsid w:val="006D3592"/>
    <w:rsid w:val="006D6D7F"/>
    <w:rsid w:val="006E2032"/>
    <w:rsid w:val="006E7177"/>
    <w:rsid w:val="00721623"/>
    <w:rsid w:val="00736D9A"/>
    <w:rsid w:val="00746734"/>
    <w:rsid w:val="0075175E"/>
    <w:rsid w:val="00752928"/>
    <w:rsid w:val="00765BB8"/>
    <w:rsid w:val="00790FFE"/>
    <w:rsid w:val="007A4FD5"/>
    <w:rsid w:val="007B4529"/>
    <w:rsid w:val="007B49DA"/>
    <w:rsid w:val="007C303F"/>
    <w:rsid w:val="007C4E22"/>
    <w:rsid w:val="007C6681"/>
    <w:rsid w:val="007D2ACD"/>
    <w:rsid w:val="007E643D"/>
    <w:rsid w:val="007F045B"/>
    <w:rsid w:val="007F338C"/>
    <w:rsid w:val="007F4083"/>
    <w:rsid w:val="008101BF"/>
    <w:rsid w:val="00810F66"/>
    <w:rsid w:val="008170A3"/>
    <w:rsid w:val="00820779"/>
    <w:rsid w:val="00822D7E"/>
    <w:rsid w:val="00824683"/>
    <w:rsid w:val="00834A64"/>
    <w:rsid w:val="008356AA"/>
    <w:rsid w:val="00845A6A"/>
    <w:rsid w:val="00850235"/>
    <w:rsid w:val="0089799A"/>
    <w:rsid w:val="008B65A2"/>
    <w:rsid w:val="008C5F7E"/>
    <w:rsid w:val="008C7C3F"/>
    <w:rsid w:val="008E25FF"/>
    <w:rsid w:val="008F276C"/>
    <w:rsid w:val="008F4C30"/>
    <w:rsid w:val="00962BAE"/>
    <w:rsid w:val="009822D5"/>
    <w:rsid w:val="009A4FD2"/>
    <w:rsid w:val="009A69BA"/>
    <w:rsid w:val="009D5265"/>
    <w:rsid w:val="009D7EEE"/>
    <w:rsid w:val="009E4EEA"/>
    <w:rsid w:val="009E556E"/>
    <w:rsid w:val="009F0367"/>
    <w:rsid w:val="00A052EC"/>
    <w:rsid w:val="00A16EFC"/>
    <w:rsid w:val="00A244C3"/>
    <w:rsid w:val="00A34979"/>
    <w:rsid w:val="00A455B3"/>
    <w:rsid w:val="00A56173"/>
    <w:rsid w:val="00A564E5"/>
    <w:rsid w:val="00A67320"/>
    <w:rsid w:val="00A709EE"/>
    <w:rsid w:val="00A9423D"/>
    <w:rsid w:val="00AA6FF3"/>
    <w:rsid w:val="00AE0BE1"/>
    <w:rsid w:val="00AF0893"/>
    <w:rsid w:val="00B201D2"/>
    <w:rsid w:val="00B26B8E"/>
    <w:rsid w:val="00B437EC"/>
    <w:rsid w:val="00B46F48"/>
    <w:rsid w:val="00B50810"/>
    <w:rsid w:val="00B50CE8"/>
    <w:rsid w:val="00B51EDA"/>
    <w:rsid w:val="00B566CE"/>
    <w:rsid w:val="00B609B0"/>
    <w:rsid w:val="00B7219A"/>
    <w:rsid w:val="00B80DEE"/>
    <w:rsid w:val="00B941FD"/>
    <w:rsid w:val="00BC6760"/>
    <w:rsid w:val="00BD2B17"/>
    <w:rsid w:val="00BD5448"/>
    <w:rsid w:val="00BE118A"/>
    <w:rsid w:val="00BE19DA"/>
    <w:rsid w:val="00BE2665"/>
    <w:rsid w:val="00BE6BC8"/>
    <w:rsid w:val="00BE7EEE"/>
    <w:rsid w:val="00BF55CA"/>
    <w:rsid w:val="00BF5964"/>
    <w:rsid w:val="00C04D97"/>
    <w:rsid w:val="00C23111"/>
    <w:rsid w:val="00C26F66"/>
    <w:rsid w:val="00C3324A"/>
    <w:rsid w:val="00C41C1A"/>
    <w:rsid w:val="00C57F93"/>
    <w:rsid w:val="00C63C35"/>
    <w:rsid w:val="00C643AD"/>
    <w:rsid w:val="00C71825"/>
    <w:rsid w:val="00C74674"/>
    <w:rsid w:val="00C76753"/>
    <w:rsid w:val="00C84467"/>
    <w:rsid w:val="00C94AC1"/>
    <w:rsid w:val="00CA10DB"/>
    <w:rsid w:val="00CA7EAB"/>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378C"/>
    <w:rsid w:val="00DE468A"/>
    <w:rsid w:val="00DE4C4E"/>
    <w:rsid w:val="00DF379F"/>
    <w:rsid w:val="00DF611A"/>
    <w:rsid w:val="00E421D0"/>
    <w:rsid w:val="00E46E34"/>
    <w:rsid w:val="00E568B5"/>
    <w:rsid w:val="00E66D39"/>
    <w:rsid w:val="00E76084"/>
    <w:rsid w:val="00E9183B"/>
    <w:rsid w:val="00ED08B6"/>
    <w:rsid w:val="00EF0AED"/>
    <w:rsid w:val="00EF1FC8"/>
    <w:rsid w:val="00F014E6"/>
    <w:rsid w:val="00F134DB"/>
    <w:rsid w:val="00F178DE"/>
    <w:rsid w:val="00F51E99"/>
    <w:rsid w:val="00F523A6"/>
    <w:rsid w:val="00F52DD9"/>
    <w:rsid w:val="00F613FD"/>
    <w:rsid w:val="00F644B5"/>
    <w:rsid w:val="00F72147"/>
    <w:rsid w:val="00F93CF0"/>
    <w:rsid w:val="00FA52AC"/>
    <w:rsid w:val="00FB2144"/>
    <w:rsid w:val="00FB41B9"/>
    <w:rsid w:val="00FC0157"/>
    <w:rsid w:val="00FD28ED"/>
    <w:rsid w:val="00FE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png"/><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35</Pages>
  <Words>12698</Words>
  <Characters>72381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82</cp:revision>
  <dcterms:created xsi:type="dcterms:W3CDTF">2020-02-09T21:34:00Z</dcterms:created>
  <dcterms:modified xsi:type="dcterms:W3CDTF">2022-01-10T02:14:00Z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