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DDE0" w14:textId="77777777" w:rsidR="008A2CFC" w:rsidRDefault="00E32F02">
      <w:pPr>
        <w:pStyle w:val="Heading1"/>
      </w:pPr>
      <w:bookmarkStart w:id="0" w:name="abstract"/>
      <w:r>
        <w:t>Abstract</w:t>
      </w:r>
    </w:p>
    <w:p w14:paraId="2555BF4E" w14:textId="77777777" w:rsidR="008A2CFC" w:rsidRDefault="00E32F02">
      <w:r>
        <w:t>Within Masu salmon (Oncorhynchus masou), individuals can exhibit one of two life histories: resident individuals which stay in streams for their entire life span or anadromous individuals which move to the ocean to mature before returning to their natal st</w:t>
      </w:r>
      <w:r>
        <w:t>reams to breed. Current research has suggested that the expression of either life history is mainly influenced by environmental factors such as temperature, which influence critical traits like salmon’s body size, growth rate, lipid stores. Here, we use hi</w:t>
      </w:r>
      <w:r>
        <w:t>gh-resolution reduced-representation genome sequencing to show that there are no significant genetic associations with migratory decision making in masu salmon in two streams in Hokkaido, Japan. Further research with a larger sample size from more parts of</w:t>
      </w:r>
      <w:r>
        <w:t xml:space="preserve"> the masu range is needed in order to fully assess potential genetic influences on anadromy and residency in the species.</w:t>
      </w:r>
    </w:p>
    <w:p w14:paraId="6598E083" w14:textId="77777777" w:rsidR="008A2CFC" w:rsidRDefault="00E32F02">
      <w:pPr>
        <w:pStyle w:val="Heading1"/>
      </w:pPr>
      <w:bookmarkStart w:id="1" w:name="introduction"/>
      <w:bookmarkEnd w:id="0"/>
      <w:r>
        <w:t>Introduction</w:t>
      </w:r>
    </w:p>
    <w:p w14:paraId="34E9DEE0" w14:textId="77777777" w:rsidR="008A2CFC" w:rsidRDefault="00E32F02">
      <w:r>
        <w:t>Due to the history of hydrologic modifications such as the development of reservoirs, dams, and irrigation systems, there</w:t>
      </w:r>
      <w:r>
        <w:t xml:space="preserve"> has been an apparent decrease in the number of migratory fishes in recent years (Pringle et al. 2000). In North America, for example,there have been significant decreases in diversity within pacific salmonid species due to hydrologic and dam alterations, </w:t>
      </w:r>
      <w:r>
        <w:t>and atlantic salmon and anadromous species of sturgeons are also impacted negatively because of a loss of portions to their habitats upstream of dams (Pringle et al. 2000). Overall, the diversity within migratory fish species have largely declined by an av</w:t>
      </w:r>
      <w:r>
        <w:t>erage of 70% between 1970 and 2016 due to these dams blocking the fishes’ migratory paths (Deinet et al. 2020).</w:t>
      </w:r>
    </w:p>
    <w:p w14:paraId="0B1816B0" w14:textId="77777777" w:rsidR="008A2CFC" w:rsidRDefault="00E32F02">
      <w:r>
        <w:lastRenderedPageBreak/>
        <w:t>Masu salmon (Oncorhynchus masou, otherwise known as cherry salmon) have the most limited distribution among the Pacific salmon. Since they spend</w:t>
      </w:r>
      <w:r>
        <w:t xml:space="preserve"> a greater portion of their life in freshwater rivers or streams than most other migratory salmon, they are particularly exposed to fishing and sportfishing pressures (Miyakoshi et al. 2009). Their increased vulnerability makes it critical to understand th</w:t>
      </w:r>
      <w:r>
        <w:t>e details that influence and control migratory life history variance in the species. Masu in particular (like steelhead salmon/rainbow trout Oncorhynchus mykiss and other species to a lesser degree) are partially migratory, with large resident and anadromo</w:t>
      </w:r>
      <w:r>
        <w:t>us populations (Morita et al. 2014). As is typical, anadromous masu are initially born in the rivers then migrate to the seas where they develop larger body sizes, then eventually migrate back to their natal rivers in order to breed (Dodson et al. 2013). R</w:t>
      </w:r>
      <w:r>
        <w:t>esident masu in contrast sexually mature at a younger age and stay within the river systems throughout their entire lives (Morita and Nagasawa 2010).</w:t>
      </w:r>
    </w:p>
    <w:p w14:paraId="362B1336" w14:textId="77777777" w:rsidR="008A2CFC" w:rsidRDefault="00E32F02">
      <w:r>
        <w:t>The decision to migrate in masu salmon is thought to be primarily influenced by environmental factors such</w:t>
      </w:r>
      <w:r>
        <w:t xml:space="preserve"> as temperature alongside other factors such as the salmon’s body size, growth rate, lipid stores, and is heavily sex influenced (Morita et al. 2014; Arostegui and Quinn 2019). Consequently, changes in environmental factors, such as those caused by climate</w:t>
      </w:r>
      <w:r>
        <w:t xml:space="preserve"> change, have been known to impact the decision of the masu to be either resident or anadromous (Morita et al. 2014). For example, Morita et al (2014) has shown that the number of resident males have increased while the proportion of anadromous males and t</w:t>
      </w:r>
      <w:r>
        <w:t>he proportion of delayed migrants within both females and males have decreased as the temperatures have increased, which has led to a significant decrease in the number of anadromous individuals overall.</w:t>
      </w:r>
    </w:p>
    <w:p w14:paraId="2D8CDE14" w14:textId="77777777" w:rsidR="008A2CFC" w:rsidRDefault="00E32F02">
      <w:r>
        <w:t xml:space="preserve">In contrast, the genetic factors that contribute to </w:t>
      </w:r>
      <w:r>
        <w:t xml:space="preserve">migration in masu salmon have not been well studied. Despite the prevalence of environmental control of migration in masu, it is not </w:t>
      </w:r>
      <w:r>
        <w:lastRenderedPageBreak/>
        <w:t>unreasonable to expect genetic elements to play some role in governing migratory decisions in the species. For example, wit</w:t>
      </w:r>
      <w:r>
        <w:t>hin steelhead, there is strong evidence suggesting both an environmental and genetic basis for migratory life history. In 1944, Naeve conducted common garden and transplant experiments with sympatric rainbow trout and steelhead and found that migratory sta</w:t>
      </w:r>
      <w:r>
        <w:t>tus was heritable after observing that rainbow trout offspring were considerably more likely to be resident themselves, whereas crosses between anadromous individuals resulted in the most anadromous smolts. It is not surprising, therefore, that a recent st</w:t>
      </w:r>
      <w:r>
        <w:t>udy by Hess et al. (2016), on 15,239 single nucleotide polymorphisms (SNPs) found of three SNPs from a gene that was strongly linked with adult migration timing, and that 18 total SNPs that were connected to 60% of the trait variation. Despite this, howeve</w:t>
      </w:r>
      <w:r>
        <w:t>r, growth rates and body condition are known to influence anadromy in the species—individuals which grow faster as juveniles are more likely to stay as residents than otherwise (Kendall et al. 2015). Growth rates are also known to be influenced by large ge</w:t>
      </w:r>
      <w:r>
        <w:t>netic elements that differ between anadromous and resident individuals, implying that genetics may contribute to migration indirectly as well (MILLER et al. 2012). Taken together, it seems clear that migration in steelhead is jointly controlled by the inte</w:t>
      </w:r>
      <w:r>
        <w:t>rplay of genetic and environmental factors.</w:t>
      </w:r>
    </w:p>
    <w:p w14:paraId="1030687B" w14:textId="77777777" w:rsidR="008A2CFC" w:rsidRDefault="00E32F02">
      <w:r>
        <w:t xml:space="preserve">The degree of genetic control of migration in masu, however, is still not well known. To improve our understanding of the mechanisms behind residency and anadromy in the species, we sequenced a set of anadromous </w:t>
      </w:r>
      <w:r>
        <w:t>and resident masu individuals using high-resolution Restriction Associated Digest (RAD) sequencing. However, we did not find any clear indicator of the genetic difference between our anadromous and resident masu salmon. While this may suggest that there is</w:t>
      </w:r>
      <w:r>
        <w:t xml:space="preserve"> not that there is a strong genetic basis for masu salmon migratory life history variation, further studies using a bigger sample size from a larger geographic range would need </w:t>
      </w:r>
      <w:r>
        <w:lastRenderedPageBreak/>
        <w:t>to be conducted in order to fully investigate the influences of genetics on Mas</w:t>
      </w:r>
      <w:r>
        <w:t>u salmon migratory life cycles.</w:t>
      </w:r>
    </w:p>
    <w:p w14:paraId="2C24E78A" w14:textId="77777777" w:rsidR="008A2CFC" w:rsidRDefault="00E32F02">
      <w:pPr>
        <w:pStyle w:val="Heading1"/>
      </w:pPr>
      <w:bookmarkStart w:id="2" w:name="methods"/>
      <w:bookmarkEnd w:id="1"/>
      <w:r>
        <w:t>Methods:</w:t>
      </w:r>
    </w:p>
    <w:p w14:paraId="1ED35D18" w14:textId="77777777" w:rsidR="008A2CFC" w:rsidRDefault="00E32F02">
      <w:pPr>
        <w:pStyle w:val="Heading2"/>
      </w:pPr>
      <w:bookmarkStart w:id="3" w:name="genotyping"/>
      <w:r>
        <w:t>Genotyping</w:t>
      </w:r>
    </w:p>
    <w:p w14:paraId="2DA731E5" w14:textId="77777777" w:rsidR="008A2CFC" w:rsidRDefault="00E32F02">
      <w:r>
        <w:t>We extracted DNA from our samples using the magnetic beads and prepared Restriction Associated Digest (RAD) libraries using the Pst1 restriction enzyme according to Ali et al (2016), then sequenced the re</w:t>
      </w:r>
      <w:r>
        <w:t xml:space="preserve">sults on an Illumina Hi-Seq 4000 using 150bp paired-end sequencing. We aligned the data to the </w:t>
      </w:r>
      <w:r>
        <w:rPr>
          <w:i/>
          <w:iCs/>
        </w:rPr>
        <w:t>O. mykiss</w:t>
      </w:r>
      <w:r>
        <w:t xml:space="preserve"> v6 reference genome (Pearse et al. 2019) using Burrows-Wheeler Alignment algorithm (Li et al. 2009). We then filtered the data for PCR duplicates and i</w:t>
      </w:r>
      <w:r>
        <w:t>mproper pairs using SAMtools (Li et al. 2009). Next, we called genotypes by using the SAMtools genotype likelihood models (Li et al. 2009) used in the ANGSD software package with a minimum mapping and base call quality score of 20, a SNP p-value of 1e-8, a</w:t>
      </w:r>
      <w:r>
        <w:t>nd a minimum acceptable minor allele frequency of 0.05 (Korneliussen et al. 2014). We then removed loci out of Hardy-Weinberg Equilibrium (</w:t>
      </w:r>
      <m:oMath>
        <m:r>
          <w:rPr>
            <w:rFonts w:ascii="Cambria Math" w:hAnsi="Cambria Math"/>
          </w:rPr>
          <m:t>p</m:t>
        </m:r>
        <m:r>
          <m:rPr>
            <m:sty m:val="p"/>
          </m:rPr>
          <w:rPr>
            <w:rFonts w:ascii="Cambria Math" w:hAnsi="Cambria Math"/>
          </w:rPr>
          <m:t>≤</m:t>
        </m:r>
        <m:r>
          <w:rPr>
            <w:rFonts w:ascii="Cambria Math" w:hAnsi="Cambria Math"/>
          </w:rPr>
          <m:t>0.000001</m:t>
        </m:r>
      </m:oMath>
      <w:r>
        <w:t>) according to Wigginton et al.’s (Wigginton et al. 2005) method using the snpR R package (Hemstrom and Jo</w:t>
      </w:r>
      <w:r>
        <w:t xml:space="preserve">nes 2021 Feb). </w:t>
      </w:r>
    </w:p>
    <w:p w14:paraId="0231DF4F" w14:textId="77777777" w:rsidR="008A2CFC" w:rsidRDefault="00E32F02">
      <w:pPr>
        <w:pStyle w:val="Heading2"/>
      </w:pPr>
      <w:bookmarkStart w:id="4" w:name="diversity-stats"/>
      <w:bookmarkEnd w:id="3"/>
      <w:r>
        <w:t>Diversity Stats</w:t>
      </w:r>
    </w:p>
    <w:p w14:paraId="4E508741" w14:textId="77777777" w:rsidR="008A2CFC" w:rsidRDefault="00E32F02">
      <w:r>
        <w:t>We calculated the observed heterozygosity (</w:t>
      </w:r>
      <m:oMath>
        <m:sSub>
          <m:sSubPr>
            <m:ctrlPr>
              <w:rPr>
                <w:rFonts w:ascii="Cambria Math" w:hAnsi="Cambria Math"/>
              </w:rPr>
            </m:ctrlPr>
          </m:sSubPr>
          <m:e>
            <m:r>
              <w:rPr>
                <w:rFonts w:ascii="Cambria Math" w:hAnsi="Cambria Math"/>
              </w:rPr>
              <m:t>H</m:t>
            </m:r>
          </m:e>
          <m:sub>
            <m:r>
              <w:rPr>
                <w:rFonts w:ascii="Cambria Math" w:hAnsi="Cambria Math"/>
              </w:rPr>
              <m:t>o</m:t>
            </m:r>
          </m:sub>
        </m:sSub>
      </m:oMath>
      <w:r>
        <w:t>), the average number of pairwise differences (</w:t>
      </w:r>
      <m:oMath>
        <m:r>
          <w:rPr>
            <w:rFonts w:ascii="Cambria Math" w:hAnsi="Cambria Math"/>
          </w:rPr>
          <m:t>π</m:t>
        </m:r>
      </m:oMath>
      <w:r>
        <w:t>), number of private alleles, and fixation index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between populations using the snpR R package (Weir and Cockerham 1984;</w:t>
      </w:r>
      <w:r>
        <w:t xml:space="preserve"> Hohenlohe et al. 2010; Hemstrom and Jones 2021 Feb).</w:t>
      </w:r>
    </w:p>
    <w:p w14:paraId="0261B33E" w14:textId="77777777" w:rsidR="008A2CFC" w:rsidRDefault="00E32F02">
      <w:pPr>
        <w:pStyle w:val="Heading2"/>
      </w:pPr>
      <w:bookmarkStart w:id="5" w:name="association-testing"/>
      <w:bookmarkEnd w:id="4"/>
      <w:r>
        <w:lastRenderedPageBreak/>
        <w:t>Association Testing</w:t>
      </w:r>
    </w:p>
    <w:p w14:paraId="792607D8" w14:textId="77777777" w:rsidR="008A2CFC" w:rsidRDefault="00E32F02">
      <w:r>
        <w:t>We performed a basic association test against migratory phenotype using ANGSD using the first 20 Principal Component Analysis components as covariates to correct for the related amon</w:t>
      </w:r>
      <w:r>
        <w:t>g individuals and population structure (Korneliussen et al. 2014). To increase our association resolution, we used used genotype likelihoods instead of called gneotypes to conduct our association test, generated in ANGSD using the same parameters described</w:t>
      </w:r>
      <w:r>
        <w:t xml:space="preserve"> above. In order to see if any more complex genetic relationships could predict migratory phenotype, we then performed a random forest analysis in R-studio using the ranger R package (Wright and Ziegler 2017). We used 100,000 trees and used mtry of half th</w:t>
      </w:r>
      <w:r>
        <w:t>e number of called SNPs.</w:t>
      </w:r>
    </w:p>
    <w:p w14:paraId="4307DDC3" w14:textId="77777777" w:rsidR="008A2CFC" w:rsidRDefault="00E32F02">
      <w:pPr>
        <w:pStyle w:val="Heading2"/>
      </w:pPr>
      <w:bookmarkStart w:id="6" w:name="X6b839d57ef6dbda603d778c9822a6136be197dd"/>
      <w:bookmarkEnd w:id="5"/>
      <w:r>
        <w:t>Population Structure and Migratory Relatedness</w:t>
      </w:r>
    </w:p>
    <w:p w14:paraId="1FD348CD" w14:textId="77777777" w:rsidR="008A2CFC" w:rsidRDefault="00E32F02">
      <w:r>
        <w:t>We also conducted a Principle Component Analysis chart (PCA) using the ANGSD-IBS method (Korneliussen et al. 2014). To look for patterns in relatedness between resident and andromous i</w:t>
      </w:r>
      <w:r>
        <w:t>ndividuals, we calculated the mean PC1 and PC2 coordinates for each stream, then calculated the distance between each individual sample the mean for the other population. We fit a simple linear regression with the distance to the other population cluster a</w:t>
      </w:r>
      <w:r>
        <w:t>s the response variable and the migratory phenotype as the explanatory variable.</w:t>
      </w:r>
    </w:p>
    <w:p w14:paraId="079C947A" w14:textId="77777777" w:rsidR="008A2CFC" w:rsidRDefault="00E32F02">
      <w:pPr>
        <w:pStyle w:val="Heading1"/>
      </w:pPr>
      <w:bookmarkStart w:id="7" w:name="results"/>
      <w:bookmarkEnd w:id="2"/>
      <w:bookmarkEnd w:id="6"/>
      <w:r>
        <w:t>Results</w:t>
      </w:r>
    </w:p>
    <w:p w14:paraId="1CF8C20C" w14:textId="77777777" w:rsidR="008A2CFC" w:rsidRDefault="00E32F02">
      <w:pPr>
        <w:pStyle w:val="Heading2"/>
      </w:pPr>
      <w:bookmarkStart w:id="8" w:name="genotyping-1"/>
      <w:r>
        <w:t>Genotyping</w:t>
      </w:r>
    </w:p>
    <w:p w14:paraId="0E3902E8" w14:textId="77777777" w:rsidR="008A2CFC" w:rsidRDefault="00E32F02">
      <w:r>
        <w:t xml:space="preserve">The number of unfiltered reads are 163,200,129. After filtering, the number of reads were 90,449,126. We called a total of 71,175 SNPs and 67,256 IBS loci. </w:t>
      </w:r>
      <w:r>
        <w:t xml:space="preserve">      </w:t>
      </w:r>
    </w:p>
    <w:p w14:paraId="3C3128C4" w14:textId="77777777" w:rsidR="008A2CFC" w:rsidRDefault="00E32F02">
      <w:pPr>
        <w:pStyle w:val="Heading2"/>
      </w:pPr>
      <w:bookmarkStart w:id="9" w:name="diversity-stats-1"/>
      <w:bookmarkEnd w:id="8"/>
      <w:r>
        <w:lastRenderedPageBreak/>
        <w:t>Diversity Stats</w:t>
      </w:r>
    </w:p>
    <w:p w14:paraId="44F5C0AB" w14:textId="77777777" w:rsidR="008A2CFC" w:rsidRDefault="00E32F02">
      <w:r>
        <w:t xml:space="preserve">The mean </w:t>
      </w:r>
      <m:oMath>
        <m:sSub>
          <m:sSubPr>
            <m:ctrlPr>
              <w:rPr>
                <w:rFonts w:ascii="Cambria Math" w:hAnsi="Cambria Math"/>
              </w:rPr>
            </m:ctrlPr>
          </m:sSubPr>
          <m:e>
            <m:r>
              <w:rPr>
                <w:rFonts w:ascii="Cambria Math" w:hAnsi="Cambria Math"/>
              </w:rPr>
              <m:t>H</m:t>
            </m:r>
          </m:e>
          <m:sub>
            <m:r>
              <w:rPr>
                <w:rFonts w:ascii="Cambria Math" w:hAnsi="Cambria Math"/>
              </w:rPr>
              <m:t>o</m:t>
            </m:r>
          </m:sub>
        </m:sSub>
      </m:oMath>
      <w:r>
        <w:t xml:space="preserve"> values are relatively similar between the anadromous and residents individuals and between the CH and TK populations (see Table 1). The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values between the two populations and between anadromous and resident indiv</w:t>
      </w:r>
      <w:r>
        <w:t>iduals were very low, which indicated that there is not much genetic diversity between the two populations and two phenotypes. There are also no private alleles between the two populations, which also indicated low genetic differentiation between the two p</w:t>
      </w:r>
      <w:r>
        <w:t>opulations of salmon.</w:t>
      </w:r>
    </w:p>
    <w:p w14:paraId="22ED3551" w14:textId="77777777" w:rsidR="008A2CFC" w:rsidRDefault="00E32F02">
      <w:pPr>
        <w:pStyle w:val="Heading2"/>
      </w:pPr>
      <w:bookmarkStart w:id="10" w:name="association"/>
      <w:bookmarkEnd w:id="9"/>
      <w:r>
        <w:t>Association</w:t>
      </w:r>
    </w:p>
    <w:p w14:paraId="01232C10" w14:textId="77777777" w:rsidR="008A2CFC" w:rsidRDefault="00E32F02">
      <w:r>
        <w:t>We did not find any strong associations with migratory life history status at any loci (Figure 1), and the random forest only successfully predicted 25 out of 52 anadromous individuals correctly and 17 out of 44 resident i</w:t>
      </w:r>
      <w:r>
        <w:t>ndividuals correctly for a total prediction accuracy of 38.6%.</w:t>
      </w:r>
    </w:p>
    <w:p w14:paraId="3D5E07CD" w14:textId="77777777" w:rsidR="008A2CFC" w:rsidRDefault="00E32F02">
      <w:pPr>
        <w:pStyle w:val="Heading2"/>
      </w:pPr>
      <w:bookmarkStart w:id="11" w:name="Xb55d3dfb976822536d91eefc2ff8aafec9a01d9"/>
      <w:bookmarkEnd w:id="10"/>
      <w:r>
        <w:t>Influence of Anadromy on Population Structure</w:t>
      </w:r>
    </w:p>
    <w:p w14:paraId="5B5E20D5" w14:textId="77777777" w:rsidR="008A2CFC" w:rsidRDefault="00E32F02">
      <w:r>
        <w:t>We found that the anadromous individuals clustered significantly closer to the cluster center for individuals from the other population (one-way AN</w:t>
      </w:r>
      <w:r>
        <w:t xml:space="preserve">OVA, p-value = 0.0419, see Figure 2). This indicates that the anadromous individuals within one population were more closely related to the individuals in the other population than were residents. </w:t>
      </w:r>
    </w:p>
    <w:p w14:paraId="451E7D1F" w14:textId="77777777" w:rsidR="008A2CFC" w:rsidRDefault="00E32F02">
      <w:pPr>
        <w:pStyle w:val="Heading1"/>
      </w:pPr>
      <w:bookmarkStart w:id="12" w:name="discussion"/>
      <w:bookmarkEnd w:id="7"/>
      <w:bookmarkEnd w:id="11"/>
      <w:r>
        <w:t>Discussion</w:t>
      </w:r>
    </w:p>
    <w:p w14:paraId="3DB2DDC3" w14:textId="77777777" w:rsidR="008A2CFC" w:rsidRDefault="00E32F02">
      <w:pPr>
        <w:pStyle w:val="Heading2"/>
      </w:pPr>
      <w:bookmarkStart w:id="13" w:name="genetic-associations-with-migration"/>
      <w:r>
        <w:t>Genetic Associations with Migration</w:t>
      </w:r>
    </w:p>
    <w:p w14:paraId="11F250F8" w14:textId="77777777" w:rsidR="008A2CFC" w:rsidRDefault="00E32F02">
      <w:r>
        <w:t xml:space="preserve">We did not find any significant genetic associations with migratory phenotype (see Figure 1). This indicates that in the streams we examined, there may not be any loci in the genome that strongly contribute to migratory </w:t>
      </w:r>
      <w:r>
        <w:t xml:space="preserve">life history decisions. It is not therefore surprising </w:t>
      </w:r>
      <w:r>
        <w:lastRenderedPageBreak/>
        <w:t>that the random forest which we conducted also did not have strong predictive power for anadromy and residency, since it would not be able to accurately group the individuals to their actual life histo</w:t>
      </w:r>
      <w:r>
        <w:t>ry if there are no genetic elements that contribute to migratory phenotype.</w:t>
      </w:r>
    </w:p>
    <w:p w14:paraId="1818E661" w14:textId="77777777" w:rsidR="008A2CFC" w:rsidRDefault="00E32F02">
      <w:r>
        <w:t>However, our study included samples from only a small region at the center of the masu range. It is possible that if we sampled from other areas, we could uncover loci that influen</w:t>
      </w:r>
      <w:r>
        <w:t>ce migratory life history phenotypes under environmental conditions that differ from those in our study systems. This could occur if the effect of migratory genes depends on environmental conditions (GxE). This phenomena is seen in steelhead, where varianc</w:t>
      </w:r>
      <w:r>
        <w:t>e in environmental conditions across the species’ range can determine whether life histories are more genetically or environmentally based (Kendall et al. 2015).</w:t>
      </w:r>
    </w:p>
    <w:p w14:paraId="0E4AD821" w14:textId="77777777" w:rsidR="008A2CFC" w:rsidRDefault="00E32F02">
      <w:pPr>
        <w:pStyle w:val="Heading2"/>
      </w:pPr>
      <w:bookmarkStart w:id="14" w:name="X6aeb7abb533c8d2ab7c33273d0b2cbe76628ebe"/>
      <w:bookmarkEnd w:id="13"/>
      <w:r>
        <w:t>Patterns of Relatedness Between Anadromous and Resident Individuals</w:t>
      </w:r>
    </w:p>
    <w:p w14:paraId="68522900" w14:textId="77777777" w:rsidR="008A2CFC" w:rsidRDefault="00E32F02">
      <w:r>
        <w:t>We found that although our</w:t>
      </w:r>
      <w:r>
        <w:t xml:space="preserve"> two populations (TK and CH) were genetically distinct from one another, there was substantial overlap between the anadromous and resident individuals within each population, indicating that resident and anadromous individuals freely interbreed within popu</w:t>
      </w:r>
      <w:r>
        <w:t>lations. Interestingly, we did find that anadromous individuals were significantly more closely related to individuals from the stream from which they did not originate. This could potentially be attributed to where the samples were collected. For example,</w:t>
      </w:r>
      <w:r>
        <w:t xml:space="preserve"> if the anadromous individuals from one stream were collected closer to the river mouth than residents, and thus geographically closer to the other stream, this could explain why we observed that they were more genetically similar to individuals from that </w:t>
      </w:r>
      <w:r>
        <w:t>stream. Alternatively, if anadromous individuals are more likely to stray than residents (since they may return to the wrong river system), and their offspring are more likely to be anadromous themselves, then this could also produce the pattern we observe</w:t>
      </w:r>
      <w:r>
        <w:t>d.</w:t>
      </w:r>
    </w:p>
    <w:p w14:paraId="32FBDBFD" w14:textId="77777777" w:rsidR="008A2CFC" w:rsidRDefault="00E32F02">
      <w:r>
        <w:lastRenderedPageBreak/>
        <w:t>However, this hypothesis could only be true if there are transgenerational environmental or genetic correlations with anadromy. Given that we did not find any obvious genetic associations with anadromy, the latter seems more likely. For example, transge</w:t>
      </w:r>
      <w:r>
        <w:t>nerational environmental correlations anadromy could exist if anadromous individuals tend to breed in areas where there are less nutrients available, since smaller body sizes induce the decision of an anadromous life cycle. Under these circumstances, the o</w:t>
      </w:r>
      <w:r>
        <w:t>ffspring of migrants would be more likely to be migrants themselves, allowing for the localized build up of alleles brought in by strays.</w:t>
      </w:r>
    </w:p>
    <w:p w14:paraId="03333D79" w14:textId="77777777" w:rsidR="008A2CFC" w:rsidRDefault="00E32F02">
      <w:pPr>
        <w:pStyle w:val="Heading2"/>
      </w:pPr>
      <w:bookmarkStart w:id="15" w:name="conservation-ramifications"/>
      <w:bookmarkEnd w:id="14"/>
      <w:r>
        <w:t>Conservation Ramifications</w:t>
      </w:r>
    </w:p>
    <w:p w14:paraId="5FCA0626" w14:textId="77777777" w:rsidR="008A2CFC" w:rsidRDefault="00E32F02">
      <w:r>
        <w:t>Our results suggest that, at least in some areas, residency and anadromy within masu salmon</w:t>
      </w:r>
      <w:r>
        <w:t xml:space="preserve"> are not significantly genetically controlled and that fisheries managers and conservation groups should therefore focus more on the possible environmental correlations with migration (such as temperature and resource availability) when planning conservati</w:t>
      </w:r>
      <w:r>
        <w:t>on efforts targeting masu salmon. Unfortunately, this also means that genetic monitoring for the anadromous potential of a stream is probably often not possible, since it is not possible to predict migratory phenotype from genotypic data. These results may</w:t>
      </w:r>
      <w:r>
        <w:t xml:space="preserve"> not extrapolate across the entire masu range: further studies with larger sample sizes from more areas could help determine if migratory life history decisions are influenced by the additive or multiplicative effects of genetics and environment or simply </w:t>
      </w:r>
      <w:r>
        <w:t>a result of purely environmental effects across the full range of the species.</w:t>
      </w:r>
    </w:p>
    <w:p w14:paraId="645ACCAD" w14:textId="77777777" w:rsidR="008A2CFC" w:rsidRDefault="00E32F02">
      <w:pPr>
        <w:pStyle w:val="Heading1"/>
      </w:pPr>
      <w:bookmarkStart w:id="16" w:name="references"/>
      <w:bookmarkEnd w:id="12"/>
      <w:bookmarkEnd w:id="15"/>
      <w:r>
        <w:t>References:</w:t>
      </w:r>
    </w:p>
    <w:p w14:paraId="0A6AF6C5" w14:textId="77777777" w:rsidR="008A2CFC" w:rsidRDefault="00E32F02" w:rsidP="00340CD3">
      <w:pPr>
        <w:pStyle w:val="Bibliography"/>
        <w:ind w:left="720" w:hanging="720"/>
      </w:pPr>
      <w:bookmarkStart w:id="17" w:name="ref-Ali2016"/>
      <w:bookmarkStart w:id="18" w:name="refs"/>
      <w:r>
        <w:t xml:space="preserve">Ali OA, O’Rourke SM, Amish SJ, Meek MH, Luikart G, Jeffres C, Miller MR. 2016. </w:t>
      </w:r>
      <w:r>
        <w:t xml:space="preserve">RAD Capture (Rapture): Flexible and Efficient Sequence-Based Genotyping. Genetics. </w:t>
      </w:r>
      <w:r>
        <w:lastRenderedPageBreak/>
        <w:t>202(2):389–400. doi:</w:t>
      </w:r>
      <w:hyperlink r:id="rId7">
        <w:r>
          <w:t>10.1534/genetics.115.183665</w:t>
        </w:r>
      </w:hyperlink>
      <w:r>
        <w:t xml:space="preserve">. </w:t>
      </w:r>
      <w:hyperlink r:id="rId8">
        <w:r>
          <w:t>https://doi.org/10.1534/genetics.115.183665</w:t>
        </w:r>
      </w:hyperlink>
      <w:r>
        <w:t>.</w:t>
      </w:r>
    </w:p>
    <w:p w14:paraId="4489A8F3" w14:textId="77777777" w:rsidR="008A2CFC" w:rsidRDefault="00E32F02" w:rsidP="00340CD3">
      <w:pPr>
        <w:pStyle w:val="Bibliography"/>
        <w:ind w:left="720" w:hanging="720"/>
      </w:pPr>
      <w:bookmarkStart w:id="19" w:name="ref-Arostegui2019"/>
      <w:bookmarkEnd w:id="17"/>
      <w:r>
        <w:t>Arostegui MC, Quinn TP. 2019. Reliance on lakes by salmon, trout and charr (Oncorhynchus, Salmo and Salvelinus): An evaluation of spawning habitats, rearing strategies and trophic polymorphisms. Fish and Fishe</w:t>
      </w:r>
      <w:r>
        <w:t>ries. 20(4):775–794. doi:</w:t>
      </w:r>
      <w:hyperlink r:id="rId9">
        <w:r>
          <w:t>https://doi.org/10.1111/faf.12377</w:t>
        </w:r>
      </w:hyperlink>
      <w:r>
        <w:t xml:space="preserve">. </w:t>
      </w:r>
      <w:hyperlink r:id="rId10">
        <w:r>
          <w:t>https://doi.org/10.1111/faf.12377</w:t>
        </w:r>
      </w:hyperlink>
      <w:r>
        <w:t>.</w:t>
      </w:r>
    </w:p>
    <w:p w14:paraId="702353C2" w14:textId="77777777" w:rsidR="008A2CFC" w:rsidRDefault="00E32F02" w:rsidP="00340CD3">
      <w:pPr>
        <w:pStyle w:val="Bibliography"/>
        <w:ind w:left="720" w:hanging="720"/>
      </w:pPr>
      <w:bookmarkStart w:id="20" w:name="ref-deinet2020living"/>
      <w:bookmarkEnd w:id="19"/>
      <w:r>
        <w:t xml:space="preserve">Deinet S, Scott-Gatty K, Rotton H, Twardek WM, Marconi </w:t>
      </w:r>
      <w:r>
        <w:t>V, McRae L, Baumgartner LJ, Brink K, Claussen JE, Cooke SJ, et al. 2020. The living planet index (LPI) for migratory freshwater fish: Technical report.</w:t>
      </w:r>
    </w:p>
    <w:p w14:paraId="16511F62" w14:textId="77777777" w:rsidR="008A2CFC" w:rsidRDefault="00E32F02" w:rsidP="00340CD3">
      <w:pPr>
        <w:pStyle w:val="Bibliography"/>
        <w:ind w:left="720" w:hanging="720"/>
      </w:pPr>
      <w:bookmarkStart w:id="21" w:name="ref-Dodson2013"/>
      <w:bookmarkEnd w:id="20"/>
      <w:r>
        <w:t xml:space="preserve">Dodson JJ, Aubin-Horth N, Thériault V, Páez DJ. 2013. The evolutionary ecology of alternative migratory </w:t>
      </w:r>
      <w:r>
        <w:t>tactics in salmonid fishes. Biological Reviews. 88(3):602–625. doi:</w:t>
      </w:r>
      <w:hyperlink r:id="rId11">
        <w:r>
          <w:t>https://doi.org/10.1111/brv.12019</w:t>
        </w:r>
      </w:hyperlink>
      <w:r>
        <w:t xml:space="preserve">. </w:t>
      </w:r>
      <w:hyperlink r:id="rId12">
        <w:r>
          <w:t>https://doi.org/10.1111/brv.12019</w:t>
        </w:r>
      </w:hyperlink>
      <w:r>
        <w:t>.</w:t>
      </w:r>
    </w:p>
    <w:p w14:paraId="412DA747" w14:textId="77777777" w:rsidR="008A2CFC" w:rsidRDefault="00E32F02" w:rsidP="00340CD3">
      <w:pPr>
        <w:pStyle w:val="Bibliography"/>
        <w:ind w:left="720" w:hanging="720"/>
      </w:pPr>
      <w:bookmarkStart w:id="22" w:name="ref-Hemstrom2021"/>
      <w:bookmarkEnd w:id="21"/>
      <w:r>
        <w:t>Hemstrom W, J</w:t>
      </w:r>
      <w:r>
        <w:t>ones M. 2021 Feb. snpR: user friendly population genomics for SNP datasets with categorical metadata. Authoria.:507615. doi:</w:t>
      </w:r>
      <w:hyperlink r:id="rId13">
        <w:r>
          <w:t>10.22541/au.161264719.94032617/v1</w:t>
        </w:r>
      </w:hyperlink>
      <w:r>
        <w:t>.</w:t>
      </w:r>
    </w:p>
    <w:p w14:paraId="0F771CDF" w14:textId="77777777" w:rsidR="008A2CFC" w:rsidRDefault="00E32F02" w:rsidP="00340CD3">
      <w:pPr>
        <w:pStyle w:val="Bibliography"/>
        <w:ind w:left="720" w:hanging="720"/>
      </w:pPr>
      <w:bookmarkStart w:id="23" w:name="ref-Hess2016"/>
      <w:bookmarkEnd w:id="22"/>
      <w:r>
        <w:t>Hess JE, Zendt JS, Matala AR</w:t>
      </w:r>
      <w:r>
        <w:t>, Narum SR. 2016. Genetic basis of adult migration timing in anadromous steelhead discovered through multivariate association testing. Proceedings of the Royal Society B: Biological Sciences. 283(1830):20153064. doi:</w:t>
      </w:r>
      <w:hyperlink r:id="rId14">
        <w:r>
          <w:t>10.1098/rspb.2015.3064</w:t>
        </w:r>
      </w:hyperlink>
      <w:r>
        <w:t xml:space="preserve">. </w:t>
      </w:r>
      <w:hyperlink r:id="rId15">
        <w:r>
          <w:t>https://doi.org/10.1098/rspb.2015.3064</w:t>
        </w:r>
      </w:hyperlink>
      <w:r>
        <w:t>.</w:t>
      </w:r>
    </w:p>
    <w:p w14:paraId="679B54D3" w14:textId="77777777" w:rsidR="008A2CFC" w:rsidRDefault="00E32F02" w:rsidP="00340CD3">
      <w:pPr>
        <w:pStyle w:val="Bibliography"/>
        <w:ind w:left="720" w:hanging="720"/>
      </w:pPr>
      <w:bookmarkStart w:id="24" w:name="ref-Hohenlohe2010"/>
      <w:bookmarkEnd w:id="23"/>
      <w:r>
        <w:t>Hohenlohe PA, Bassham S, Etter PD, Stiffler N, Johnson EA, Cresko WA. 2010. Population Genomics of Parallel Adaptati</w:t>
      </w:r>
      <w:r>
        <w:t>on in Threespine Stickleback using Sequenced RAD Tags. PLOS Genetics. 6(2):1–23. doi:</w:t>
      </w:r>
      <w:hyperlink r:id="rId16">
        <w:r>
          <w:t>10.1371/journal.pgen.1000862</w:t>
        </w:r>
      </w:hyperlink>
      <w:r>
        <w:t xml:space="preserve">. </w:t>
      </w:r>
      <w:hyperlink r:id="rId17">
        <w:r>
          <w:t>https://doi.o</w:t>
        </w:r>
        <w:r>
          <w:t>rg/10.1371/journal.pgen.1000862</w:t>
        </w:r>
      </w:hyperlink>
      <w:r>
        <w:t>.</w:t>
      </w:r>
    </w:p>
    <w:p w14:paraId="4D121D3C" w14:textId="77777777" w:rsidR="008A2CFC" w:rsidRDefault="00E32F02" w:rsidP="00340CD3">
      <w:pPr>
        <w:pStyle w:val="Bibliography"/>
        <w:ind w:left="720" w:hanging="720"/>
      </w:pPr>
      <w:bookmarkStart w:id="25" w:name="ref-Kendall2015"/>
      <w:bookmarkEnd w:id="24"/>
      <w:r>
        <w:lastRenderedPageBreak/>
        <w:t>Kendall NW, McMillan JR, Sloat MR, Buehrens TW, Quinn TP, Pess GR, Kuzishchin KV, McClure MM, Zabel RW. 2015. Anadromy and residency in steelhead and rainbow trout (oncorhynchus mykiss): A review of the Processes and Patter</w:t>
      </w:r>
      <w:r>
        <w:t>ns. Canadian Journal of Fisheries and Aquatic Sciences. 72(3):319–342. doi:</w:t>
      </w:r>
      <w:hyperlink r:id="rId18">
        <w:r>
          <w:t>10.1139/cjfas-2014-0192</w:t>
        </w:r>
      </w:hyperlink>
      <w:r>
        <w:t>.</w:t>
      </w:r>
    </w:p>
    <w:p w14:paraId="4AF866EE" w14:textId="77777777" w:rsidR="008A2CFC" w:rsidRDefault="00E32F02" w:rsidP="00340CD3">
      <w:pPr>
        <w:pStyle w:val="Bibliography"/>
        <w:ind w:left="720" w:hanging="720"/>
      </w:pPr>
      <w:bookmarkStart w:id="26" w:name="ref-Korneliussen2014"/>
      <w:bookmarkEnd w:id="25"/>
      <w:r>
        <w:t>Korneliussen TS, Albrechtsen A, Nielsen R. 2014. ANGSD: Analysis of Next Generation Sequencing Da</w:t>
      </w:r>
      <w:r>
        <w:t>ta. BMC Bioinformatics. 15(1):356. doi:</w:t>
      </w:r>
      <w:hyperlink r:id="rId19">
        <w:r>
          <w:t>10.1186/s12859-014-0356-4</w:t>
        </w:r>
      </w:hyperlink>
      <w:r>
        <w:t xml:space="preserve">. </w:t>
      </w:r>
      <w:hyperlink r:id="rId20">
        <w:r>
          <w:t>https://doi.org/10.1186/s12859-014-0356-4</w:t>
        </w:r>
      </w:hyperlink>
      <w:r>
        <w:t>.</w:t>
      </w:r>
    </w:p>
    <w:p w14:paraId="36919406" w14:textId="77777777" w:rsidR="008A2CFC" w:rsidRDefault="00E32F02" w:rsidP="00340CD3">
      <w:pPr>
        <w:pStyle w:val="Bibliography"/>
        <w:ind w:left="720" w:hanging="720"/>
      </w:pPr>
      <w:bookmarkStart w:id="27" w:name="ref-Li2009"/>
      <w:bookmarkEnd w:id="26"/>
      <w:r>
        <w:t>Li H, Handsaker B, Wysoke</w:t>
      </w:r>
      <w:r>
        <w:t>r A, Fennell T, Ruan J, Homer N, Marth G, Abecasis G, Durbin R, Subgroup 1000GPDP. 2009. The Sequence Alignment/Map format and SAMtools. Bioinformatics. 25(16):2078–2079. doi:</w:t>
      </w:r>
      <w:hyperlink r:id="rId21">
        <w:r>
          <w:t>10.1093/bioinfor</w:t>
        </w:r>
        <w:r>
          <w:t>matics/btp352</w:t>
        </w:r>
      </w:hyperlink>
      <w:r>
        <w:t xml:space="preserve">. </w:t>
      </w:r>
      <w:hyperlink r:id="rId22">
        <w:r>
          <w:t>https://doi.org/10.1093/bioinformatics/btp352</w:t>
        </w:r>
      </w:hyperlink>
      <w:r>
        <w:t>.</w:t>
      </w:r>
    </w:p>
    <w:p w14:paraId="09E882AC" w14:textId="77777777" w:rsidR="008A2CFC" w:rsidRDefault="00E32F02" w:rsidP="00340CD3">
      <w:pPr>
        <w:pStyle w:val="Bibliography"/>
        <w:ind w:left="720" w:hanging="720"/>
      </w:pPr>
      <w:bookmarkStart w:id="28" w:name="ref-MILLER2012"/>
      <w:bookmarkEnd w:id="27"/>
      <w:r>
        <w:t>MILLER MR, BRUNELLI JP, WHEELER PA, LIU S, REXROAD III CE, PALTI Y, DOE CQ, THORGAARD GH. 2012. A conserved haplotype controls pa</w:t>
      </w:r>
      <w:r>
        <w:t>rallel adaptation in geographically distant salmonid populations. Molecular Ecology. 21(2):237–249. doi:</w:t>
      </w:r>
      <w:hyperlink r:id="rId23">
        <w:r>
          <w:t>https://doi.org/10.1111/j.1365-294X.2011.05305.x</w:t>
        </w:r>
      </w:hyperlink>
      <w:r>
        <w:t xml:space="preserve">. </w:t>
      </w:r>
      <w:hyperlink r:id="rId24">
        <w:r>
          <w:t>https://doi.org/10.1111/j.1365-294X.2011.05305.x</w:t>
        </w:r>
      </w:hyperlink>
      <w:r>
        <w:t>.</w:t>
      </w:r>
    </w:p>
    <w:p w14:paraId="37E9C7D1" w14:textId="77777777" w:rsidR="008A2CFC" w:rsidRDefault="00E32F02" w:rsidP="00340CD3">
      <w:pPr>
        <w:pStyle w:val="Bibliography"/>
        <w:ind w:left="720" w:hanging="720"/>
      </w:pPr>
      <w:bookmarkStart w:id="29" w:name="ref-Miyakoshi2009"/>
      <w:bookmarkEnd w:id="28"/>
      <w:r>
        <w:t>Miyakoshi Y, Sasaki Y, Fujiwara M, Tanaka K, Matsueda N, Irvine JR, Kitada S. 2009. Implications of Recreational Fishing on Juvenile Masu Salmon Stocked in a Hokkaido River</w:t>
      </w:r>
      <w:r>
        <w:t>. North American Journal of Fisheries Management. 29(1):33–39. doi:</w:t>
      </w:r>
      <w:hyperlink r:id="rId25">
        <w:r>
          <w:t>10.1577/m08-107.1</w:t>
        </w:r>
      </w:hyperlink>
      <w:r>
        <w:t>.</w:t>
      </w:r>
    </w:p>
    <w:p w14:paraId="1EA373C5" w14:textId="77777777" w:rsidR="008A2CFC" w:rsidRDefault="00E32F02" w:rsidP="00340CD3">
      <w:pPr>
        <w:pStyle w:val="Bibliography"/>
        <w:ind w:left="720" w:hanging="720"/>
      </w:pPr>
      <w:bookmarkStart w:id="30" w:name="ref-Morita2010"/>
      <w:bookmarkEnd w:id="29"/>
      <w:r>
        <w:lastRenderedPageBreak/>
        <w:t xml:space="preserve">Morita K, Nagasawa T. 2010. </w:t>
      </w:r>
      <w:r>
        <w:t>Latitudinal variation in the growth and maturation of masu salmon (Oncorhynchus masou) parr. Canadian Journal of Fisheries and Aquatic Sciences. 67(6):955–965. doi:</w:t>
      </w:r>
      <w:hyperlink r:id="rId26">
        <w:r>
          <w:t>10.1139/F10-028</w:t>
        </w:r>
      </w:hyperlink>
      <w:r>
        <w:t>.</w:t>
      </w:r>
    </w:p>
    <w:p w14:paraId="7F9D140B" w14:textId="77777777" w:rsidR="008A2CFC" w:rsidRDefault="00E32F02" w:rsidP="00340CD3">
      <w:pPr>
        <w:pStyle w:val="Bibliography"/>
        <w:ind w:left="720" w:hanging="720"/>
      </w:pPr>
      <w:bookmarkStart w:id="31" w:name="ref-Morita2014"/>
      <w:bookmarkEnd w:id="30"/>
      <w:r>
        <w:t>Morita K, Tamate T, Kuro</w:t>
      </w:r>
      <w:r>
        <w:t>ki M, Nagasawa T. 2014. Temperature-dependent variation in alternative migratory tactics and its implications for fitness and population dynamics in a salmonid fish. Journal of Animal Ecology. 83(6):1268–1278. doi:</w:t>
      </w:r>
      <w:hyperlink r:id="rId27">
        <w:r>
          <w:t>https://doi.org/10.1111/1365-2656.12240</w:t>
        </w:r>
      </w:hyperlink>
      <w:r>
        <w:t xml:space="preserve">. </w:t>
      </w:r>
      <w:hyperlink r:id="rId28">
        <w:r>
          <w:t>https://doi.org/10.1111/1365-2656.12240</w:t>
        </w:r>
      </w:hyperlink>
      <w:r>
        <w:t>.</w:t>
      </w:r>
    </w:p>
    <w:p w14:paraId="4816F523" w14:textId="77777777" w:rsidR="008A2CFC" w:rsidRDefault="00E32F02" w:rsidP="00340CD3">
      <w:pPr>
        <w:pStyle w:val="Bibliography"/>
        <w:ind w:left="720" w:hanging="720"/>
      </w:pPr>
      <w:bookmarkStart w:id="32" w:name="ref-Pearse2019"/>
      <w:bookmarkEnd w:id="31"/>
      <w:r>
        <w:t>Pearse DE, Barson NJ, Nome T, Gao G, Campbell MA, Abadía-Cardoso A, Anderson EC, Rundio DE, Willia</w:t>
      </w:r>
      <w:r>
        <w:t>ms TH, Naish KA, et al. 2019. Sex-dependent dominance maintains migration supergene in rainbow trout. Nature Ecology &amp; Evolution. 3(12):1731–1742. doi:</w:t>
      </w:r>
      <w:hyperlink r:id="rId29">
        <w:r>
          <w:t>10.1038/s41559-019-1044-6</w:t>
        </w:r>
      </w:hyperlink>
      <w:r>
        <w:t xml:space="preserve">. </w:t>
      </w:r>
      <w:hyperlink r:id="rId30">
        <w:r>
          <w:t>https://doi.org/10.1038/s41559-019-1044-6</w:t>
        </w:r>
      </w:hyperlink>
      <w:r>
        <w:t>.</w:t>
      </w:r>
    </w:p>
    <w:p w14:paraId="33C72565" w14:textId="77777777" w:rsidR="008A2CFC" w:rsidRDefault="00E32F02" w:rsidP="00340CD3">
      <w:pPr>
        <w:pStyle w:val="Bibliography"/>
        <w:ind w:left="720" w:hanging="720"/>
      </w:pPr>
      <w:bookmarkStart w:id="33" w:name="ref-Pringle2000"/>
      <w:bookmarkEnd w:id="32"/>
      <w:r>
        <w:t>Pringle CM, Freeman MC, Freeman BJ. 2000. Regional Effects of Hydrologic Alterations on Riverine Macrobiota in the New World: Tropical-Temperate Comparisons: The massive</w:t>
      </w:r>
      <w:r>
        <w:t xml:space="preserve"> scope of large dams and other hydrologic modifications in the temperate New World has resulted in distinct regional trends of biotic impoverishment. While neotropical rivers have fewer dams and limited data upon which to make regional generalizations, the</w:t>
      </w:r>
      <w:r>
        <w:t>y are ecologically vulnerable to increasing hydropower development and biotic patterns are emerging. BioScience. 50(9):807–823. doi:</w:t>
      </w:r>
      <w:hyperlink r:id="rId31">
        <w:r>
          <w:t>10.1641/0006-3568(2000)050[0807:REOHAO]2.</w:t>
        </w:r>
        <w:r>
          <w:t>0.CO;2</w:t>
        </w:r>
      </w:hyperlink>
      <w:r>
        <w:t xml:space="preserve">. </w:t>
      </w:r>
      <w:hyperlink r:id="rId32">
        <w:r>
          <w:t>https://doi.org/10.1641/0006-3568(2000)050[0807:REOHAO]2.0.CO http://0.0.0.2</w:t>
        </w:r>
      </w:hyperlink>
      <w:r>
        <w:t>.</w:t>
      </w:r>
    </w:p>
    <w:p w14:paraId="79F259D2" w14:textId="77777777" w:rsidR="008A2CFC" w:rsidRDefault="00E32F02" w:rsidP="00340CD3">
      <w:pPr>
        <w:pStyle w:val="Bibliography"/>
        <w:ind w:left="720" w:hanging="720"/>
      </w:pPr>
      <w:bookmarkStart w:id="34" w:name="ref-Weir1984"/>
      <w:bookmarkEnd w:id="33"/>
      <w:r>
        <w:lastRenderedPageBreak/>
        <w:t>Weir BS, Cockerham CC. 1984. Estimating F-Statistics for the Analysis of P</w:t>
      </w:r>
      <w:r>
        <w:t>opulation Structure. Evolution. 38(6):1358–1370. doi:</w:t>
      </w:r>
      <w:hyperlink r:id="rId33">
        <w:r>
          <w:t>10.1111/j.1558-5646.1984.tb05657.x</w:t>
        </w:r>
      </w:hyperlink>
      <w:r>
        <w:t xml:space="preserve">. </w:t>
      </w:r>
      <w:hyperlink r:id="rId34">
        <w:r>
          <w:t>https://doi.org/10.1111/j.1</w:t>
        </w:r>
        <w:r>
          <w:t>558-5646.1984.tb05657.x</w:t>
        </w:r>
      </w:hyperlink>
      <w:r>
        <w:t>.</w:t>
      </w:r>
    </w:p>
    <w:p w14:paraId="616CCE17" w14:textId="77777777" w:rsidR="008A2CFC" w:rsidRDefault="00E32F02" w:rsidP="00340CD3">
      <w:pPr>
        <w:pStyle w:val="Bibliography"/>
        <w:ind w:left="720" w:hanging="720"/>
      </w:pPr>
      <w:bookmarkStart w:id="35" w:name="ref-Wigginton2005"/>
      <w:bookmarkEnd w:id="34"/>
      <w:r>
        <w:t>Wigginton JE, Cutler DJ, Abecasis GR. 2005. A Note on Exact Tests of Hardy-Weinberg Equilibrium. The American Journal of Human Genetics. 76(5):887–893. doi:</w:t>
      </w:r>
      <w:hyperlink r:id="rId35">
        <w:r>
          <w:t>https://doi.org/10.1086/4</w:t>
        </w:r>
        <w:r>
          <w:t>29864</w:t>
        </w:r>
      </w:hyperlink>
      <w:r>
        <w:t xml:space="preserve">. </w:t>
      </w:r>
      <w:hyperlink r:id="rId36">
        <w:r>
          <w:t>http://www.sciencedirect.com/science/article/pii/S0002929707607356</w:t>
        </w:r>
      </w:hyperlink>
      <w:r>
        <w:t>.</w:t>
      </w:r>
    </w:p>
    <w:p w14:paraId="262B2B7D" w14:textId="77777777" w:rsidR="008A2CFC" w:rsidRDefault="00E32F02" w:rsidP="00340CD3">
      <w:pPr>
        <w:pStyle w:val="Bibliography"/>
        <w:ind w:left="720" w:hanging="720"/>
      </w:pPr>
      <w:bookmarkStart w:id="36" w:name="ref-Wright2017"/>
      <w:bookmarkEnd w:id="35"/>
      <w:r>
        <w:t xml:space="preserve">Wright MN, Ziegler A. 2017. </w:t>
      </w:r>
      <w:r>
        <w:t>ranger: A Fast Implementation of Random Forests for High Dimensional Data in C++ and R. Journal of Statistical Software; Vol 1, Issue 1 (2017). doi:</w:t>
      </w:r>
      <w:hyperlink r:id="rId37">
        <w:r>
          <w:t>10.18637/jss.v077.i01</w:t>
        </w:r>
      </w:hyperlink>
      <w:r>
        <w:t xml:space="preserve">. </w:t>
      </w:r>
      <w:hyperlink r:id="rId38">
        <w:r>
          <w:t>https://www.jstatsoft.org/v077/i01</w:t>
        </w:r>
      </w:hyperlink>
      <w:r>
        <w:t>.</w:t>
      </w:r>
    </w:p>
    <w:bookmarkEnd w:id="18"/>
    <w:bookmarkEnd w:id="36"/>
    <w:p w14:paraId="613019CC" w14:textId="77777777" w:rsidR="008A2CFC" w:rsidRDefault="00E32F02" w:rsidP="00340CD3">
      <w:pPr>
        <w:ind w:left="720" w:hanging="720"/>
      </w:pPr>
      <w:r>
        <w:br w:type="page"/>
      </w:r>
    </w:p>
    <w:p w14:paraId="0D5A9A94" w14:textId="77777777" w:rsidR="008A2CFC" w:rsidRDefault="00E32F02">
      <w:pPr>
        <w:pStyle w:val="Heading1"/>
      </w:pPr>
      <w:bookmarkStart w:id="37" w:name="figures"/>
      <w:bookmarkEnd w:id="16"/>
      <w:r>
        <w:lastRenderedPageBreak/>
        <w:t>Figures:</w:t>
      </w:r>
    </w:p>
    <w:p w14:paraId="67E8CFB8" w14:textId="77777777" w:rsidR="008A2CFC" w:rsidRDefault="00E32F02">
      <w:r>
        <w:rPr>
          <w:noProof/>
        </w:rPr>
        <w:drawing>
          <wp:inline distT="0" distB="0" distL="0" distR="0" wp14:anchorId="419F2BF9" wp14:editId="1266C4CE">
            <wp:extent cx="5943600" cy="3396342"/>
            <wp:effectExtent l="0" t="0" r="0" b="0"/>
            <wp:docPr id="79" name="Picture" descr="Figure 1: Association across the genome with migratory status showing that no loci were found that were significantly associated with the given traits (anadromy and residency)"/>
            <wp:cNvGraphicFramePr/>
            <a:graphic xmlns:a="http://schemas.openxmlformats.org/drawingml/2006/main">
              <a:graphicData uri="http://schemas.openxmlformats.org/drawingml/2006/picture">
                <pic:pic xmlns:pic="http://schemas.openxmlformats.org/drawingml/2006/picture">
                  <pic:nvPicPr>
                    <pic:cNvPr id="80" name="Picture" descr="paper_draft_files/figure-docx/Figure_1_print-1.png"/>
                    <pic:cNvPicPr>
                      <a:picLocks noChangeAspect="1" noChangeArrowheads="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14:paraId="6975A945" w14:textId="77777777" w:rsidR="008A2CFC" w:rsidRDefault="00E32F02">
      <w:r>
        <w:t>Figure 1: Association across the genome with migratory status showing that no loci were found that were significantly associated with the given traits (anadromy and residency)</w:t>
      </w:r>
    </w:p>
    <w:p w14:paraId="61EBBDB1" w14:textId="77777777" w:rsidR="008A2CFC" w:rsidRDefault="00E32F02">
      <w:r>
        <w:rPr>
          <w:noProof/>
        </w:rPr>
        <w:drawing>
          <wp:inline distT="0" distB="0" distL="0" distR="0" wp14:anchorId="0B98C20B" wp14:editId="7E58E41A">
            <wp:extent cx="5943600" cy="3396342"/>
            <wp:effectExtent l="0" t="0" r="0" b="0"/>
            <wp:docPr id="82" name="Picture" descr="Figure 2: PCA plot showing the relatedness between anadromous and resident individuals in TK and CH populations"/>
            <wp:cNvGraphicFramePr/>
            <a:graphic xmlns:a="http://schemas.openxmlformats.org/drawingml/2006/main">
              <a:graphicData uri="http://schemas.openxmlformats.org/drawingml/2006/picture">
                <pic:pic xmlns:pic="http://schemas.openxmlformats.org/drawingml/2006/picture">
                  <pic:nvPicPr>
                    <pic:cNvPr id="83" name="Picture" descr="paper_draft_files/figure-docx/Figure_2_print-1.png"/>
                    <pic:cNvPicPr>
                      <a:picLocks noChangeAspect="1" noChangeArrowheads="1"/>
                    </pic:cNvPicPr>
                  </pic:nvPicPr>
                  <pic:blipFill>
                    <a:blip r:embed="rId40"/>
                    <a:stretch>
                      <a:fillRect/>
                    </a:stretch>
                  </pic:blipFill>
                  <pic:spPr bwMode="auto">
                    <a:xfrm>
                      <a:off x="0" y="0"/>
                      <a:ext cx="5943600" cy="3396342"/>
                    </a:xfrm>
                    <a:prstGeom prst="rect">
                      <a:avLst/>
                    </a:prstGeom>
                    <a:noFill/>
                    <a:ln w="9525">
                      <a:noFill/>
                      <a:headEnd/>
                      <a:tailEnd/>
                    </a:ln>
                  </pic:spPr>
                </pic:pic>
              </a:graphicData>
            </a:graphic>
          </wp:inline>
        </w:drawing>
      </w:r>
    </w:p>
    <w:p w14:paraId="2BD91248" w14:textId="77777777" w:rsidR="008A2CFC" w:rsidRDefault="00E32F02">
      <w:r>
        <w:lastRenderedPageBreak/>
        <w:t>Fig</w:t>
      </w:r>
      <w:r>
        <w:t>ure 2: PCA plot showing the relatedness between anadromous and resident individuals in TK and CH populations</w:t>
      </w:r>
      <w:bookmarkEnd w:id="37"/>
    </w:p>
    <w:sectPr w:rsidR="008A2CFC" w:rsidSect="0047382F">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DD76E" w14:textId="77777777" w:rsidR="00E32F02" w:rsidRDefault="00E32F02">
      <w:pPr>
        <w:spacing w:after="0" w:line="240" w:lineRule="auto"/>
      </w:pPr>
      <w:r>
        <w:separator/>
      </w:r>
    </w:p>
  </w:endnote>
  <w:endnote w:type="continuationSeparator" w:id="0">
    <w:p w14:paraId="74DD607B" w14:textId="77777777" w:rsidR="00E32F02" w:rsidRDefault="00E32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C385C" w14:textId="77777777" w:rsidR="00E32F02" w:rsidRDefault="00E32F02">
      <w:r>
        <w:separator/>
      </w:r>
    </w:p>
  </w:footnote>
  <w:footnote w:type="continuationSeparator" w:id="0">
    <w:p w14:paraId="1FD3B813" w14:textId="77777777" w:rsidR="00E32F02" w:rsidRDefault="00E32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ECE5E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6538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FC"/>
    <w:rsid w:val="00340CD3"/>
    <w:rsid w:val="008A2CFC"/>
    <w:rsid w:val="00E32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D347"/>
  <w15:docId w15:val="{CFAF81A7-F715-4717-83CA-B1045A96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8F"/>
  </w:style>
  <w:style w:type="paragraph" w:styleId="Heading1">
    <w:name w:val="heading 1"/>
    <w:basedOn w:val="Normal"/>
    <w:next w:val="Normal"/>
    <w:link w:val="Heading1Char"/>
    <w:uiPriority w:val="9"/>
    <w:qFormat/>
    <w:rsid w:val="00FF218F"/>
    <w:pPr>
      <w:keepNext/>
      <w:keepLines/>
      <w:spacing w:before="240" w:after="0"/>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F218F"/>
    <w:pPr>
      <w:keepNext/>
      <w:keepLines/>
      <w:spacing w:before="40" w:after="0"/>
      <w:ind w:firstLine="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7382F"/>
  </w:style>
  <w:style w:type="character" w:customStyle="1" w:styleId="Heading1Char">
    <w:name w:val="Heading 1 Char"/>
    <w:basedOn w:val="DefaultParagraphFont"/>
    <w:link w:val="Heading1"/>
    <w:uiPriority w:val="9"/>
    <w:rsid w:val="00FF218F"/>
    <w:rPr>
      <w:rFonts w:eastAsiaTheme="majorEastAsia" w:cstheme="majorBidi"/>
      <w:b/>
      <w:szCs w:val="32"/>
    </w:rPr>
  </w:style>
  <w:style w:type="character" w:customStyle="1" w:styleId="Heading2Char">
    <w:name w:val="Heading 2 Char"/>
    <w:basedOn w:val="DefaultParagraphFont"/>
    <w:link w:val="Heading2"/>
    <w:uiPriority w:val="9"/>
    <w:rsid w:val="00FF218F"/>
    <w:rPr>
      <w:rFonts w:eastAsiaTheme="majorEastAsia" w:cstheme="majorBidi"/>
      <w:i/>
      <w:szCs w:val="26"/>
    </w:rPr>
  </w:style>
  <w:style w:type="paragraph" w:styleId="NoSpacing">
    <w:name w:val="No Spacing"/>
    <w:uiPriority w:val="1"/>
    <w:qFormat/>
    <w:rsid w:val="00413424"/>
    <w:pPr>
      <w:spacing w:after="0" w:line="240" w:lineRule="auto"/>
    </w:pPr>
  </w:style>
  <w:style w:type="character" w:styleId="BookTitle">
    <w:name w:val="Book Title"/>
    <w:basedOn w:val="DefaultParagraphFont"/>
    <w:uiPriority w:val="33"/>
    <w:qFormat/>
    <w:rsid w:val="00FF218F"/>
    <w:rPr>
      <w:b/>
      <w:bCs/>
      <w:i/>
      <w:iCs/>
      <w:spacing w:val="5"/>
    </w:rPr>
  </w:style>
  <w:style w:type="paragraph" w:styleId="Bibliography">
    <w:name w:val="Bibliography"/>
    <w:basedOn w:val="Normal"/>
    <w:next w:val="Normal"/>
    <w:uiPriority w:val="37"/>
    <w:unhideWhenUsed/>
    <w:rsid w:val="00210C19"/>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97423">
      <w:bodyDiv w:val="1"/>
      <w:marLeft w:val="0"/>
      <w:marRight w:val="0"/>
      <w:marTop w:val="0"/>
      <w:marBottom w:val="0"/>
      <w:divBdr>
        <w:top w:val="none" w:sz="0" w:space="0" w:color="auto"/>
        <w:left w:val="none" w:sz="0" w:space="0" w:color="auto"/>
        <w:bottom w:val="none" w:sz="0" w:space="0" w:color="auto"/>
        <w:right w:val="none" w:sz="0" w:space="0" w:color="auto"/>
      </w:divBdr>
    </w:div>
    <w:div w:id="945163486">
      <w:bodyDiv w:val="1"/>
      <w:marLeft w:val="0"/>
      <w:marRight w:val="0"/>
      <w:marTop w:val="0"/>
      <w:marBottom w:val="0"/>
      <w:divBdr>
        <w:top w:val="none" w:sz="0" w:space="0" w:color="auto"/>
        <w:left w:val="none" w:sz="0" w:space="0" w:color="auto"/>
        <w:bottom w:val="none" w:sz="0" w:space="0" w:color="auto"/>
        <w:right w:val="none" w:sz="0" w:space="0" w:color="auto"/>
      </w:divBdr>
    </w:div>
    <w:div w:id="1209343692">
      <w:bodyDiv w:val="1"/>
      <w:marLeft w:val="0"/>
      <w:marRight w:val="0"/>
      <w:marTop w:val="0"/>
      <w:marBottom w:val="0"/>
      <w:divBdr>
        <w:top w:val="none" w:sz="0" w:space="0" w:color="auto"/>
        <w:left w:val="none" w:sz="0" w:space="0" w:color="auto"/>
        <w:bottom w:val="none" w:sz="0" w:space="0" w:color="auto"/>
        <w:right w:val="none" w:sz="0" w:space="0" w:color="auto"/>
      </w:divBdr>
    </w:div>
    <w:div w:id="1391490413">
      <w:bodyDiv w:val="1"/>
      <w:marLeft w:val="0"/>
      <w:marRight w:val="0"/>
      <w:marTop w:val="0"/>
      <w:marBottom w:val="0"/>
      <w:divBdr>
        <w:top w:val="none" w:sz="0" w:space="0" w:color="auto"/>
        <w:left w:val="none" w:sz="0" w:space="0" w:color="auto"/>
        <w:bottom w:val="none" w:sz="0" w:space="0" w:color="auto"/>
        <w:right w:val="none" w:sz="0" w:space="0" w:color="auto"/>
      </w:divBdr>
    </w:div>
    <w:div w:id="159196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22541/au.161264719.94032617/v1" TargetMode="External"/><Relationship Id="rId18" Type="http://schemas.openxmlformats.org/officeDocument/2006/relationships/hyperlink" Target="https://doi.org/10.1139/cjfas-2014-0192" TargetMode="External"/><Relationship Id="rId26" Type="http://schemas.openxmlformats.org/officeDocument/2006/relationships/hyperlink" Target="https://doi.org/10.1139/F10-028" TargetMode="External"/><Relationship Id="rId39" Type="http://schemas.openxmlformats.org/officeDocument/2006/relationships/image" Target="media/image1.png"/><Relationship Id="rId21" Type="http://schemas.openxmlformats.org/officeDocument/2006/relationships/hyperlink" Target="https://doi.org/10.1093/bioinformatics/btp352" TargetMode="External"/><Relationship Id="rId34" Type="http://schemas.openxmlformats.org/officeDocument/2006/relationships/hyperlink" Target="https://doi.org/10.1111/j.1558-5646.1984.tb05657.x" TargetMode="External"/><Relationship Id="rId42" Type="http://schemas.openxmlformats.org/officeDocument/2006/relationships/theme" Target="theme/theme1.xml"/><Relationship Id="rId7" Type="http://schemas.openxmlformats.org/officeDocument/2006/relationships/hyperlink" Target="https://doi.org/10.1534/genetics.115.183665" TargetMode="External"/><Relationship Id="rId2" Type="http://schemas.openxmlformats.org/officeDocument/2006/relationships/styles" Target="styles.xml"/><Relationship Id="rId16" Type="http://schemas.openxmlformats.org/officeDocument/2006/relationships/hyperlink" Target="https://doi.org/10.1371/journal.pgen.1000862" TargetMode="External"/><Relationship Id="rId20" Type="http://schemas.openxmlformats.org/officeDocument/2006/relationships/hyperlink" Target="https://doi.org/10.1186/s12859-014-0356-4" TargetMode="External"/><Relationship Id="rId29" Type="http://schemas.openxmlformats.org/officeDocument/2006/relationships/hyperlink" Target="https://doi.org/10.1038/s41559-019-1044-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brv.12019" TargetMode="External"/><Relationship Id="rId24" Type="http://schemas.openxmlformats.org/officeDocument/2006/relationships/hyperlink" Target="https://doi.org/10.1111/j.1365-294X.2011.05305.x" TargetMode="External"/><Relationship Id="rId32" Type="http://schemas.openxmlformats.org/officeDocument/2006/relationships/hyperlink" Target="https://doi.org/10.1641/0006-3568(2000)050%5b0807:REOHAO%5d2.0.CO%20http://0.0.0.2" TargetMode="External"/><Relationship Id="rId37" Type="http://schemas.openxmlformats.org/officeDocument/2006/relationships/hyperlink" Target="https://doi.org/10.18637/jss.v077.i01" TargetMode="External"/><Relationship Id="rId40"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doi.org/10.1098/rspb.2015.3064" TargetMode="External"/><Relationship Id="rId23" Type="http://schemas.openxmlformats.org/officeDocument/2006/relationships/hyperlink" Target="https://doi.org/10.1111/j.1365-294X.2011.05305.x" TargetMode="External"/><Relationship Id="rId28" Type="http://schemas.openxmlformats.org/officeDocument/2006/relationships/hyperlink" Target="https://doi.org/10.1111/1365-2656.12240" TargetMode="External"/><Relationship Id="rId36" Type="http://schemas.openxmlformats.org/officeDocument/2006/relationships/hyperlink" Target="http://www.sciencedirect.com/science/article/pii/S0002929707607356" TargetMode="External"/><Relationship Id="rId10" Type="http://schemas.openxmlformats.org/officeDocument/2006/relationships/hyperlink" Target="https://doi.org/10.1111/faf.12377" TargetMode="External"/><Relationship Id="rId19" Type="http://schemas.openxmlformats.org/officeDocument/2006/relationships/hyperlink" Target="https://doi.org/10.1186/s12859-014-0356-4" TargetMode="External"/><Relationship Id="rId31" Type="http://schemas.openxmlformats.org/officeDocument/2006/relationships/hyperlink" Target="https://doi.org/10.1641/0006-3568(2000)050%5b0807:REOHAO%5d2.0.CO;2" TargetMode="External"/><Relationship Id="rId4" Type="http://schemas.openxmlformats.org/officeDocument/2006/relationships/webSettings" Target="webSettings.xml"/><Relationship Id="rId9" Type="http://schemas.openxmlformats.org/officeDocument/2006/relationships/hyperlink" Target="https://doi.org/10.1111/faf.12377" TargetMode="External"/><Relationship Id="rId14" Type="http://schemas.openxmlformats.org/officeDocument/2006/relationships/hyperlink" Target="https://doi.org/10.1098/rspb.2015.3064" TargetMode="External"/><Relationship Id="rId22" Type="http://schemas.openxmlformats.org/officeDocument/2006/relationships/hyperlink" Target="https://doi.org/10.1093/bioinformatics/btp352" TargetMode="External"/><Relationship Id="rId27" Type="http://schemas.openxmlformats.org/officeDocument/2006/relationships/hyperlink" Target="https://doi.org/10.1111/1365-2656.12240" TargetMode="External"/><Relationship Id="rId30" Type="http://schemas.openxmlformats.org/officeDocument/2006/relationships/hyperlink" Target="https://doi.org/10.1038/s41559-019-1044-6" TargetMode="External"/><Relationship Id="rId35" Type="http://schemas.openxmlformats.org/officeDocument/2006/relationships/hyperlink" Target="https://doi.org/10.1086/429864" TargetMode="External"/><Relationship Id="rId8" Type="http://schemas.openxmlformats.org/officeDocument/2006/relationships/hyperlink" Target="https://doi.org/10.1534/genetics.115.183665" TargetMode="External"/><Relationship Id="rId3" Type="http://schemas.openxmlformats.org/officeDocument/2006/relationships/settings" Target="settings.xml"/><Relationship Id="rId12" Type="http://schemas.openxmlformats.org/officeDocument/2006/relationships/hyperlink" Target="https://doi.org/10.1111/brv.12019" TargetMode="External"/><Relationship Id="rId17" Type="http://schemas.openxmlformats.org/officeDocument/2006/relationships/hyperlink" Target="https://doi.org/10.1371/journal.pgen.1000862" TargetMode="External"/><Relationship Id="rId25" Type="http://schemas.openxmlformats.org/officeDocument/2006/relationships/hyperlink" Target="https://doi.org/10.1577/m08-107.1" TargetMode="External"/><Relationship Id="rId33" Type="http://schemas.openxmlformats.org/officeDocument/2006/relationships/hyperlink" Target="https://doi.org/10.1111/j.1558-5646.1984.tb05657.x" TargetMode="External"/><Relationship Id="rId38" Type="http://schemas.openxmlformats.org/officeDocument/2006/relationships/hyperlink" Target="https://www.jstatsoft.org/v077/i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3224</Words>
  <Characters>18377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Detectable Evidence of Genetic Associations with Anadromous and Resident Masu Salmon Sampled within Hokkaido</dc:title>
  <dc:creator>William Hemstrom</dc:creator>
  <cp:keywords/>
  <cp:lastModifiedBy>William Hemstrom</cp:lastModifiedBy>
  <cp:revision>2</cp:revision>
  <dcterms:created xsi:type="dcterms:W3CDTF">2022-06-01T02:42:00Z</dcterms:created>
  <dcterms:modified xsi:type="dcterms:W3CDTF">2022-06-01T02:42:00Z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MASU_Paper_References.bib</vt:lpwstr>
  </property>
  <property fmtid="{D5CDD505-2E9C-101B-9397-08002B2CF9AE}" pid="3" name="csl">
    <vt:lpwstr>council-of-science-editors-author-date.csl</vt:lpwstr>
  </property>
  <property fmtid="{D5CDD505-2E9C-101B-9397-08002B2CF9AE}" pid="4" name="date">
    <vt:lpwstr>11/21/2021</vt:lpwstr>
  </property>
  <property fmtid="{D5CDD505-2E9C-101B-9397-08002B2CF9AE}" pid="5" name="fontsize">
    <vt:lpwstr>12pt</vt:lpwstr>
  </property>
  <property fmtid="{D5CDD505-2E9C-101B-9397-08002B2CF9AE}" pid="6" name="header-includes">
    <vt:lpwstr/>
  </property>
  <property fmtid="{D5CDD505-2E9C-101B-9397-08002B2CF9AE}" pid="7" name="indent">
    <vt:lpwstr>True</vt:lpwstr>
  </property>
  <property fmtid="{D5CDD505-2E9C-101B-9397-08002B2CF9AE}" pid="8" name="output">
    <vt:lpwstr/>
  </property>
  <property fmtid="{D5CDD505-2E9C-101B-9397-08002B2CF9AE}" pid="9" name="sansfont">
    <vt:lpwstr>Times New Roman</vt:lpwstr>
  </property>
</Properties>
</file>