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FEDFD" w14:textId="77777777" w:rsidR="002C6E66" w:rsidRDefault="00223E9F">
      <w:r>
        <w:rPr>
          <w:b/>
        </w:rPr>
        <w:t>Methods:</w:t>
      </w:r>
    </w:p>
    <w:p w14:paraId="1129C945" w14:textId="1A05FFF8" w:rsidR="00687E52" w:rsidRDefault="00223E9F">
      <w:pPr>
        <w:rPr>
          <w:rStyle w:val="lrzxr"/>
        </w:rPr>
      </w:pPr>
      <w:r>
        <w:tab/>
      </w:r>
      <w:r>
        <w:rPr>
          <w:i/>
        </w:rPr>
        <w:t>Datasets:</w:t>
      </w:r>
      <w:r>
        <w:t xml:space="preserve"> We collected datasets from several other in prep and previously published studies. To demonstrate the capability of </w:t>
      </w:r>
      <w:r w:rsidR="00B02179">
        <w:t>t-SNE</w:t>
      </w:r>
      <w:r>
        <w:t xml:space="preserve"> depict within and between population differences as well as family structure based on different types of genomic data, we used</w:t>
      </w:r>
      <w:r w:rsidR="00687E52">
        <w:t xml:space="preserve"> 1) microsatellite pedigree, 2) SNP pedigree, 3) microsatellite population structure, and 4) SNP population structure datasets</w:t>
      </w:r>
      <w:r>
        <w:t xml:space="preserve">. </w:t>
      </w:r>
      <w:r w:rsidR="00687E52">
        <w:t>These datasets consist of</w:t>
      </w:r>
      <w:r w:rsidR="00EA283D">
        <w:t xml:space="preserve">: </w:t>
      </w:r>
      <w:r w:rsidR="00687E52">
        <w:t xml:space="preserve">sibling assignments </w:t>
      </w:r>
      <w:r w:rsidR="00EA283D">
        <w:t xml:space="preserve">(from SOLOMON, </w:t>
      </w:r>
      <w:r w:rsidR="00EA283D">
        <w:rPr>
          <w:noProof/>
        </w:rPr>
        <w:t>Christie et al., 2013)</w:t>
      </w:r>
      <w:r w:rsidR="00EA283D">
        <w:fldChar w:fldCharType="begin"/>
      </w:r>
      <w:r w:rsidR="00EA283D">
        <w:instrText xml:space="preserve"> ADDIN EN.CITE &lt;EndNote&gt;&lt;Cite Hidden="1"&gt;&lt;Author&gt;Christie&lt;/Author&gt;&lt;Year&gt;2013&lt;/Year&gt;&lt;RecNum&gt;3707&lt;/RecNum&gt;&lt;record&gt;&lt;rec-number&gt;3707&lt;/rec-number&gt;&lt;foreign-keys&gt;&lt;key app="EN" db-id="50wxdpzd9vd5r7e9t5b595djrfpttrxw9avp" timestamp="1522100951"&gt;3707&lt;/key&gt;&lt;/foreign-keys&gt;&lt;ref-type name="Journal Article"&gt;17&lt;/ref-type&gt;&lt;contributors&gt;&lt;authors&gt;&lt;author&gt;Christie, Mark R.&lt;/author&gt;&lt;author&gt;Tennessen, Jacob A.&lt;/author&gt;&lt;author&gt;Blouin, Michael S.&lt;/author&gt;&lt;/authors&gt;&lt;/contributors&gt;&lt;titles&gt;&lt;title&gt;Bayesian parentage analysis with systematic accountability of genotyping error, missing data and false matching&lt;/title&gt;&lt;secondary-title&gt;Bioinformatics&lt;/secondary-title&gt;&lt;/titles&gt;&lt;periodical&gt;&lt;full-title&gt;Bioinformatics&lt;/full-title&gt;&lt;/periodical&gt;&lt;pages&gt;725-732&lt;/pages&gt;&lt;volume&gt;29&lt;/volume&gt;&lt;number&gt;6&lt;/number&gt;&lt;dates&gt;&lt;year&gt;2013&lt;/year&gt;&lt;/dates&gt;&lt;isbn&gt;1367-4803&lt;/isbn&gt;&lt;urls&gt;&lt;related-urls&gt;&lt;url&gt;http://dx.doi.org/10.1093/bioinformatics/btt039&lt;/url&gt;&lt;/related-urls&gt;&lt;/urls&gt;&lt;electronic-resource-num&gt;10.1093/bioinformatics/btt039&lt;/electronic-resource-num&gt;&lt;/record&gt;&lt;/Cite&gt;&lt;/EndNote&gt;</w:instrText>
      </w:r>
      <w:r w:rsidR="00EA283D">
        <w:fldChar w:fldCharType="end"/>
      </w:r>
      <w:r w:rsidR="00EA283D">
        <w:t xml:space="preserve"> </w:t>
      </w:r>
      <w:r w:rsidR="00687E52">
        <w:t>and genotypes at 11 microsatellite for 2</w:t>
      </w:r>
      <w:r w:rsidR="00EA283D">
        <w:t>,</w:t>
      </w:r>
      <w:r w:rsidR="00687E52">
        <w:t>077 juvenile Chinook salmon (</w:t>
      </w:r>
      <w:proofErr w:type="spellStart"/>
      <w:r w:rsidR="00687E52" w:rsidRPr="00687E52">
        <w:rPr>
          <w:rStyle w:val="lrzxr"/>
          <w:i/>
        </w:rPr>
        <w:t>Oncorhynchus</w:t>
      </w:r>
      <w:proofErr w:type="spellEnd"/>
      <w:r w:rsidR="00687E52" w:rsidRPr="00687E52">
        <w:rPr>
          <w:rStyle w:val="lrzxr"/>
          <w:i/>
        </w:rPr>
        <w:t xml:space="preserve"> </w:t>
      </w:r>
      <w:proofErr w:type="spellStart"/>
      <w:r w:rsidR="00687E52" w:rsidRPr="00687E52">
        <w:rPr>
          <w:rStyle w:val="lrzxr"/>
          <w:i/>
        </w:rPr>
        <w:t>tshawytscha</w:t>
      </w:r>
      <w:proofErr w:type="spellEnd"/>
      <w:r w:rsidR="00687E52">
        <w:rPr>
          <w:rStyle w:val="lrzxr"/>
        </w:rPr>
        <w:t xml:space="preserve">) collected in 2011 by </w:t>
      </w:r>
      <w:r w:rsidR="00687E52">
        <w:rPr>
          <w:rStyle w:val="lrzxr"/>
        </w:rPr>
        <w:fldChar w:fldCharType="begin"/>
      </w:r>
      <w:r w:rsidR="00687E52">
        <w:rPr>
          <w:rStyle w:val="lrzxr"/>
        </w:rPr>
        <w:instrText xml:space="preserve"> ADDIN EN.CITE &lt;EndNote&gt;&lt;Cite AuthorYear="1"&gt;&lt;Author&gt;Sard&lt;/Author&gt;&lt;Year&gt;2015&lt;/Year&gt;&lt;RecNum&gt;3706&lt;/RecNum&gt;&lt;DisplayText&gt;Sard et al. (2015)&lt;/DisplayText&gt;&lt;record&gt;&lt;rec-number&gt;3706&lt;/rec-number&gt;&lt;foreign-keys&gt;&lt;key app="EN" db-id="50wxdpzd9vd5r7e9t5b595djrfpttrxw9avp" timestamp="1522100197"&gt;3706&lt;/key&gt;&lt;/foreign-keys&gt;&lt;ref-type name="Journal Article"&gt;17&lt;/ref-type&gt;&lt;contributors&gt;&lt;authors&gt;&lt;author&gt;Sard, Nicholas M.&lt;/author&gt;&lt;author&gt;O’Malley, Kathleen G.&lt;/author&gt;&lt;author&gt;Jacobson, Dave P.&lt;/author&gt;&lt;author&gt;Hogansen, Michael J.&lt;/author&gt;&lt;author&gt;Johnson, Marc A.&lt;/author&gt;&lt;author&gt;Banks, Michael A.&lt;/author&gt;&lt;/authors&gt;&lt;/contributors&gt;&lt;titles&gt;&lt;title&gt;Factors influencing spawner success in a spring Chinook salmon (Oncorhynchus tshawytscha) reintroduction program&lt;/title&gt;&lt;secondary-title&gt;Canadian Journal of Fisheries and Aquatic Sciences&lt;/secondary-title&gt;&lt;/titles&gt;&lt;periodical&gt;&lt;full-title&gt;Canadian Journal of Fisheries and Aquatic Sciences&lt;/full-title&gt;&lt;/periodical&gt;&lt;pages&gt;1390-1397&lt;/pages&gt;&lt;volume&gt;72&lt;/volume&gt;&lt;number&gt;9&lt;/number&gt;&lt;dates&gt;&lt;year&gt;2015&lt;/year&gt;&lt;pub-dates&gt;&lt;date&gt;2015/09/01&lt;/date&gt;&lt;/pub-dates&gt;&lt;/dates&gt;&lt;publisher&gt;NRC Research Press&lt;/publisher&gt;&lt;isbn&gt;0706-652X&lt;/isbn&gt;&lt;urls&gt;&lt;related-urls&gt;&lt;url&gt;https://doi.org/10.1139/cjfas-2015-0007&lt;/url&gt;&lt;/related-urls&gt;&lt;/urls&gt;&lt;electronic-resource-num&gt;10.1139/cjfas-2015-0007&lt;/electronic-resource-num&gt;&lt;access-date&gt;2018/03/26&lt;/access-date&gt;&lt;/record&gt;&lt;/Cite&gt;&lt;/EndNote&gt;</w:instrText>
      </w:r>
      <w:r w:rsidR="00687E52">
        <w:rPr>
          <w:rStyle w:val="lrzxr"/>
        </w:rPr>
        <w:fldChar w:fldCharType="separate"/>
      </w:r>
      <w:r w:rsidR="00687E52">
        <w:rPr>
          <w:rStyle w:val="lrzxr"/>
          <w:noProof/>
        </w:rPr>
        <w:t>Sard et al. (2015)</w:t>
      </w:r>
      <w:r w:rsidR="00687E52">
        <w:rPr>
          <w:rStyle w:val="lrzxr"/>
        </w:rPr>
        <w:fldChar w:fldCharType="end"/>
      </w:r>
      <w:r w:rsidR="00687E52">
        <w:rPr>
          <w:rStyle w:val="lrzxr"/>
        </w:rPr>
        <w:t xml:space="preserve">; </w:t>
      </w:r>
      <w:r w:rsidR="00687E52" w:rsidRPr="00687E52">
        <w:rPr>
          <w:rStyle w:val="lrzxr"/>
        </w:rPr>
        <w:t>11</w:t>
      </w:r>
      <w:r w:rsidR="00687E52">
        <w:rPr>
          <w:rStyle w:val="lrzxr"/>
        </w:rPr>
        <w:t>,</w:t>
      </w:r>
      <w:r w:rsidR="00687E52" w:rsidRPr="00687E52">
        <w:rPr>
          <w:rStyle w:val="lrzxr"/>
        </w:rPr>
        <w:t>588</w:t>
      </w:r>
      <w:r w:rsidR="00687E52">
        <w:rPr>
          <w:rStyle w:val="lrzxr"/>
        </w:rPr>
        <w:t xml:space="preserve"> SNP genotypes</w:t>
      </w:r>
      <w:r w:rsidR="00EA283D">
        <w:rPr>
          <w:rStyle w:val="lrzxr"/>
        </w:rPr>
        <w:t xml:space="preserve"> and sibling assignments (from breeding records) of </w:t>
      </w:r>
      <w:r w:rsidR="00687E52">
        <w:rPr>
          <w:rStyle w:val="lrzxr"/>
        </w:rPr>
        <w:t>1</w:t>
      </w:r>
      <w:r w:rsidR="00EA283D">
        <w:rPr>
          <w:rStyle w:val="lrzxr"/>
        </w:rPr>
        <w:t>,</w:t>
      </w:r>
      <w:r w:rsidR="00687E52">
        <w:rPr>
          <w:rStyle w:val="lrzxr"/>
        </w:rPr>
        <w:t xml:space="preserve">302 </w:t>
      </w:r>
      <w:r w:rsidR="008D1F80">
        <w:rPr>
          <w:rStyle w:val="lrzxr"/>
        </w:rPr>
        <w:t>Chinook salmon</w:t>
      </w:r>
      <w:r w:rsidR="00EA283D">
        <w:rPr>
          <w:rStyle w:val="lrzxr"/>
        </w:rPr>
        <w:t xml:space="preserve"> collected by Pepping </w:t>
      </w:r>
      <w:r w:rsidR="00EA283D" w:rsidRPr="00E71EBF">
        <w:rPr>
          <w:rStyle w:val="lrzxr"/>
        </w:rPr>
        <w:t>et al</w:t>
      </w:r>
      <w:r w:rsidR="00E71EBF">
        <w:rPr>
          <w:rStyle w:val="lrzxr"/>
        </w:rPr>
        <w:t>.</w:t>
      </w:r>
      <w:r w:rsidR="00EA283D">
        <w:rPr>
          <w:rStyle w:val="lrzxr"/>
        </w:rPr>
        <w:t xml:space="preserve"> (</w:t>
      </w:r>
      <w:r w:rsidR="00EA283D">
        <w:rPr>
          <w:rStyle w:val="lrzxr"/>
          <w:i/>
        </w:rPr>
        <w:t>in prep</w:t>
      </w:r>
      <w:r w:rsidR="00EA283D">
        <w:rPr>
          <w:rStyle w:val="lrzxr"/>
        </w:rPr>
        <w:t>); genotypes at 13 microsatellite loci from 1,5</w:t>
      </w:r>
      <w:bookmarkStart w:id="0" w:name="_GoBack"/>
      <w:bookmarkEnd w:id="0"/>
      <w:r w:rsidR="00EA283D">
        <w:rPr>
          <w:rStyle w:val="lrzxr"/>
        </w:rPr>
        <w:t>74 steelhead salmon</w:t>
      </w:r>
      <w:r w:rsidR="008D1F80">
        <w:rPr>
          <w:rStyle w:val="lrzxr"/>
        </w:rPr>
        <w:t xml:space="preserve"> </w:t>
      </w:r>
      <w:r w:rsidR="008D1F80">
        <w:rPr>
          <w:rStyle w:val="lrzxr"/>
        </w:rPr>
        <w:t>(</w:t>
      </w:r>
      <w:proofErr w:type="spellStart"/>
      <w:r w:rsidR="008D1F80">
        <w:rPr>
          <w:rStyle w:val="lrzxr"/>
          <w:i/>
        </w:rPr>
        <w:t>Oncorhynchus</w:t>
      </w:r>
      <w:proofErr w:type="spellEnd"/>
      <w:r w:rsidR="008D1F80">
        <w:rPr>
          <w:rStyle w:val="lrzxr"/>
          <w:i/>
        </w:rPr>
        <w:t xml:space="preserve"> mykiss</w:t>
      </w:r>
      <w:r w:rsidR="008D1F80">
        <w:rPr>
          <w:rStyle w:val="lrzxr"/>
        </w:rPr>
        <w:t>)</w:t>
      </w:r>
      <w:r w:rsidR="00EA283D">
        <w:rPr>
          <w:rStyle w:val="lrzxr"/>
        </w:rPr>
        <w:t xml:space="preserve"> from </w:t>
      </w:r>
      <w:r w:rsidR="00EA283D">
        <w:rPr>
          <w:rStyle w:val="lrzxr"/>
        </w:rPr>
        <w:fldChar w:fldCharType="begin"/>
      </w:r>
      <w:r w:rsidR="00EA283D">
        <w:rPr>
          <w:rStyle w:val="lrzxr"/>
        </w:rPr>
        <w:instrText xml:space="preserve"> ADDIN EN.CITE &lt;EndNote&gt;&lt;Cite AuthorYear="1"&gt;&lt;Author&gt;Hemstrom&lt;/Author&gt;&lt;Year&gt;2017&lt;/Year&gt;&lt;RecNum&gt;3691&lt;/RecNum&gt;&lt;DisplayText&gt;Hemstrom et al. (2017)&lt;/DisplayText&gt;&lt;record&gt;&lt;rec-number&gt;3691&lt;/rec-number&gt;&lt;foreign-keys&gt;&lt;key app="EN" db-id="50wxdpzd9vd5r7e9t5b595djrfpttrxw9avp" timestamp="1515016862"&gt;3691&lt;/key&gt;&lt;/foreign-keys&gt;&lt;ref-type name="Journal Article"&gt;17&lt;/ref-type&gt;&lt;contributors&gt;&lt;authors&gt;&lt;author&gt;Hemstrom, William&lt;/author&gt;&lt;author&gt;van de Wetering, Stan&lt;/author&gt;&lt;author&gt;Banks, Michael A.&lt;/author&gt;&lt;/authors&gt;&lt;/contributors&gt;&lt;titles&gt;&lt;title&gt;Fish ladder installation across a historic barrier asymmetrically increased conspecific introgressive hybridization between wild winter and summer run steelhead salmon in the Siletz River, Oregon&lt;/title&gt;&lt;secondary-title&gt;Canadian Journal of Fisheries and Aquatic Sciences&lt;/secondary-title&gt;&lt;/titles&gt;&lt;periodical&gt;&lt;full-title&gt;Canadian Journal of Fisheries and Aquatic Sciences&lt;/full-title&gt;&lt;/periodical&gt;&lt;dates&gt;&lt;year&gt;2017&lt;/year&gt;&lt;/dates&gt;&lt;publisher&gt;NRC Research Press&lt;/publisher&gt;&lt;isbn&gt;0706-652X&lt;/isbn&gt;&lt;urls&gt;&lt;related-urls&gt;&lt;url&gt;https://doi.org/10.1139/cjfas-2016-0411&lt;/url&gt;&lt;/related-urls&gt;&lt;/urls&gt;&lt;electronic-resource-num&gt;10.1139/cjfas-2016-0411&lt;/electronic-resource-num&gt;&lt;access-date&gt;2018/01/03&lt;/access-date&gt;&lt;/record&gt;&lt;/Cite&gt;&lt;/EndNote&gt;</w:instrText>
      </w:r>
      <w:r w:rsidR="00EA283D">
        <w:rPr>
          <w:rStyle w:val="lrzxr"/>
        </w:rPr>
        <w:fldChar w:fldCharType="separate"/>
      </w:r>
      <w:r w:rsidR="00EA283D">
        <w:rPr>
          <w:rStyle w:val="lrzxr"/>
          <w:noProof/>
        </w:rPr>
        <w:t>Hemstrom et al. (2017)</w:t>
      </w:r>
      <w:r w:rsidR="00EA283D">
        <w:rPr>
          <w:rStyle w:val="lrzxr"/>
        </w:rPr>
        <w:fldChar w:fldCharType="end"/>
      </w:r>
      <w:r w:rsidR="00EA283D">
        <w:rPr>
          <w:rStyle w:val="lrzxr"/>
        </w:rPr>
        <w:t xml:space="preserve">; and </w:t>
      </w:r>
      <w:r w:rsidR="00E71EBF" w:rsidRPr="00E71EBF">
        <w:rPr>
          <w:rStyle w:val="lrzxr"/>
        </w:rPr>
        <w:t>238</w:t>
      </w:r>
      <w:r w:rsidR="00E71EBF">
        <w:rPr>
          <w:rStyle w:val="lrzxr"/>
        </w:rPr>
        <w:t>,</w:t>
      </w:r>
      <w:r w:rsidR="00E71EBF" w:rsidRPr="00E71EBF">
        <w:rPr>
          <w:rStyle w:val="lrzxr"/>
        </w:rPr>
        <w:t>915</w:t>
      </w:r>
      <w:r w:rsidR="00E71EBF">
        <w:rPr>
          <w:rStyle w:val="lrzxr"/>
        </w:rPr>
        <w:t xml:space="preserve"> SNP genotypes from 289 monarch butterflies collected by Freedman et al (</w:t>
      </w:r>
      <w:r w:rsidR="00E71EBF">
        <w:rPr>
          <w:rStyle w:val="lrzxr"/>
          <w:i/>
        </w:rPr>
        <w:t>in prep</w:t>
      </w:r>
      <w:r w:rsidR="00E71EBF">
        <w:rPr>
          <w:rStyle w:val="lrzxr"/>
        </w:rPr>
        <w:t xml:space="preserve">), respectively. In addition, we used </w:t>
      </w:r>
      <w:r w:rsidR="00EA283D">
        <w:rPr>
          <w:rStyle w:val="lrzxr"/>
        </w:rPr>
        <w:t>8923 SNP genotypes for 420 three-</w:t>
      </w:r>
      <w:proofErr w:type="spellStart"/>
      <w:r w:rsidR="00EA283D">
        <w:rPr>
          <w:rStyle w:val="lrzxr"/>
        </w:rPr>
        <w:t>spined</w:t>
      </w:r>
      <w:proofErr w:type="spellEnd"/>
      <w:r w:rsidR="00EA283D">
        <w:rPr>
          <w:rStyle w:val="lrzxr"/>
        </w:rPr>
        <w:t xml:space="preserve"> stickleback (</w:t>
      </w:r>
      <w:proofErr w:type="spellStart"/>
      <w:r w:rsidR="00EA283D" w:rsidRPr="00EA283D">
        <w:rPr>
          <w:rStyle w:val="lrzxr"/>
          <w:i/>
        </w:rPr>
        <w:t>Gasterosteus</w:t>
      </w:r>
      <w:proofErr w:type="spellEnd"/>
      <w:r w:rsidR="00EA283D" w:rsidRPr="00EA283D">
        <w:rPr>
          <w:rStyle w:val="lrzxr"/>
          <w:i/>
        </w:rPr>
        <w:t xml:space="preserve"> </w:t>
      </w:r>
      <w:proofErr w:type="spellStart"/>
      <w:r w:rsidR="00EA283D" w:rsidRPr="00EA283D">
        <w:rPr>
          <w:rStyle w:val="lrzxr"/>
          <w:i/>
        </w:rPr>
        <w:t>aculeatus</w:t>
      </w:r>
      <w:proofErr w:type="spellEnd"/>
      <w:r w:rsidR="00EA283D">
        <w:rPr>
          <w:rStyle w:val="lrzxr"/>
        </w:rPr>
        <w:t>)</w:t>
      </w:r>
      <w:r w:rsidR="00E71EBF">
        <w:rPr>
          <w:rStyle w:val="lrzxr"/>
        </w:rPr>
        <w:t xml:space="preserve"> collected by Hemstrom et al. (</w:t>
      </w:r>
      <w:r w:rsidR="00E71EBF">
        <w:rPr>
          <w:rStyle w:val="lrzxr"/>
          <w:i/>
        </w:rPr>
        <w:t>in prep</w:t>
      </w:r>
      <w:r w:rsidR="00E71EBF">
        <w:rPr>
          <w:rStyle w:val="lrzxr"/>
        </w:rPr>
        <w:t xml:space="preserve">) in order to evaluate the efficacy of </w:t>
      </w:r>
      <w:r w:rsidR="00B02179">
        <w:rPr>
          <w:rStyle w:val="lrzxr"/>
        </w:rPr>
        <w:t>t-SNE</w:t>
      </w:r>
      <w:r w:rsidR="00E71EBF">
        <w:rPr>
          <w:rStyle w:val="lrzxr"/>
        </w:rPr>
        <w:t xml:space="preserve"> and PCA at multiple levels of population sub-structuring</w:t>
      </w:r>
      <w:r w:rsidR="00322B93">
        <w:rPr>
          <w:rStyle w:val="lrzxr"/>
        </w:rPr>
        <w:t>. Lastly, we</w:t>
      </w:r>
      <w:r w:rsidR="00E71EBF">
        <w:rPr>
          <w:rStyle w:val="lrzxr"/>
        </w:rPr>
        <w:t xml:space="preserve"> </w:t>
      </w:r>
      <w:r w:rsidR="00322B93">
        <w:rPr>
          <w:rStyle w:val="lrzxr"/>
        </w:rPr>
        <w:t xml:space="preserve">used </w:t>
      </w:r>
      <w:r w:rsidR="005075D5">
        <w:rPr>
          <w:rStyle w:val="lrzxr"/>
        </w:rPr>
        <w:t>13</w:t>
      </w:r>
      <w:r w:rsidR="00E71EBF">
        <w:rPr>
          <w:rStyle w:val="lrzxr"/>
        </w:rPr>
        <w:t xml:space="preserve"> microsatellite genotypes for </w:t>
      </w:r>
      <w:r w:rsidR="005075D5">
        <w:rPr>
          <w:rStyle w:val="lrzxr"/>
        </w:rPr>
        <w:t>250</w:t>
      </w:r>
      <w:r w:rsidR="00E71EBF">
        <w:rPr>
          <w:rStyle w:val="lrzxr"/>
        </w:rPr>
        <w:t xml:space="preserve"> white sturgeon </w:t>
      </w:r>
      <w:r w:rsidR="00322B93">
        <w:rPr>
          <w:rStyle w:val="lrzxr"/>
        </w:rPr>
        <w:t>(</w:t>
      </w:r>
      <w:proofErr w:type="spellStart"/>
      <w:r w:rsidR="00322B93" w:rsidRPr="00322B93">
        <w:rPr>
          <w:rStyle w:val="lrzxr"/>
          <w:i/>
        </w:rPr>
        <w:t>Acipenser</w:t>
      </w:r>
      <w:proofErr w:type="spellEnd"/>
      <w:r w:rsidR="00322B93" w:rsidRPr="00322B93">
        <w:rPr>
          <w:rStyle w:val="lrzxr"/>
          <w:i/>
        </w:rPr>
        <w:t xml:space="preserve"> </w:t>
      </w:r>
      <w:proofErr w:type="spellStart"/>
      <w:r w:rsidR="00322B93" w:rsidRPr="00322B93">
        <w:rPr>
          <w:rStyle w:val="lrzxr"/>
          <w:i/>
        </w:rPr>
        <w:t>transmontanus</w:t>
      </w:r>
      <w:proofErr w:type="spellEnd"/>
      <w:r w:rsidR="00322B93">
        <w:rPr>
          <w:rStyle w:val="lrzxr"/>
        </w:rPr>
        <w:t xml:space="preserve">) </w:t>
      </w:r>
      <w:r w:rsidR="00E71EBF">
        <w:rPr>
          <w:rStyle w:val="lrzxr"/>
        </w:rPr>
        <w:t xml:space="preserve">collected by </w:t>
      </w:r>
      <w:commentRangeStart w:id="1"/>
      <w:r w:rsidR="005075D5">
        <w:rPr>
          <w:rStyle w:val="lrzxr"/>
        </w:rPr>
        <w:t>X</w:t>
      </w:r>
      <w:commentRangeEnd w:id="1"/>
      <w:r w:rsidR="005075D5">
        <w:rPr>
          <w:rStyle w:val="CommentReference"/>
        </w:rPr>
        <w:commentReference w:id="1"/>
      </w:r>
      <w:r w:rsidR="005075D5">
        <w:rPr>
          <w:rStyle w:val="lrzxr"/>
        </w:rPr>
        <w:t xml:space="preserve"> and </w:t>
      </w:r>
      <w:commentRangeStart w:id="2"/>
      <w:r w:rsidR="00322B93">
        <w:rPr>
          <w:rStyle w:val="lrzxr"/>
        </w:rPr>
        <w:t>X</w:t>
      </w:r>
      <w:commentRangeEnd w:id="2"/>
      <w:r w:rsidR="00322B93">
        <w:rPr>
          <w:rStyle w:val="CommentReference"/>
        </w:rPr>
        <w:commentReference w:id="2"/>
      </w:r>
      <w:r w:rsidR="00322B93">
        <w:rPr>
          <w:rStyle w:val="lrzxr"/>
        </w:rPr>
        <w:t xml:space="preserve"> to show the efficacy of </w:t>
      </w:r>
      <w:r w:rsidR="00B02179">
        <w:rPr>
          <w:rStyle w:val="lrzxr"/>
        </w:rPr>
        <w:t>t-SNE</w:t>
      </w:r>
      <w:r w:rsidR="00322B93">
        <w:rPr>
          <w:rStyle w:val="lrzxr"/>
        </w:rPr>
        <w:t xml:space="preserve"> to visualize population structuring and family relationships in a </w:t>
      </w:r>
      <w:proofErr w:type="spellStart"/>
      <w:r w:rsidR="00322B93">
        <w:rPr>
          <w:rStyle w:val="lrzxr"/>
        </w:rPr>
        <w:t>polyploid</w:t>
      </w:r>
      <w:proofErr w:type="spellEnd"/>
      <w:r w:rsidR="00322B93">
        <w:rPr>
          <w:rStyle w:val="lrzxr"/>
        </w:rPr>
        <w:t xml:space="preserve"> organism, respectively.</w:t>
      </w:r>
    </w:p>
    <w:p w14:paraId="0C2F60E3" w14:textId="54876600" w:rsidR="00934E40" w:rsidRPr="0064381E" w:rsidRDefault="00934E40">
      <w:pPr>
        <w:rPr>
          <w:rStyle w:val="lrzxr"/>
          <w:vertAlign w:val="subscript"/>
        </w:rPr>
      </w:pPr>
      <w:r>
        <w:rPr>
          <w:rStyle w:val="lrzxr"/>
        </w:rPr>
        <w:tab/>
        <w:t xml:space="preserve">To gauge the viability of </w:t>
      </w:r>
      <w:r w:rsidR="00B02179">
        <w:rPr>
          <w:rStyle w:val="lrzxr"/>
        </w:rPr>
        <w:t>t-SNE</w:t>
      </w:r>
      <w:r>
        <w:rPr>
          <w:rStyle w:val="lrzxr"/>
        </w:rPr>
        <w:t xml:space="preserve"> and PCA to visualize genetic datasets other than simple called genotypes, we generated several other datasets from the raw data for the SNP pedigree dataset (Pepping et al. </w:t>
      </w:r>
      <w:r>
        <w:rPr>
          <w:rStyle w:val="lrzxr"/>
          <w:i/>
        </w:rPr>
        <w:t>in prep</w:t>
      </w:r>
      <w:r>
        <w:rPr>
          <w:rStyle w:val="lrzxr"/>
        </w:rPr>
        <w:t>). We first used the ANGSD</w:t>
      </w:r>
      <w:r w:rsidR="0064381E">
        <w:rPr>
          <w:rStyle w:val="lrzxr"/>
        </w:rPr>
        <w:t xml:space="preserve"> software package to estimate the posterior probabilities that each individual had each possible genotype at every putative SNP (SNP </w:t>
      </w:r>
      <w:r w:rsidR="0064381E">
        <w:rPr>
          <w:rStyle w:val="lrzxr"/>
          <w:i/>
        </w:rPr>
        <w:t>p</w:t>
      </w:r>
      <w:r w:rsidR="0064381E">
        <w:rPr>
          <w:rStyle w:val="lrzxr"/>
        </w:rPr>
        <w:t>-value &lt;= 1x10</w:t>
      </w:r>
      <w:r w:rsidR="0064381E">
        <w:rPr>
          <w:rStyle w:val="lrzxr"/>
          <w:vertAlign w:val="superscript"/>
        </w:rPr>
        <w:t>-12</w:t>
      </w:r>
      <w:r w:rsidR="0064381E">
        <w:rPr>
          <w:rStyle w:val="lrzxr"/>
        </w:rPr>
        <w:t>)</w:t>
      </w:r>
      <w:r>
        <w:rPr>
          <w:rStyle w:val="lrzxr"/>
        </w:rPr>
        <w:t xml:space="preserve"> </w:t>
      </w:r>
      <w:r w:rsidR="0064381E">
        <w:rPr>
          <w:rStyle w:val="lrzxr"/>
        </w:rPr>
        <w:t xml:space="preserve">with a minor allele frequency above 0.05 </w:t>
      </w:r>
      <w:r>
        <w:rPr>
          <w:rStyle w:val="lrzxr"/>
        </w:rPr>
        <w:fldChar w:fldCharType="begin"/>
      </w:r>
      <w:r>
        <w:rPr>
          <w:rStyle w:val="lrzxr"/>
        </w:rPr>
        <w:instrText xml:space="preserve"> ADDIN EN.CITE &lt;EndNote&gt;&lt;Cite&gt;&lt;Author&gt;Korneliussen&lt;/Author&gt;&lt;Year&gt;2014&lt;/Year&gt;&lt;RecNum&gt;3637&lt;/RecNum&gt;&lt;DisplayText&gt;(Korneliussen et al., 2014)&lt;/DisplayText&gt;&lt;record&gt;&lt;rec-number&gt;3637&lt;/rec-number&gt;&lt;foreign-keys&gt;&lt;key app="EN" db-id="50wxdpzd9vd5r7e9t5b595djrfpttrxw9avp" timestamp="1495405735"&gt;3637&lt;/key&gt;&lt;/foreign-keys&gt;&lt;ref-type name="Journal Article"&gt;17&lt;/ref-type&gt;&lt;contributors&gt;&lt;authors&gt;&lt;author&gt;Korneliussen, Thorfinn Sand&lt;/author&gt;&lt;author&gt;Albrechtsen, Anders&lt;/author&gt;&lt;author&gt;Nielsen, Rasmus&lt;/author&gt;&lt;/authors&gt;&lt;/contributors&gt;&lt;titles&gt;&lt;title&gt;ANGSD: analysis of next generation sequencing data&lt;/title&gt;&lt;secondary-title&gt;BMC bioinformatics&lt;/secondary-title&gt;&lt;/titles&gt;&lt;periodical&gt;&lt;full-title&gt;BMC bioinformatics&lt;/full-title&gt;&lt;/periodical&gt;&lt;pages&gt;356&lt;/pages&gt;&lt;volume&gt;15&lt;/volume&gt;&lt;number&gt;1&lt;/number&gt;&lt;dates&gt;&lt;year&gt;2014&lt;/year&gt;&lt;/dates&gt;&lt;isbn&gt;1471-2105&lt;/isbn&gt;&lt;urls&gt;&lt;/urls&gt;&lt;/record&gt;&lt;/Cite&gt;&lt;/EndNote&gt;</w:instrText>
      </w:r>
      <w:r>
        <w:rPr>
          <w:rStyle w:val="lrzxr"/>
        </w:rPr>
        <w:fldChar w:fldCharType="separate"/>
      </w:r>
      <w:r>
        <w:rPr>
          <w:rStyle w:val="lrzxr"/>
          <w:noProof/>
        </w:rPr>
        <w:t>(Korneliussen et al., 2014)</w:t>
      </w:r>
      <w:r>
        <w:rPr>
          <w:rStyle w:val="lrzxr"/>
        </w:rPr>
        <w:fldChar w:fldCharType="end"/>
      </w:r>
      <w:r w:rsidR="0064381E">
        <w:rPr>
          <w:rStyle w:val="lrzxr"/>
        </w:rPr>
        <w:t xml:space="preserve">. We used mapping and base quality filters of 20, the </w:t>
      </w:r>
      <w:proofErr w:type="spellStart"/>
      <w:r w:rsidR="0064381E">
        <w:rPr>
          <w:rStyle w:val="lrzxr"/>
        </w:rPr>
        <w:t>SAMtools</w:t>
      </w:r>
      <w:proofErr w:type="spellEnd"/>
      <w:r w:rsidR="0064381E">
        <w:rPr>
          <w:rStyle w:val="lrzxr"/>
        </w:rPr>
        <w:t xml:space="preserve"> genotype likelihood model, and a </w:t>
      </w:r>
      <w:r w:rsidR="0064381E">
        <w:rPr>
          <w:rStyle w:val="lrzxr"/>
        </w:rPr>
        <w:lastRenderedPageBreak/>
        <w:t xml:space="preserve">uniform allele prior. We also used the ANGSD package to sample single bases at each putative SNP (SNP </w:t>
      </w:r>
      <w:r w:rsidR="0064381E">
        <w:rPr>
          <w:rStyle w:val="lrzxr"/>
          <w:i/>
        </w:rPr>
        <w:t>p</w:t>
      </w:r>
      <w:r w:rsidR="0064381E">
        <w:rPr>
          <w:rStyle w:val="lrzxr"/>
        </w:rPr>
        <w:t>-value &lt;= 1x10</w:t>
      </w:r>
      <w:r w:rsidR="0064381E">
        <w:rPr>
          <w:rStyle w:val="lrzxr"/>
          <w:vertAlign w:val="superscript"/>
        </w:rPr>
        <w:t>-12</w:t>
      </w:r>
      <w:r w:rsidR="0064381E">
        <w:rPr>
          <w:rStyle w:val="lrzxr"/>
        </w:rPr>
        <w:t>)</w:t>
      </w:r>
      <w:r w:rsidR="00BA0EAA">
        <w:rPr>
          <w:rStyle w:val="lrzxr"/>
        </w:rPr>
        <w:t xml:space="preserve"> in each sample using the same filters</w:t>
      </w:r>
      <w:r w:rsidR="003E1A40">
        <w:rPr>
          <w:rStyle w:val="lrzxr"/>
        </w:rPr>
        <w:t xml:space="preserve"> (the Identity </w:t>
      </w:r>
      <w:proofErr w:type="gramStart"/>
      <w:r w:rsidR="003E1A40">
        <w:rPr>
          <w:rStyle w:val="lrzxr"/>
        </w:rPr>
        <w:t>By</w:t>
      </w:r>
      <w:proofErr w:type="gramEnd"/>
      <w:r w:rsidR="003E1A40">
        <w:rPr>
          <w:rStyle w:val="lrzxr"/>
        </w:rPr>
        <w:t xml:space="preserve"> State, or IBS, approach)</w:t>
      </w:r>
      <w:r w:rsidR="00BA0EAA">
        <w:rPr>
          <w:rStyle w:val="lrzxr"/>
        </w:rPr>
        <w:t>. Since this does not require calling genotypes or even estimating genotype likelihoods, this method tends to create larger datasets with less missing data.</w:t>
      </w:r>
    </w:p>
    <w:p w14:paraId="1B64B9E6" w14:textId="6103672A" w:rsidR="00934E40" w:rsidRDefault="00934E40">
      <w:pPr>
        <w:rPr>
          <w:rStyle w:val="lrzxr"/>
          <w:i/>
        </w:rPr>
      </w:pPr>
      <w:r>
        <w:rPr>
          <w:rStyle w:val="lrzxr"/>
        </w:rPr>
        <w:tab/>
      </w:r>
      <w:r>
        <w:rPr>
          <w:rStyle w:val="lrzxr"/>
          <w:i/>
        </w:rPr>
        <w:t>Data filtering and formatting:</w:t>
      </w:r>
    </w:p>
    <w:p w14:paraId="5A999558" w14:textId="43182B65" w:rsidR="00934E40" w:rsidRPr="003E1A40" w:rsidRDefault="00934E40">
      <w:pPr>
        <w:rPr>
          <w:rStyle w:val="lrzxr"/>
        </w:rPr>
      </w:pPr>
      <w:r>
        <w:rPr>
          <w:rStyle w:val="lrzxr"/>
        </w:rPr>
        <w:tab/>
        <w:t xml:space="preserve">In order to have a consistent methodology across all of our datasets, </w:t>
      </w:r>
      <w:r w:rsidR="00BA0EAA">
        <w:rPr>
          <w:rStyle w:val="lrzxr"/>
        </w:rPr>
        <w:t>we re-formatted all of the datasets into a “presence-absence” format, in which each possible allele at each locus is noted as a 1 if present or a 0 if absent. We used this approach rather than translating each genotype to a 0, 1, or 2 (for the minor homozygote, heterozygote, or major homozygote, respectively) since this format does not work for poly-allelic markers such as microsatellites. For the call genotype posterior probabilities, however, we instead calculated the expected count of each allele at each site according to the formula</w:t>
      </w:r>
      <w:r w:rsidR="003E1A40">
        <w:rPr>
          <w:rStyle w:val="lrzxr"/>
        </w:rPr>
        <w:t xml:space="preserve"> </w:t>
      </w:r>
      <w:r w:rsidR="00BA0EAA">
        <w:rPr>
          <w:rStyle w:val="lrzxr"/>
        </w:rPr>
        <w:t xml:space="preserve"> </w:t>
      </w:r>
      <m:oMath>
        <m:sSub>
          <m:sSubPr>
            <m:ctrlPr>
              <w:rPr>
                <w:rStyle w:val="lrzxr"/>
                <w:rFonts w:ascii="Cambria Math" w:hAnsi="Cambria Math"/>
                <w:i/>
              </w:rPr>
            </m:ctrlPr>
          </m:sSubPr>
          <m:e>
            <m:r>
              <w:rPr>
                <w:rStyle w:val="lrzxr"/>
                <w:rFonts w:ascii="Cambria Math" w:hAnsi="Cambria Math"/>
              </w:rPr>
              <m:t>E</m:t>
            </m:r>
          </m:e>
          <m:sub>
            <m:r>
              <w:rPr>
                <w:rStyle w:val="lrzxr"/>
                <w:rFonts w:ascii="Cambria Math" w:hAnsi="Cambria Math"/>
              </w:rPr>
              <m:t>i</m:t>
            </m:r>
          </m:sub>
        </m:sSub>
        <m:r>
          <w:rPr>
            <w:rStyle w:val="lrzxr"/>
            <w:rFonts w:ascii="Cambria Math" w:hAnsi="Cambria Math"/>
          </w:rPr>
          <m:t>=</m:t>
        </m:r>
        <m:sSup>
          <m:sSupPr>
            <m:ctrlPr>
              <w:rPr>
                <w:rStyle w:val="lrzxr"/>
                <w:rFonts w:ascii="Cambria Math" w:hAnsi="Cambria Math"/>
                <w:i/>
              </w:rPr>
            </m:ctrlPr>
          </m:sSupPr>
          <m:e>
            <m:sSub>
              <m:sSubPr>
                <m:ctrlPr>
                  <w:rPr>
                    <w:rStyle w:val="lrzxr"/>
                    <w:rFonts w:ascii="Cambria Math" w:hAnsi="Cambria Math"/>
                    <w:i/>
                  </w:rPr>
                </m:ctrlPr>
              </m:sSubPr>
              <m:e>
                <m:r>
                  <w:rPr>
                    <w:rStyle w:val="lrzxr"/>
                    <w:rFonts w:ascii="Cambria Math" w:hAnsi="Cambria Math"/>
                  </w:rPr>
                  <m:t>p</m:t>
                </m:r>
              </m:e>
              <m:sub>
                <m:r>
                  <w:rPr>
                    <w:rStyle w:val="lrzxr"/>
                    <w:rFonts w:ascii="Cambria Math" w:hAnsi="Cambria Math"/>
                  </w:rPr>
                  <m:t>ii</m:t>
                </m:r>
              </m:sub>
            </m:sSub>
          </m:e>
          <m:sup>
            <m:r>
              <w:rPr>
                <w:rStyle w:val="lrzxr"/>
                <w:rFonts w:ascii="Cambria Math" w:hAnsi="Cambria Math"/>
              </w:rPr>
              <m:t>2</m:t>
            </m:r>
          </m:sup>
        </m:sSup>
        <m:r>
          <w:rPr>
            <w:rStyle w:val="lrzxr"/>
            <w:rFonts w:ascii="Cambria Math" w:hAnsi="Cambria Math"/>
          </w:rPr>
          <m:t>+</m:t>
        </m:r>
        <m:sSub>
          <m:sSubPr>
            <m:ctrlPr>
              <w:rPr>
                <w:rStyle w:val="lrzxr"/>
                <w:rFonts w:ascii="Cambria Math" w:hAnsi="Cambria Math"/>
                <w:i/>
              </w:rPr>
            </m:ctrlPr>
          </m:sSubPr>
          <m:e>
            <m:r>
              <w:rPr>
                <w:rStyle w:val="lrzxr"/>
                <w:rFonts w:ascii="Cambria Math" w:hAnsi="Cambria Math"/>
              </w:rPr>
              <m:t>p</m:t>
            </m:r>
          </m:e>
          <m:sub>
            <m:r>
              <w:rPr>
                <w:rStyle w:val="lrzxr"/>
                <w:rFonts w:ascii="Cambria Math" w:hAnsi="Cambria Math"/>
              </w:rPr>
              <m:t>ij</m:t>
            </m:r>
          </m:sub>
        </m:sSub>
      </m:oMath>
      <w:r w:rsidR="00BA0EAA">
        <w:rPr>
          <w:rStyle w:val="lrzxr"/>
          <w:rFonts w:eastAsiaTheme="minorEastAsia"/>
        </w:rPr>
        <w:t xml:space="preserve">, where </w:t>
      </w:r>
      <w:proofErr w:type="spellStart"/>
      <w:r w:rsidR="00BA0EAA">
        <w:rPr>
          <w:rStyle w:val="lrzxr"/>
          <w:rFonts w:eastAsiaTheme="minorEastAsia"/>
          <w:i/>
        </w:rPr>
        <w:t>E</w:t>
      </w:r>
      <w:r w:rsidR="00BA0EAA">
        <w:rPr>
          <w:rStyle w:val="lrzxr"/>
          <w:rFonts w:eastAsiaTheme="minorEastAsia"/>
          <w:i/>
        </w:rPr>
        <w:softHyphen/>
      </w:r>
      <w:r w:rsidR="00BA0EAA">
        <w:rPr>
          <w:rStyle w:val="lrzxr"/>
          <w:rFonts w:eastAsiaTheme="minorEastAsia"/>
          <w:i/>
          <w:vertAlign w:val="subscript"/>
        </w:rPr>
        <w:t>i</w:t>
      </w:r>
      <w:proofErr w:type="spellEnd"/>
      <w:r w:rsidR="00BA0EAA">
        <w:rPr>
          <w:rStyle w:val="lrzxr"/>
          <w:rFonts w:eastAsiaTheme="minorEastAsia"/>
          <w:i/>
        </w:rPr>
        <w:t xml:space="preserve"> </w:t>
      </w:r>
      <w:r w:rsidR="00BA0EAA">
        <w:rPr>
          <w:rStyle w:val="lrzxr"/>
          <w:rFonts w:eastAsiaTheme="minorEastAsia"/>
        </w:rPr>
        <w:t>is the expected count of allele</w:t>
      </w:r>
      <w:r w:rsidR="00BA0EAA">
        <w:rPr>
          <w:rStyle w:val="lrzxr"/>
          <w:rFonts w:eastAsiaTheme="minorEastAsia"/>
          <w:i/>
        </w:rPr>
        <w:t xml:space="preserve"> </w:t>
      </w:r>
      <w:proofErr w:type="spellStart"/>
      <w:r w:rsidR="00BA0EAA">
        <w:rPr>
          <w:rStyle w:val="lrzxr"/>
          <w:rFonts w:eastAsiaTheme="minorEastAsia"/>
          <w:i/>
        </w:rPr>
        <w:t>i</w:t>
      </w:r>
      <w:proofErr w:type="spellEnd"/>
      <w:r w:rsidR="00BA0EAA">
        <w:rPr>
          <w:rStyle w:val="lrzxr"/>
          <w:rFonts w:eastAsiaTheme="minorEastAsia"/>
        </w:rPr>
        <w:t xml:space="preserve">, </w:t>
      </w:r>
      <w:proofErr w:type="spellStart"/>
      <w:r w:rsidR="00BA0EAA">
        <w:rPr>
          <w:rStyle w:val="lrzxr"/>
          <w:rFonts w:eastAsiaTheme="minorEastAsia"/>
          <w:i/>
        </w:rPr>
        <w:t>p</w:t>
      </w:r>
      <w:r w:rsidR="00BA0EAA">
        <w:rPr>
          <w:rStyle w:val="lrzxr"/>
          <w:rFonts w:eastAsiaTheme="minorEastAsia"/>
          <w:i/>
        </w:rPr>
        <w:softHyphen/>
      </w:r>
      <w:r w:rsidR="00BA0EAA">
        <w:rPr>
          <w:rStyle w:val="lrzxr"/>
          <w:rFonts w:eastAsiaTheme="minorEastAsia"/>
          <w:i/>
          <w:vertAlign w:val="subscript"/>
        </w:rPr>
        <w:t>ii</w:t>
      </w:r>
      <w:proofErr w:type="spellEnd"/>
      <w:r w:rsidR="00BA0EAA">
        <w:rPr>
          <w:rStyle w:val="lrzxr"/>
          <w:rFonts w:eastAsiaTheme="minorEastAsia"/>
        </w:rPr>
        <w:t xml:space="preserve"> is the posterior probability of the homozygote </w:t>
      </w:r>
      <w:proofErr w:type="spellStart"/>
      <w:r w:rsidR="00BA0EAA">
        <w:rPr>
          <w:rStyle w:val="lrzxr"/>
          <w:rFonts w:eastAsiaTheme="minorEastAsia"/>
          <w:i/>
        </w:rPr>
        <w:t>i</w:t>
      </w:r>
      <w:proofErr w:type="spellEnd"/>
      <w:r w:rsidR="00BA0EAA">
        <w:rPr>
          <w:rStyle w:val="lrzxr"/>
          <w:rFonts w:eastAsiaTheme="minorEastAsia"/>
        </w:rPr>
        <w:t xml:space="preserve"> genotype, and </w:t>
      </w:r>
      <w:proofErr w:type="spellStart"/>
      <w:r w:rsidR="00BA0EAA">
        <w:rPr>
          <w:rStyle w:val="lrzxr"/>
          <w:rFonts w:eastAsiaTheme="minorEastAsia"/>
          <w:i/>
        </w:rPr>
        <w:t>p</w:t>
      </w:r>
      <w:r w:rsidR="00BA0EAA">
        <w:rPr>
          <w:rStyle w:val="lrzxr"/>
          <w:rFonts w:eastAsiaTheme="minorEastAsia"/>
          <w:i/>
          <w:vertAlign w:val="subscript"/>
        </w:rPr>
        <w:t>ij</w:t>
      </w:r>
      <w:proofErr w:type="spellEnd"/>
      <w:r w:rsidR="00BA0EAA">
        <w:rPr>
          <w:rStyle w:val="lrzxr"/>
          <w:rFonts w:eastAsiaTheme="minorEastAsia"/>
        </w:rPr>
        <w:t xml:space="preserve"> is the posterior probability of the </w:t>
      </w:r>
      <w:proofErr w:type="spellStart"/>
      <w:r w:rsidR="00BA0EAA">
        <w:rPr>
          <w:rStyle w:val="lrzxr"/>
          <w:rFonts w:eastAsiaTheme="minorEastAsia"/>
          <w:i/>
        </w:rPr>
        <w:t>ij</w:t>
      </w:r>
      <w:proofErr w:type="spellEnd"/>
      <w:r w:rsidR="00BA0EAA">
        <w:rPr>
          <w:rStyle w:val="lrzxr"/>
          <w:rFonts w:eastAsiaTheme="minorEastAsia"/>
        </w:rPr>
        <w:t xml:space="preserve"> </w:t>
      </w:r>
      <w:proofErr w:type="spellStart"/>
      <w:r w:rsidR="00BA0EAA">
        <w:rPr>
          <w:rStyle w:val="lrzxr"/>
          <w:rFonts w:eastAsiaTheme="minorEastAsia"/>
        </w:rPr>
        <w:t>heterozgote</w:t>
      </w:r>
      <w:proofErr w:type="spellEnd"/>
      <w:r w:rsidR="00BA0EAA">
        <w:rPr>
          <w:rStyle w:val="lrzxr"/>
          <w:rFonts w:eastAsiaTheme="minorEastAsia"/>
        </w:rPr>
        <w:t xml:space="preserve"> genotype</w:t>
      </w:r>
      <w:r w:rsidR="003E1A40">
        <w:rPr>
          <w:rStyle w:val="lrzxr"/>
          <w:rFonts w:eastAsiaTheme="minorEastAsia"/>
        </w:rPr>
        <w:t xml:space="preserve"> using custom R scripts</w:t>
      </w:r>
      <w:r w:rsidR="00BA0EAA">
        <w:rPr>
          <w:rStyle w:val="lrzxr"/>
          <w:rFonts w:eastAsiaTheme="minorEastAsia"/>
        </w:rPr>
        <w:t>.</w:t>
      </w:r>
      <w:r w:rsidR="003E1A40">
        <w:rPr>
          <w:rStyle w:val="lrzxr"/>
          <w:rFonts w:eastAsiaTheme="minorEastAsia"/>
        </w:rPr>
        <w:t xml:space="preserve"> For all basic SNP and microsatellite datasets we used the </w:t>
      </w:r>
      <w:proofErr w:type="spellStart"/>
      <w:r w:rsidR="003E1A40">
        <w:rPr>
          <w:rStyle w:val="lrzxr"/>
          <w:rFonts w:eastAsiaTheme="minorEastAsia"/>
        </w:rPr>
        <w:t>snpR</w:t>
      </w:r>
      <w:proofErr w:type="spellEnd"/>
      <w:r w:rsidR="003E1A40">
        <w:rPr>
          <w:rStyle w:val="lrzxr"/>
          <w:rFonts w:eastAsiaTheme="minorEastAsia"/>
        </w:rPr>
        <w:t xml:space="preserve"> package to reformat genotypes (Hemstrom et al. </w:t>
      </w:r>
      <w:r w:rsidR="003E1A40">
        <w:rPr>
          <w:rStyle w:val="lrzxr"/>
          <w:rFonts w:eastAsiaTheme="minorEastAsia"/>
          <w:i/>
        </w:rPr>
        <w:t>in prep</w:t>
      </w:r>
      <w:r w:rsidR="003E1A40">
        <w:rPr>
          <w:rStyle w:val="lrzxr"/>
          <w:rFonts w:eastAsiaTheme="minorEastAsia"/>
        </w:rPr>
        <w:t>). We used custom R sc</w:t>
      </w:r>
      <w:r w:rsidR="00121BFE">
        <w:rPr>
          <w:rStyle w:val="lrzxr"/>
          <w:rFonts w:eastAsiaTheme="minorEastAsia"/>
        </w:rPr>
        <w:t xml:space="preserve">ripts to reformat the </w:t>
      </w:r>
      <w:proofErr w:type="spellStart"/>
      <w:r w:rsidR="00121BFE">
        <w:rPr>
          <w:rStyle w:val="lrzxr"/>
          <w:rFonts w:eastAsiaTheme="minorEastAsia"/>
        </w:rPr>
        <w:t>polyploid</w:t>
      </w:r>
      <w:proofErr w:type="spellEnd"/>
      <w:r w:rsidR="00121BFE">
        <w:rPr>
          <w:rStyle w:val="lrzxr"/>
          <w:rFonts w:eastAsiaTheme="minorEastAsia"/>
        </w:rPr>
        <w:t xml:space="preserve">, IBS, and posterior genotype probability </w:t>
      </w:r>
      <w:r w:rsidR="003E1A40">
        <w:rPr>
          <w:rStyle w:val="lrzxr"/>
          <w:rFonts w:eastAsiaTheme="minorEastAsia"/>
        </w:rPr>
        <w:t>dataset</w:t>
      </w:r>
      <w:r w:rsidR="00121BFE">
        <w:rPr>
          <w:rStyle w:val="lrzxr"/>
          <w:rFonts w:eastAsiaTheme="minorEastAsia"/>
        </w:rPr>
        <w:t>s</w:t>
      </w:r>
      <w:r w:rsidR="003E1A40">
        <w:rPr>
          <w:rStyle w:val="lrzxr"/>
          <w:rFonts w:eastAsiaTheme="minorEastAsia"/>
        </w:rPr>
        <w:t>.</w:t>
      </w:r>
    </w:p>
    <w:p w14:paraId="39EA5A9F" w14:textId="11458A60" w:rsidR="00322B93" w:rsidRDefault="00322B93">
      <w:pPr>
        <w:rPr>
          <w:rStyle w:val="lrzxr"/>
        </w:rPr>
      </w:pPr>
      <w:r>
        <w:rPr>
          <w:rStyle w:val="lrzxr"/>
        </w:rPr>
        <w:tab/>
        <w:t xml:space="preserve">Prior to further analysis, we filtered each of these datasets to remove poorly sequenced individuals and loci and interpolated any missing genotypes which remained. Since neither PCA nor </w:t>
      </w:r>
      <w:r w:rsidR="00B02179">
        <w:rPr>
          <w:rStyle w:val="lrzxr"/>
        </w:rPr>
        <w:t>t-SNE</w:t>
      </w:r>
      <w:r>
        <w:rPr>
          <w:rStyle w:val="lrzxr"/>
        </w:rPr>
        <w:t xml:space="preserve"> allow for missing data, it is necessary to interpolate missing genotypes prior to analysis.</w:t>
      </w:r>
      <w:r w:rsidR="00934E40">
        <w:rPr>
          <w:rStyle w:val="lrzxr"/>
        </w:rPr>
        <w:t xml:space="preserve"> To reduce the need for interpolation, we removed first all loci sequenced at less than 50% of individuals in each of our data sets, then all individuals sequenced at less than 50% of the remaining loci. </w:t>
      </w:r>
      <w:r w:rsidR="003E1A40">
        <w:rPr>
          <w:rStyle w:val="lrzxr"/>
        </w:rPr>
        <w:t xml:space="preserve">For the posterior genotype probability dataset, individuals were determined to </w:t>
      </w:r>
      <w:r w:rsidR="003E1A40">
        <w:rPr>
          <w:rStyle w:val="lrzxr"/>
        </w:rPr>
        <w:lastRenderedPageBreak/>
        <w:t>have missing data at a site if all three genotype probabilities were equal to the specified prior genotype distribution (1/3 for each genotype). For each data set other than the genotype posterior dataset, any remaining missing allele presence-absence calls were interpolated with the mean value of the presence-absence call for that allele.</w:t>
      </w:r>
      <w:r w:rsidR="00121BFE">
        <w:rPr>
          <w:rStyle w:val="lrzxr"/>
        </w:rPr>
        <w:t xml:space="preserve"> We used the </w:t>
      </w:r>
      <w:proofErr w:type="spellStart"/>
      <w:r w:rsidR="00121BFE">
        <w:rPr>
          <w:rStyle w:val="lrzxr"/>
        </w:rPr>
        <w:t>snpR</w:t>
      </w:r>
      <w:proofErr w:type="spellEnd"/>
      <w:r w:rsidR="00121BFE">
        <w:rPr>
          <w:rStyle w:val="lrzxr"/>
        </w:rPr>
        <w:t xml:space="preserve"> package to filter the SNP datasets and custom R scripts for everything else.</w:t>
      </w:r>
    </w:p>
    <w:p w14:paraId="622DD678" w14:textId="10707EE9" w:rsidR="00332036" w:rsidRDefault="003E1A40">
      <w:pPr>
        <w:rPr>
          <w:rStyle w:val="lrzxr"/>
        </w:rPr>
      </w:pPr>
      <w:r>
        <w:rPr>
          <w:rStyle w:val="lrzxr"/>
        </w:rPr>
        <w:tab/>
      </w:r>
      <w:r>
        <w:rPr>
          <w:rStyle w:val="lrzxr"/>
          <w:i/>
        </w:rPr>
        <w:t xml:space="preserve">PCA and </w:t>
      </w:r>
      <w:r w:rsidR="00B02179">
        <w:rPr>
          <w:rStyle w:val="lrzxr"/>
          <w:i/>
        </w:rPr>
        <w:t>t-SNE</w:t>
      </w:r>
      <w:r>
        <w:rPr>
          <w:rStyle w:val="lrzxr"/>
        </w:rPr>
        <w:t xml:space="preserve">: We created both PCA and </w:t>
      </w:r>
      <w:r w:rsidR="00B02179">
        <w:rPr>
          <w:rStyle w:val="lrzxr"/>
        </w:rPr>
        <w:t>t-SNE</w:t>
      </w:r>
      <w:r>
        <w:rPr>
          <w:rStyle w:val="lrzxr"/>
        </w:rPr>
        <w:t xml:space="preserve"> plots from each of the above datasets. PCA plots were created using the “</w:t>
      </w:r>
      <w:proofErr w:type="spellStart"/>
      <w:r>
        <w:rPr>
          <w:rStyle w:val="lrzxr"/>
        </w:rPr>
        <w:t>prcomp</w:t>
      </w:r>
      <w:proofErr w:type="spellEnd"/>
      <w:r>
        <w:rPr>
          <w:rStyle w:val="lrzxr"/>
        </w:rPr>
        <w:t xml:space="preserve">” function in R, </w:t>
      </w:r>
      <w:r w:rsidR="00B02179">
        <w:rPr>
          <w:rStyle w:val="lrzxr"/>
        </w:rPr>
        <w:t>t-SNE</w:t>
      </w:r>
      <w:r>
        <w:rPr>
          <w:rStyle w:val="lrzxr"/>
        </w:rPr>
        <w:t xml:space="preserve"> plots were created using the </w:t>
      </w:r>
      <w:proofErr w:type="spellStart"/>
      <w:r>
        <w:rPr>
          <w:rStyle w:val="lrzxr"/>
        </w:rPr>
        <w:t>Rtsne</w:t>
      </w:r>
      <w:proofErr w:type="spellEnd"/>
      <w:r>
        <w:rPr>
          <w:rStyle w:val="lrzxr"/>
        </w:rPr>
        <w:t xml:space="preserve"> R package </w:t>
      </w:r>
      <w:r>
        <w:rPr>
          <w:rStyle w:val="lrzxr"/>
        </w:rPr>
        <w:fldChar w:fldCharType="begin"/>
      </w:r>
      <w:r>
        <w:rPr>
          <w:rStyle w:val="lrzxr"/>
        </w:rPr>
        <w:instrText xml:space="preserve"> ADDIN EN.CITE &lt;EndNote&gt;&lt;Cite&gt;&lt;Author&gt;Krijthe&lt;/Author&gt;&lt;Year&gt;2015&lt;/Year&gt;&lt;RecNum&gt;3708&lt;/RecNum&gt;&lt;DisplayText&gt;(Krijthe, 2015)&lt;/DisplayText&gt;&lt;record&gt;&lt;rec-number&gt;3708&lt;/rec-number&gt;&lt;foreign-keys&gt;&lt;key app="EN" db-id="50wxdpzd9vd5r7e9t5b595djrfpttrxw9avp" timestamp="1522279295"&gt;3708&lt;/key&gt;&lt;/foreign-keys&gt;&lt;ref-type name="Journal Article"&gt;17&lt;/ref-type&gt;&lt;contributors&gt;&lt;authors&gt;&lt;author&gt;Krijthe, JH&lt;/author&gt;&lt;/authors&gt;&lt;/contributors&gt;&lt;titles&gt;&lt;title&gt;Rtsne: T-distributed stochastic neighbor embedding using Barnes-Hut implementation&lt;/title&gt;&lt;secondary-title&gt;R package version 0.13, URL https://github. com/jkrijthe/Rtsne&lt;/secondary-title&gt;&lt;/titles&gt;&lt;periodical&gt;&lt;full-title&gt;R package version 0.13, URL https://github. com/jkrijthe/Rtsne&lt;/full-title&gt;&lt;/periodical&gt;&lt;dates&gt;&lt;year&gt;2015&lt;/year&gt;&lt;/dates&gt;&lt;urls&gt;&lt;/urls&gt;&lt;/record&gt;&lt;/Cite&gt;&lt;/EndNote&gt;</w:instrText>
      </w:r>
      <w:r>
        <w:rPr>
          <w:rStyle w:val="lrzxr"/>
        </w:rPr>
        <w:fldChar w:fldCharType="separate"/>
      </w:r>
      <w:r>
        <w:rPr>
          <w:rStyle w:val="lrzxr"/>
          <w:noProof/>
        </w:rPr>
        <w:t>(Krijthe, 2015)</w:t>
      </w:r>
      <w:r>
        <w:rPr>
          <w:rStyle w:val="lrzxr"/>
        </w:rPr>
        <w:fldChar w:fldCharType="end"/>
      </w:r>
      <w:r>
        <w:rPr>
          <w:rStyle w:val="lrzxr"/>
        </w:rPr>
        <w:t>.</w:t>
      </w:r>
      <w:r w:rsidR="00B02179">
        <w:rPr>
          <w:rStyle w:val="lrzxr"/>
        </w:rPr>
        <w:t xml:space="preserve"> </w:t>
      </w:r>
      <w:r w:rsidR="00425E05">
        <w:rPr>
          <w:rStyle w:val="lrzxr"/>
        </w:rPr>
        <w:t>Briefly</w:t>
      </w:r>
      <w:r w:rsidR="00B02179">
        <w:rPr>
          <w:rStyle w:val="lrzxr"/>
        </w:rPr>
        <w:t xml:space="preserve">, t-SNE uses a random-walk approach to minimize the </w:t>
      </w:r>
      <w:proofErr w:type="spellStart"/>
      <w:r w:rsidR="00425E05" w:rsidRPr="00425E05">
        <w:rPr>
          <w:rStyle w:val="lrzxr"/>
        </w:rPr>
        <w:t>Kullback-Leibler</w:t>
      </w:r>
      <w:proofErr w:type="spellEnd"/>
      <w:r w:rsidR="00425E05" w:rsidRPr="00425E05">
        <w:rPr>
          <w:rStyle w:val="lrzxr"/>
        </w:rPr>
        <w:t xml:space="preserve"> divergence</w:t>
      </w:r>
      <w:r w:rsidR="00425E05">
        <w:rPr>
          <w:rStyle w:val="lrzxr"/>
        </w:rPr>
        <w:t xml:space="preserve"> </w:t>
      </w:r>
      <w:r w:rsidR="00B02179">
        <w:rPr>
          <w:rStyle w:val="lrzxr"/>
        </w:rPr>
        <w:t xml:space="preserve">between a multi and two or three-dimensional distance space (such as that contained across many principal components in a PCA) </w:t>
      </w:r>
      <w:r w:rsidR="00B02179">
        <w:rPr>
          <w:rStyle w:val="lrzxr"/>
        </w:rPr>
        <w:fldChar w:fldCharType="begin"/>
      </w:r>
      <w:r w:rsidR="00B02179">
        <w:rPr>
          <w:rStyle w:val="lrzxr"/>
        </w:rPr>
        <w:instrText xml:space="preserve"> ADDIN EN.CITE &lt;EndNote&gt;&lt;Cite&gt;&lt;Author&gt;Maaten&lt;/Author&gt;&lt;Year&gt;2008&lt;/Year&gt;&lt;RecNum&gt;3709&lt;/RecNum&gt;&lt;DisplayText&gt;(Maaten &amp;amp; Hinton, 2008)&lt;/DisplayText&gt;&lt;record&gt;&lt;rec-number&gt;3709&lt;/rec-number&gt;&lt;foreign-keys&gt;&lt;key app="EN" db-id="50wxdpzd9vd5r7e9t5b595djrfpttrxw9avp" timestamp="1522279516"&gt;3709&lt;/key&gt;&lt;/foreign-keys&gt;&lt;ref-type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B02179">
        <w:rPr>
          <w:rStyle w:val="lrzxr"/>
        </w:rPr>
        <w:fldChar w:fldCharType="separate"/>
      </w:r>
      <w:r w:rsidR="00B02179">
        <w:rPr>
          <w:rStyle w:val="lrzxr"/>
          <w:noProof/>
        </w:rPr>
        <w:t>(Maaten &amp; Hinton, 2008)</w:t>
      </w:r>
      <w:r w:rsidR="00B02179">
        <w:rPr>
          <w:rStyle w:val="lrzxr"/>
        </w:rPr>
        <w:fldChar w:fldCharType="end"/>
      </w:r>
      <w:r w:rsidR="00B02179">
        <w:rPr>
          <w:rStyle w:val="lrzxr"/>
        </w:rPr>
        <w:t xml:space="preserve">. The </w:t>
      </w:r>
      <w:proofErr w:type="spellStart"/>
      <w:r w:rsidR="00B02179">
        <w:rPr>
          <w:rStyle w:val="lrzxr"/>
        </w:rPr>
        <w:t>Rtsne</w:t>
      </w:r>
      <w:proofErr w:type="spellEnd"/>
      <w:r w:rsidR="00B02179">
        <w:rPr>
          <w:rStyle w:val="lrzxr"/>
        </w:rPr>
        <w:t xml:space="preserve"> R package, in particular, uses the Barnes-Hut implementation of t-SNE to </w:t>
      </w:r>
      <w:r w:rsidR="00425E05">
        <w:rPr>
          <w:rStyle w:val="lrzxr"/>
        </w:rPr>
        <w:t xml:space="preserve">minimize the search space the t-SNE algorithm must traverse by using a user-provided number </w:t>
      </w:r>
      <w:r w:rsidR="009310CF">
        <w:rPr>
          <w:rStyle w:val="lrzxr"/>
        </w:rPr>
        <w:t xml:space="preserve">(“perplexity”) </w:t>
      </w:r>
      <w:r w:rsidR="00425E05">
        <w:rPr>
          <w:rStyle w:val="lrzxr"/>
        </w:rPr>
        <w:t>of nearest neighbors to consider when embedding points into the two or three-dimensional matrix and by approximating to a user defined degree</w:t>
      </w:r>
      <w:r w:rsidR="009310CF">
        <w:rPr>
          <w:rStyle w:val="lrzxr"/>
        </w:rPr>
        <w:t xml:space="preserve"> (</w:t>
      </w:r>
      <w:r w:rsidR="009310CF">
        <w:rPr>
          <w:rStyle w:val="lrzxr"/>
          <w:rFonts w:cs="Times New Roman"/>
        </w:rPr>
        <w:t>θ)</w:t>
      </w:r>
      <w:r w:rsidR="00425E05">
        <w:rPr>
          <w:rStyle w:val="lrzxr"/>
        </w:rPr>
        <w:t xml:space="preserve"> across nearby areas of the search space using “</w:t>
      </w:r>
      <w:proofErr w:type="spellStart"/>
      <w:r w:rsidR="00425E05">
        <w:rPr>
          <w:rStyle w:val="lrzxr"/>
        </w:rPr>
        <w:t>quadtrees</w:t>
      </w:r>
      <w:proofErr w:type="spellEnd"/>
      <w:r w:rsidR="00425E05">
        <w:rPr>
          <w:rStyle w:val="lrzxr"/>
        </w:rPr>
        <w:t>” over which results are summarized based</w:t>
      </w:r>
      <w:r w:rsidR="009310CF">
        <w:rPr>
          <w:rStyle w:val="lrzxr"/>
        </w:rPr>
        <w:t xml:space="preserve"> </w:t>
      </w:r>
      <w:r w:rsidR="009310CF">
        <w:rPr>
          <w:rStyle w:val="lrzxr"/>
        </w:rPr>
        <w:fldChar w:fldCharType="begin"/>
      </w:r>
      <w:r w:rsidR="009310CF">
        <w:rPr>
          <w:rStyle w:val="lrzxr"/>
        </w:rPr>
        <w:instrText xml:space="preserve"> ADDIN EN.CITE &lt;EndNote&gt;&lt;Cite&gt;&lt;Author&gt;Van Der Maaten&lt;/Author&gt;&lt;Year&gt;2014&lt;/Year&gt;&lt;RecNum&gt;3710&lt;/RecNum&gt;&lt;DisplayText&gt;(Van Der Maaten, 2014)&lt;/DisplayText&gt;&lt;record&gt;&lt;rec-number&gt;3710&lt;/rec-number&gt;&lt;foreign-keys&gt;&lt;key app="EN" db-id="50wxdpzd9vd5r7e9t5b595djrfpttrxw9avp" timestamp="1522280573"&gt;3710&lt;/key&gt;&lt;/foreign-keys&gt;&lt;ref-type name="Journal Article"&gt;17&lt;/ref-type&gt;&lt;contributors&gt;&lt;authors&gt;&lt;author&gt;Van Der Maaten, Laurens&lt;/author&gt;&lt;/authors&gt;&lt;/contributors&gt;&lt;titles&gt;&lt;title&gt;Accelerating t-SNE using tree-based algorithms&lt;/title&gt;&lt;secondary-title&gt;Journal of machine learning research&lt;/secondary-title&gt;&lt;/titles&gt;&lt;periodical&gt;&lt;full-title&gt;Journal of machine learning research&lt;/full-title&gt;&lt;/periodical&gt;&lt;pages&gt;3221-3245&lt;/pages&gt;&lt;volume&gt;15&lt;/volume&gt;&lt;number&gt;1&lt;/number&gt;&lt;dates&gt;&lt;year&gt;2014&lt;/year&gt;&lt;/dates&gt;&lt;urls&gt;&lt;/urls&gt;&lt;/record&gt;&lt;/Cite&gt;&lt;/EndNote&gt;</w:instrText>
      </w:r>
      <w:r w:rsidR="009310CF">
        <w:rPr>
          <w:rStyle w:val="lrzxr"/>
        </w:rPr>
        <w:fldChar w:fldCharType="separate"/>
      </w:r>
      <w:r w:rsidR="009310CF">
        <w:rPr>
          <w:rStyle w:val="lrzxr"/>
          <w:noProof/>
        </w:rPr>
        <w:t>(Van Der Maaten, 2014)</w:t>
      </w:r>
      <w:r w:rsidR="009310CF">
        <w:rPr>
          <w:rStyle w:val="lrzxr"/>
        </w:rPr>
        <w:fldChar w:fldCharType="end"/>
      </w:r>
      <w:r w:rsidR="00425E05">
        <w:rPr>
          <w:rStyle w:val="lrzxr"/>
        </w:rPr>
        <w:t>.</w:t>
      </w:r>
      <w:r w:rsidR="009310CF">
        <w:rPr>
          <w:rStyle w:val="lrzxr"/>
        </w:rPr>
        <w:t xml:space="preserve"> These functions are now wrapped for easy plotting of presence-absence data in the </w:t>
      </w:r>
      <w:proofErr w:type="spellStart"/>
      <w:r w:rsidR="009310CF">
        <w:rPr>
          <w:rStyle w:val="lrzxr"/>
        </w:rPr>
        <w:t>snpR</w:t>
      </w:r>
      <w:proofErr w:type="spellEnd"/>
      <w:r w:rsidR="009310CF">
        <w:rPr>
          <w:rStyle w:val="lrzxr"/>
        </w:rPr>
        <w:t xml:space="preserve"> package. Since our datasets were not prohibitively large, we used a </w:t>
      </w:r>
      <w:r w:rsidR="009310CF">
        <w:rPr>
          <w:rStyle w:val="lrzxr"/>
          <w:rFonts w:cs="Times New Roman"/>
        </w:rPr>
        <w:t>θ</w:t>
      </w:r>
      <w:r w:rsidR="009310CF">
        <w:rPr>
          <w:rStyle w:val="lrzxr"/>
        </w:rPr>
        <w:t xml:space="preserve"> of 0 (for a full, non-summarized search) for each t-SNE run. </w:t>
      </w:r>
      <w:r w:rsidR="00332036">
        <w:rPr>
          <w:rStyle w:val="lrzxr"/>
        </w:rPr>
        <w:t>W</w:t>
      </w:r>
      <w:r w:rsidR="009310CF">
        <w:rPr>
          <w:rStyle w:val="lrzxr"/>
        </w:rPr>
        <w:t xml:space="preserve">e estimated the perplexity value to use during t-SNE as described by </w:t>
      </w:r>
      <w:r w:rsidR="009310CF">
        <w:rPr>
          <w:rStyle w:val="lrzxr"/>
        </w:rPr>
        <w:fldChar w:fldCharType="begin"/>
      </w:r>
      <w:r w:rsidR="009310CF">
        <w:rPr>
          <w:rStyle w:val="lrzxr"/>
        </w:rPr>
        <w:instrText xml:space="preserve"> ADDIN EN.CITE &lt;EndNote&gt;&lt;Cite AuthorYear="1"&gt;&lt;Author&gt;van der Maaten&lt;/Author&gt;&lt;Year&gt;2012&lt;/Year&gt;&lt;RecNum&gt;3711&lt;/RecNum&gt;&lt;DisplayText&gt;van der Maaten and Hinton (2012)&lt;/DisplayText&gt;&lt;record&gt;&lt;rec-number&gt;3711&lt;/rec-number&gt;&lt;foreign-keys&gt;&lt;key app="EN" db-id="50wxdpzd9vd5r7e9t5b595djrfpttrxw9avp" timestamp="1522281081"&gt;3711&lt;/key&gt;&lt;/foreign-keys&gt;&lt;ref-type name="Journal Article"&gt;17&lt;/ref-type&gt;&lt;contributors&gt;&lt;authors&gt;&lt;author&gt;van der Maaten, Laurens&lt;/author&gt;&lt;author&gt;Hinton, Geoffrey&lt;/author&gt;&lt;/authors&gt;&lt;/contributors&gt;&lt;titles&gt;&lt;title&gt;Visualizing non-metric similarities in multiple maps&lt;/title&gt;&lt;secondary-title&gt;Machine Learning&lt;/secondary-title&gt;&lt;/titles&gt;&lt;periodical&gt;&lt;full-title&gt;Machine Learning&lt;/full-title&gt;&lt;/periodical&gt;&lt;pages&gt;33-55&lt;/pages&gt;&lt;volume&gt;87&lt;/volume&gt;&lt;number&gt;1&lt;/number&gt;&lt;dates&gt;&lt;year&gt;2012&lt;/year&gt;&lt;pub-dates&gt;&lt;date&gt;2012/04/01&lt;/date&gt;&lt;/pub-dates&gt;&lt;/dates&gt;&lt;isbn&gt;1573-0565&lt;/isbn&gt;&lt;urls&gt;&lt;related-urls&gt;&lt;url&gt;https://doi.org/10.1007/s10994-011-5273-4&lt;/url&gt;&lt;/related-urls&gt;&lt;/urls&gt;&lt;electronic-resource-num&gt;10.1007/s10994-011-5273-4&lt;/electronic-resource-num&gt;&lt;/record&gt;&lt;/Cite&gt;&lt;/EndNote&gt;</w:instrText>
      </w:r>
      <w:r w:rsidR="009310CF">
        <w:rPr>
          <w:rStyle w:val="lrzxr"/>
        </w:rPr>
        <w:fldChar w:fldCharType="separate"/>
      </w:r>
      <w:r w:rsidR="009310CF">
        <w:rPr>
          <w:rStyle w:val="lrzxr"/>
          <w:noProof/>
        </w:rPr>
        <w:t>van der Maaten and Hinton (2012)</w:t>
      </w:r>
      <w:r w:rsidR="009310CF">
        <w:rPr>
          <w:rStyle w:val="lrzxr"/>
        </w:rPr>
        <w:fldChar w:fldCharType="end"/>
      </w:r>
      <w:r w:rsidR="000D6067">
        <w:rPr>
          <w:rStyle w:val="lrzxr"/>
        </w:rPr>
        <w:t xml:space="preserve"> via the “</w:t>
      </w:r>
      <w:proofErr w:type="spellStart"/>
      <w:r w:rsidR="000D6067">
        <w:rPr>
          <w:rStyle w:val="lrzxr"/>
        </w:rPr>
        <w:t>hbeta</w:t>
      </w:r>
      <w:proofErr w:type="spellEnd"/>
      <w:r w:rsidR="000D6067">
        <w:rPr>
          <w:rStyle w:val="lrzxr"/>
        </w:rPr>
        <w:t>” function as impl</w:t>
      </w:r>
      <w:r w:rsidR="00E91506">
        <w:rPr>
          <w:rStyle w:val="lrzxr"/>
        </w:rPr>
        <w:t xml:space="preserve">emented in the </w:t>
      </w:r>
      <w:proofErr w:type="spellStart"/>
      <w:r w:rsidR="00E91506">
        <w:rPr>
          <w:rStyle w:val="lrzxr"/>
        </w:rPr>
        <w:t>mmtsne</w:t>
      </w:r>
      <w:proofErr w:type="spellEnd"/>
      <w:r w:rsidR="00E91506">
        <w:rPr>
          <w:rStyle w:val="lrzxr"/>
        </w:rPr>
        <w:t xml:space="preserve"> R package and</w:t>
      </w:r>
      <w:r w:rsidR="000D6067">
        <w:rPr>
          <w:rStyle w:val="lrzxr"/>
        </w:rPr>
        <w:t xml:space="preserve"> used the default values for all other parameters.</w:t>
      </w:r>
      <w:r w:rsidR="00E91506">
        <w:rPr>
          <w:rStyle w:val="lrzxr"/>
        </w:rPr>
        <w:t xml:space="preserve"> </w:t>
      </w:r>
    </w:p>
    <w:p w14:paraId="7A7769E3" w14:textId="1389972F" w:rsidR="003E1A40" w:rsidRPr="003E1A40" w:rsidRDefault="00E91506" w:rsidP="00332036">
      <w:pPr>
        <w:ind w:firstLine="720"/>
        <w:rPr>
          <w:rStyle w:val="lrzxr"/>
        </w:rPr>
      </w:pPr>
      <w:r>
        <w:rPr>
          <w:rStyle w:val="lrzxr"/>
        </w:rPr>
        <w:t xml:space="preserve">To show how t-SNE results change as the number of initial dimensions or perplexity change, we created several plots using the first 500 individuals from the Chinook microsatellite pedigree data. To do so, we first calculated a baseline perplexity as above and number of initial </w:t>
      </w:r>
      <w:r>
        <w:rPr>
          <w:rStyle w:val="lrzxr"/>
        </w:rPr>
        <w:lastRenderedPageBreak/>
        <w:t>dimensions from the number of unique observed mother-father combinations.</w:t>
      </w:r>
      <w:r w:rsidR="002F0898">
        <w:rPr>
          <w:rStyle w:val="lrzxr"/>
        </w:rPr>
        <w:t xml:space="preserve"> We plotted every combination of these baselines multiplied by </w:t>
      </w:r>
      <w:r w:rsidR="002F0898" w:rsidRPr="002F0898">
        <w:rPr>
          <w:rStyle w:val="lrzxr"/>
        </w:rPr>
        <w:t>0.10</w:t>
      </w:r>
      <w:r w:rsidR="002F0898">
        <w:rPr>
          <w:rStyle w:val="lrzxr"/>
        </w:rPr>
        <w:t>,</w:t>
      </w:r>
      <w:r w:rsidR="002F0898" w:rsidRPr="002F0898">
        <w:rPr>
          <w:rStyle w:val="lrzxr"/>
        </w:rPr>
        <w:t xml:space="preserve"> 0.55</w:t>
      </w:r>
      <w:r w:rsidR="002F0898">
        <w:rPr>
          <w:rStyle w:val="lrzxr"/>
        </w:rPr>
        <w:t>,</w:t>
      </w:r>
      <w:r w:rsidR="002F0898" w:rsidRPr="002F0898">
        <w:rPr>
          <w:rStyle w:val="lrzxr"/>
        </w:rPr>
        <w:t xml:space="preserve"> 1.00</w:t>
      </w:r>
      <w:r w:rsidR="002F0898">
        <w:rPr>
          <w:rStyle w:val="lrzxr"/>
        </w:rPr>
        <w:t>,</w:t>
      </w:r>
      <w:r w:rsidR="002F0898" w:rsidRPr="002F0898">
        <w:rPr>
          <w:rStyle w:val="lrzxr"/>
        </w:rPr>
        <w:t xml:space="preserve"> 1.45</w:t>
      </w:r>
      <w:r w:rsidR="002F0898">
        <w:rPr>
          <w:rStyle w:val="lrzxr"/>
        </w:rPr>
        <w:t>, and</w:t>
      </w:r>
      <w:r w:rsidR="002F0898" w:rsidRPr="002F0898">
        <w:rPr>
          <w:rStyle w:val="lrzxr"/>
        </w:rPr>
        <w:t xml:space="preserve"> 1.90</w:t>
      </w:r>
      <w:r w:rsidR="002F0898">
        <w:rPr>
          <w:rStyle w:val="lrzxr"/>
        </w:rPr>
        <w:t>.</w:t>
      </w:r>
    </w:p>
    <w:p w14:paraId="0B1B250D" w14:textId="77777777" w:rsidR="00687E52" w:rsidRDefault="00687E52">
      <w:pPr>
        <w:rPr>
          <w:rStyle w:val="lrzxr"/>
        </w:rPr>
      </w:pPr>
    </w:p>
    <w:p w14:paraId="793CC247" w14:textId="77777777" w:rsidR="009310CF" w:rsidRPr="009310CF" w:rsidRDefault="00687E52" w:rsidP="009310CF">
      <w:pPr>
        <w:pStyle w:val="EndNoteBibliography"/>
        <w:spacing w:after="0"/>
        <w:ind w:left="720" w:hanging="720"/>
      </w:pPr>
      <w:r>
        <w:fldChar w:fldCharType="begin"/>
      </w:r>
      <w:r>
        <w:instrText xml:space="preserve"> ADDIN EN.REFLIST </w:instrText>
      </w:r>
      <w:r>
        <w:fldChar w:fldCharType="separate"/>
      </w:r>
      <w:r w:rsidR="009310CF" w:rsidRPr="009310CF">
        <w:t xml:space="preserve">Christie, M. R., Tennessen, J. A., &amp; Blouin, M. S. (2013). Bayesian parentage analysis with systematic accountability of genotyping error, missing data and false matching. </w:t>
      </w:r>
      <w:r w:rsidR="009310CF" w:rsidRPr="009310CF">
        <w:rPr>
          <w:i/>
        </w:rPr>
        <w:t>Bioinformatics, 29</w:t>
      </w:r>
      <w:r w:rsidR="009310CF" w:rsidRPr="009310CF">
        <w:t>(6), 725-732. doi:10.1093/bioinformatics/btt039</w:t>
      </w:r>
    </w:p>
    <w:p w14:paraId="50690F0C" w14:textId="77777777" w:rsidR="009310CF" w:rsidRPr="009310CF" w:rsidRDefault="009310CF" w:rsidP="009310CF">
      <w:pPr>
        <w:pStyle w:val="EndNoteBibliography"/>
        <w:spacing w:after="0"/>
        <w:ind w:left="720" w:hanging="720"/>
      </w:pPr>
      <w:r w:rsidRPr="009310CF">
        <w:t xml:space="preserve">Hemstrom, W., van de Wetering, S., &amp; Banks, M. A. (2017). Fish ladder installation across a historic barrier asymmetrically increased conspecific introgressive hybridization between wild winter and summer run steelhead salmon in the Siletz River, Oregon. </w:t>
      </w:r>
      <w:r w:rsidRPr="009310CF">
        <w:rPr>
          <w:i/>
        </w:rPr>
        <w:t>Canadian Journal of Fisheries and Aquatic Sciences</w:t>
      </w:r>
      <w:r w:rsidRPr="009310CF">
        <w:t>. doi:10.1139/cjfas-2016-0411</w:t>
      </w:r>
    </w:p>
    <w:p w14:paraId="008360BA" w14:textId="77777777" w:rsidR="009310CF" w:rsidRPr="009310CF" w:rsidRDefault="009310CF" w:rsidP="009310CF">
      <w:pPr>
        <w:pStyle w:val="EndNoteBibliography"/>
        <w:spacing w:after="0"/>
        <w:ind w:left="720" w:hanging="720"/>
      </w:pPr>
      <w:r w:rsidRPr="009310CF">
        <w:t xml:space="preserve">Korneliussen, T. S., Albrechtsen, A., &amp; Nielsen, R. (2014). ANGSD: analysis of next generation sequencing data. </w:t>
      </w:r>
      <w:r w:rsidRPr="009310CF">
        <w:rPr>
          <w:i/>
        </w:rPr>
        <w:t>BMC bioinformatics, 15</w:t>
      </w:r>
      <w:r w:rsidRPr="009310CF">
        <w:t xml:space="preserve">(1), 356. </w:t>
      </w:r>
    </w:p>
    <w:p w14:paraId="273396B0" w14:textId="76D918A6" w:rsidR="009310CF" w:rsidRPr="009310CF" w:rsidRDefault="009310CF" w:rsidP="009310CF">
      <w:pPr>
        <w:pStyle w:val="EndNoteBibliography"/>
        <w:spacing w:after="0"/>
        <w:ind w:left="720" w:hanging="720"/>
      </w:pPr>
      <w:r w:rsidRPr="009310CF">
        <w:t xml:space="preserve">Krijthe, J. (2015). Rtsne: T-distributed stochastic neighbor embedding using Barnes-Hut implementation. </w:t>
      </w:r>
      <w:r w:rsidRPr="009310CF">
        <w:rPr>
          <w:i/>
        </w:rPr>
        <w:t xml:space="preserve">R package version 0.13, URL </w:t>
      </w:r>
      <w:hyperlink r:id="rId6" w:history="1">
        <w:r w:rsidRPr="009310CF">
          <w:rPr>
            <w:rStyle w:val="Hyperlink"/>
            <w:i/>
          </w:rPr>
          <w:t>https://github</w:t>
        </w:r>
      </w:hyperlink>
      <w:r w:rsidRPr="009310CF">
        <w:rPr>
          <w:i/>
        </w:rPr>
        <w:t>. com/jkrijthe/Rtsne</w:t>
      </w:r>
      <w:r w:rsidRPr="009310CF">
        <w:t xml:space="preserve">. </w:t>
      </w:r>
    </w:p>
    <w:p w14:paraId="11AF0403" w14:textId="77777777" w:rsidR="009310CF" w:rsidRPr="009310CF" w:rsidRDefault="009310CF" w:rsidP="009310CF">
      <w:pPr>
        <w:pStyle w:val="EndNoteBibliography"/>
        <w:spacing w:after="0"/>
        <w:ind w:left="720" w:hanging="720"/>
      </w:pPr>
      <w:r w:rsidRPr="009310CF">
        <w:t xml:space="preserve">Maaten, L. v. d., &amp; Hinton, G. (2008). Visualizing data using t-SNE. </w:t>
      </w:r>
      <w:r w:rsidRPr="009310CF">
        <w:rPr>
          <w:i/>
        </w:rPr>
        <w:t>Journal of machine learning research, 9</w:t>
      </w:r>
      <w:r w:rsidRPr="009310CF">
        <w:t xml:space="preserve">(Nov), 2579-2605. </w:t>
      </w:r>
    </w:p>
    <w:p w14:paraId="5EEAA037" w14:textId="77777777" w:rsidR="009310CF" w:rsidRPr="009310CF" w:rsidRDefault="009310CF" w:rsidP="009310CF">
      <w:pPr>
        <w:pStyle w:val="EndNoteBibliography"/>
        <w:spacing w:after="0"/>
        <w:ind w:left="720" w:hanging="720"/>
      </w:pPr>
      <w:r w:rsidRPr="009310CF">
        <w:t xml:space="preserve">Sard, N. M., O’Malley, K. G., Jacobson, D. P., Hogansen, M. J., Johnson, M. A., &amp; Banks, M. A. (2015). Factors influencing spawner success in a spring Chinook salmon (Oncorhynchus tshawytscha) reintroduction program. </w:t>
      </w:r>
      <w:r w:rsidRPr="009310CF">
        <w:rPr>
          <w:i/>
        </w:rPr>
        <w:t>Canadian Journal of Fisheries and Aquatic Sciences, 72</w:t>
      </w:r>
      <w:r w:rsidRPr="009310CF">
        <w:t>(9), 1390-1397. doi:10.1139/cjfas-2015-0007</w:t>
      </w:r>
    </w:p>
    <w:p w14:paraId="3368F003" w14:textId="77777777" w:rsidR="009310CF" w:rsidRPr="009310CF" w:rsidRDefault="009310CF" w:rsidP="009310CF">
      <w:pPr>
        <w:pStyle w:val="EndNoteBibliography"/>
        <w:spacing w:after="0"/>
        <w:ind w:left="720" w:hanging="720"/>
      </w:pPr>
      <w:r w:rsidRPr="009310CF">
        <w:t xml:space="preserve">Van Der Maaten, L. (2014). Accelerating t-SNE using tree-based algorithms. </w:t>
      </w:r>
      <w:r w:rsidRPr="009310CF">
        <w:rPr>
          <w:i/>
        </w:rPr>
        <w:t>Journal of machine learning research, 15</w:t>
      </w:r>
      <w:r w:rsidRPr="009310CF">
        <w:t xml:space="preserve">(1), 3221-3245. </w:t>
      </w:r>
    </w:p>
    <w:p w14:paraId="6AE0A8EB" w14:textId="77777777" w:rsidR="009310CF" w:rsidRPr="009310CF" w:rsidRDefault="009310CF" w:rsidP="009310CF">
      <w:pPr>
        <w:pStyle w:val="EndNoteBibliography"/>
        <w:ind w:left="720" w:hanging="720"/>
      </w:pPr>
      <w:r w:rsidRPr="009310CF">
        <w:t xml:space="preserve">van der Maaten, L., &amp; Hinton, G. (2012). Visualizing non-metric similarities in multiple maps. </w:t>
      </w:r>
      <w:r w:rsidRPr="009310CF">
        <w:rPr>
          <w:i/>
        </w:rPr>
        <w:t>Machine Learning, 87</w:t>
      </w:r>
      <w:r w:rsidRPr="009310CF">
        <w:t>(1), 33-55. doi:10.1007/s10994-011-5273-4</w:t>
      </w:r>
    </w:p>
    <w:p w14:paraId="41DE5F28" w14:textId="02963DEC" w:rsidR="00223E9F" w:rsidRPr="00687E52" w:rsidRDefault="00687E52">
      <w:r>
        <w:fldChar w:fldCharType="end"/>
      </w:r>
    </w:p>
    <w:sectPr w:rsidR="00223E9F" w:rsidRPr="00687E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emstrom" w:date="2018-03-26T15:12:00Z" w:initials="H">
    <w:p w14:paraId="01A25DEE" w14:textId="77777777" w:rsidR="005075D5" w:rsidRDefault="005075D5">
      <w:pPr>
        <w:pStyle w:val="CommentText"/>
      </w:pPr>
      <w:r>
        <w:rPr>
          <w:rStyle w:val="CommentReference"/>
        </w:rPr>
        <w:annotationRef/>
      </w:r>
      <w:r>
        <w:t>Frasier river paper.</w:t>
      </w:r>
    </w:p>
  </w:comment>
  <w:comment w:id="2" w:author="Hemstrom" w:date="2018-03-28T15:32:00Z" w:initials="H">
    <w:p w14:paraId="7254F473" w14:textId="778017B1" w:rsidR="00322B93" w:rsidRDefault="00322B93">
      <w:pPr>
        <w:pStyle w:val="CommentText"/>
      </w:pPr>
      <w:r>
        <w:rPr>
          <w:rStyle w:val="CommentReference"/>
        </w:rPr>
        <w:annotationRef/>
      </w:r>
      <w:r>
        <w:t>Training data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A25DEE" w15:done="0"/>
  <w15:commentEx w15:paraId="7254F4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mstrom">
    <w15:presenceInfo w15:providerId="None" w15:userId="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2 autho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Current_Library&lt;record-ids&gt;&lt;item&gt;3637&lt;/item&gt;&lt;item&gt;3691&lt;/item&gt;&lt;item&gt;3706&lt;/item&gt;&lt;item&gt;3707&lt;/item&gt;&lt;item&gt;3708&lt;/item&gt;&lt;item&gt;3709&lt;/item&gt;&lt;item&gt;3710&lt;/item&gt;&lt;item&gt;3711&lt;/item&gt;&lt;/record-ids&gt;&lt;/item&gt;&lt;/Libraries&gt;"/>
  </w:docVars>
  <w:rsids>
    <w:rsidRoot w:val="00223E9F"/>
    <w:rsid w:val="00041024"/>
    <w:rsid w:val="000549FE"/>
    <w:rsid w:val="000711E2"/>
    <w:rsid w:val="000949CF"/>
    <w:rsid w:val="00095183"/>
    <w:rsid w:val="0009725D"/>
    <w:rsid w:val="000A2A00"/>
    <w:rsid w:val="000B060C"/>
    <w:rsid w:val="000B2D5C"/>
    <w:rsid w:val="000B7FF4"/>
    <w:rsid w:val="000D0092"/>
    <w:rsid w:val="000D34D0"/>
    <w:rsid w:val="000D57A9"/>
    <w:rsid w:val="000D6067"/>
    <w:rsid w:val="000E7241"/>
    <w:rsid w:val="00100DCE"/>
    <w:rsid w:val="00101C75"/>
    <w:rsid w:val="00121BFE"/>
    <w:rsid w:val="00130D71"/>
    <w:rsid w:val="001325C5"/>
    <w:rsid w:val="00144EAC"/>
    <w:rsid w:val="00157DD8"/>
    <w:rsid w:val="00166109"/>
    <w:rsid w:val="00167473"/>
    <w:rsid w:val="001759FA"/>
    <w:rsid w:val="00195D9C"/>
    <w:rsid w:val="001A546E"/>
    <w:rsid w:val="001A79BD"/>
    <w:rsid w:val="001D463E"/>
    <w:rsid w:val="001D64B7"/>
    <w:rsid w:val="001F18D5"/>
    <w:rsid w:val="001F4113"/>
    <w:rsid w:val="001F54FD"/>
    <w:rsid w:val="00223E9F"/>
    <w:rsid w:val="00227544"/>
    <w:rsid w:val="00230242"/>
    <w:rsid w:val="00247127"/>
    <w:rsid w:val="00257FAA"/>
    <w:rsid w:val="00274FE2"/>
    <w:rsid w:val="0027776D"/>
    <w:rsid w:val="00277E9C"/>
    <w:rsid w:val="0028746C"/>
    <w:rsid w:val="00294945"/>
    <w:rsid w:val="002A377A"/>
    <w:rsid w:val="002B6C2D"/>
    <w:rsid w:val="002C6E66"/>
    <w:rsid w:val="002E43A3"/>
    <w:rsid w:val="002E4B26"/>
    <w:rsid w:val="002F0898"/>
    <w:rsid w:val="003032FB"/>
    <w:rsid w:val="00306BB1"/>
    <w:rsid w:val="00307DBB"/>
    <w:rsid w:val="00322B93"/>
    <w:rsid w:val="00332036"/>
    <w:rsid w:val="003327AF"/>
    <w:rsid w:val="00343147"/>
    <w:rsid w:val="00345192"/>
    <w:rsid w:val="00360F86"/>
    <w:rsid w:val="00372058"/>
    <w:rsid w:val="0038518D"/>
    <w:rsid w:val="00397599"/>
    <w:rsid w:val="003B06D9"/>
    <w:rsid w:val="003B14DD"/>
    <w:rsid w:val="003B4773"/>
    <w:rsid w:val="003C4643"/>
    <w:rsid w:val="003E1A40"/>
    <w:rsid w:val="003F5089"/>
    <w:rsid w:val="00425E05"/>
    <w:rsid w:val="00426594"/>
    <w:rsid w:val="0043468A"/>
    <w:rsid w:val="00455363"/>
    <w:rsid w:val="004644FF"/>
    <w:rsid w:val="0047549B"/>
    <w:rsid w:val="004A15BB"/>
    <w:rsid w:val="004F3537"/>
    <w:rsid w:val="005075D5"/>
    <w:rsid w:val="00513BFF"/>
    <w:rsid w:val="0052655F"/>
    <w:rsid w:val="00547A9C"/>
    <w:rsid w:val="00570AD8"/>
    <w:rsid w:val="00573627"/>
    <w:rsid w:val="00576500"/>
    <w:rsid w:val="005A329F"/>
    <w:rsid w:val="005B7148"/>
    <w:rsid w:val="005C61E1"/>
    <w:rsid w:val="005C6FD2"/>
    <w:rsid w:val="005C75A8"/>
    <w:rsid w:val="005E4B26"/>
    <w:rsid w:val="005F2D70"/>
    <w:rsid w:val="006363FC"/>
    <w:rsid w:val="00637FAC"/>
    <w:rsid w:val="0064381E"/>
    <w:rsid w:val="006741A7"/>
    <w:rsid w:val="0068019A"/>
    <w:rsid w:val="006855DE"/>
    <w:rsid w:val="00686262"/>
    <w:rsid w:val="00687E52"/>
    <w:rsid w:val="006C61E9"/>
    <w:rsid w:val="006C6485"/>
    <w:rsid w:val="006D6CFB"/>
    <w:rsid w:val="006F3474"/>
    <w:rsid w:val="0070686F"/>
    <w:rsid w:val="007763EC"/>
    <w:rsid w:val="00796861"/>
    <w:rsid w:val="00803A98"/>
    <w:rsid w:val="00811CAE"/>
    <w:rsid w:val="008276D2"/>
    <w:rsid w:val="0083468D"/>
    <w:rsid w:val="008A052E"/>
    <w:rsid w:val="008A48CC"/>
    <w:rsid w:val="008A6808"/>
    <w:rsid w:val="008C16C9"/>
    <w:rsid w:val="008D1F80"/>
    <w:rsid w:val="008E3F44"/>
    <w:rsid w:val="008F241E"/>
    <w:rsid w:val="008F2C5C"/>
    <w:rsid w:val="00902B83"/>
    <w:rsid w:val="0091130F"/>
    <w:rsid w:val="00912B08"/>
    <w:rsid w:val="009270CE"/>
    <w:rsid w:val="009310CF"/>
    <w:rsid w:val="00934E40"/>
    <w:rsid w:val="00945C30"/>
    <w:rsid w:val="00955EE1"/>
    <w:rsid w:val="00970F55"/>
    <w:rsid w:val="00992B8C"/>
    <w:rsid w:val="00995E17"/>
    <w:rsid w:val="009A3CE8"/>
    <w:rsid w:val="009C4FE8"/>
    <w:rsid w:val="00A00566"/>
    <w:rsid w:val="00A13961"/>
    <w:rsid w:val="00A5721E"/>
    <w:rsid w:val="00A630B4"/>
    <w:rsid w:val="00A6400E"/>
    <w:rsid w:val="00A902B7"/>
    <w:rsid w:val="00AA40D9"/>
    <w:rsid w:val="00AB00E9"/>
    <w:rsid w:val="00AD0B73"/>
    <w:rsid w:val="00AE2EC0"/>
    <w:rsid w:val="00AF425F"/>
    <w:rsid w:val="00B01225"/>
    <w:rsid w:val="00B02179"/>
    <w:rsid w:val="00B21E41"/>
    <w:rsid w:val="00B263E4"/>
    <w:rsid w:val="00B34482"/>
    <w:rsid w:val="00B51D2B"/>
    <w:rsid w:val="00B56F2B"/>
    <w:rsid w:val="00B57F36"/>
    <w:rsid w:val="00B6589C"/>
    <w:rsid w:val="00B818BF"/>
    <w:rsid w:val="00B93574"/>
    <w:rsid w:val="00BA0EAA"/>
    <w:rsid w:val="00BA7557"/>
    <w:rsid w:val="00BD41F6"/>
    <w:rsid w:val="00C116CF"/>
    <w:rsid w:val="00C20E7A"/>
    <w:rsid w:val="00C23C37"/>
    <w:rsid w:val="00C25BCB"/>
    <w:rsid w:val="00C40F07"/>
    <w:rsid w:val="00C465EC"/>
    <w:rsid w:val="00C4683C"/>
    <w:rsid w:val="00C57189"/>
    <w:rsid w:val="00CD0A63"/>
    <w:rsid w:val="00CF2C49"/>
    <w:rsid w:val="00CF6457"/>
    <w:rsid w:val="00D24F06"/>
    <w:rsid w:val="00D43C46"/>
    <w:rsid w:val="00D50C10"/>
    <w:rsid w:val="00D75D7F"/>
    <w:rsid w:val="00D86517"/>
    <w:rsid w:val="00DA020A"/>
    <w:rsid w:val="00DA5B9B"/>
    <w:rsid w:val="00DA73FA"/>
    <w:rsid w:val="00DC610B"/>
    <w:rsid w:val="00DE4526"/>
    <w:rsid w:val="00DF1536"/>
    <w:rsid w:val="00E07AD6"/>
    <w:rsid w:val="00E345EB"/>
    <w:rsid w:val="00E42FCB"/>
    <w:rsid w:val="00E61B6D"/>
    <w:rsid w:val="00E714E1"/>
    <w:rsid w:val="00E71EBF"/>
    <w:rsid w:val="00E76A48"/>
    <w:rsid w:val="00E80ABD"/>
    <w:rsid w:val="00E91506"/>
    <w:rsid w:val="00EA283D"/>
    <w:rsid w:val="00EA3170"/>
    <w:rsid w:val="00EB5CE1"/>
    <w:rsid w:val="00EC4F59"/>
    <w:rsid w:val="00ED7962"/>
    <w:rsid w:val="00EF7ECF"/>
    <w:rsid w:val="00F3323E"/>
    <w:rsid w:val="00F769F1"/>
    <w:rsid w:val="00FA6716"/>
    <w:rsid w:val="00FB00E4"/>
    <w:rsid w:val="00FC68FB"/>
    <w:rsid w:val="00FD11B8"/>
    <w:rsid w:val="00FD4079"/>
    <w:rsid w:val="00FF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840E"/>
  <w15:chartTrackingRefBased/>
  <w15:docId w15:val="{0AC02C64-F540-4452-978B-2087B9A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83C"/>
    <w:pPr>
      <w:spacing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687E52"/>
  </w:style>
  <w:style w:type="paragraph" w:customStyle="1" w:styleId="EndNoteBibliographyTitle">
    <w:name w:val="EndNote Bibliography Title"/>
    <w:basedOn w:val="Normal"/>
    <w:link w:val="EndNoteBibliographyTitleChar"/>
    <w:rsid w:val="00687E5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687E52"/>
    <w:rPr>
      <w:rFonts w:ascii="Times New Roman" w:hAnsi="Times New Roman" w:cs="Times New Roman"/>
      <w:noProof/>
      <w:sz w:val="24"/>
    </w:rPr>
  </w:style>
  <w:style w:type="paragraph" w:customStyle="1" w:styleId="EndNoteBibliography">
    <w:name w:val="EndNote Bibliography"/>
    <w:basedOn w:val="Normal"/>
    <w:link w:val="EndNoteBibliographyChar"/>
    <w:rsid w:val="00687E52"/>
    <w:pPr>
      <w:spacing w:line="240" w:lineRule="auto"/>
    </w:pPr>
    <w:rPr>
      <w:rFonts w:cs="Times New Roman"/>
      <w:noProof/>
    </w:rPr>
  </w:style>
  <w:style w:type="character" w:customStyle="1" w:styleId="EndNoteBibliographyChar">
    <w:name w:val="EndNote Bibliography Char"/>
    <w:basedOn w:val="DefaultParagraphFont"/>
    <w:link w:val="EndNoteBibliography"/>
    <w:rsid w:val="00687E52"/>
    <w:rPr>
      <w:rFonts w:ascii="Times New Roman" w:hAnsi="Times New Roman" w:cs="Times New Roman"/>
      <w:noProof/>
      <w:sz w:val="24"/>
    </w:rPr>
  </w:style>
  <w:style w:type="character" w:styleId="CommentReference">
    <w:name w:val="annotation reference"/>
    <w:basedOn w:val="DefaultParagraphFont"/>
    <w:uiPriority w:val="99"/>
    <w:semiHidden/>
    <w:unhideWhenUsed/>
    <w:rsid w:val="005075D5"/>
    <w:rPr>
      <w:sz w:val="16"/>
      <w:szCs w:val="16"/>
    </w:rPr>
  </w:style>
  <w:style w:type="paragraph" w:styleId="CommentText">
    <w:name w:val="annotation text"/>
    <w:basedOn w:val="Normal"/>
    <w:link w:val="CommentTextChar"/>
    <w:uiPriority w:val="99"/>
    <w:semiHidden/>
    <w:unhideWhenUsed/>
    <w:rsid w:val="005075D5"/>
    <w:pPr>
      <w:spacing w:line="240" w:lineRule="auto"/>
    </w:pPr>
    <w:rPr>
      <w:sz w:val="20"/>
      <w:szCs w:val="20"/>
    </w:rPr>
  </w:style>
  <w:style w:type="character" w:customStyle="1" w:styleId="CommentTextChar">
    <w:name w:val="Comment Text Char"/>
    <w:basedOn w:val="DefaultParagraphFont"/>
    <w:link w:val="CommentText"/>
    <w:uiPriority w:val="99"/>
    <w:semiHidden/>
    <w:rsid w:val="005075D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075D5"/>
    <w:rPr>
      <w:b/>
      <w:bCs/>
    </w:rPr>
  </w:style>
  <w:style w:type="character" w:customStyle="1" w:styleId="CommentSubjectChar">
    <w:name w:val="Comment Subject Char"/>
    <w:basedOn w:val="CommentTextChar"/>
    <w:link w:val="CommentSubject"/>
    <w:uiPriority w:val="99"/>
    <w:semiHidden/>
    <w:rsid w:val="005075D5"/>
    <w:rPr>
      <w:rFonts w:ascii="Times New Roman" w:hAnsi="Times New Roman"/>
      <w:b/>
      <w:bCs/>
      <w:sz w:val="20"/>
      <w:szCs w:val="20"/>
    </w:rPr>
  </w:style>
  <w:style w:type="paragraph" w:styleId="BalloonText">
    <w:name w:val="Balloon Text"/>
    <w:basedOn w:val="Normal"/>
    <w:link w:val="BalloonTextChar"/>
    <w:uiPriority w:val="99"/>
    <w:semiHidden/>
    <w:unhideWhenUsed/>
    <w:rsid w:val="00507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5D5"/>
    <w:rPr>
      <w:rFonts w:ascii="Segoe UI" w:hAnsi="Segoe UI" w:cs="Segoe UI"/>
      <w:sz w:val="18"/>
      <w:szCs w:val="18"/>
    </w:rPr>
  </w:style>
  <w:style w:type="character" w:styleId="PlaceholderText">
    <w:name w:val="Placeholder Text"/>
    <w:basedOn w:val="DefaultParagraphFont"/>
    <w:uiPriority w:val="99"/>
    <w:semiHidden/>
    <w:rsid w:val="00BA0EAA"/>
    <w:rPr>
      <w:color w:val="808080"/>
    </w:rPr>
  </w:style>
  <w:style w:type="character" w:styleId="Hyperlink">
    <w:name w:val="Hyperlink"/>
    <w:basedOn w:val="DefaultParagraphFont"/>
    <w:uiPriority w:val="99"/>
    <w:unhideWhenUsed/>
    <w:rsid w:val="003E1A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7661">
      <w:bodyDiv w:val="1"/>
      <w:marLeft w:val="0"/>
      <w:marRight w:val="0"/>
      <w:marTop w:val="0"/>
      <w:marBottom w:val="0"/>
      <w:divBdr>
        <w:top w:val="none" w:sz="0" w:space="0" w:color="auto"/>
        <w:left w:val="none" w:sz="0" w:space="0" w:color="auto"/>
        <w:bottom w:val="none" w:sz="0" w:space="0" w:color="auto"/>
        <w:right w:val="none" w:sz="0" w:space="0" w:color="auto"/>
      </w:divBdr>
    </w:div>
    <w:div w:id="112528029">
      <w:bodyDiv w:val="1"/>
      <w:marLeft w:val="0"/>
      <w:marRight w:val="0"/>
      <w:marTop w:val="0"/>
      <w:marBottom w:val="0"/>
      <w:divBdr>
        <w:top w:val="none" w:sz="0" w:space="0" w:color="auto"/>
        <w:left w:val="none" w:sz="0" w:space="0" w:color="auto"/>
        <w:bottom w:val="none" w:sz="0" w:space="0" w:color="auto"/>
        <w:right w:val="none" w:sz="0" w:space="0" w:color="auto"/>
      </w:divBdr>
    </w:div>
    <w:div w:id="217590614">
      <w:bodyDiv w:val="1"/>
      <w:marLeft w:val="0"/>
      <w:marRight w:val="0"/>
      <w:marTop w:val="0"/>
      <w:marBottom w:val="0"/>
      <w:divBdr>
        <w:top w:val="none" w:sz="0" w:space="0" w:color="auto"/>
        <w:left w:val="none" w:sz="0" w:space="0" w:color="auto"/>
        <w:bottom w:val="none" w:sz="0" w:space="0" w:color="auto"/>
        <w:right w:val="none" w:sz="0" w:space="0" w:color="auto"/>
      </w:divBdr>
    </w:div>
    <w:div w:id="7483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dc:creator>
  <cp:keywords/>
  <dc:description/>
  <cp:lastModifiedBy>Hemstrom</cp:lastModifiedBy>
  <cp:revision>7</cp:revision>
  <dcterms:created xsi:type="dcterms:W3CDTF">2018-03-26T21:21:00Z</dcterms:created>
  <dcterms:modified xsi:type="dcterms:W3CDTF">2018-04-03T22:55:00Z</dcterms:modified>
</cp:coreProperties>
</file>