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Six Feet Handoff</w:t>
      </w:r>
    </w:p>
    <w:p>
      <w:pPr/>
      <w:r>
        <w:t xml:space="preserve">Oct 28, 2026</w:t>
      </w:r>
      <w:r>
        <w:t xml:space="preserve"> · </w:t>
      </w:r>
      <w:r>
        <w:t xml:space="preserve">@dreammnin</w:t>
      </w:r>
    </w:p>
    <w:p>
      <w:pPr>
        <w:pStyle w:val="Heading2"/>
      </w:pPr>
      <w:r>
        <w:t xml:space="preserve">Project</w:t>
      </w:r>
    </w:p>
    <w:p>
      <w:pPr/>
      <w:r>
        <w:t xml:space="preserve">Six Feet is a funeral marketplace launching in Nigeria and Ireland, then the UK. Planning is done and nothing has been built yet. The developer (the owner of this doc) is building it for the Six Feet business and will present the roadmap to non-technical stakeholders.</w:t>
      </w:r>
    </w:p>
    <w:p>
      <w:pPr>
        <w:pStyle w:val="ListParagraph"/>
        <w:numPr>
          <w:ilvl w:val="0"/>
          <w:numId w:val="2"/>
        </w:numPr>
      </w:pPr>
      <w:r>
        <w:rPr>
          <w:b/>
        </w:rPr>
        <w:t xml:space="preserve">What it is:</w:t>
      </w:r>
      <w:r>
        <w:t xml:space="preserve"> families find, compare, book and pay verified funeral vendors in one place. Six Feet owns no inventory and earns a commission.</w:t>
      </w:r>
    </w:p>
    <w:p>
      <w:pPr>
        <w:pStyle w:val="ListParagraph"/>
        <w:numPr>
          <w:ilvl w:val="0"/>
          <w:numId w:val="2"/>
        </w:numPr>
      </w:pPr>
      <w:r>
        <w:rPr>
          <w:b/>
        </w:rPr>
        <w:t xml:space="preserve">Main products:</w:t>
      </w:r>
      <w:r>
        <w:t xml:space="preserve"> the local marketplace, crowdfunding and savings. Packages, repatriation, death notices and memorials are also in scope.</w:t>
      </w:r>
    </w:p>
    <w:p>
      <w:pPr>
        <w:pStyle w:val="ListParagraph"/>
        <w:numPr>
          <w:ilvl w:val="0"/>
          <w:numId w:val="2"/>
        </w:numPr>
      </w:pPr>
      <w:r>
        <w:rPr>
          <w:b/>
        </w:rPr>
        <w:t xml:space="preserve">Sources:</w:t>
      </w:r>
      <w:r>
        <w:t xml:space="preserve"> the client's developer brief (15 Oct 2026) and a 174-item feature checklist. An older feature list (breakdown.txt) is replaced by the brief.</w:t>
      </w:r>
    </w:p>
    <w:p>
      <w:pPr>
        <w:pStyle w:val="ListParagraph"/>
        <w:numPr>
          <w:ilvl w:val="0"/>
          <w:numId w:val="2"/>
        </w:numPr>
      </w:pPr>
      <w:r>
        <w:rPr>
          <w:b/>
        </w:rPr>
        <w:t xml:space="preserve">Where things stand:</w:t>
      </w:r>
      <w:r>
        <w:t xml:space="preserve"> stack, services, roadmap and pricing are agreed. Payment-provider confirmations, the savings partner and legal reviews are still open.</w:t>
      </w:r>
    </w:p>
    <w:p>
      <w:pPr>
        <w:pStyle w:val="Heading2"/>
      </w:pPr>
      <w:r>
        <w:t xml:space="preserve">Decision log</w:t>
      </w:r>
    </w:p>
    <w:p>
      <w:pPr/>
      <w:r>
        <w:t xml:space="preserve">Newest first. The "Replaces" column records what was proposed or decided earlier and is no longer current.</w:t>
      </w:r>
    </w:p>
    <w:tbl>
      <w:tblPr>
        <w:tblStyle w:val="TableGrid"/>
        <w:tblW w:w="0" w:type="auto"/>
        <w:tblLayout w:type="fixed"/>
        <w:tblLook w:val="04A0" w:firstRow="1" w:lastRow="0" w:firstColumn="0" w:lastColumn="0" w:noHBand="0" w:noVBand="1"/>
      </w:tblPr>
      <w:tblGrid>
        <w:gridCol w:w="1463"/>
        <w:gridCol w:w="4920"/>
        <w:gridCol w:w="2977"/>
      </w:tblGrid>
      <w:tr>
        <w:trPr>
          <w:tblHeader/>
        </w:trPr>
        <w:tc>
          <w:tcPr>
            <w:tcW w:w="1463" w:type="dxa"/>
            <w:shd w:val="clear" w:color="auto" w:fill="F2F2F2"/>
          </w:tcPr>
          <w:p>
            <w:pPr/>
            <w:r>
              <w:t xml:space="preserve">Date</w:t>
            </w:r>
          </w:p>
        </w:tc>
        <w:tc>
          <w:tcPr>
            <w:tcW w:w="4920" w:type="dxa"/>
            <w:shd w:val="clear" w:color="auto" w:fill="F2F2F2"/>
          </w:tcPr>
          <w:p>
            <w:pPr/>
            <w:r>
              <w:t xml:space="preserve">Decision</w:t>
            </w:r>
          </w:p>
        </w:tc>
        <w:tc>
          <w:tcPr>
            <w:tcW w:w="2977" w:type="dxa"/>
            <w:shd w:val="clear" w:color="auto" w:fill="F2F2F2"/>
          </w:tcPr>
          <w:p>
            <w:pPr/>
            <w:r>
              <w:t xml:space="preserve">Replaces</w:t>
            </w:r>
          </w:p>
        </w:tc>
      </w:tr>
      <w:tr>
        <w:tc>
          <w:tcPr>
            <w:tcW w:w="1463" w:type="dxa"/>
          </w:tcPr>
          <w:p>
            <w:pPr/>
            <w:r>
              <w:t xml:space="preserve">28 Oct 2026</w:t>
            </w:r>
          </w:p>
        </w:tc>
        <w:tc>
          <w:tcPr>
            <w:tcW w:w="4920" w:type="dxa"/>
          </w:tcPr>
          <w:p>
            <w:pPr/>
            <w:r>
              <w:t xml:space="preserve">Added a "How the website works" flow to the roadmap doc: a family's 6 stages, each feature tagged with the step that delivers it</w:t>
            </w:r>
          </w:p>
        </w:tc>
        <w:tc>
          <w:tcPr>
            <w:tcW w:w="2977" w:type="dxa"/>
          </w:tcPr>
          <w:p>
            <w:pPr/>
            <w:r>
              <w:t xml:space="preserve">—</w:t>
            </w:r>
          </w:p>
        </w:tc>
      </w:tr>
      <w:tr>
        <w:tc>
          <w:tcPr>
            <w:tcW w:w="1463" w:type="dxa"/>
          </w:tcPr>
          <w:p>
            <w:pPr/>
            <w:r>
              <w:t xml:space="preserve">28 Oct 2026</w:t>
            </w:r>
          </w:p>
        </w:tc>
        <w:tc>
          <w:tcPr>
            <w:tcW w:w="4920" w:type="dxa"/>
          </w:tcPr>
          <w:p>
            <w:pPr/>
            <w:r>
              <w:t xml:space="preserve">Price for Steps 1–5 is ₦2,500,000, paid 20% / 10% / 20% / 50%, first bill when Step 1 is complete</w:t>
            </w:r>
          </w:p>
        </w:tc>
        <w:tc>
          <w:tcPr>
            <w:tcW w:w="2977" w:type="dxa"/>
          </w:tcPr>
          <w:p>
            <w:pPr/>
            <w:r>
              <w:t xml:space="preserve">—</w:t>
            </w:r>
          </w:p>
        </w:tc>
      </w:tr>
      <w:tr>
        <w:tc>
          <w:tcPr>
            <w:tcW w:w="1463" w:type="dxa"/>
          </w:tcPr>
          <w:p>
            <w:pPr/>
            <w:r>
              <w:t xml:space="preserve">28 Oct 2026</w:t>
            </w:r>
          </w:p>
        </w:tc>
        <w:tc>
          <w:tcPr>
            <w:tcW w:w="4920" w:type="dxa"/>
          </w:tcPr>
          <w:p>
            <w:pPr/>
            <w:r>
              <w:t xml:space="preserve">Roadmap is 5 steps: Design → Marketplace + packages → Crowdfunding → Repatriation + death notices + memorials → Savings</w:t>
            </w:r>
          </w:p>
        </w:tc>
        <w:tc>
          <w:tcPr>
            <w:tcW w:w="2977" w:type="dxa"/>
          </w:tcPr>
          <w:p>
            <w:pPr/>
            <w:r>
              <w:t xml:space="preserve">Earlier orderings, including the 7-stage list</w:t>
            </w:r>
          </w:p>
        </w:tc>
      </w:tr>
      <w:tr>
        <w:tc>
          <w:tcPr>
            <w:tcW w:w="1463" w:type="dxa"/>
          </w:tcPr>
          <w:p>
            <w:pPr/>
            <w:r>
              <w:t xml:space="preserve">28 Oct 2026</w:t>
            </w:r>
          </w:p>
        </w:tc>
        <w:tc>
          <w:tcPr>
            <w:tcW w:w="4920" w:type="dxa"/>
          </w:tcPr>
          <w:p>
            <w:pPr/>
            <w:r>
              <w:t xml:space="preserve">Comparison, gifts and subscriptions, and the mobile app go under Later</w:t>
            </w:r>
          </w:p>
        </w:tc>
        <w:tc>
          <w:tcPr>
            <w:tcW w:w="2977" w:type="dxa"/>
          </w:tcPr>
          <w:p>
            <w:pPr/>
            <w:r>
              <w:t xml:space="preserve">—</w:t>
            </w:r>
          </w:p>
        </w:tc>
      </w:tr>
      <w:tr>
        <w:tc>
          <w:tcPr>
            <w:tcW w:w="1463" w:type="dxa"/>
          </w:tcPr>
          <w:p>
            <w:pPr/>
            <w:r>
              <w:t xml:space="preserve">28 Oct 2026</w:t>
            </w:r>
          </w:p>
        </w:tc>
        <w:tc>
          <w:tcPr>
            <w:tcW w:w="4920" w:type="dxa"/>
          </w:tcPr>
          <w:p>
            <w:pPr/>
            <w:r>
              <w:t xml:space="preserve">Vendor growth tools (analytics, paid plans, vendor API), local languages and the UK launch removed from the roadmap</w:t>
            </w:r>
          </w:p>
        </w:tc>
        <w:tc>
          <w:tcPr>
            <w:tcW w:w="2977" w:type="dxa"/>
          </w:tcPr>
          <w:p>
            <w:pPr/>
            <w:r>
              <w:t xml:space="preserve">Growth stage that included them</w:t>
            </w:r>
          </w:p>
        </w:tc>
      </w:tr>
      <w:tr>
        <w:tc>
          <w:tcPr>
            <w:tcW w:w="1463" w:type="dxa"/>
          </w:tcPr>
          <w:p>
            <w:pPr/>
            <w:r>
              <w:t xml:space="preserve">28 Oct 2026</w:t>
            </w:r>
          </w:p>
        </w:tc>
        <w:tc>
          <w:tcPr>
            <w:tcW w:w="4920" w:type="dxa"/>
          </w:tcPr>
          <w:p>
            <w:pPr/>
            <w:r>
              <w:t xml:space="preserve">Step 1 is design only: design direction, wireframes, design system</w:t>
            </w:r>
          </w:p>
        </w:tc>
        <w:tc>
          <w:tcPr>
            <w:tcW w:w="2977" w:type="dxa"/>
          </w:tcPr>
          <w:p>
            <w:pPr/>
            <w:r>
              <w:t xml:space="preserve">Foundations milestone mixing design and setup</w:t>
            </w:r>
          </w:p>
        </w:tc>
      </w:tr>
      <w:tr>
        <w:tc>
          <w:tcPr>
            <w:tcW w:w="1463" w:type="dxa"/>
          </w:tcPr>
          <w:p>
            <w:pPr/>
            <w:r>
              <w:t xml:space="preserve">28 Oct 2026</w:t>
            </w:r>
          </w:p>
        </w:tc>
        <w:tc>
          <w:tcPr>
            <w:tcW w:w="4920" w:type="dxa"/>
          </w:tcPr>
          <w:p>
            <w:pPr/>
            <w:r>
              <w:t xml:space="preserve">Roadmap shared with non-technical people: no timeframes, no infrastructure or code terms</w:t>
            </w:r>
          </w:p>
        </w:tc>
        <w:tc>
          <w:tcPr>
            <w:tcW w:w="2977" w:type="dxa"/>
          </w:tcPr>
          <w:p>
            <w:pPr/>
            <w:r>
              <w:t xml:space="preserve">Week-by-week timeline on the plan page</w:t>
            </w:r>
          </w:p>
        </w:tc>
      </w:tr>
      <w:tr>
        <w:tc>
          <w:tcPr>
            <w:tcW w:w="1463" w:type="dxa"/>
          </w:tcPr>
          <w:p>
            <w:pPr/>
            <w:r>
              <w:t xml:space="preserve">28 Oct 2026</w:t>
            </w:r>
          </w:p>
        </w:tc>
        <w:tc>
          <w:tcPr>
            <w:tcW w:w="4920" w:type="dxa"/>
          </w:tcPr>
          <w:p>
            <w:pPr/>
            <w:r>
              <w:t xml:space="preserve">Everything in the checklist is in scope, broken into milestones, most important first</w:t>
            </w:r>
          </w:p>
        </w:tc>
        <w:tc>
          <w:tcPr>
            <w:tcW w:w="2977" w:type="dxa"/>
          </w:tcPr>
          <w:p>
            <w:pPr/>
            <w:r>
              <w:t xml:space="preserve">Brief's Phase 0–3 split</w:t>
            </w:r>
          </w:p>
        </w:tc>
      </w:tr>
      <w:tr>
        <w:tc>
          <w:tcPr>
            <w:tcW w:w="1463" w:type="dxa"/>
          </w:tcPr>
          <w:p>
            <w:pPr/>
            <w:r>
              <w:t xml:space="preserve">28 Oct 2026</w:t>
            </w:r>
          </w:p>
        </w:tc>
        <w:tc>
          <w:tcPr>
            <w:tcW w:w="4920" w:type="dxa"/>
          </w:tcPr>
          <w:p>
            <w:pPr/>
            <w:r>
              <w:t xml:space="preserve">Main products are the local marketplace, crowdfunding and savings</w:t>
            </w:r>
          </w:p>
        </w:tc>
        <w:tc>
          <w:tcPr>
            <w:tcW w:w="2977" w:type="dxa"/>
          </w:tcPr>
          <w:p>
            <w:pPr/>
            <w:r>
              <w:t xml:space="preserve">Brief calling repatriation the key differentiator</w:t>
            </w:r>
          </w:p>
        </w:tc>
      </w:tr>
      <w:tr>
        <w:tc>
          <w:tcPr>
            <w:tcW w:w="1463" w:type="dxa"/>
          </w:tcPr>
          <w:p>
            <w:pPr/>
            <w:r>
              <w:t xml:space="preserve">28 Oct 2026</w:t>
            </w:r>
          </w:p>
        </w:tc>
        <w:tc>
          <w:tcPr>
            <w:tcW w:w="4920" w:type="dxa"/>
          </w:tcPr>
          <w:p>
            <w:pPr/>
            <w:r>
              <w:t xml:space="preserve">Launch Nigeria and Ireland first, then the UK and other countries</w:t>
            </w:r>
          </w:p>
        </w:tc>
        <w:tc>
          <w:tcPr>
            <w:tcW w:w="2977" w:type="dxa"/>
          </w:tcPr>
          <w:p>
            <w:pPr/>
            <w:r>
              <w:t xml:space="preserve">—</w:t>
            </w:r>
          </w:p>
        </w:tc>
      </w:tr>
      <w:tr>
        <w:tc>
          <w:tcPr>
            <w:tcW w:w="1463" w:type="dxa"/>
          </w:tcPr>
          <w:p>
            <w:pPr/>
            <w:r>
              <w:t xml:space="preserve">27 Oct 2026</w:t>
            </w:r>
          </w:p>
        </w:tc>
        <w:tc>
          <w:tcPr>
            <w:tcW w:w="4920" w:type="dxa"/>
          </w:tcPr>
          <w:p>
            <w:pPr/>
            <w:r>
              <w:t xml:space="preserve">No separate edge layer: CloudFront in front of S3 meets the brief's CDN requirement</w:t>
            </w:r>
          </w:p>
        </w:tc>
        <w:tc>
          <w:tcPr>
            <w:tcW w:w="2977" w:type="dxa"/>
          </w:tcPr>
          <w:p>
            <w:pPr/>
            <w:r>
              <w:t xml:space="preserve">Cloudflare</w:t>
            </w:r>
          </w:p>
        </w:tc>
      </w:tr>
      <w:tr>
        <w:tc>
          <w:tcPr>
            <w:tcW w:w="1463" w:type="dxa"/>
          </w:tcPr>
          <w:p>
            <w:pPr/>
            <w:r>
              <w:t xml:space="preserve">27 Oct 2026</w:t>
            </w:r>
          </w:p>
        </w:tc>
        <w:tc>
          <w:tcPr>
            <w:tcW w:w="4920" w:type="dxa"/>
          </w:tcPr>
          <w:p>
            <w:pPr/>
            <w:r>
              <w:t xml:space="preserve">Both payment providers: Paystack for Nigerian vendors, Stripe Connect for Irish vendors. The vendor's country picks the provider</w:t>
            </w:r>
          </w:p>
        </w:tc>
        <w:tc>
          <w:tcPr>
            <w:tcW w:w="2977" w:type="dxa"/>
          </w:tcPr>
          <w:p>
            <w:pPr/>
            <w:r>
              <w:t xml:space="preserve">Using one provider everywhere</w:t>
            </w:r>
          </w:p>
        </w:tc>
      </w:tr>
      <w:tr>
        <w:tc>
          <w:tcPr>
            <w:tcW w:w="1463" w:type="dxa"/>
          </w:tcPr>
          <w:p>
            <w:pPr/>
            <w:r>
              <w:t xml:space="preserve">27 Oct 2026</w:t>
            </w:r>
          </w:p>
        </w:tc>
        <w:tc>
          <w:tcPr>
            <w:tcW w:w="4920" w:type="dxa"/>
          </w:tcPr>
          <w:p>
            <w:pPr/>
            <w:r>
              <w:t xml:space="preserve">Laravel + Inertia + React with server rendering, and as few outside services as possible</w:t>
            </w:r>
          </w:p>
        </w:tc>
        <w:tc>
          <w:tcPr>
            <w:tcW w:w="2977" w:type="dxa"/>
          </w:tcPr>
          <w:p>
            <w:pPr/>
            <w:r>
              <w:t xml:space="preserve">Blade/Livewire, Filament, Redis, Reverb, Meilisearch, Chatwoot, Klaro, ClamAV</w:t>
            </w:r>
          </w:p>
        </w:tc>
      </w:tr>
      <w:tr>
        <w:tc>
          <w:tcPr>
            <w:tcW w:w="1463" w:type="dxa"/>
          </w:tcPr>
          <w:p>
            <w:pPr/>
            <w:r>
              <w:t xml:space="preserve">27 Oct 2026</w:t>
            </w:r>
          </w:p>
        </w:tc>
        <w:tc>
          <w:tcPr>
            <w:tcW w:w="4920" w:type="dxa"/>
          </w:tcPr>
          <w:p>
            <w:pPr/>
            <w:r>
              <w:t xml:space="preserve">Mobile app out of scope for now. Code stays API-ready so it can be added later</w:t>
            </w:r>
          </w:p>
        </w:tc>
        <w:tc>
          <w:tcPr>
            <w:tcW w:w="2977" w:type="dxa"/>
          </w:tcPr>
          <w:p>
            <w:pPr/>
            <w:r>
              <w:t xml:space="preserve">Brief's Phase 2 app</w:t>
            </w:r>
          </w:p>
        </w:tc>
      </w:tr>
      <w:tr>
        <w:tc>
          <w:tcPr>
            <w:tcW w:w="1463" w:type="dxa"/>
          </w:tcPr>
          <w:p>
            <w:pPr/>
            <w:r>
              <w:t xml:space="preserve">27 Oct 2026</w:t>
            </w:r>
          </w:p>
        </w:tc>
        <w:tc>
          <w:tcPr>
            <w:tcW w:w="4920" w:type="dxa"/>
          </w:tcPr>
          <w:p>
            <w:pPr/>
            <w:r>
              <w:t xml:space="preserve">Backend is Laravel</w:t>
            </w:r>
          </w:p>
        </w:tc>
        <w:tc>
          <w:tcPr>
            <w:tcW w:w="2977" w:type="dxa"/>
          </w:tcPr>
          <w:p>
            <w:pPr/>
            <w:r>
              <w:t xml:space="preserve">—</w:t>
            </w:r>
          </w:p>
        </w:tc>
      </w:tr>
    </w:tbl>
    <w:p>
      <w:pPr>
        <w:pStyle w:val="Heading2"/>
      </w:pPr>
      <w:r>
        <w:t xml:space="preserve">Product roadmap</w:t>
      </w:r>
    </w:p>
    <w:p>
      <w:pPr/>
      <w:r>
        <w:t xml:space="preserve">The roadmap has five steps. Each step ends with something families or vendors can use. The full wording is in the </w:t>
      </w:r>
      <w:hyperlink r:id="rId3" w:history="1">
        <w:r>
          <w:rPr>
            <w:rStyle w:val="Hyperlink"/>
          </w:rPr>
          <w:t xml:space="preserve">Six Feet Product Roadmap</w:t>
        </w:r>
      </w:hyperlink>
      <w:r>
        <w:t xml:space="preserve">.</w:t>
      </w:r>
    </w:p>
    <w:p>
      <w:pPr>
        <w:pStyle w:val="ListParagraph"/>
        <w:numPr>
          <w:ilvl w:val="0"/>
          <w:numId w:val="3"/>
        </w:numPr>
      </w:pPr>
      <w:r>
        <w:rPr>
          <w:b/>
        </w:rPr>
        <w:t xml:space="preserve">Design</w:t>
      </w:r>
      <w:r>
        <w:t xml:space="preserve">: design direction, wireframes, design system</w:t>
      </w:r>
    </w:p>
    <w:p>
      <w:pPr>
        <w:pStyle w:val="ListParagraph"/>
        <w:numPr>
          <w:ilvl w:val="0"/>
          <w:numId w:val="3"/>
        </w:numPr>
      </w:pPr>
      <w:r>
        <w:rPr>
          <w:b/>
        </w:rPr>
        <w:t xml:space="preserve">Local marketplace and packages (Nigeria + Ireland)</w:t>
      </w:r>
      <w:r>
        <w:t xml:space="preserve">: getting started, vendors join, vendor workspace, find a mortuary, funeral shop, vehicle hire, ready-made packages, diaspora and group packages, paying safely, family space, launch</w:t>
      </w:r>
    </w:p>
    <w:p>
      <w:pPr>
        <w:pStyle w:val="ListParagraph"/>
        <w:numPr>
          <w:ilvl w:val="0"/>
          <w:numId w:val="3"/>
        </w:numPr>
      </w:pPr>
      <w:r>
        <w:rPr>
          <w:b/>
        </w:rPr>
        <w:t xml:space="preserve">Crowdfunding</w:t>
      </w:r>
      <w:r>
        <w:t xml:space="preserve">: fundraising campaigns, trusted giving (verification, paying vendors from the campaign, spending report)</w:t>
      </w:r>
    </w:p>
    <w:p>
      <w:pPr>
        <w:pStyle w:val="ListParagraph"/>
        <w:numPr>
          <w:ilvl w:val="0"/>
          <w:numId w:val="3"/>
        </w:numPr>
      </w:pPr>
      <w:r>
        <w:rPr>
          <w:b/>
        </w:rPr>
        <w:t xml:space="preserve">Repatriation, death notices and memorials</w:t>
      </w:r>
      <w:r>
        <w:t xml:space="preserve">: bringing a loved one home, quotes and tracking, death notices, memorials</w:t>
      </w:r>
    </w:p>
    <w:p>
      <w:pPr>
        <w:pStyle w:val="ListParagraph"/>
        <w:numPr>
          <w:ilvl w:val="0"/>
          <w:numId w:val="3"/>
        </w:numPr>
      </w:pPr>
      <w:r>
        <w:rPr>
          <w:b/>
        </w:rPr>
        <w:t xml:space="preserve">Savings</w:t>
      </w:r>
      <w:r>
        <w:t xml:space="preserve">: funeral savings, using savings to pay vendors and lock prices. It goes live only once a licensed partner is signed.</w:t>
      </w:r>
    </w:p>
    <w:p>
      <w:pPr/>
      <w:r>
        <w:rPr>
          <w:b/>
        </w:rPr>
        <w:t xml:space="preserve">Later:</w:t>
      </w:r>
      <w:r>
        <w:t xml:space="preserve"> compare and plan, gifts and subscriptions, mobile app.</w:t>
      </w:r>
    </w:p>
    <w:p>
      <w:pPr/>
      <w:r>
        <w:rPr>
          <w:b/>
        </w:rPr>
        <w:t xml:space="preserve">Removed for now:</w:t>
      </w:r>
      <w:r>
        <w:t xml:space="preserve"> vendor growth tools, local languages, UK launch.</w:t>
      </w:r>
    </w:p>
    <w:p>
      <w:pPr/>
      <w:r>
        <w:rPr>
          <w:b/>
        </w:rPr>
        <w:t xml:space="preserve">Pricing:</w:t>
      </w:r>
      <w:r>
        <w:t xml:space="preserve"> ₦2,500,000 in total, paid in four parts.</w:t>
      </w:r>
    </w:p>
    <w:tbl>
      <w:tblPr>
        <w:tblStyle w:val="TableGrid"/>
        <w:tblW w:w="0" w:type="auto"/>
        <w:tblLayout w:type="fixed"/>
        <w:tblLook w:val="04A0" w:firstRow="1" w:lastRow="0" w:firstColumn="0" w:lastColumn="0" w:noHBand="0" w:noVBand="1"/>
      </w:tblPr>
      <w:tblGrid>
        <w:gridCol w:w="1748"/>
        <w:gridCol w:w="4090"/>
        <w:gridCol w:w="1257"/>
        <w:gridCol w:w="2263"/>
      </w:tblGrid>
      <w:tr>
        <w:trPr>
          <w:tblHeader/>
        </w:trPr>
        <w:tc>
          <w:tcPr>
            <w:tcW w:w="1748" w:type="dxa"/>
            <w:shd w:val="clear" w:color="auto" w:fill="F2F2F2"/>
          </w:tcPr>
          <w:p>
            <w:pPr/>
            <w:r>
              <w:t xml:space="preserve">Payment</w:t>
            </w:r>
          </w:p>
        </w:tc>
        <w:tc>
          <w:tcPr>
            <w:tcW w:w="4090" w:type="dxa"/>
            <w:shd w:val="clear" w:color="auto" w:fill="F2F2F2"/>
          </w:tcPr>
          <w:p>
            <w:pPr/>
            <w:r>
              <w:t xml:space="preserve">Due when</w:t>
            </w:r>
          </w:p>
        </w:tc>
        <w:tc>
          <w:tcPr>
            <w:tcW w:w="1257" w:type="dxa"/>
            <w:shd w:val="clear" w:color="auto" w:fill="F2F2F2"/>
          </w:tcPr>
          <w:p>
            <w:pPr/>
            <w:r>
              <w:t xml:space="preserve">Share</w:t>
            </w:r>
          </w:p>
        </w:tc>
        <w:tc>
          <w:tcPr>
            <w:tcW w:w="2263" w:type="dxa"/>
            <w:shd w:val="clear" w:color="auto" w:fill="F2F2F2"/>
          </w:tcPr>
          <w:p>
            <w:pPr/>
            <w:r>
              <w:t xml:space="preserve">Amount (₦)</w:t>
            </w:r>
          </w:p>
        </w:tc>
      </w:tr>
      <w:tr>
        <w:tc>
          <w:tcPr>
            <w:tcW w:w="1748" w:type="dxa"/>
          </w:tcPr>
          <w:p>
            <w:pPr/>
            <w:r>
              <w:t xml:space="preserve">1</w:t>
            </w:r>
          </w:p>
        </w:tc>
        <w:tc>
          <w:tcPr>
            <w:tcW w:w="4090" w:type="dxa"/>
          </w:tcPr>
          <w:p>
            <w:pPr/>
            <w:r>
              <w:t xml:space="preserve">Step 1 complete</w:t>
            </w:r>
          </w:p>
        </w:tc>
        <w:tc>
          <w:tcPr>
            <w:tcW w:w="1257" w:type="dxa"/>
          </w:tcPr>
          <w:p>
            <w:pPr/>
            <w:r>
              <w:t xml:space="preserve">20%</w:t>
            </w:r>
          </w:p>
        </w:tc>
        <w:tc>
          <w:tcPr>
            <w:tcW w:w="2263" w:type="dxa"/>
          </w:tcPr>
          <w:p>
            <w:pPr/>
            <w:r>
              <w:t xml:space="preserve">500,000</w:t>
            </w:r>
          </w:p>
        </w:tc>
      </w:tr>
      <w:tr>
        <w:tc>
          <w:tcPr>
            <w:tcW w:w="1748" w:type="dxa"/>
          </w:tcPr>
          <w:p>
            <w:pPr/>
            <w:r>
              <w:t xml:space="preserve">2</w:t>
            </w:r>
          </w:p>
        </w:tc>
        <w:tc>
          <w:tcPr>
            <w:tcW w:w="4090" w:type="dxa"/>
          </w:tcPr>
          <w:p>
            <w:pPr/>
            <w:r>
              <w:t xml:space="preserve">Step 2 complete</w:t>
            </w:r>
          </w:p>
        </w:tc>
        <w:tc>
          <w:tcPr>
            <w:tcW w:w="1257" w:type="dxa"/>
          </w:tcPr>
          <w:p>
            <w:pPr/>
            <w:r>
              <w:t xml:space="preserve">10%</w:t>
            </w:r>
          </w:p>
        </w:tc>
        <w:tc>
          <w:tcPr>
            <w:tcW w:w="2263" w:type="dxa"/>
          </w:tcPr>
          <w:p>
            <w:pPr/>
            <w:r>
              <w:t xml:space="preserve">250,000</w:t>
            </w:r>
          </w:p>
        </w:tc>
      </w:tr>
      <w:tr>
        <w:tc>
          <w:tcPr>
            <w:tcW w:w="1748" w:type="dxa"/>
          </w:tcPr>
          <w:p>
            <w:pPr/>
            <w:r>
              <w:t xml:space="preserve">3</w:t>
            </w:r>
          </w:p>
        </w:tc>
        <w:tc>
          <w:tcPr>
            <w:tcW w:w="4090" w:type="dxa"/>
          </w:tcPr>
          <w:p>
            <w:pPr/>
            <w:r>
              <w:t xml:space="preserve">Step 3 complete</w:t>
            </w:r>
          </w:p>
        </w:tc>
        <w:tc>
          <w:tcPr>
            <w:tcW w:w="1257" w:type="dxa"/>
          </w:tcPr>
          <w:p>
            <w:pPr/>
            <w:r>
              <w:t xml:space="preserve">20%</w:t>
            </w:r>
          </w:p>
        </w:tc>
        <w:tc>
          <w:tcPr>
            <w:tcW w:w="2263" w:type="dxa"/>
          </w:tcPr>
          <w:p>
            <w:pPr/>
            <w:r>
              <w:t xml:space="preserve">500,000</w:t>
            </w:r>
          </w:p>
        </w:tc>
      </w:tr>
      <w:tr>
        <w:tc>
          <w:tcPr>
            <w:tcW w:w="1748" w:type="dxa"/>
          </w:tcPr>
          <w:p>
            <w:pPr/>
            <w:r>
              <w:t xml:space="preserve">4</w:t>
            </w:r>
          </w:p>
        </w:tc>
        <w:tc>
          <w:tcPr>
            <w:tcW w:w="4090" w:type="dxa"/>
          </w:tcPr>
          <w:p>
            <w:pPr/>
            <w:r>
              <w:t xml:space="preserve">Steps 4 and 5 complete</w:t>
            </w:r>
          </w:p>
        </w:tc>
        <w:tc>
          <w:tcPr>
            <w:tcW w:w="1257" w:type="dxa"/>
          </w:tcPr>
          <w:p>
            <w:pPr/>
            <w:r>
              <w:t xml:space="preserve">50%</w:t>
            </w:r>
          </w:p>
        </w:tc>
        <w:tc>
          <w:tcPr>
            <w:tcW w:w="2263" w:type="dxa"/>
          </w:tcPr>
          <w:p>
            <w:pPr/>
            <w:r>
              <w:t xml:space="preserve">1,250,000</w:t>
            </w:r>
          </w:p>
        </w:tc>
      </w:tr>
    </w:tbl>
    <w:p>
      <w:pPr/>
      <w:r>
        <w:t xml:space="preserve">Two assumptions need confirming: the currency is Naira, and the last 50% is tied to Steps 4 and 5 together.</w:t>
      </w:r>
    </w:p>
    <w:p>
      <w:pPr>
        <w:pStyle w:val="Heading2"/>
      </w:pPr>
      <w:r>
        <w:t xml:space="preserve">Tech stack and services</w:t>
      </w:r>
    </w:p>
    <w:p>
      <w:pPr/>
      <w:r>
        <w:t xml:space="preserve">One Laravel app with Inertia and React, rendered on the server, hosted in AWS Dublin and managed with Laravel Forge. The developer asked for as few outside services as possible, so each need below has one tool.</w:t>
      </w:r>
    </w:p>
    <w:tbl>
      <w:tblPr>
        <w:tblStyle w:val="TableGrid"/>
        <w:tblW w:w="0" w:type="auto"/>
        <w:tblLayout w:type="fixed"/>
        <w:tblLook w:val="04A0" w:firstRow="1" w:lastRow="0" w:firstColumn="0" w:lastColumn="0" w:noHBand="0" w:noVBand="1"/>
      </w:tblPr>
      <w:tblGrid>
        <w:gridCol w:w="1423"/>
        <w:gridCol w:w="3270"/>
        <w:gridCol w:w="4667"/>
      </w:tblGrid>
      <w:tr>
        <w:trPr>
          <w:tblHeader/>
        </w:trPr>
        <w:tc>
          <w:tcPr>
            <w:tcW w:w="1423" w:type="dxa"/>
            <w:shd w:val="clear" w:color="auto" w:fill="F2F2F2"/>
          </w:tcPr>
          <w:p>
            <w:pPr/>
            <w:r>
              <w:t xml:space="preserve">Need</w:t>
            </w:r>
          </w:p>
        </w:tc>
        <w:tc>
          <w:tcPr>
            <w:tcW w:w="3270" w:type="dxa"/>
            <w:shd w:val="clear" w:color="auto" w:fill="F2F2F2"/>
          </w:tcPr>
          <w:p>
            <w:pPr/>
            <w:r>
              <w:t xml:space="preserve">Agreed choice</w:t>
            </w:r>
          </w:p>
        </w:tc>
        <w:tc>
          <w:tcPr>
            <w:tcW w:w="4667" w:type="dxa"/>
            <w:shd w:val="clear" w:color="auto" w:fill="F2F2F2"/>
          </w:tcPr>
          <w:p>
            <w:pPr/>
            <w:r>
              <w:t xml:space="preserve">Notes</w:t>
            </w:r>
          </w:p>
        </w:tc>
      </w:tr>
      <w:tr>
        <w:tc>
          <w:tcPr>
            <w:tcW w:w="1423" w:type="dxa"/>
          </w:tcPr>
          <w:p>
            <w:pPr/>
            <w:r>
              <w:t xml:space="preserve">App</w:t>
            </w:r>
          </w:p>
        </w:tc>
        <w:tc>
          <w:tcPr>
            <w:tcW w:w="3270" w:type="dxa"/>
          </w:tcPr>
          <w:p>
            <w:pPr/>
            <w:r>
              <w:t xml:space="preserve">Laravel, Inertia + React, TypeScript, Tailwind, shadcn/ui</w:t>
            </w:r>
          </w:p>
        </w:tc>
        <w:tc>
          <w:tcPr>
            <w:tcW w:w="4667" w:type="dxa"/>
          </w:tcPr>
          <w:p>
            <w:pPr/>
            <w:r>
              <w:t xml:space="preserve">Official React starter kit. Inertia server rendering is required by the brief for search engines and slow phones</w:t>
            </w:r>
          </w:p>
        </w:tc>
      </w:tr>
      <w:tr>
        <w:tc>
          <w:tcPr>
            <w:tcW w:w="1423" w:type="dxa"/>
          </w:tcPr>
          <w:p>
            <w:pPr/>
            <w:r>
              <w:t xml:space="preserve">Admin and vendor dashboards</w:t>
            </w:r>
          </w:p>
        </w:tc>
        <w:tc>
          <w:tcPr>
            <w:tcW w:w="3270" w:type="dxa"/>
          </w:tcPr>
          <w:p>
            <w:pPr/>
            <w:r>
              <w:t xml:space="preserve">Same React app</w:t>
            </w:r>
          </w:p>
        </w:tc>
        <w:tc>
          <w:tcPr>
            <w:tcW w:w="4667" w:type="dxa"/>
          </w:tcPr>
          <w:p>
            <w:pPr/>
            <w:r>
              <w:t xml:space="preserve">No Filament</w:t>
            </w:r>
          </w:p>
        </w:tc>
      </w:tr>
      <w:tr>
        <w:tc>
          <w:tcPr>
            <w:tcW w:w="1423" w:type="dxa"/>
          </w:tcPr>
          <w:p>
            <w:pPr/>
            <w:r>
              <w:t xml:space="preserve">Database</w:t>
            </w:r>
          </w:p>
        </w:tc>
        <w:tc>
          <w:tcPr>
            <w:tcW w:w="3270" w:type="dxa"/>
          </w:tcPr>
          <w:p>
            <w:pPr/>
            <w:r>
              <w:t xml:space="preserve">RDS PostgreSQL 17 + PostGIS, </w:t>
            </w:r>
            <w:r>
              <w:rPr>
                <w:rStyle w:val="CodeChar"/>
              </w:rPr>
              <w:t xml:space="preserve">pg_trgm</w:t>
            </w:r>
          </w:p>
        </w:tc>
        <w:tc>
          <w:tcPr>
            <w:tcW w:w="4667" w:type="dxa"/>
          </w:tcPr>
          <w:p>
            <w:pPr/>
            <w:r>
              <w:t xml:space="preserve">Also holds cache, sessions and the job queue, so no Redis at launch</w:t>
            </w:r>
          </w:p>
        </w:tc>
      </w:tr>
      <w:tr>
        <w:tc>
          <w:tcPr>
            <w:tcW w:w="1423" w:type="dxa"/>
          </w:tcPr>
          <w:p>
            <w:pPr/>
            <w:r>
              <w:t xml:space="preserve">Web server</w:t>
            </w:r>
          </w:p>
        </w:tc>
        <w:tc>
          <w:tcPr>
            <w:tcW w:w="3270" w:type="dxa"/>
          </w:tcPr>
          <w:p>
            <w:pPr/>
            <w:r>
              <w:t xml:space="preserve">EC2 t4g.medium via Forge</w:t>
            </w:r>
          </w:p>
        </w:tc>
        <w:tc>
          <w:tcPr>
            <w:tcW w:w="4667" w:type="dxa"/>
          </w:tcPr>
          <w:p>
            <w:pPr/>
            <w:r>
              <w:t xml:space="preserve">Nginx, PHP 8.4-FPM, Node process for server rendering</w:t>
            </w:r>
          </w:p>
        </w:tc>
      </w:tr>
      <w:tr>
        <w:tc>
          <w:tcPr>
            <w:tcW w:w="1423" w:type="dxa"/>
          </w:tcPr>
          <w:p>
            <w:pPr/>
            <w:r>
              <w:t xml:space="preserve">Worker</w:t>
            </w:r>
          </w:p>
        </w:tc>
        <w:tc>
          <w:tcPr>
            <w:tcW w:w="3270" w:type="dxa"/>
          </w:tcPr>
          <w:p>
            <w:pPr/>
            <w:r>
              <w:t xml:space="preserve">EC2 t4g.small via Forge</w:t>
            </w:r>
          </w:p>
        </w:tc>
        <w:tc>
          <w:tcPr>
            <w:tcW w:w="4667" w:type="dxa"/>
          </w:tcPr>
          <w:p>
            <w:pPr/>
            <w:r>
              <w:t xml:space="preserve">Queue workers and the scheduler</w:t>
            </w:r>
          </w:p>
        </w:tc>
      </w:tr>
      <w:tr>
        <w:tc>
          <w:tcPr>
            <w:tcW w:w="1423" w:type="dxa"/>
          </w:tcPr>
          <w:p>
            <w:pPr/>
            <w:r>
              <w:t xml:space="preserve">Files</w:t>
            </w:r>
          </w:p>
        </w:tc>
        <w:tc>
          <w:tcPr>
            <w:tcW w:w="3270" w:type="dxa"/>
          </w:tcPr>
          <w:p>
            <w:pPr/>
            <w:r>
              <w:t xml:space="preserve">S3: </w:t>
            </w:r>
            <w:r>
              <w:rPr>
                <w:rStyle w:val="CodeChar"/>
              </w:rPr>
              <w:t xml:space="preserve">media</w:t>
            </w:r>
            <w:r>
              <w:t xml:space="preserve"> (public), </w:t>
            </w:r>
            <w:r>
              <w:rPr>
                <w:rStyle w:val="CodeChar"/>
              </w:rPr>
              <w:t xml:space="preserve">documents</w:t>
            </w:r>
            <w:r>
              <w:t xml:space="preserve"> (private, KMS), </w:t>
            </w:r>
            <w:r>
              <w:rPr>
                <w:rStyle w:val="CodeChar"/>
              </w:rPr>
              <w:t xml:space="preserve">quarantine</w:t>
            </w:r>
          </w:p>
        </w:tc>
        <w:tc>
          <w:tcPr>
            <w:tcW w:w="4667" w:type="dxa"/>
          </w:tcPr>
          <w:p>
            <w:pPr/>
            <w:r>
              <w:t xml:space="preserve">Documents opened only through Laravel with a 5-minute signed link, and every view is logged</w:t>
            </w:r>
          </w:p>
        </w:tc>
      </w:tr>
      <w:tr>
        <w:tc>
          <w:tcPr>
            <w:tcW w:w="1423" w:type="dxa"/>
          </w:tcPr>
          <w:p>
            <w:pPr/>
            <w:r>
              <w:t xml:space="preserve">Malware scan</w:t>
            </w:r>
          </w:p>
        </w:tc>
        <w:tc>
          <w:tcPr>
            <w:tcW w:w="3270" w:type="dxa"/>
          </w:tcPr>
          <w:p>
            <w:pPr/>
            <w:r>
              <w:t xml:space="preserve">GuardDuty Malware Protection for S3</w:t>
            </w:r>
          </w:p>
        </w:tc>
        <w:tc>
          <w:tcPr>
            <w:tcW w:w="4667" w:type="dxa"/>
          </w:tcPr>
          <w:p>
            <w:pPr/>
            <w:r>
              <w:t xml:space="preserve">Managed, no scanning server</w:t>
            </w:r>
          </w:p>
        </w:tc>
      </w:tr>
      <w:tr>
        <w:tc>
          <w:tcPr>
            <w:tcW w:w="1423" w:type="dxa"/>
          </w:tcPr>
          <w:p>
            <w:pPr/>
            <w:r>
              <w:t xml:space="preserve">CDN</w:t>
            </w:r>
          </w:p>
        </w:tc>
        <w:tc>
          <w:tcPr>
            <w:tcW w:w="3270" w:type="dxa"/>
          </w:tcPr>
          <w:p>
            <w:pPr/>
            <w:r>
              <w:t xml:space="preserve">CloudFront</w:t>
            </w:r>
          </w:p>
        </w:tc>
        <w:tc>
          <w:tcPr>
            <w:tcW w:w="4667" w:type="dxa"/>
          </w:tcPr>
          <w:p>
            <w:pPr/>
            <w:r>
              <w:t xml:space="preserve">Edge locations near Lagos and Dublin. No Cloudflare</w:t>
            </w:r>
          </w:p>
        </w:tc>
      </w:tr>
      <w:tr>
        <w:tc>
          <w:tcPr>
            <w:tcW w:w="1423" w:type="dxa"/>
          </w:tcPr>
          <w:p>
            <w:pPr/>
            <w:r>
              <w:t xml:space="preserve">Email</w:t>
            </w:r>
          </w:p>
        </w:tc>
        <w:tc>
          <w:tcPr>
            <w:tcW w:w="3270" w:type="dxa"/>
          </w:tcPr>
          <w:p>
            <w:pPr/>
            <w:r>
              <w:t xml:space="preserve">Postmark</w:t>
            </w:r>
          </w:p>
        </w:tc>
        <w:tc>
          <w:tcPr>
            <w:tcW w:w="4667" w:type="dxa"/>
          </w:tcPr>
          <w:p>
            <w:pPr/>
            <w:r>
              <w:t xml:space="preserve">—</w:t>
            </w:r>
          </w:p>
        </w:tc>
      </w:tr>
      <w:tr>
        <w:tc>
          <w:tcPr>
            <w:tcW w:w="1423" w:type="dxa"/>
          </w:tcPr>
          <w:p>
            <w:pPr/>
            <w:r>
              <w:t xml:space="preserve">SMS and WhatsApp</w:t>
            </w:r>
          </w:p>
        </w:tc>
        <w:tc>
          <w:tcPr>
            <w:tcW w:w="3270" w:type="dxa"/>
          </w:tcPr>
          <w:p>
            <w:pPr/>
            <w:r>
              <w:t xml:space="preserve">Twilio</w:t>
            </w:r>
          </w:p>
        </w:tc>
        <w:tc>
          <w:tcPr>
            <w:tcW w:w="4667" w:type="dxa"/>
          </w:tcPr>
          <w:p>
            <w:pPr/>
            <w:r>
              <w:t xml:space="preserve">Add Termii only if delivery to Nigerian numbers is poor</w:t>
            </w:r>
          </w:p>
        </w:tc>
      </w:tr>
      <w:tr>
        <w:tc>
          <w:tcPr>
            <w:tcW w:w="1423" w:type="dxa"/>
          </w:tcPr>
          <w:p>
            <w:pPr/>
            <w:r>
              <w:t xml:space="preserve">Maps</w:t>
            </w:r>
          </w:p>
        </w:tc>
        <w:tc>
          <w:tcPr>
            <w:tcW w:w="3270" w:type="dxa"/>
          </w:tcPr>
          <w:p>
            <w:pPr/>
            <w:r>
              <w:t xml:space="preserve">Google Maps, Places, Geocoding</w:t>
            </w:r>
          </w:p>
        </w:tc>
        <w:tc>
          <w:tcPr>
            <w:tcW w:w="4667" w:type="dxa"/>
          </w:tcPr>
          <w:p>
            <w:pPr/>
            <w:r>
              <w:t xml:space="preserve">—</w:t>
            </w:r>
          </w:p>
        </w:tc>
      </w:tr>
      <w:tr>
        <w:tc>
          <w:tcPr>
            <w:tcW w:w="1423" w:type="dxa"/>
          </w:tcPr>
          <w:p>
            <w:pPr/>
            <w:r>
              <w:t xml:space="preserve">Exchange rates</w:t>
            </w:r>
          </w:p>
        </w:tc>
        <w:tc>
          <w:tcPr>
            <w:tcW w:w="3270" w:type="dxa"/>
          </w:tcPr>
          <w:p>
            <w:pPr/>
            <w:r>
              <w:t xml:space="preserve">Open Exchange Rates, daily</w:t>
            </w:r>
          </w:p>
        </w:tc>
        <w:tc>
          <w:tcPr>
            <w:tcW w:w="4667" w:type="dxa"/>
          </w:tcPr>
          <w:p>
            <w:pPr/>
            <w:r>
              <w:t xml:space="preserve">Only for labelled estimates. Charges are always in the vendor's currency</w:t>
            </w:r>
          </w:p>
        </w:tc>
      </w:tr>
      <w:tr>
        <w:tc>
          <w:tcPr>
            <w:tcW w:w="1423" w:type="dxa"/>
          </w:tcPr>
          <w:p>
            <w:pPr/>
            <w:r>
              <w:t xml:space="preserve">Errors and uptime</w:t>
            </w:r>
          </w:p>
        </w:tc>
        <w:tc>
          <w:tcPr>
            <w:tcW w:w="3270" w:type="dxa"/>
          </w:tcPr>
          <w:p>
            <w:pPr/>
            <w:r>
              <w:t xml:space="preserve">Sentry</w:t>
            </w:r>
          </w:p>
        </w:tc>
        <w:tc>
          <w:tcPr>
            <w:tcW w:w="4667" w:type="dxa"/>
          </w:tcPr>
          <w:p>
            <w:pPr/>
            <w:r>
              <w:t xml:space="preserve">—</w:t>
            </w:r>
          </w:p>
        </w:tc>
      </w:tr>
      <w:tr>
        <w:tc>
          <w:tcPr>
            <w:tcW w:w="1423" w:type="dxa"/>
          </w:tcPr>
          <w:p>
            <w:pPr/>
            <w:r>
              <w:t xml:space="preserve">Backups</w:t>
            </w:r>
          </w:p>
        </w:tc>
        <w:tc>
          <w:tcPr>
            <w:tcW w:w="3270" w:type="dxa"/>
          </w:tcPr>
          <w:p>
            <w:pPr/>
            <w:r>
              <w:t xml:space="preserve">RDS snapshots + AWS Backup to a second account</w:t>
            </w:r>
          </w:p>
        </w:tc>
        <w:tc>
          <w:tcPr>
            <w:tcW w:w="4667" w:type="dxa"/>
          </w:tcPr>
          <w:p>
            <w:pPr/>
            <w:r>
              <w:t xml:space="preserve">Test a restore every quarter</w:t>
            </w:r>
          </w:p>
        </w:tc>
      </w:tr>
      <w:tr>
        <w:tc>
          <w:tcPr>
            <w:tcW w:w="1423" w:type="dxa"/>
          </w:tcPr>
          <w:p>
            <w:pPr/>
            <w:r>
              <w:t xml:space="preserve">Code and deploys</w:t>
            </w:r>
          </w:p>
        </w:tc>
        <w:tc>
          <w:tcPr>
            <w:tcW w:w="3270" w:type="dxa"/>
          </w:tcPr>
          <w:p>
            <w:pPr/>
            <w:r>
              <w:t xml:space="preserve">GitHub Actions → Forge</w:t>
            </w:r>
          </w:p>
        </w:tc>
        <w:tc>
          <w:tcPr>
            <w:tcW w:w="4667" w:type="dxa"/>
          </w:tcPr>
          <w:p>
            <w:pPr/>
            <w:r>
              <w:t xml:space="preserve">Pest, Larastan, Pint, composer and npm audit</w:t>
            </w:r>
          </w:p>
        </w:tc>
      </w:tr>
      <w:tr>
        <w:tc>
          <w:tcPr>
            <w:tcW w:w="1423" w:type="dxa"/>
          </w:tcPr>
          <w:p>
            <w:pPr/>
            <w:r>
              <w:t xml:space="preserve">Identity checks</w:t>
            </w:r>
          </w:p>
        </w:tc>
        <w:tc>
          <w:tcPr>
            <w:tcW w:w="3270" w:type="dxa"/>
          </w:tcPr>
          <w:p>
            <w:pPr/>
            <w:r>
              <w:t xml:space="preserve">Manual review at launch, Stripe for Irish vendors</w:t>
            </w:r>
          </w:p>
        </w:tc>
        <w:tc>
          <w:tcPr>
            <w:tcW w:w="4667" w:type="dxa"/>
          </w:tcPr>
          <w:p>
            <w:pPr/>
            <w:r>
              <w:t xml:space="preserve">Smile ID or Dojah for Nigeria arrive with crowdfunding</w:t>
            </w:r>
          </w:p>
        </w:tc>
      </w:tr>
    </w:tbl>
    <w:p>
      <w:pPr/>
      <w:r>
        <w:t xml:space="preserve">Key code rules: money stored as whole minor units with a currency code (</w:t>
      </w:r>
      <w:r>
        <w:rPr>
          <w:rStyle w:val="CodeChar"/>
        </w:rPr>
        <w:t xml:space="preserve">brick/money</w:t>
      </w:r>
      <w:r>
        <w:t xml:space="preserve">), every movement of money recorded in an internal double-entry ledger, every fee and rate editable in admin with a start date, one order state machine (</w:t>
      </w:r>
      <w:r>
        <w:rPr>
          <w:rStyle w:val="CodeChar"/>
        </w:rPr>
        <w:t xml:space="preserve">spatie/laravel-model-states</w:t>
      </w:r>
      <w:r>
        <w:t xml:space="preserve">), a </w:t>
      </w:r>
      <w:r>
        <w:rPr>
          <w:rStyle w:val="CodeChar"/>
        </w:rPr>
        <w:t xml:space="preserve">legal_entities</w:t>
      </w:r>
      <w:r>
        <w:t xml:space="preserve"> table so each country has its own company, VAT number and invoice numbering, and countries set up through configuration so new markets don't need new code.</w:t>
      </w:r>
    </w:p>
    <w:p>
      <w:pPr>
        <w:pStyle w:val="Heading2"/>
      </w:pPr>
      <w:r>
        <w:t xml:space="preserve">Payments</w:t>
      </w:r>
    </w:p>
    <w:p>
      <w:pPr/>
      <w:r>
        <w:t xml:space="preserve">You need both providers, because neither covers both countries. The vendor's country picks the provider. Both sit behind one </w:t>
      </w:r>
      <w:r>
        <w:rPr>
          <w:rStyle w:val="CodeChar"/>
        </w:rPr>
        <w:t xml:space="preserve">PaymentGateway</w:t>
      </w:r>
      <w:r>
        <w:t xml:space="preserve"> interface.</w:t>
      </w:r>
    </w:p>
    <w:tbl>
      <w:tblPr>
        <w:tblStyle w:val="TableGrid"/>
        <w:tblW w:w="0" w:type="auto"/>
        <w:tblLayout w:type="fixed"/>
        <w:tblLook w:val="04A0" w:firstRow="1" w:lastRow="0" w:firstColumn="0" w:lastColumn="0" w:noHBand="0" w:noVBand="1"/>
      </w:tblPr>
      <w:tblGrid>
        <w:gridCol w:w="2611"/>
        <w:gridCol w:w="2458"/>
        <w:gridCol w:w="4290"/>
      </w:tblGrid>
      <w:tr>
        <w:trPr>
          <w:tblHeader/>
        </w:trPr>
        <w:tc>
          <w:tcPr>
            <w:tcW w:w="2611" w:type="dxa"/>
            <w:shd w:val="clear" w:color="auto" w:fill="F2F2F2"/>
          </w:tcPr>
          <w:p>
            <w:pPr/>
          </w:p>
        </w:tc>
        <w:tc>
          <w:tcPr>
            <w:tcW w:w="2458" w:type="dxa"/>
            <w:shd w:val="clear" w:color="auto" w:fill="F2F2F2"/>
          </w:tcPr>
          <w:p>
            <w:pPr/>
            <w:r>
              <w:t xml:space="preserve">Ireland</w:t>
            </w:r>
          </w:p>
        </w:tc>
        <w:tc>
          <w:tcPr>
            <w:tcW w:w="4290" w:type="dxa"/>
            <w:shd w:val="clear" w:color="auto" w:fill="F2F2F2"/>
          </w:tcPr>
          <w:p>
            <w:pPr/>
            <w:r>
              <w:t xml:space="preserve">Nigeria</w:t>
            </w:r>
          </w:p>
        </w:tc>
      </w:tr>
      <w:tr>
        <w:tc>
          <w:tcPr>
            <w:tcW w:w="2611" w:type="dxa"/>
          </w:tcPr>
          <w:p>
            <w:pPr/>
            <w:r>
              <w:t xml:space="preserve">Provider</w:t>
            </w:r>
          </w:p>
        </w:tc>
        <w:tc>
          <w:tcPr>
            <w:tcW w:w="2458" w:type="dxa"/>
          </w:tcPr>
          <w:p>
            <w:pPr/>
            <w:r>
              <w:t xml:space="preserve">Stripe Connect Express</w:t>
            </w:r>
          </w:p>
        </w:tc>
        <w:tc>
          <w:tcPr>
            <w:tcW w:w="4290" w:type="dxa"/>
          </w:tcPr>
          <w:p>
            <w:pPr/>
            <w:r>
              <w:t xml:space="preserve">Paystack</w:t>
            </w:r>
          </w:p>
        </w:tc>
      </w:tr>
      <w:tr>
        <w:tc>
          <w:tcPr>
            <w:tcW w:w="2611" w:type="dxa"/>
          </w:tcPr>
          <w:p>
            <w:pPr/>
            <w:r>
              <w:t xml:space="preserve">Currency</w:t>
            </w:r>
          </w:p>
        </w:tc>
        <w:tc>
          <w:tcPr>
            <w:tcW w:w="2458" w:type="dxa"/>
          </w:tcPr>
          <w:p>
            <w:pPr/>
            <w:r>
              <w:t xml:space="preserve">EUR</w:t>
            </w:r>
          </w:p>
        </w:tc>
        <w:tc>
          <w:tcPr>
            <w:tcW w:w="4290" w:type="dxa"/>
          </w:tcPr>
          <w:p>
            <w:pPr/>
            <w:r>
              <w:t xml:space="preserve">NGN (international cards accepted, so diaspora relatives can pay)</w:t>
            </w:r>
          </w:p>
        </w:tc>
      </w:tr>
      <w:tr>
        <w:tc>
          <w:tcPr>
            <w:tcW w:w="2611" w:type="dxa"/>
          </w:tcPr>
          <w:p>
            <w:pPr/>
            <w:r>
              <w:t xml:space="preserve">How funds are held</w:t>
            </w:r>
          </w:p>
        </w:tc>
        <w:tc>
          <w:tcPr>
            <w:tcW w:w="2458" w:type="dxa"/>
          </w:tcPr>
          <w:p>
            <w:pPr/>
            <w:r>
              <w:t xml:space="preserve">Separate charges and transfers: funds stay in the platform balance until the order completes</w:t>
            </w:r>
          </w:p>
        </w:tc>
        <w:tc>
          <w:tcPr>
            <w:tcW w:w="4290" w:type="dxa"/>
          </w:tcPr>
          <w:p>
            <w:pPr/>
            <w:r>
              <w:t xml:space="preserve">One subaccount per vendor on manual settlement. The vendor's share waits until release, and the commission is split off at payment</w:t>
            </w:r>
          </w:p>
        </w:tc>
      </w:tr>
      <w:tr>
        <w:tc>
          <w:tcPr>
            <w:tcW w:w="2611" w:type="dxa"/>
          </w:tcPr>
          <w:p>
            <w:pPr/>
            <w:r>
              <w:t xml:space="preserve">Vendor identity checks</w:t>
            </w:r>
          </w:p>
        </w:tc>
        <w:tc>
          <w:tcPr>
            <w:tcW w:w="2458" w:type="dxa"/>
          </w:tcPr>
          <w:p>
            <w:pPr/>
            <w:r>
              <w:t xml:space="preserve">Done by Stripe</w:t>
            </w:r>
          </w:p>
        </w:tc>
        <w:tc>
          <w:tcPr>
            <w:tcW w:w="4290" w:type="dxa"/>
          </w:tcPr>
          <w:p>
            <w:pPr/>
            <w:r>
              <w:t xml:space="preserve">Built by you: bank account lookup plus document review</w:t>
            </w:r>
          </w:p>
        </w:tc>
      </w:tr>
      <w:tr>
        <w:tc>
          <w:tcPr>
            <w:tcW w:w="2611" w:type="dxa"/>
          </w:tcPr>
          <w:p>
            <w:pPr/>
            <w:r>
              <w:t xml:space="preserve">Card entry</w:t>
            </w:r>
          </w:p>
        </w:tc>
        <w:tc>
          <w:tcPr>
            <w:tcW w:w="2458" w:type="dxa"/>
          </w:tcPr>
          <w:p>
            <w:pPr/>
            <w:r>
              <w:t xml:space="preserve">Stripe Elements</w:t>
            </w:r>
          </w:p>
        </w:tc>
        <w:tc>
          <w:tcPr>
            <w:tcW w:w="4290" w:type="dxa"/>
          </w:tcPr>
          <w:p>
            <w:pPr/>
            <w:r>
              <w:t xml:space="preserve">Paystack Popup</w:t>
            </w:r>
          </w:p>
        </w:tc>
      </w:tr>
    </w:tbl>
    <w:p>
      <w:pPr>
        <w:pStyle w:val="ListParagraph"/>
        <w:numPr>
          <w:ilvl w:val="0"/>
          <w:numId w:val="4"/>
        </w:numPr>
      </w:pPr>
      <w:r>
        <w:rPr>
          <w:b/>
        </w:rPr>
        <w:t xml:space="preserve">Paystack can't cover Ireland.</w:t>
      </w:r>
      <w:r>
        <w:t xml:space="preserve"> It only takes merchants in its African markets, so it can't pay EUR bank accounts.</w:t>
      </w:r>
    </w:p>
    <w:p>
      <w:pPr>
        <w:pStyle w:val="ListParagraph"/>
        <w:numPr>
          <w:ilvl w:val="0"/>
          <w:numId w:val="4"/>
        </w:numPr>
      </w:pPr>
      <w:r>
        <w:rPr>
          <w:b/>
        </w:rPr>
        <w:t xml:space="preserve">Stripe can't cover Nigeria.</w:t>
      </w:r>
      <w:r>
        <w:t xml:space="preserve"> Stripe Connect only pays across borders between the US, UK, EEA, Canada and Switzerland (</w:t>
      </w:r>
      <w:hyperlink r:id="rId4" w:history="1">
        <w:r>
          <w:rPr>
            <w:rStyle w:val="Hyperlink"/>
          </w:rPr>
          <w:t xml:space="preserve">Stripe docs</w:t>
        </w:r>
      </w:hyperlink>
      <w:r>
        <w:t xml:space="preserve">).</w:t>
      </w:r>
    </w:p>
    <w:p>
      <w:pPr>
        <w:pStyle w:val="ListParagraph"/>
        <w:numPr>
          <w:ilvl w:val="0"/>
          <w:numId w:val="4"/>
        </w:numPr>
      </w:pPr>
      <w:r>
        <w:rPr>
          <w:b/>
        </w:rPr>
        <w:t xml:space="preserve">Paystack manual settlement</w:t>
      </w:r>
      <w:r>
        <w:t xml:space="preserve"> comes from third-party guides, not Paystack's own docs. Paystack support enables it, holds are meant to be short, and a release can't be reversed. The fallback is collecting into the platform balance and paying vendors with the Transfers API, but then Six Feet holds customer money, which raises Central Bank of Nigeria licensing questions.</w:t>
      </w:r>
    </w:p>
    <w:p>
      <w:pPr>
        <w:pStyle w:val="ListParagraph"/>
        <w:numPr>
          <w:ilvl w:val="0"/>
          <w:numId w:val="4"/>
        </w:numPr>
      </w:pPr>
      <w:r>
        <w:rPr>
          <w:b/>
        </w:rPr>
        <w:t xml:space="preserve">Order flow:</w:t>
      </w:r>
      <w:r>
        <w:t xml:space="preserve"> checkout → new → accepted → in progress → delivered → completed → paid out. Money is held from payment until completion. Completion happens when the family confirms or N days pass with no complaint (N set in admin). Refunds come from the held money. A package is one parent order with one sub-order per vendor.</w:t>
      </w:r>
    </w:p>
    <w:p>
      <w:pPr>
        <w:pStyle w:val="ListParagraph"/>
        <w:numPr>
          <w:ilvl w:val="0"/>
          <w:numId w:val="4"/>
        </w:numPr>
      </w:pPr>
      <w:r>
        <w:rPr>
          <w:b/>
        </w:rPr>
        <w:t xml:space="preserve">Crowdfunding:</w:t>
      </w:r>
      <w:r>
        <w:t xml:space="preserve"> Stripe treats crowdfunding as a restricted business type that needs approval, and Paystack may have conditions too. Confirm both before building.</w:t>
      </w:r>
    </w:p>
    <w:p>
      <w:pPr>
        <w:pStyle w:val="Heading2"/>
      </w:pPr>
      <w:r>
        <w:t xml:space="preserve">Security baseline</w:t>
      </w:r>
    </w:p>
    <w:p>
      <w:pPr/>
      <w:r>
        <w:t xml:space="preserve">These apply from Step 2 onward. The brief also requires an external penetration test before launch.</w:t>
      </w:r>
    </w:p>
    <w:p>
      <w:pPr>
        <w:pStyle w:val="ListParagraph"/>
        <w:numPr>
          <w:ilvl w:val="0"/>
          <w:numId w:val="5"/>
        </w:numPr>
      </w:pPr>
      <w:r>
        <w:rPr>
          <w:b/>
        </w:rPr>
        <w:t xml:space="preserve">Sign-in:</w:t>
      </w:r>
      <w:r>
        <w:t xml:space="preserve"> two-factor required for vendors and every admin role (Fortify). Argon2id password hashing, with a check against known breached passwords. Admin sessions time out sooner, and refunds, payouts and bank-detail changes ask for the password again.</w:t>
      </w:r>
    </w:p>
    <w:p>
      <w:pPr>
        <w:pStyle w:val="ListParagraph"/>
        <w:numPr>
          <w:ilvl w:val="0"/>
          <w:numId w:val="5"/>
        </w:numPr>
      </w:pPr>
      <w:r>
        <w:rPr>
          <w:b/>
        </w:rPr>
        <w:t xml:space="preserve">Access:</w:t>
      </w:r>
      <w:r>
        <w:t xml:space="preserve"> a Policy on every model, global scopes so vendors only see their own records, and ULIDs as public IDs. Roles with </w:t>
      </w:r>
      <w:r>
        <w:rPr>
          <w:rStyle w:val="CodeChar"/>
        </w:rPr>
        <w:t xml:space="preserve">spatie/laravel-permission</w:t>
      </w:r>
      <w:r>
        <w:t xml:space="preserve">. Private data never goes into Inertia props, because props are visible in the page source.</w:t>
      </w:r>
    </w:p>
    <w:p>
      <w:pPr>
        <w:pStyle w:val="ListParagraph"/>
        <w:numPr>
          <w:ilvl w:val="0"/>
          <w:numId w:val="5"/>
        </w:numPr>
      </w:pPr>
      <w:r>
        <w:rPr>
          <w:b/>
        </w:rPr>
        <w:t xml:space="preserve">Money:</w:t>
      </w:r>
      <w:r>
        <w:t xml:space="preserve"> a bank-detail change sends an email and SMS alert and holds payouts for 48 hours. Large refunds and payouts need a second admin to approve them. Payouts can't run twice. The ledger and audit tables are append-only, enforced by database triggers.</w:t>
      </w:r>
    </w:p>
    <w:p>
      <w:pPr>
        <w:pStyle w:val="ListParagraph"/>
        <w:numPr>
          <w:ilvl w:val="0"/>
          <w:numId w:val="5"/>
        </w:numPr>
      </w:pPr>
      <w:r>
        <w:rPr>
          <w:b/>
        </w:rPr>
        <w:t xml:space="preserve">Data:</w:t>
      </w:r>
      <w:r>
        <w:t xml:space="preserve"> encrypted columns for bank details and ID numbers. GPS data stripped from uploaded photos. Every document view logged. Data export and deletion tools for GDPR and Nigeria's NDPA.</w:t>
      </w:r>
    </w:p>
    <w:p>
      <w:pPr>
        <w:pStyle w:val="ListParagraph"/>
        <w:numPr>
          <w:ilvl w:val="0"/>
          <w:numId w:val="5"/>
        </w:numPr>
      </w:pPr>
      <w:r>
        <w:rPr>
          <w:b/>
        </w:rPr>
        <w:t xml:space="preserve">Abuse:</w:t>
      </w:r>
      <w:r>
        <w:t xml:space="preserve"> rate limits on sign-in, one-time codes, checkout and donations. One-time codes limited per phone number and per IP, and only to the countries served, to stop SMS fraud. Turnstile can be added to forms later if bots appear.</w:t>
      </w:r>
    </w:p>
    <w:p>
      <w:pPr>
        <w:pStyle w:val="ListParagraph"/>
        <w:numPr>
          <w:ilvl w:val="0"/>
          <w:numId w:val="5"/>
        </w:numPr>
      </w:pPr>
      <w:r>
        <w:rPr>
          <w:b/>
        </w:rPr>
        <w:t xml:space="preserve">Web and network:</w:t>
      </w:r>
      <w:r>
        <w:t xml:space="preserve"> CSP and HSTS headers. Postgres and the private bucket can't be reached from the internet, and SSH is open only to Forge. Dependency audits in CI, and secrets kept out of the repository.</w:t>
      </w:r>
    </w:p>
    <w:p>
      <w:pPr>
        <w:pStyle w:val="Heading2"/>
      </w:pPr>
      <w:r>
        <w:t xml:space="preserve">Open questions and client needs</w:t>
      </w:r>
    </w:p>
    <w:p>
      <w:pPr/>
      <w:r>
        <w:t xml:space="preserve">The savings partner has the longest lead time, so start it now.</w:t>
      </w:r>
    </w:p>
    <w:p>
      <w:pPr>
        <w:pStyle w:val="ListParagraph"/>
        <w:numPr>
          <w:ilvl w:val="0"/>
          <w:numId w:val="6"/>
        </w:numPr>
      </w:pPr>
      <w:r>
        <w:t xml:space="preserve">☐ Confirm the pricing currency is Naira, and that the last 50% is due when Steps 4 and 5 are both complete</w:t>
      </w:r>
    </w:p>
    <w:p>
      <w:pPr>
        <w:pStyle w:val="ListParagraph"/>
        <w:numPr>
          <w:ilvl w:val="0"/>
          <w:numId w:val="6"/>
        </w:numPr>
      </w:pPr>
      <w:r>
        <w:t xml:space="preserve">☐ Savings: decide between a pot the family can withdraw from and a pre-paid plan locked to a package, then sign a licensed partner in each country</w:t>
      </w:r>
    </w:p>
    <w:p>
      <w:pPr>
        <w:pStyle w:val="ListParagraph"/>
        <w:numPr>
          <w:ilvl w:val="0"/>
          <w:numId w:val="6"/>
        </w:numPr>
      </w:pPr>
      <w:r>
        <w:t xml:space="preserve">☐ Registered companies: Paystack needs a Nigerian company (CAC) and Stripe needs an Irish or EU one (CRO). Check which exist</w:t>
      </w:r>
    </w:p>
    <w:p>
      <w:pPr>
        <w:pStyle w:val="ListParagraph"/>
        <w:numPr>
          <w:ilvl w:val="0"/>
          <w:numId w:val="6"/>
        </w:numPr>
      </w:pPr>
      <w:r>
        <w:t xml:space="preserve">☐ Stripe (Ireland) and Paystack (Nigeria) accounts opened in the business's name before payments work starts in Step 2</w:t>
      </w:r>
    </w:p>
    <w:p>
      <w:pPr>
        <w:pStyle w:val="ListParagraph"/>
        <w:numPr>
          <w:ilvl w:val="0"/>
          <w:numId w:val="6"/>
        </w:numPr>
      </w:pPr>
      <w:r>
        <w:t xml:space="preserve">☐ Paystack: confirm manual settlement can be turned on, and how long a payment can be held</w:t>
      </w:r>
    </w:p>
    <w:p>
      <w:pPr>
        <w:pStyle w:val="ListParagraph"/>
        <w:numPr>
          <w:ilvl w:val="0"/>
          <w:numId w:val="6"/>
        </w:numPr>
      </w:pPr>
      <w:r>
        <w:t xml:space="preserve">☐ Stripe and Paystack approve crowdfunding on the accounts</w:t>
      </w:r>
    </w:p>
    <w:p>
      <w:pPr>
        <w:pStyle w:val="ListParagraph"/>
        <w:numPr>
          <w:ilvl w:val="0"/>
          <w:numId w:val="6"/>
        </w:numPr>
      </w:pPr>
      <w:r>
        <w:t xml:space="preserve">☐ Lawyer reviews holding funds in Nigeria (CBN) and Ireland (Central Bank of Ireland), crowdfunding fee and unused-funds wording, and what death notices may show about living relatives</w:t>
      </w:r>
    </w:p>
    <w:p>
      <w:pPr>
        <w:pStyle w:val="ListParagraph"/>
        <w:numPr>
          <w:ilvl w:val="0"/>
          <w:numId w:val="6"/>
        </w:numPr>
      </w:pPr>
      <w:r>
        <w:t xml:space="preserve">☐ Accountant confirms VAT, including whether funeral services are VAT-exempt in Ireland</w:t>
      </w:r>
    </w:p>
    <w:p>
      <w:pPr>
        <w:pStyle w:val="ListParagraph"/>
        <w:numPr>
          <w:ilvl w:val="0"/>
          <w:numId w:val="6"/>
        </w:numPr>
      </w:pPr>
      <w:r>
        <w:t xml:space="preserve">☐ Lawyer confirms storing Nigerian personal data in the EU (Dublin) is allowed under the NDPA</w:t>
      </w:r>
    </w:p>
    <w:p>
      <w:pPr>
        <w:pStyle w:val="ListParagraph"/>
        <w:numPr>
          <w:ilvl w:val="0"/>
          <w:numId w:val="6"/>
        </w:numPr>
      </w:pPr>
      <w:r>
        <w:t xml:space="preserve">☐ Repatriation partner agents signed, with the document list for each route confirmed</w:t>
      </w:r>
    </w:p>
    <w:p>
      <w:pPr>
        <w:pStyle w:val="ListParagraph"/>
        <w:numPr>
          <w:ilvl w:val="0"/>
          <w:numId w:val="6"/>
        </w:numPr>
      </w:pPr>
      <w:r>
        <w:t xml:space="preserve">☐ Package prices and discounts, and who pays for the discount</w:t>
      </w:r>
    </w:p>
    <w:p>
      <w:pPr>
        <w:pStyle w:val="ListParagraph"/>
        <w:numPr>
          <w:ilvl w:val="0"/>
          <w:numId w:val="6"/>
        </w:numPr>
      </w:pPr>
      <w:r>
        <w:t xml:space="preserve">☐ WhatsApp message templates submitted for Meta approval early</w:t>
      </w:r>
    </w:p>
    <w:p>
      <w:pPr>
        <w:pStyle w:val="ListParagraph"/>
        <w:numPr>
          <w:ilvl w:val="0"/>
          <w:numId w:val="6"/>
        </w:numPr>
      </w:pPr>
      <w:r>
        <w:t xml:space="preserve">☐ Brand sign-off, and vendor recruiting started (the brief targets 10 per country before launch)</w:t>
      </w:r>
    </w:p>
    <w:p>
      <w:pPr>
        <w:pStyle w:val="ListParagraph"/>
        <w:numPr>
          <w:ilvl w:val="0"/>
          <w:numId w:val="6"/>
        </w:numPr>
      </w:pPr>
      <w:r>
        <w:t xml:space="preserve">☐ Tell the client in writing that the mobile app has moved out of the near-term plan</w:t>
      </w:r>
    </w:p>
    <w:p>
      <w:pPr>
        <w:pStyle w:val="Heading2"/>
      </w:pPr>
      <w:r>
        <w:t xml:space="preserve">Files and links</w:t>
      </w:r>
    </w:p>
    <w:tbl>
      <w:tblPr>
        <w:tblStyle w:val="TableGrid"/>
        <w:tblW w:w="0" w:type="auto"/>
        <w:tblLayout w:type="fixed"/>
        <w:tblLook w:val="04A0" w:firstRow="1" w:lastRow="0" w:firstColumn="0" w:lastColumn="0" w:noHBand="0" w:noVBand="1"/>
      </w:tblPr>
      <w:tblGrid>
        <w:gridCol w:w="3050"/>
        <w:gridCol w:w="3120"/>
        <w:gridCol w:w="3190"/>
      </w:tblGrid>
      <w:tr>
        <w:trPr>
          <w:tblHeader/>
        </w:trPr>
        <w:tc>
          <w:tcPr>
            <w:tcW w:w="3050" w:type="dxa"/>
            <w:shd w:val="clear" w:color="auto" w:fill="F2F2F2"/>
          </w:tcPr>
          <w:p>
            <w:pPr/>
            <w:r>
              <w:t xml:space="preserve">Item</w:t>
            </w:r>
          </w:p>
        </w:tc>
        <w:tc>
          <w:tcPr>
            <w:tcW w:w="3120" w:type="dxa"/>
            <w:shd w:val="clear" w:color="auto" w:fill="F2F2F2"/>
          </w:tcPr>
          <w:p>
            <w:pPr/>
            <w:r>
              <w:t xml:space="preserve">Where</w:t>
            </w:r>
          </w:p>
        </w:tc>
        <w:tc>
          <w:tcPr>
            <w:tcW w:w="3190" w:type="dxa"/>
            <w:shd w:val="clear" w:color="auto" w:fill="F2F2F2"/>
          </w:tcPr>
          <w:p>
            <w:pPr/>
            <w:r>
              <w:t xml:space="preserve">What it holds</w:t>
            </w:r>
          </w:p>
        </w:tc>
      </w:tr>
      <w:tr>
        <w:tc>
          <w:tcPr>
            <w:tcW w:w="3050" w:type="dxa"/>
          </w:tcPr>
          <w:p>
            <w:pPr/>
            <w:hyperlink r:id="rId3" w:history="1">
              <w:r>
                <w:rPr>
                  <w:rStyle w:val="Hyperlink"/>
                </w:rPr>
                <w:t xml:space="preserve">Six Feet Product Roadmap</w:t>
              </w:r>
            </w:hyperlink>
          </w:p>
        </w:tc>
        <w:tc>
          <w:tcPr>
            <w:tcW w:w="3120" w:type="dxa"/>
          </w:tcPr>
          <w:p>
            <w:pPr/>
            <w:r>
              <w:t xml:space="preserve">Doc</w:t>
            </w:r>
          </w:p>
        </w:tc>
        <w:tc>
          <w:tcPr>
            <w:tcW w:w="3190" w:type="dxa"/>
          </w:tcPr>
          <w:p>
            <w:pPr/>
            <w:r>
              <w:t xml:space="preserve">The five steps, Later, pricing and the "How the website works" flow, for non-technical readers</w:t>
            </w:r>
          </w:p>
        </w:tc>
      </w:tr>
      <w:tr>
        <w:tc>
          <w:tcPr>
            <w:tcW w:w="3050" w:type="dxa"/>
          </w:tcPr>
          <w:p>
            <w:pPr/>
            <w:hyperlink r:id="rId5" w:history="1">
              <w:r>
                <w:rPr>
                  <w:rStyle w:val="Hyperlink"/>
                </w:rPr>
                <w:t xml:space="preserve">Six Feet build plan</w:t>
              </w:r>
            </w:hyperlink>
          </w:p>
        </w:tc>
        <w:tc>
          <w:tcPr>
            <w:tcW w:w="3120" w:type="dxa"/>
          </w:tcPr>
          <w:p>
            <w:pPr/>
            <w:r>
              <w:t xml:space="preserve">Web page</w:t>
            </w:r>
          </w:p>
        </w:tc>
        <w:tc>
          <w:tcPr>
            <w:tcW w:w="3190" w:type="dxa"/>
          </w:tcPr>
          <w:p>
            <w:pPr/>
            <w:r>
              <w:t xml:space="preserve">Infrastructure per service, architecture and order-money diagrams, security, and a milestone plan with all 174 checklist IDs. Its timeline and milestone order predate the final 5-step roadmap</w:t>
            </w:r>
          </w:p>
        </w:tc>
      </w:tr>
      <w:tr>
        <w:tc>
          <w:tcPr>
            <w:tcW w:w="3050" w:type="dxa"/>
          </w:tcPr>
          <w:p>
            <w:pPr/>
            <w:r>
              <w:t xml:space="preserve">Developer brief</w:t>
            </w:r>
          </w:p>
        </w:tc>
        <w:tc>
          <w:tcPr>
            <w:tcW w:w="3120" w:type="dxa"/>
          </w:tcPr>
          <w:p>
            <w:pPr/>
            <w:r>
              <w:t xml:space="preserve">~/Downloads/SixFeet_Developer_Brief.docx</w:t>
            </w:r>
          </w:p>
        </w:tc>
        <w:tc>
          <w:tcPr>
            <w:tcW w:w="3190" w:type="dxa"/>
          </w:tcPr>
          <w:p>
            <w:pPr/>
            <w:r>
              <w:t xml:space="preserve">The client's requirements, 15 Oct 2026</w:t>
            </w:r>
          </w:p>
        </w:tc>
      </w:tr>
      <w:tr>
        <w:tc>
          <w:tcPr>
            <w:tcW w:w="3050" w:type="dxa"/>
          </w:tcPr>
          <w:p>
            <w:pPr/>
            <w:r>
              <w:t xml:space="preserve">Feature checklist</w:t>
            </w:r>
          </w:p>
        </w:tc>
        <w:tc>
          <w:tcPr>
            <w:tcW w:w="3120" w:type="dxa"/>
          </w:tcPr>
          <w:p>
            <w:pPr/>
            <w:r>
              <w:t xml:space="preserve">~/Downloads/SixFeet_Feature_Checklist.xlsx</w:t>
            </w:r>
          </w:p>
        </w:tc>
        <w:tc>
          <w:tcPr>
            <w:tcW w:w="3190" w:type="dxa"/>
          </w:tcPr>
          <w:p>
            <w:pPr/>
            <w:r>
              <w:t xml:space="preserve">174 features with priority, phase and country</w:t>
            </w:r>
          </w:p>
        </w:tc>
      </w:tr>
      <w:tr>
        <w:tc>
          <w:tcPr>
            <w:tcW w:w="3050" w:type="dxa"/>
          </w:tcPr>
          <w:p>
            <w:pPr/>
            <w:r>
              <w:t xml:space="preserve">Older feature list</w:t>
            </w:r>
          </w:p>
        </w:tc>
        <w:tc>
          <w:tcPr>
            <w:tcW w:w="3120" w:type="dxa"/>
          </w:tcPr>
          <w:p>
            <w:pPr/>
            <w:r>
              <w:t xml:space="preserve">~/Downloads/breakdown.txt</w:t>
            </w:r>
          </w:p>
        </w:tc>
        <w:tc>
          <w:tcPr>
            <w:tcW w:w="3190" w:type="dxa"/>
          </w:tcPr>
          <w:p>
            <w:pPr/>
            <w:r>
              <w:t xml:space="preserve">Replaced by the brief</w:t>
            </w:r>
          </w:p>
        </w:tc>
      </w:tr>
    </w:tbl>
    <w:p>
      <w:pPr/>
      <w:hyperlink r:id="rId4" w:history="1">
        <w:r>
          <w:rPr>
            <w:rStyle w:val="Hyperlink"/>
          </w:rPr>
          <w:t xml:space="preserve">Stripe cross-border payouts</w:t>
        </w:r>
      </w:hyperlink>
      <w:r>
        <w:t xml:space="preserve"> · </w:t>
      </w:r>
      <w:hyperlink r:id="rId6" w:history="1">
        <w:r>
          <w:rPr>
            <w:rStyle w:val="Hyperlink"/>
          </w:rPr>
          <w:t xml:space="preserve">Paystack split payments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7txgFurD6bDYmw7QLSupy8" TargetMode="External"/><Relationship Id="rId4" Type="http://schemas.openxmlformats.org/officeDocument/2006/relationships/hyperlink" Target="https://docs.stripe.com/connect/cross-border-payouts" TargetMode="External"/><Relationship Id="rId5" Type="http://schemas.openxmlformats.org/officeDocument/2006/relationships/hyperlink" Target="https://claude.ai/artifact/4i5B4hzwLgrnv4jjpYECAt" TargetMode="External"/><Relationship Id="rId6" Type="http://schemas.openxmlformats.org/officeDocument/2006/relationships/hyperlink" Target="https://docs-v2.paystack.com/docs/payments/split-paymen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Six Feet Handoff</dc:title>
  <dc:description>Claude Docs node/3ae08cfe-5a99@9 docx-w7</dc:description>
  <cp:revision>9</cp:revision>
</cp:coreProperties>
</file>