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Multiplayer AI YC Submission Readiness and Capability Improvements</w:t>
      </w:r>
    </w:p>
    <w:p>
      <w:pPr>
        <w:spacing w:after="280"/>
      </w:pPr>
      <w:r>
        <w:rPr>
          <w:i/>
          <w:color w:val="52606D"/>
        </w:rPr>
        <w:t>Assessment of the current prototype, the minimum work needed for a credible YC demo, and the capability roadmap that follows.</w:t>
      </w:r>
    </w:p>
    <w:p>
      <w:pPr>
        <w:spacing w:after="140" w:line="269" w:lineRule="auto"/>
      </w:pPr>
      <w:r>
        <w:t>Multiplayer AI is ready to be submitted to YC as an early-stage prototype. The product already demonstrates a clear thesis: teams should be able to coordinate people, specialist AI agents, and connected work tools from a shared workspace. The application and demo should present it as an early product, not a production-ready enterprise platform.</w:t>
      </w:r>
    </w:p>
    <w:p>
      <w:pPr>
        <w:spacing w:after="140" w:line="269" w:lineRule="auto"/>
      </w:pPr>
      <w:r>
        <w:t>The immediate objective is a reliable end-to-end demonstration. Three teammates should be able to enter one workspace, use a shared conversation, select specialist agents, connect a work tool, and approve a proposed external write action. The work below separates demo blockers from longer-term capability improvements.</w:t>
      </w:r>
    </w:p>
    <w:p>
      <w:pPr>
        <w:pStyle w:val="Heading1"/>
        <w:spacing w:before="300" w:after="120"/>
      </w:pPr>
      <w:r>
        <w:rPr>
          <w:color w:val="000000"/>
        </w:rPr>
        <w:t>Current Product Strengths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4176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implementation</w:t>
            </w:r>
          </w:p>
        </w:tc>
        <w:tc>
          <w:tcPr>
            <w:tcW w:type="dxa" w:w="4248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is compelling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Shared workspace</w:t>
            </w:r>
          </w:p>
        </w:tc>
        <w:tc>
          <w:tcPr>
            <w:tcW w:type="dxa" w:w="417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Multiple members can work in the same workspace and chat in real time.</w:t>
            </w:r>
          </w:p>
        </w:tc>
        <w:tc>
          <w:tcPr>
            <w:tcW w:type="dxa" w:w="424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Demonstrates the multiplayer premise instead of another single-user AI chat.</w:t>
            </w:r>
          </w:p>
        </w:tc>
      </w:tr>
      <w:tr>
        <w:tc>
          <w:tcPr>
            <w:tcW w:type="dxa" w:w="1944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Specialist agents</w:t>
            </w:r>
          </w:p>
        </w:tc>
        <w:tc>
          <w:tcPr>
            <w:tcW w:type="dxa" w:w="4176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Project, GitHub, Slack, Linear, Notion, and Figma agents can be selected.</w:t>
            </w:r>
          </w:p>
        </w:tc>
        <w:tc>
          <w:tcPr>
            <w:tcW w:type="dxa" w:w="4248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Makes tool-focused collaboration understandable in a short demo.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Connected tools</w:t>
            </w:r>
          </w:p>
        </w:tc>
        <w:tc>
          <w:tcPr>
            <w:tcW w:type="dxa" w:w="417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OAuth connection flows and connected-tool controls are available for key collaboration tools.</w:t>
            </w:r>
          </w:p>
        </w:tc>
        <w:tc>
          <w:tcPr>
            <w:tcW w:type="dxa" w:w="424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Shows the product is designed around real work rather than only text generation.</w:t>
            </w:r>
          </w:p>
        </w:tc>
      </w:tr>
      <w:tr>
        <w:tc>
          <w:tcPr>
            <w:tcW w:type="dxa" w:w="1944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Governed actions</w:t>
            </w:r>
          </w:p>
        </w:tc>
        <w:tc>
          <w:tcPr>
            <w:tcW w:type="dxa" w:w="4176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Mutating actions are proposed first and require Admin approval.</w:t>
            </w:r>
          </w:p>
        </w:tc>
        <w:tc>
          <w:tcPr>
            <w:tcW w:type="dxa" w:w="4248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Addresses the trust problem that appears when agents can act externally.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Collaboration controls</w:t>
            </w:r>
          </w:p>
        </w:tc>
        <w:tc>
          <w:tcPr>
            <w:tcW w:type="dxa" w:w="417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Admin and Editor roles, live presence, notifications, multiple conversations, and audit events are implemented.</w:t>
            </w:r>
          </w:p>
        </w:tc>
        <w:tc>
          <w:tcPr>
            <w:tcW w:type="dxa" w:w="424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Signals an awareness of how teams coordinate and govern AI work.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</w:pPr>
      <w:r>
        <w:rPr>
          <w:color w:val="000000"/>
        </w:rPr>
        <w:t>YC Submission Readiness</w:t>
      </w:r>
    </w:p>
    <w:p>
      <w:pPr>
        <w:spacing w:after="140" w:line="269" w:lineRule="auto"/>
      </w:pPr>
      <w:r>
        <w:t>Submit the application now if the application window is open. YC evaluates the problem, founder insight, speed of execution, and evidence that users want the product; it does not require complete enterprise functionality. The product should be demoed with a narrow, dependable story rather than every unfinished integration.</w:t>
      </w:r>
    </w:p>
    <w:p>
      <w:pPr>
        <w:spacing w:after="140" w:line="269" w:lineRule="auto"/>
      </w:pPr>
      <w:r>
        <w:t>Recommended demo flow: create or open a workspace, have three people join, connect a GitHub repository, ask the GitHub agent to investigate an issue, have the agent propose a write action, and show an Admin approving it. End with the resulting shared audit entry and teammate notification.</w:t>
      </w:r>
    </w:p>
    <w:p>
      <w:r>
        <w:br w:type="page"/>
      </w:r>
    </w:p>
    <w:p>
      <w:pPr>
        <w:pStyle w:val="Heading1"/>
        <w:spacing w:before="300" w:after="120"/>
      </w:pPr>
      <w:r>
        <w:rPr>
          <w:color w:val="000000"/>
        </w:rPr>
        <w:t>Minimum Improvements Before Recording a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691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Done</w:t>
            </w:r>
          </w:p>
        </w:tc>
        <w:tc>
          <w:tcPr>
            <w:tcW w:type="dxa" w:w="3384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Improvement</w:t>
            </w:r>
          </w:p>
        </w:tc>
        <w:tc>
          <w:tcPr>
            <w:tcW w:type="dxa" w:w="4464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matters for YC</w:t>
            </w:r>
          </w:p>
        </w:tc>
        <w:tc>
          <w:tcPr>
            <w:tcW w:type="dxa" w:w="1800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before a demo</w:t>
            </w:r>
          </w:p>
        </w:tc>
      </w:tr>
      <w:tr>
        <w:tc>
          <w:tcPr>
            <w:tcW w:type="dxa" w:w="691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 w:val="0"/>
                <w:color w:val="2F80ED"/>
                <w:sz w:val="24"/>
              </w:rPr>
              <w:t>☑</w:t>
            </w:r>
          </w:p>
        </w:tc>
        <w:tc>
          <w:tcPr>
            <w:tcW w:type="dxa" w:w="338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Deploy a public demo environment and replace localhost OAuth callback URLs.</w:t>
            </w:r>
          </w:p>
        </w:tc>
        <w:tc>
          <w:tcPr>
            <w:tcW w:type="dxa" w:w="44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Reviewers cannot test a local-only product, and OAuth redirects must work from a stable public URL.</w:t>
            </w:r>
          </w:p>
        </w:tc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91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 w:val="0"/>
                <w:color w:val="2F80ED"/>
                <w:sz w:val="24"/>
              </w:rPr>
              <w:t>☐</w:t>
            </w:r>
          </w:p>
        </w:tc>
        <w:tc>
          <w:tcPr>
            <w:tcW w:type="dxa" w:w="3384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Test the full GitHub flow: OAuth, repository selection, read action, proposed write, Admin approval, and audit entry.</w:t>
            </w:r>
          </w:p>
        </w:tc>
        <w:tc>
          <w:tcPr>
            <w:tcW w:type="dxa" w:w="4464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This is the best single end-to-end proof of the product thesis.</w:t>
            </w:r>
          </w:p>
        </w:tc>
        <w:tc>
          <w:tcPr>
            <w:tcW w:type="dxa" w:w="180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91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 w:val="0"/>
                <w:color w:val="2F80ED"/>
                <w:sz w:val="24"/>
              </w:rPr>
              <w:t>☐</w:t>
            </w:r>
          </w:p>
        </w:tc>
        <w:tc>
          <w:tcPr>
            <w:tcW w:type="dxa" w:w="338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Choose one additional integration to demonstrate reliably, preferably Slack or Linear.</w:t>
            </w:r>
          </w:p>
        </w:tc>
        <w:tc>
          <w:tcPr>
            <w:tcW w:type="dxa" w:w="44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 second working tool proves the architecture extends beyond GitHub.</w:t>
            </w:r>
          </w:p>
        </w:tc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91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 w:val="0"/>
                <w:color w:val="2F80ED"/>
                <w:sz w:val="24"/>
              </w:rPr>
              <w:t>☐</w:t>
            </w:r>
          </w:p>
        </w:tc>
        <w:tc>
          <w:tcPr>
            <w:tcW w:type="dxa" w:w="3384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Resolve visible UI defects in the composer, picker, connection menus, and mobile/short viewport layouts.</w:t>
            </w:r>
          </w:p>
        </w:tc>
        <w:tc>
          <w:tcPr>
            <w:tcW w:type="dxa" w:w="4464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demo should feel intentional and stable during the first minute.</w:t>
            </w:r>
          </w:p>
        </w:tc>
        <w:tc>
          <w:tcPr>
            <w:tcW w:type="dxa" w:w="180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91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 w:val="0"/>
                <w:color w:val="2F80ED"/>
                <w:sz w:val="24"/>
              </w:rPr>
              <w:t>☐</w:t>
            </w:r>
          </w:p>
        </w:tc>
        <w:tc>
          <w:tcPr>
            <w:tcW w:type="dxa" w:w="338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Add clear connection failure and reconnect states.</w:t>
            </w:r>
          </w:p>
        </w:tc>
        <w:tc>
          <w:tcPr>
            <w:tcW w:type="dxa" w:w="44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OAuth and expired credentials are expected; ambiguous errors reduce trust.</w:t>
            </w:r>
          </w:p>
        </w:tc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91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 w:val="0"/>
                <w:color w:val="2F80ED"/>
                <w:sz w:val="24"/>
              </w:rPr>
              <w:t>☐</w:t>
            </w:r>
          </w:p>
        </w:tc>
        <w:tc>
          <w:tcPr>
            <w:tcW w:type="dxa" w:w="3384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Keep secrets out of source control and configure production secrets securely.</w:t>
            </w:r>
          </w:p>
        </w:tc>
        <w:tc>
          <w:tcPr>
            <w:tcW w:type="dxa" w:w="4464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 basic production hygiene requirement for any product handling connected accounts.</w:t>
            </w:r>
          </w:p>
        </w:tc>
        <w:tc>
          <w:tcPr>
            <w:tcW w:type="dxa" w:w="180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91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 w:val="0"/>
                <w:color w:val="2F80ED"/>
                <w:sz w:val="24"/>
              </w:rPr>
              <w:t>☐</w:t>
            </w:r>
          </w:p>
        </w:tc>
        <w:tc>
          <w:tcPr>
            <w:tcW w:type="dxa" w:w="338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Add lightweight error logging and a health check for the deployed services.</w:t>
            </w:r>
          </w:p>
        </w:tc>
        <w:tc>
          <w:tcPr>
            <w:tcW w:type="dxa" w:w="4464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Lets the team recover quickly if a demo path fails.</w:t>
            </w:r>
          </w:p>
        </w:tc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91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 w:val="0"/>
                <w:color w:val="2F80ED"/>
                <w:sz w:val="24"/>
              </w:rPr>
              <w:t>☐</w:t>
            </w:r>
          </w:p>
        </w:tc>
        <w:tc>
          <w:tcPr>
            <w:tcW w:type="dxa" w:w="3384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Run an end-to-end test with three separate user accounts.</w:t>
            </w:r>
          </w:p>
        </w:tc>
        <w:tc>
          <w:tcPr>
            <w:tcW w:type="dxa" w:w="4464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Confirms the core multiplayer claim is real, not simulated.</w:t>
            </w:r>
          </w:p>
        </w:tc>
        <w:tc>
          <w:tcPr>
            <w:tcW w:type="dxa" w:w="180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</w:tbl>
    <w:p/>
    <w:p>
      <w:pPr>
        <w:pStyle w:val="Heading1"/>
        <w:spacing w:before="300" w:after="120"/>
      </w:pPr>
      <w:r>
        <w:rPr>
          <w:color w:val="000000"/>
        </w:rPr>
        <w:t>Capabilities to Improve After the Demo</w:t>
      </w:r>
    </w:p>
    <w:p>
      <w:pPr>
        <w:spacing w:after="140" w:line="269" w:lineRule="auto"/>
      </w:pPr>
      <w:r>
        <w:t>The current product has the right core, but it needs deeper permissions, reusable workflows, durable context, and stronger operational controls to compete with mature collaborative-agent platforms.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Feature area</w:t>
            </w:r>
          </w:p>
        </w:tc>
        <w:tc>
          <w:tcPr>
            <w:tcW w:type="dxa" w:w="2520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capability</w:t>
            </w:r>
          </w:p>
        </w:tc>
        <w:tc>
          <w:tcPr>
            <w:tcW w:type="dxa" w:w="5040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Next improvement</w:t>
            </w:r>
          </w:p>
        </w:tc>
        <w:tc>
          <w:tcPr>
            <w:tcW w:type="dxa" w:w="1008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Tool accounts</w:t>
            </w:r>
          </w:p>
        </w:tc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One shared connection per provider per workspace.</w:t>
            </w:r>
          </w:p>
        </w:tc>
        <w:tc>
          <w:tcPr>
            <w:tcW w:type="dxa" w:w="50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Support personal accounts and multiple named shared accounts, then let a task select its connection.</w:t>
            </w:r>
          </w:p>
        </w:tc>
        <w:tc>
          <w:tcPr>
            <w:tcW w:type="dxa" w:w="100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180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Permissions</w:t>
            </w:r>
          </w:p>
        </w:tc>
        <w:tc>
          <w:tcPr>
            <w:tcW w:type="dxa" w:w="252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Admin and Editor roles; Admin approves write actions.</w:t>
            </w:r>
          </w:p>
        </w:tc>
        <w:tc>
          <w:tcPr>
            <w:tcW w:type="dxa" w:w="504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Add controls for connecting tools, creating agents, publishing agents, approving actions, and using each provider.</w:t>
            </w:r>
          </w:p>
        </w:tc>
        <w:tc>
          <w:tcPr>
            <w:tcW w:type="dxa" w:w="1008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Source permissions</w:t>
            </w:r>
          </w:p>
        </w:tc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Agents mainly operate through the workspace connection.</w:t>
            </w:r>
          </w:p>
        </w:tc>
        <w:tc>
          <w:tcPr>
            <w:tcW w:type="dxa" w:w="50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Respect the requesting member's original GitHub, Notion, Slack, and Figma permissions whenever possible.</w:t>
            </w:r>
          </w:p>
        </w:tc>
        <w:tc>
          <w:tcPr>
            <w:tcW w:type="dxa" w:w="100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180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Agent configuration</w:t>
            </w:r>
          </w:p>
        </w:tc>
        <w:tc>
          <w:tcPr>
            <w:tcW w:type="dxa" w:w="252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 fixed set of specialist agents is selectable.</w:t>
            </w:r>
          </w:p>
        </w:tc>
        <w:tc>
          <w:tcPr>
            <w:tcW w:type="dxa" w:w="504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Add an agent builder with instructions, approved tools, knowledge, model choice, versions, drafts, and publishing.</w:t>
            </w:r>
          </w:p>
        </w:tc>
        <w:tc>
          <w:tcPr>
            <w:tcW w:type="dxa" w:w="1008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Workflow automation</w:t>
            </w:r>
          </w:p>
        </w:tc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Agents respond to chat requests.</w:t>
            </w:r>
          </w:p>
        </w:tc>
        <w:tc>
          <w:tcPr>
            <w:tcW w:type="dxa" w:w="50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Add reusable workflows, schedules, and triggers such as new issue, status change, or Slack mention.</w:t>
            </w:r>
          </w:p>
        </w:tc>
        <w:tc>
          <w:tcPr>
            <w:tcW w:type="dxa" w:w="100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180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Workspace memory</w:t>
            </w:r>
          </w:p>
        </w:tc>
        <w:tc>
          <w:tcPr>
            <w:tcW w:type="dxa" w:w="252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Conversation history is retained by conversation.</w:t>
            </w:r>
          </w:p>
        </w:tc>
        <w:tc>
          <w:tcPr>
            <w:tcW w:type="dxa" w:w="504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Create durable workspace memory with cited sources, saved decisions, freshness dates, and deletion controls.</w:t>
            </w:r>
          </w:p>
        </w:tc>
        <w:tc>
          <w:tcPr>
            <w:tcW w:type="dxa" w:w="1008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Collaboration artifacts</w:t>
            </w:r>
          </w:p>
        </w:tc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Chat is the primary output surface.</w:t>
            </w:r>
          </w:p>
        </w:tc>
        <w:tc>
          <w:tcPr>
            <w:tcW w:type="dxa" w:w="50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Let agents create shared plans, reports, release notes, dashboards, and task lists with comments and ownership.</w:t>
            </w:r>
          </w:p>
        </w:tc>
        <w:tc>
          <w:tcPr>
            <w:tcW w:type="dxa" w:w="100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180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Observability</w:t>
            </w:r>
          </w:p>
        </w:tc>
        <w:tc>
          <w:tcPr>
            <w:tcW w:type="dxa" w:w="252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Audit events and action cards exist.</w:t>
            </w:r>
          </w:p>
        </w:tc>
        <w:tc>
          <w:tcPr>
            <w:tcW w:type="dxa" w:w="504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Add run timelines, tool-call tracing, integration health, latency, errors, budgets, and Admin dashboards.</w:t>
            </w:r>
          </w:p>
        </w:tc>
        <w:tc>
          <w:tcPr>
            <w:tcW w:type="dxa" w:w="1008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Notifications</w:t>
            </w:r>
          </w:p>
        </w:tc>
        <w:tc>
          <w:tcPr>
            <w:tcW w:type="dxa" w:w="252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Members can be alerted for agent completion and decisions.</w:t>
            </w:r>
          </w:p>
        </w:tc>
        <w:tc>
          <w:tcPr>
            <w:tcW w:type="dxa" w:w="504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Add per-user settings, browser/email/Slack routing, escalation, and daily activity summaries.</w:t>
            </w:r>
          </w:p>
        </w:tc>
        <w:tc>
          <w:tcPr>
            <w:tcW w:type="dxa" w:w="1008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Medium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</w:pPr>
      <w:r>
        <w:rPr>
          <w:color w:val="000000"/>
        </w:rPr>
        <w:t>Competitive Capability References</w:t>
      </w:r>
    </w:p>
    <w:p>
      <w:pPr>
        <w:spacing w:after="140" w:line="269" w:lineRule="auto"/>
      </w:pPr>
      <w:r>
        <w:t>The following products are useful references for individual capabilities. They are not all direct substitutes; some are enterprise agent platforms, agent builders, or governance layers.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3816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Relevant capability</w:t>
            </w:r>
          </w:p>
        </w:tc>
        <w:tc>
          <w:tcPr>
            <w:tcW w:type="dxa" w:w="4752"/>
            <w:shd w:fill="17324D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Multiplayer AI should learn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Dust</w:t>
            </w:r>
          </w:p>
        </w:tc>
        <w:tc>
          <w:tcPr>
            <w:tcW w:type="dxa" w:w="381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Shared Pods, collaborative context, synced Connections, and agent-accessible knowledge.</w:t>
            </w:r>
          </w:p>
        </w:tc>
        <w:tc>
          <w:tcPr>
            <w:tcW w:type="dxa" w:w="475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Make shared knowledge and durable artifacts first-class workspace objects.</w:t>
            </w:r>
          </w:p>
        </w:tc>
      </w:tr>
      <w:tr>
        <w:tc>
          <w:tcPr>
            <w:tcW w:type="dxa" w:w="180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Glean</w:t>
            </w:r>
          </w:p>
        </w:tc>
        <w:tc>
          <w:tcPr>
            <w:tcW w:type="dxa" w:w="3816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Permission-aware connectors, agent roles, governed actions, and broad enterprise integration coverage.</w:t>
            </w:r>
          </w:p>
        </w:tc>
        <w:tc>
          <w:tcPr>
            <w:tcW w:type="dxa" w:w="4752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Enforce source permissions and make tool governance visible to administrators.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OpenAI Workspace Agents</w:t>
            </w:r>
          </w:p>
        </w:tc>
        <w:tc>
          <w:tcPr>
            <w:tcW w:type="dxa" w:w="381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Shared agents with chat, edit, and owner access levels.</w:t>
            </w:r>
          </w:p>
        </w:tc>
        <w:tc>
          <w:tcPr>
            <w:tcW w:type="dxa" w:w="475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Separate agent ownership, use access, and edit/publish rights.</w:t>
            </w:r>
          </w:p>
        </w:tc>
      </w:tr>
      <w:tr>
        <w:tc>
          <w:tcPr>
            <w:tcW w:type="dxa" w:w="180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Microsoft Copilot Studio</w:t>
            </w:r>
          </w:p>
        </w:tc>
        <w:tc>
          <w:tcPr>
            <w:tcW w:type="dxa" w:w="3816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Environment boundaries, data policies, connector controls, monitoring, and compliance tooling.</w:t>
            </w:r>
          </w:p>
        </w:tc>
        <w:tc>
          <w:tcPr>
            <w:tcW w:type="dxa" w:w="4752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Adopt policy layers as the product scales beyond a small team.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Wato YC S26</w:t>
            </w:r>
          </w:p>
        </w:tc>
        <w:tc>
          <w:tcPr>
            <w:tcW w:type="dxa" w:w="381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Shared AI workspace, MCP integrations, memory, reusable skills, sessions, automations, artifacts, and audit trails.</w:t>
            </w:r>
          </w:p>
        </w:tc>
        <w:tc>
          <w:tcPr>
            <w:tcW w:type="dxa" w:w="475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Turn useful agent work into reusable organizational assets.</w:t>
            </w:r>
          </w:p>
        </w:tc>
      </w:tr>
      <w:tr>
        <w:tc>
          <w:tcPr>
            <w:tcW w:type="dxa" w:w="1800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Wordware YC S24</w:t>
            </w:r>
          </w:p>
        </w:tc>
        <w:tc>
          <w:tcPr>
            <w:tcW w:type="dxa" w:w="3816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Collaborative agent building and orchestration for technical and domain experts.</w:t>
            </w:r>
          </w:p>
        </w:tc>
        <w:tc>
          <w:tcPr>
            <w:tcW w:type="dxa" w:w="4752"/>
            <w:shd w:fill="F8FAFC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Make agent creation approachable for non-engineering workspace members.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HumanLayer YC F24</w:t>
            </w:r>
          </w:p>
        </w:tc>
        <w:tc>
          <w:tcPr>
            <w:tcW w:type="dxa" w:w="3816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Collaborative coding sessions, GitHub workflows, and approval-oriented decision points.</w:t>
            </w:r>
          </w:p>
        </w:tc>
        <w:tc>
          <w:tcPr>
            <w:tcW w:type="dxa" w:w="4752"/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Deepen the GitHub specialist into a trustworthy engineering workflow.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</w:pPr>
      <w:r>
        <w:rPr>
          <w:color w:val="000000"/>
        </w:rPr>
        <w:t>Recommended Product Sequence</w:t>
      </w:r>
    </w:p>
    <w:p>
      <w:pPr>
        <w:pStyle w:val="ListBullet"/>
        <w:spacing w:after="60"/>
      </w:pPr>
      <w:r>
        <w:t>Stage 1  Build the public demo environment and stabilize GitHub plus one additional integration.</w:t>
      </w:r>
    </w:p>
    <w:p>
      <w:pPr>
        <w:pStyle w:val="ListBullet"/>
        <w:spacing w:after="60"/>
      </w:pPr>
      <w:r>
        <w:t>Stage 2  Add personal and multi-account connections with visible connection health.</w:t>
      </w:r>
    </w:p>
    <w:p>
      <w:pPr>
        <w:pStyle w:val="ListBullet"/>
        <w:spacing w:after="60"/>
      </w:pPr>
      <w:r>
        <w:t>Stage 3  Add granular permissions and source-aware access enforcement.</w:t>
      </w:r>
    </w:p>
    <w:p>
      <w:pPr>
        <w:pStyle w:val="ListBullet"/>
        <w:spacing w:after="60"/>
      </w:pPr>
      <w:r>
        <w:t>Stage 4  Add an agent builder, reusable skills, and workflow templates.</w:t>
      </w:r>
    </w:p>
    <w:p>
      <w:pPr>
        <w:pStyle w:val="ListBullet"/>
        <w:spacing w:after="60"/>
      </w:pPr>
      <w:r>
        <w:t>Stage 5  Add triggers, schedules, shared artifacts, durable memory, and an Admin observability console.</w:t>
      </w:r>
    </w:p>
    <w:p>
      <w:pPr>
        <w:pStyle w:val="Heading1"/>
        <w:spacing w:before="300" w:after="120"/>
      </w:pPr>
      <w:r>
        <w:rPr>
          <w:color w:val="000000"/>
        </w:rPr>
        <w:t>Sources</w:t>
      </w:r>
    </w:p>
    <w:p>
      <w:pPr>
        <w:pStyle w:val="ListBullet"/>
        <w:spacing w:after="40"/>
      </w:pPr>
      <w:r>
        <w:rPr>
          <w:color w:val="365E92"/>
          <w:sz w:val="17"/>
        </w:rPr>
        <w:t>Dust Pods overview: https://docs.dust.tt/docs/pods-overview</w:t>
      </w:r>
    </w:p>
    <w:p>
      <w:pPr>
        <w:pStyle w:val="ListBullet"/>
        <w:spacing w:after="40"/>
      </w:pPr>
      <w:r>
        <w:rPr>
          <w:color w:val="365E92"/>
          <w:sz w:val="17"/>
        </w:rPr>
        <w:t>Glean agent access: https://docs.glean.com/administration/managing-agents/agent-access</w:t>
      </w:r>
    </w:p>
    <w:p>
      <w:pPr>
        <w:pStyle w:val="ListBullet"/>
        <w:spacing w:after="40"/>
      </w:pPr>
      <w:r>
        <w:rPr>
          <w:color w:val="365E92"/>
          <w:sz w:val="17"/>
        </w:rPr>
        <w:t>Glean connectors: https://docs.glean.com/connectors/about</w:t>
      </w:r>
    </w:p>
    <w:p>
      <w:pPr>
        <w:pStyle w:val="ListBullet"/>
        <w:spacing w:after="40"/>
      </w:pPr>
      <w:r>
        <w:rPr>
          <w:color w:val="365E92"/>
          <w:sz w:val="17"/>
        </w:rPr>
        <w:t>Glean actions: https://docs.glean.com/actions/actions-overview</w:t>
      </w:r>
    </w:p>
    <w:p>
      <w:pPr>
        <w:pStyle w:val="ListBullet"/>
        <w:spacing w:after="40"/>
      </w:pPr>
      <w:r>
        <w:rPr>
          <w:color w:val="365E92"/>
          <w:sz w:val="17"/>
        </w:rPr>
        <w:t>OpenAI Workspace Agents: https://help.openai.com/en/articles/20001143</w:t>
      </w:r>
    </w:p>
    <w:p>
      <w:pPr>
        <w:pStyle w:val="ListBullet"/>
        <w:spacing w:after="40"/>
      </w:pPr>
      <w:r>
        <w:rPr>
          <w:color w:val="365E92"/>
          <w:sz w:val="17"/>
        </w:rPr>
        <w:t>Microsoft Copilot Studio governance: https://learn.microsoft.com/en-us/microsoft-copilot-studio/guidance/sec-gov-phase2</w:t>
      </w:r>
    </w:p>
    <w:p>
      <w:pPr>
        <w:pStyle w:val="ListBullet"/>
        <w:spacing w:after="40"/>
      </w:pPr>
      <w:r>
        <w:rPr>
          <w:color w:val="365E92"/>
          <w:sz w:val="17"/>
        </w:rPr>
        <w:t>Wato YC profile: https://www.ycombinator.com/companies/wato</w:t>
      </w:r>
    </w:p>
    <w:p>
      <w:pPr>
        <w:pStyle w:val="ListBullet"/>
        <w:spacing w:after="40"/>
      </w:pPr>
      <w:r>
        <w:rPr>
          <w:color w:val="365E92"/>
          <w:sz w:val="17"/>
        </w:rPr>
        <w:t>Wordware YC profile: https://www.ycombinator.com/companies/wordware</w:t>
      </w:r>
    </w:p>
    <w:p>
      <w:pPr>
        <w:pStyle w:val="ListBullet"/>
        <w:spacing w:after="40"/>
      </w:pPr>
      <w:r>
        <w:rPr>
          <w:color w:val="365E92"/>
          <w:sz w:val="17"/>
        </w:rPr>
        <w:t>HumanLayer YC profile: https://www.ycombinator.com/companies/humanlayer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Internal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6B76"/>
        <w:sz w:val="16"/>
      </w:rPr>
      <w:t>MULTIPLAYER AI  |  PRODUCT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