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派杰氏病是一种特殊的乳腺恶性肿瘤，发病率较低，而副乳腺派杰氏病更是罕见。大多数派杰氏病缺乏特征性的临床和影像学表现，仅能通过病理确诊。</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C00000"/>
          <w:sz w:val="21"/>
          <w:szCs w:val="21"/>
        </w:rPr>
        <w:t>临床资料</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患者，女性，</w:t>
      </w:r>
      <w:r>
        <w:rPr>
          <w:rFonts w:ascii="Arial" w:hAnsi="Arial" w:cs="Arial"/>
          <w:color w:val="333333"/>
          <w:sz w:val="21"/>
          <w:szCs w:val="21"/>
        </w:rPr>
        <w:t>60</w:t>
      </w:r>
      <w:r>
        <w:rPr>
          <w:rFonts w:ascii="Arial" w:hAnsi="Arial" w:cs="Arial"/>
          <w:color w:val="333333"/>
          <w:sz w:val="21"/>
          <w:szCs w:val="21"/>
        </w:rPr>
        <w:t>岁，于</w:t>
      </w:r>
      <w:r>
        <w:rPr>
          <w:rFonts w:ascii="Arial" w:hAnsi="Arial" w:cs="Arial"/>
          <w:color w:val="333333"/>
          <w:sz w:val="21"/>
          <w:szCs w:val="21"/>
        </w:rPr>
        <w:t>15</w:t>
      </w:r>
      <w:r>
        <w:rPr>
          <w:rFonts w:ascii="Arial" w:hAnsi="Arial" w:cs="Arial"/>
          <w:color w:val="333333"/>
          <w:sz w:val="21"/>
          <w:szCs w:val="21"/>
        </w:rPr>
        <w:t>年前右腋下出现一糜烂面，大小约</w:t>
      </w:r>
      <w:r>
        <w:rPr>
          <w:rFonts w:ascii="Arial" w:hAnsi="Arial" w:cs="Arial"/>
          <w:color w:val="333333"/>
          <w:sz w:val="21"/>
          <w:szCs w:val="21"/>
        </w:rPr>
        <w:t>1.0cm×0.5cm</w:t>
      </w:r>
      <w:r>
        <w:rPr>
          <w:rFonts w:ascii="Arial" w:hAnsi="Arial" w:cs="Arial"/>
          <w:color w:val="333333"/>
          <w:sz w:val="21"/>
          <w:szCs w:val="21"/>
        </w:rPr>
        <w:t>，局部发红、渗出，呈湿疹样改变，到当地医院就诊，诊断为</w:t>
      </w:r>
      <w:r>
        <w:rPr>
          <w:rFonts w:ascii="Arial" w:hAnsi="Arial" w:cs="Arial"/>
          <w:color w:val="333333"/>
          <w:sz w:val="21"/>
          <w:szCs w:val="21"/>
        </w:rPr>
        <w:t>“</w:t>
      </w:r>
      <w:r>
        <w:rPr>
          <w:rFonts w:ascii="Arial" w:hAnsi="Arial" w:cs="Arial"/>
          <w:color w:val="333333"/>
          <w:sz w:val="21"/>
          <w:szCs w:val="21"/>
        </w:rPr>
        <w:t>湿疹</w:t>
      </w:r>
      <w:r>
        <w:rPr>
          <w:rFonts w:ascii="Arial" w:hAnsi="Arial" w:cs="Arial"/>
          <w:color w:val="333333"/>
          <w:sz w:val="21"/>
          <w:szCs w:val="21"/>
        </w:rPr>
        <w:t>”</w:t>
      </w:r>
      <w:r>
        <w:rPr>
          <w:rFonts w:ascii="Arial" w:hAnsi="Arial" w:cs="Arial"/>
          <w:color w:val="333333"/>
          <w:sz w:val="21"/>
          <w:szCs w:val="21"/>
        </w:rPr>
        <w:t>，并据此给予对症治疗，症状无减轻。近</w:t>
      </w:r>
      <w:r>
        <w:rPr>
          <w:rFonts w:ascii="Arial" w:hAnsi="Arial" w:cs="Arial"/>
          <w:color w:val="333333"/>
          <w:sz w:val="21"/>
          <w:szCs w:val="21"/>
        </w:rPr>
        <w:t>15</w:t>
      </w:r>
      <w:r>
        <w:rPr>
          <w:rFonts w:ascii="Arial" w:hAnsi="Arial" w:cs="Arial"/>
          <w:color w:val="333333"/>
          <w:sz w:val="21"/>
          <w:szCs w:val="21"/>
        </w:rPr>
        <w:t>年来，在各地医院就诊，被误诊为</w:t>
      </w:r>
      <w:r>
        <w:rPr>
          <w:rFonts w:ascii="Arial" w:hAnsi="Arial" w:cs="Arial"/>
          <w:color w:val="333333"/>
          <w:sz w:val="21"/>
          <w:szCs w:val="21"/>
        </w:rPr>
        <w:t>“</w:t>
      </w:r>
      <w:r>
        <w:rPr>
          <w:rFonts w:ascii="Arial" w:hAnsi="Arial" w:cs="Arial"/>
          <w:color w:val="333333"/>
          <w:sz w:val="21"/>
          <w:szCs w:val="21"/>
        </w:rPr>
        <w:t>湿疹</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银屑病</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皮炎</w:t>
      </w:r>
      <w:r>
        <w:rPr>
          <w:rFonts w:ascii="Arial" w:hAnsi="Arial" w:cs="Arial"/>
          <w:color w:val="333333"/>
          <w:sz w:val="21"/>
          <w:szCs w:val="21"/>
        </w:rPr>
        <w:t>”</w:t>
      </w:r>
      <w:r>
        <w:rPr>
          <w:rFonts w:ascii="Arial" w:hAnsi="Arial" w:cs="Arial"/>
          <w:color w:val="333333"/>
          <w:sz w:val="21"/>
          <w:szCs w:val="21"/>
        </w:rPr>
        <w:t>等皮肤病，仍采取对症治疗，皮损面积逐渐扩大。</w:t>
      </w:r>
      <w:r>
        <w:rPr>
          <w:rFonts w:ascii="Arial" w:hAnsi="Arial" w:cs="Arial"/>
          <w:color w:val="333333"/>
          <w:sz w:val="21"/>
          <w:szCs w:val="21"/>
        </w:rPr>
        <w:t>2012</w:t>
      </w:r>
      <w:r>
        <w:rPr>
          <w:rFonts w:ascii="Arial" w:hAnsi="Arial" w:cs="Arial"/>
          <w:color w:val="333333"/>
          <w:sz w:val="21"/>
          <w:szCs w:val="21"/>
        </w:rPr>
        <w:t>年</w:t>
      </w:r>
      <w:r>
        <w:rPr>
          <w:rFonts w:ascii="Arial" w:hAnsi="Arial" w:cs="Arial"/>
          <w:color w:val="333333"/>
          <w:sz w:val="21"/>
          <w:szCs w:val="21"/>
        </w:rPr>
        <w:t>6</w:t>
      </w:r>
      <w:r>
        <w:rPr>
          <w:rFonts w:ascii="Arial" w:hAnsi="Arial" w:cs="Arial"/>
          <w:color w:val="333333"/>
          <w:sz w:val="21"/>
          <w:szCs w:val="21"/>
        </w:rPr>
        <w:t>月</w:t>
      </w:r>
      <w:r>
        <w:rPr>
          <w:rFonts w:ascii="Arial" w:hAnsi="Arial" w:cs="Arial"/>
          <w:color w:val="333333"/>
          <w:sz w:val="21"/>
          <w:szCs w:val="21"/>
        </w:rPr>
        <w:t>15</w:t>
      </w:r>
      <w:r>
        <w:rPr>
          <w:rFonts w:ascii="Arial" w:hAnsi="Arial" w:cs="Arial"/>
          <w:color w:val="333333"/>
          <w:sz w:val="21"/>
          <w:szCs w:val="21"/>
        </w:rPr>
        <w:t>日到河南省人民医院皮肤科就诊，行皮损处活检，病理结果提示：乳房外湿疹样癌。后收住入院。</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查体：</w:t>
      </w:r>
      <w:r>
        <w:rPr>
          <w:rFonts w:ascii="Arial" w:hAnsi="Arial" w:cs="Arial"/>
          <w:color w:val="333333"/>
          <w:sz w:val="21"/>
          <w:szCs w:val="21"/>
        </w:rPr>
        <w:t>右乳表面皮肤正常，未触及明显肿块，右腋下巨大糜烂面，边界清楚，大小约</w:t>
      </w:r>
      <w:r>
        <w:rPr>
          <w:rFonts w:ascii="Arial" w:hAnsi="Arial" w:cs="Arial"/>
          <w:color w:val="333333"/>
          <w:sz w:val="21"/>
          <w:szCs w:val="21"/>
        </w:rPr>
        <w:t>15cm×10cm</w:t>
      </w:r>
      <w:r>
        <w:rPr>
          <w:rFonts w:ascii="Arial" w:hAnsi="Arial" w:cs="Arial"/>
          <w:color w:val="333333"/>
          <w:sz w:val="21"/>
          <w:szCs w:val="21"/>
        </w:rPr>
        <w:t>，红肿，溃烂，基底鲜红并被脓性分泌物覆盖</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1)</w:t>
      </w:r>
      <w:r>
        <w:rPr>
          <w:rFonts w:ascii="Arial" w:hAnsi="Arial" w:cs="Arial"/>
          <w:color w:val="333333"/>
          <w:sz w:val="21"/>
          <w:szCs w:val="21"/>
        </w:rPr>
        <w:t>，有触痛，右臂活动受限，右侧腋窝因疼痛无法触诊。左乳未见明显异常，左腋下可触及</w:t>
      </w:r>
      <w:r>
        <w:rPr>
          <w:rFonts w:ascii="Arial" w:hAnsi="Arial" w:cs="Arial"/>
          <w:color w:val="333333"/>
          <w:sz w:val="21"/>
          <w:szCs w:val="21"/>
        </w:rPr>
        <w:t>3cm×3cm×1cm</w:t>
      </w:r>
      <w:r>
        <w:rPr>
          <w:rFonts w:ascii="Arial" w:hAnsi="Arial" w:cs="Arial"/>
          <w:color w:val="333333"/>
          <w:sz w:val="21"/>
          <w:szCs w:val="21"/>
        </w:rPr>
        <w:t>的副乳腺，无副乳腺头，未触及明显肿块，无压痛。</w:t>
      </w:r>
      <w:r>
        <w:rPr>
          <w:rStyle w:val="a8"/>
          <w:rFonts w:ascii="Arial" w:hAnsi="Arial" w:cs="Arial"/>
          <w:color w:val="333333"/>
          <w:sz w:val="21"/>
          <w:szCs w:val="21"/>
        </w:rPr>
        <w:t>彩超检查</w:t>
      </w:r>
      <w:r>
        <w:rPr>
          <w:rFonts w:ascii="Arial" w:hAnsi="Arial" w:cs="Arial"/>
          <w:color w:val="333333"/>
          <w:sz w:val="21"/>
          <w:szCs w:val="21"/>
        </w:rPr>
        <w:t>：右乳腺结构紊乱，无肿块及强回声，右侧腋窝及右乳腺边缘由于皮肤糜烂的影响，探查受限，乳腺层次结构欠清。进一步行</w:t>
      </w:r>
      <w:r>
        <w:rPr>
          <w:rStyle w:val="a8"/>
          <w:rFonts w:ascii="Arial" w:hAnsi="Arial" w:cs="Arial"/>
          <w:color w:val="333333"/>
          <w:sz w:val="21"/>
          <w:szCs w:val="21"/>
        </w:rPr>
        <w:t>PET/CT</w:t>
      </w:r>
      <w:r>
        <w:rPr>
          <w:rStyle w:val="a8"/>
          <w:rFonts w:ascii="Arial" w:hAnsi="Arial" w:cs="Arial"/>
          <w:color w:val="333333"/>
          <w:sz w:val="21"/>
          <w:szCs w:val="21"/>
        </w:rPr>
        <w:t>显像</w:t>
      </w:r>
      <w:r>
        <w:rPr>
          <w:rFonts w:ascii="Arial" w:hAnsi="Arial" w:cs="Arial"/>
          <w:color w:val="333333"/>
          <w:sz w:val="21"/>
          <w:szCs w:val="21"/>
        </w:rPr>
        <w:t>：右侧腋窝皮肤代谢活跃，考虑恶性病变；右侧腋窝淋巴结影增大，不完全排除淋巴结受累，其余未见明显异常。</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手术：</w:t>
      </w:r>
      <w:r>
        <w:rPr>
          <w:rFonts w:ascii="Arial" w:hAnsi="Arial" w:cs="Arial"/>
          <w:color w:val="333333"/>
          <w:sz w:val="21"/>
          <w:szCs w:val="21"/>
        </w:rPr>
        <w:t>2012</w:t>
      </w:r>
      <w:r>
        <w:rPr>
          <w:rFonts w:ascii="Arial" w:hAnsi="Arial" w:cs="Arial"/>
          <w:color w:val="333333"/>
          <w:sz w:val="21"/>
          <w:szCs w:val="21"/>
        </w:rPr>
        <w:t>年</w:t>
      </w:r>
      <w:r>
        <w:rPr>
          <w:rFonts w:ascii="Arial" w:hAnsi="Arial" w:cs="Arial"/>
          <w:color w:val="333333"/>
          <w:sz w:val="21"/>
          <w:szCs w:val="21"/>
        </w:rPr>
        <w:t>6</w:t>
      </w:r>
      <w:r>
        <w:rPr>
          <w:rFonts w:ascii="Arial" w:hAnsi="Arial" w:cs="Arial"/>
          <w:color w:val="333333"/>
          <w:sz w:val="21"/>
          <w:szCs w:val="21"/>
        </w:rPr>
        <w:t>月</w:t>
      </w:r>
      <w:r>
        <w:rPr>
          <w:rFonts w:ascii="Arial" w:hAnsi="Arial" w:cs="Arial"/>
          <w:color w:val="333333"/>
          <w:sz w:val="21"/>
          <w:szCs w:val="21"/>
        </w:rPr>
        <w:t>21</w:t>
      </w:r>
      <w:r>
        <w:rPr>
          <w:rFonts w:ascii="Arial" w:hAnsi="Arial" w:cs="Arial"/>
          <w:color w:val="333333"/>
          <w:sz w:val="21"/>
          <w:szCs w:val="21"/>
        </w:rPr>
        <w:t>日行</w:t>
      </w:r>
      <w:r>
        <w:rPr>
          <w:rFonts w:ascii="Arial" w:hAnsi="Arial" w:cs="Arial"/>
          <w:color w:val="333333"/>
          <w:sz w:val="21"/>
          <w:szCs w:val="21"/>
        </w:rPr>
        <w:t>“</w:t>
      </w:r>
      <w:r>
        <w:rPr>
          <w:rFonts w:ascii="Arial" w:hAnsi="Arial" w:cs="Arial"/>
          <w:color w:val="333333"/>
          <w:sz w:val="21"/>
          <w:szCs w:val="21"/>
        </w:rPr>
        <w:t>右侧乳腺癌改良根治术</w:t>
      </w:r>
      <w:r>
        <w:rPr>
          <w:rFonts w:ascii="Arial" w:hAnsi="Arial" w:cs="Arial"/>
          <w:color w:val="333333"/>
          <w:sz w:val="21"/>
          <w:szCs w:val="21"/>
        </w:rPr>
        <w:t>+</w:t>
      </w:r>
      <w:r>
        <w:rPr>
          <w:rFonts w:ascii="Arial" w:hAnsi="Arial" w:cs="Arial"/>
          <w:color w:val="333333"/>
          <w:sz w:val="21"/>
          <w:szCs w:val="21"/>
        </w:rPr>
        <w:t>皮瓣转移术</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1)</w:t>
      </w:r>
      <w:r>
        <w:rPr>
          <w:rFonts w:ascii="Arial" w:hAnsi="Arial" w:cs="Arial"/>
          <w:color w:val="333333"/>
          <w:sz w:val="21"/>
          <w:szCs w:val="21"/>
        </w:rPr>
        <w:t>，术中见右腋下糜烂仅侵犯表皮及真皮，术后标本可见皮损深处有副乳腺组织，与乳腺尾状叶分离，右侧腋下有肿大淋巴结。</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病理结果：</w:t>
      </w:r>
      <w:r>
        <w:rPr>
          <w:rFonts w:ascii="Arial" w:hAnsi="Arial" w:cs="Arial"/>
          <w:color w:val="333333"/>
          <w:sz w:val="21"/>
          <w:szCs w:val="21"/>
        </w:rPr>
        <w:t>符合副乳腺导管原位癌</w:t>
      </w:r>
      <w:r>
        <w:rPr>
          <w:rFonts w:ascii="Arial" w:hAnsi="Arial" w:cs="Arial"/>
          <w:color w:val="333333"/>
          <w:sz w:val="21"/>
          <w:szCs w:val="21"/>
        </w:rPr>
        <w:t>(</w:t>
      </w:r>
      <w:r>
        <w:rPr>
          <w:rFonts w:ascii="Arial" w:hAnsi="Arial" w:cs="Arial"/>
          <w:color w:val="333333"/>
          <w:sz w:val="21"/>
          <w:szCs w:val="21"/>
        </w:rPr>
        <w:t>高级别</w:t>
      </w:r>
      <w:r>
        <w:rPr>
          <w:rFonts w:ascii="Arial" w:hAnsi="Arial" w:cs="Arial"/>
          <w:color w:val="333333"/>
          <w:sz w:val="21"/>
          <w:szCs w:val="21"/>
        </w:rPr>
        <w:t>)</w:t>
      </w:r>
      <w:r>
        <w:rPr>
          <w:rFonts w:ascii="Arial" w:hAnsi="Arial" w:cs="Arial"/>
          <w:color w:val="333333"/>
          <w:sz w:val="21"/>
          <w:szCs w:val="21"/>
        </w:rPr>
        <w:t>伴派杰氏病</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，少量慢性炎性细胞浸润，腋窝淋巴结</w:t>
      </w:r>
      <w:r>
        <w:rPr>
          <w:rFonts w:ascii="Arial" w:hAnsi="Arial" w:cs="Arial"/>
          <w:color w:val="333333"/>
          <w:sz w:val="21"/>
          <w:szCs w:val="21"/>
        </w:rPr>
        <w:t>(12</w:t>
      </w:r>
      <w:r>
        <w:rPr>
          <w:rFonts w:ascii="Arial" w:hAnsi="Arial" w:cs="Arial"/>
          <w:color w:val="333333"/>
          <w:sz w:val="21"/>
          <w:szCs w:val="21"/>
        </w:rPr>
        <w:t>枚</w:t>
      </w:r>
      <w:r>
        <w:rPr>
          <w:rFonts w:ascii="Arial" w:hAnsi="Arial" w:cs="Arial"/>
          <w:color w:val="333333"/>
          <w:sz w:val="21"/>
          <w:szCs w:val="21"/>
        </w:rPr>
        <w:t>)</w:t>
      </w:r>
      <w:r>
        <w:rPr>
          <w:rFonts w:ascii="Arial" w:hAnsi="Arial" w:cs="Arial"/>
          <w:color w:val="333333"/>
          <w:sz w:val="21"/>
          <w:szCs w:val="21"/>
        </w:rPr>
        <w:t>淋巴组织增生，未见肿瘤组织。免疫组化：</w:t>
      </w:r>
      <w:r>
        <w:rPr>
          <w:rFonts w:ascii="Arial" w:hAnsi="Arial" w:cs="Arial"/>
          <w:color w:val="333333"/>
          <w:sz w:val="21"/>
          <w:szCs w:val="21"/>
        </w:rPr>
        <w:t>ER</w:t>
      </w:r>
      <w:r>
        <w:rPr>
          <w:rFonts w:ascii="Arial" w:hAnsi="Arial" w:cs="Arial"/>
          <w:color w:val="333333"/>
          <w:sz w:val="21"/>
          <w:szCs w:val="21"/>
        </w:rPr>
        <w:t>和</w:t>
      </w:r>
      <w:r>
        <w:rPr>
          <w:rFonts w:ascii="Arial" w:hAnsi="Arial" w:cs="Arial"/>
          <w:color w:val="333333"/>
          <w:sz w:val="21"/>
          <w:szCs w:val="21"/>
        </w:rPr>
        <w:t>PR</w:t>
      </w:r>
      <w:r>
        <w:rPr>
          <w:rFonts w:ascii="Arial" w:hAnsi="Arial" w:cs="Arial"/>
          <w:color w:val="333333"/>
          <w:sz w:val="21"/>
          <w:szCs w:val="21"/>
        </w:rPr>
        <w:t>均为</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。术后未予以化疗、放疗及内分泌治疗。术后随访</w:t>
      </w:r>
      <w:r>
        <w:rPr>
          <w:rFonts w:ascii="Arial" w:hAnsi="Arial" w:cs="Arial"/>
          <w:color w:val="333333"/>
          <w:sz w:val="21"/>
          <w:szCs w:val="21"/>
        </w:rPr>
        <w:t>2</w:t>
      </w:r>
      <w:r>
        <w:rPr>
          <w:rFonts w:ascii="Arial" w:hAnsi="Arial" w:cs="Arial"/>
          <w:color w:val="333333"/>
          <w:sz w:val="21"/>
          <w:szCs w:val="21"/>
        </w:rPr>
        <w:t>个月，局部伤口愈合良好，未发现转移、复发的症状。</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86275" cy="3743325"/>
            <wp:effectExtent l="0" t="0" r="9525" b="9525"/>
            <wp:docPr id="3" name="图片 3" descr="http://www.fmtoa.com/ueditor/php/upload/image/20171105/1509847649973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mtoa.com/ueditor/php/upload/image/20171105/15098476499736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743325"/>
                    </a:xfrm>
                    <a:prstGeom prst="rect">
                      <a:avLst/>
                    </a:prstGeom>
                    <a:noFill/>
                    <a:ln>
                      <a:noFill/>
                    </a:ln>
                  </pic:spPr>
                </pic:pic>
              </a:graphicData>
            </a:graphic>
          </wp:inline>
        </w:drawing>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1</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2800350" cy="2000250"/>
            <wp:effectExtent l="0" t="0" r="0" b="0"/>
            <wp:docPr id="2" name="图片 2" descr="http://www.fmtoa.com/ueditor/php/upload/image/20171105/1509847649177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mtoa.com/ueditor/php/upload/image/20171105/15098476491772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r>
        <w:rPr>
          <w:rFonts w:ascii="Arial" w:hAnsi="Arial" w:cs="Arial"/>
          <w:noProof/>
          <w:color w:val="333333"/>
          <w:sz w:val="21"/>
          <w:szCs w:val="21"/>
        </w:rPr>
        <w:drawing>
          <wp:inline distT="0" distB="0" distL="0" distR="0">
            <wp:extent cx="2800350" cy="2000250"/>
            <wp:effectExtent l="0" t="0" r="0" b="0"/>
            <wp:docPr id="1" name="图片 1" descr="http://www.fmtoa.com/ueditor/php/upload/image/20171105/1509847650151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mtoa.com/ueditor/php/upload/image/20171105/15098476501514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2</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b/>
          <w:bCs/>
          <w:color w:val="C00000"/>
          <w:sz w:val="21"/>
          <w:szCs w:val="21"/>
        </w:rPr>
        <w:lastRenderedPageBreak/>
        <w:br/>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C00000"/>
          <w:sz w:val="21"/>
          <w:szCs w:val="21"/>
        </w:rPr>
        <w:t>问题思考：</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b/>
          <w:bCs/>
          <w:color w:val="000000"/>
          <w:sz w:val="21"/>
          <w:szCs w:val="21"/>
        </w:rPr>
        <w:br/>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000000"/>
          <w:sz w:val="21"/>
          <w:szCs w:val="21"/>
        </w:rPr>
        <w:t>本病例误诊时间较长，皮损面积较大，但是为什么未出现淋巴结转移及全身其他部位的转移？</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b/>
          <w:bCs/>
          <w:color w:val="C00000"/>
          <w:sz w:val="21"/>
          <w:szCs w:val="21"/>
        </w:rPr>
        <w:br/>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C00000"/>
          <w:sz w:val="21"/>
          <w:szCs w:val="21"/>
        </w:rPr>
        <w:t>讨论</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副乳腺派杰氏病是一种极为特殊的乳腺外派杰氏病</w:t>
      </w:r>
      <w:r>
        <w:rPr>
          <w:rFonts w:ascii="Arial" w:hAnsi="Arial" w:cs="Arial"/>
          <w:color w:val="333333"/>
          <w:sz w:val="21"/>
          <w:szCs w:val="21"/>
        </w:rPr>
        <w:t>(extramammaryPaget’sdisease</w:t>
      </w:r>
      <w:r>
        <w:rPr>
          <w:rFonts w:ascii="Arial" w:hAnsi="Arial" w:cs="Arial"/>
          <w:color w:val="333333"/>
          <w:sz w:val="21"/>
          <w:szCs w:val="21"/>
        </w:rPr>
        <w:t>，</w:t>
      </w:r>
      <w:r>
        <w:rPr>
          <w:rFonts w:ascii="Arial" w:hAnsi="Arial" w:cs="Arial"/>
          <w:color w:val="333333"/>
          <w:sz w:val="21"/>
          <w:szCs w:val="21"/>
        </w:rPr>
        <w:t>EMPD)</w:t>
      </w:r>
      <w:r>
        <w:rPr>
          <w:rFonts w:ascii="Arial" w:hAnsi="Arial" w:cs="Arial"/>
          <w:color w:val="333333"/>
          <w:sz w:val="21"/>
          <w:szCs w:val="21"/>
        </w:rPr>
        <w:t>。</w:t>
      </w:r>
      <w:r>
        <w:rPr>
          <w:rFonts w:ascii="Arial" w:hAnsi="Arial" w:cs="Arial"/>
          <w:color w:val="333333"/>
          <w:sz w:val="21"/>
          <w:szCs w:val="21"/>
        </w:rPr>
        <w:t>1889</w:t>
      </w:r>
      <w:r>
        <w:rPr>
          <w:rFonts w:ascii="Arial" w:hAnsi="Arial" w:cs="Arial"/>
          <w:color w:val="333333"/>
          <w:sz w:val="21"/>
          <w:szCs w:val="21"/>
        </w:rPr>
        <w:t>年</w:t>
      </w:r>
      <w:r>
        <w:rPr>
          <w:rFonts w:ascii="Arial" w:hAnsi="Arial" w:cs="Arial"/>
          <w:color w:val="333333"/>
          <w:sz w:val="21"/>
          <w:szCs w:val="21"/>
        </w:rPr>
        <w:t>Crocker</w:t>
      </w:r>
      <w:r>
        <w:rPr>
          <w:rFonts w:ascii="Arial" w:hAnsi="Arial" w:cs="Arial"/>
          <w:color w:val="333333"/>
          <w:sz w:val="21"/>
          <w:szCs w:val="21"/>
        </w:rPr>
        <w:t>报道了首例累及阴囊和阴茎的乳腺外派杰氏病，而副乳腺派杰氏病鲜见文献报道。</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病因</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与乳腺癌一样，</w:t>
      </w:r>
      <w:r>
        <w:rPr>
          <w:rFonts w:ascii="Arial" w:hAnsi="Arial" w:cs="Arial"/>
          <w:color w:val="333333"/>
          <w:sz w:val="21"/>
          <w:szCs w:val="21"/>
        </w:rPr>
        <w:t>EMPD</w:t>
      </w:r>
      <w:r>
        <w:rPr>
          <w:rFonts w:ascii="Arial" w:hAnsi="Arial" w:cs="Arial"/>
          <w:color w:val="333333"/>
          <w:sz w:val="21"/>
          <w:szCs w:val="21"/>
        </w:rPr>
        <w:t>的病因尚无统一的定论。副乳腺由乳腺组织构成，任何能引起乳腺派杰氏病的原因均可导致副乳腺派杰氏病。有学者认为副乳腺可能更容易受致癌基因的影响，在内外环境同时作用下更易引发乳腺癌。大汗腺和小汗腺导管及腺体细胞、多能干细胞的表皮干细胞以及</w:t>
      </w:r>
      <w:r>
        <w:rPr>
          <w:rFonts w:ascii="Arial" w:hAnsi="Arial" w:cs="Arial"/>
          <w:color w:val="333333"/>
          <w:sz w:val="21"/>
          <w:szCs w:val="21"/>
        </w:rPr>
        <w:t>Toker</w:t>
      </w:r>
      <w:r>
        <w:rPr>
          <w:rFonts w:ascii="Arial" w:hAnsi="Arial" w:cs="Arial"/>
          <w:color w:val="333333"/>
          <w:sz w:val="21"/>
          <w:szCs w:val="21"/>
        </w:rPr>
        <w:t>细胞都可能是</w:t>
      </w:r>
      <w:r>
        <w:rPr>
          <w:rFonts w:ascii="Arial" w:hAnsi="Arial" w:cs="Arial"/>
          <w:color w:val="333333"/>
          <w:sz w:val="21"/>
          <w:szCs w:val="21"/>
        </w:rPr>
        <w:t>EMPD</w:t>
      </w:r>
      <w:r>
        <w:rPr>
          <w:rFonts w:ascii="Arial" w:hAnsi="Arial" w:cs="Arial"/>
          <w:color w:val="333333"/>
          <w:sz w:val="21"/>
          <w:szCs w:val="21"/>
        </w:rPr>
        <w:t>的起源细胞。也有实验证明派杰氏病可能与人类</w:t>
      </w:r>
      <w:r>
        <w:rPr>
          <w:rFonts w:ascii="Arial" w:hAnsi="Arial" w:cs="Arial"/>
          <w:color w:val="333333"/>
          <w:sz w:val="21"/>
          <w:szCs w:val="21"/>
        </w:rPr>
        <w:t>X</w:t>
      </w:r>
      <w:r>
        <w:rPr>
          <w:rFonts w:ascii="Arial" w:hAnsi="Arial" w:cs="Arial"/>
          <w:color w:val="333333"/>
          <w:sz w:val="21"/>
          <w:szCs w:val="21"/>
        </w:rPr>
        <w:t>射线交叉互补修复基因</w:t>
      </w:r>
      <w:r>
        <w:rPr>
          <w:rFonts w:ascii="Arial" w:hAnsi="Arial" w:cs="Arial"/>
          <w:color w:val="333333"/>
          <w:sz w:val="21"/>
          <w:szCs w:val="21"/>
        </w:rPr>
        <w:t>1Arg194Trp</w:t>
      </w:r>
      <w:r>
        <w:rPr>
          <w:rFonts w:ascii="Arial" w:hAnsi="Arial" w:cs="Arial"/>
          <w:color w:val="333333"/>
          <w:sz w:val="21"/>
          <w:szCs w:val="21"/>
        </w:rPr>
        <w:t>多态性有关。更多的专家则认为本病源自乳腺原位癌或浸润性导管癌。</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临床表现</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EMPD</w:t>
      </w:r>
      <w:r>
        <w:rPr>
          <w:rFonts w:ascii="Arial" w:hAnsi="Arial" w:cs="Arial"/>
          <w:color w:val="333333"/>
          <w:sz w:val="21"/>
          <w:szCs w:val="21"/>
        </w:rPr>
        <w:t>在临床上有以下特点：</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发病率极低，好发于中老年人，如本病例发病时为</w:t>
      </w:r>
      <w:r>
        <w:rPr>
          <w:rFonts w:ascii="Arial" w:hAnsi="Arial" w:cs="Arial"/>
          <w:color w:val="333333"/>
          <w:sz w:val="21"/>
          <w:szCs w:val="21"/>
        </w:rPr>
        <w:t>45</w:t>
      </w:r>
      <w:r>
        <w:rPr>
          <w:rFonts w:ascii="Arial" w:hAnsi="Arial" w:cs="Arial"/>
          <w:color w:val="333333"/>
          <w:sz w:val="21"/>
          <w:szCs w:val="21"/>
        </w:rPr>
        <w:t>岁。</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病史长，病情发展缓慢，临床上极易被误诊而耽误最佳治疗时机。</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临床表现为局部皮肤增厚，有时色素沉着、湿疹、红斑或不规则边界结痂病变，病灶表面有少量血性渗出，疼痛或发痒的症状明显。早期红肿可能会被误诊为湿疹或其他一些炎症而被延误治疗；后期</w:t>
      </w:r>
      <w:r>
        <w:rPr>
          <w:rFonts w:ascii="Arial" w:hAnsi="Arial" w:cs="Arial"/>
          <w:color w:val="333333"/>
          <w:sz w:val="21"/>
          <w:szCs w:val="21"/>
        </w:rPr>
        <w:t>EMPD</w:t>
      </w:r>
      <w:r>
        <w:rPr>
          <w:rFonts w:ascii="Arial" w:hAnsi="Arial" w:cs="Arial"/>
          <w:color w:val="333333"/>
          <w:sz w:val="21"/>
          <w:szCs w:val="21"/>
        </w:rPr>
        <w:t>继续进展，可能会导致病变面积扩大，发生糜烂，出现浆液性及血性分泌物，一般边界较清楚，形态不规则。</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鉴别诊断</w:t>
      </w:r>
      <w:bookmarkStart w:id="0" w:name="_GoBack"/>
      <w:bookmarkEnd w:id="0"/>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副乳腺派杰氏病主要是通过皮损的位置及病理结果与其他疾病相鉴别。该病例的皮损位于腋下，在手术切除的标本中能比较明显的区别出副乳腺，与乳腺无联系，并且皮肤糜烂仅侵犯表皮及真皮层，病理结果提示副乳腺导管原位癌伴派杰氏病，镜下可见大量的乳腺小叶组织及腺管结构。</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同时需要鉴别：</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同侧乳腺来源的肿瘤，特别是乳腺尾状叶肿瘤</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lastRenderedPageBreak/>
        <w:t>◇</w:t>
      </w:r>
      <w:r>
        <w:rPr>
          <w:rFonts w:ascii="Arial" w:hAnsi="Arial" w:cs="Arial"/>
          <w:color w:val="333333"/>
          <w:sz w:val="21"/>
          <w:szCs w:val="21"/>
        </w:rPr>
        <w:t>其他肿瘤的腋窝淋巴结转移，并向外生长</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微软雅黑" w:eastAsia="微软雅黑" w:hAnsi="微软雅黑" w:cs="微软雅黑" w:hint="eastAsia"/>
          <w:color w:val="333333"/>
          <w:sz w:val="21"/>
          <w:szCs w:val="21"/>
        </w:rPr>
        <w:t>◇</w:t>
      </w:r>
      <w:r>
        <w:rPr>
          <w:rFonts w:ascii="Arial" w:hAnsi="Arial" w:cs="Arial"/>
          <w:color w:val="333333"/>
          <w:sz w:val="21"/>
          <w:szCs w:val="21"/>
        </w:rPr>
        <w:t>皮肤来源的肿瘤</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前者的鉴别主要采用乳腺大体解剖和镜下结构，以及术前辅助检查，后两者的鉴别则通过病理检查。病理结果：病灶中存在特异的</w:t>
      </w:r>
      <w:r>
        <w:rPr>
          <w:rFonts w:ascii="Arial" w:hAnsi="Arial" w:cs="Arial"/>
          <w:color w:val="333333"/>
          <w:sz w:val="21"/>
          <w:szCs w:val="21"/>
        </w:rPr>
        <w:t>Paget’s</w:t>
      </w:r>
      <w:r>
        <w:rPr>
          <w:rFonts w:ascii="Arial" w:hAnsi="Arial" w:cs="Arial"/>
          <w:color w:val="333333"/>
          <w:sz w:val="21"/>
          <w:szCs w:val="21"/>
        </w:rPr>
        <w:t>细胞，细胞较大，多形性，核深染，核仁明显但也不突出，淡染的细胞质中往往有黏液性表皮细胞入侵，细胞质中也可能含有黑色素。该细胞单个散在或成簇状，存在于上皮的基底层和深棘层内，亦可伸至上皮表层或毛囊鞘的外层以及汗腺导管和皮脂腺的上皮内。</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Style w:val="a8"/>
          <w:rFonts w:ascii="Arial" w:hAnsi="Arial" w:cs="Arial"/>
          <w:color w:val="333333"/>
          <w:sz w:val="21"/>
          <w:szCs w:val="21"/>
        </w:rPr>
        <w:t>治疗</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有关派杰氏病的治疗，《</w:t>
      </w:r>
      <w:r>
        <w:rPr>
          <w:rFonts w:ascii="Arial" w:hAnsi="Arial" w:cs="Arial"/>
          <w:color w:val="333333"/>
          <w:sz w:val="21"/>
          <w:szCs w:val="21"/>
        </w:rPr>
        <w:t>NCCN</w:t>
      </w:r>
      <w:r>
        <w:rPr>
          <w:rFonts w:ascii="Arial" w:hAnsi="Arial" w:cs="Arial"/>
          <w:color w:val="333333"/>
          <w:sz w:val="21"/>
          <w:szCs w:val="21"/>
        </w:rPr>
        <w:t>乳腺癌临床实践指南》</w:t>
      </w:r>
      <w:r>
        <w:rPr>
          <w:rFonts w:ascii="Arial" w:hAnsi="Arial" w:cs="Arial"/>
          <w:color w:val="333333"/>
          <w:sz w:val="21"/>
          <w:szCs w:val="21"/>
        </w:rPr>
        <w:t>(2011</w:t>
      </w:r>
      <w:r>
        <w:rPr>
          <w:rFonts w:ascii="Arial" w:hAnsi="Arial" w:cs="Arial"/>
          <w:color w:val="333333"/>
          <w:sz w:val="21"/>
          <w:szCs w:val="21"/>
        </w:rPr>
        <w:t>版</w:t>
      </w:r>
      <w:r>
        <w:rPr>
          <w:rFonts w:ascii="Arial" w:hAnsi="Arial" w:cs="Arial"/>
          <w:color w:val="333333"/>
          <w:sz w:val="21"/>
          <w:szCs w:val="21"/>
        </w:rPr>
        <w:t>)</w:t>
      </w:r>
      <w:r>
        <w:rPr>
          <w:rFonts w:ascii="Arial" w:hAnsi="Arial" w:cs="Arial"/>
          <w:color w:val="333333"/>
          <w:sz w:val="21"/>
          <w:szCs w:val="21"/>
        </w:rPr>
        <w:t>已明确指出：确诊后行全乳切除</w:t>
      </w:r>
      <w:r>
        <w:rPr>
          <w:rFonts w:ascii="Arial" w:hAnsi="Arial" w:cs="Arial"/>
          <w:color w:val="333333"/>
          <w:sz w:val="21"/>
          <w:szCs w:val="21"/>
        </w:rPr>
        <w:t>±</w:t>
      </w:r>
      <w:r>
        <w:rPr>
          <w:rFonts w:ascii="Arial" w:hAnsi="Arial" w:cs="Arial"/>
          <w:color w:val="333333"/>
          <w:sz w:val="21"/>
          <w:szCs w:val="21"/>
        </w:rPr>
        <w:t>腋窝淋巴结清扫</w:t>
      </w:r>
      <w:r>
        <w:rPr>
          <w:rFonts w:ascii="Arial" w:hAnsi="Arial" w:cs="Arial"/>
          <w:color w:val="333333"/>
          <w:sz w:val="21"/>
          <w:szCs w:val="21"/>
        </w:rPr>
        <w:t>(</w:t>
      </w:r>
      <w:r>
        <w:rPr>
          <w:rFonts w:ascii="Arial" w:hAnsi="Arial" w:cs="Arial"/>
          <w:color w:val="333333"/>
          <w:sz w:val="21"/>
          <w:szCs w:val="21"/>
        </w:rPr>
        <w:t>或行乳腺肿瘤和派杰氏病浸润区切除伴全乳放疗，并考虑进行乳腺及病灶区推量照射</w:t>
      </w:r>
      <w:r>
        <w:rPr>
          <w:rFonts w:ascii="Arial" w:hAnsi="Arial" w:cs="Arial"/>
          <w:color w:val="333333"/>
          <w:sz w:val="21"/>
          <w:szCs w:val="21"/>
        </w:rPr>
        <w:t>)</w:t>
      </w:r>
      <w:r>
        <w:rPr>
          <w:rFonts w:ascii="Arial" w:hAnsi="Arial" w:cs="Arial"/>
          <w:color w:val="333333"/>
          <w:sz w:val="21"/>
          <w:szCs w:val="21"/>
        </w:rPr>
        <w:t>，并根据激素受体情况，选择性使用他莫西芬治疗。</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EMPD</w:t>
      </w:r>
      <w:r>
        <w:rPr>
          <w:rFonts w:ascii="Arial" w:hAnsi="Arial" w:cs="Arial"/>
          <w:color w:val="333333"/>
          <w:sz w:val="21"/>
          <w:szCs w:val="21"/>
        </w:rPr>
        <w:t>是一种极易被误诊、发展较慢的的疾病，根治性切除是</w:t>
      </w:r>
      <w:r>
        <w:rPr>
          <w:rFonts w:ascii="Arial" w:hAnsi="Arial" w:cs="Arial"/>
          <w:color w:val="333333"/>
          <w:sz w:val="21"/>
          <w:szCs w:val="21"/>
        </w:rPr>
        <w:t>EMPD</w:t>
      </w:r>
      <w:r>
        <w:rPr>
          <w:rFonts w:ascii="Arial" w:hAnsi="Arial" w:cs="Arial"/>
          <w:color w:val="333333"/>
          <w:sz w:val="21"/>
          <w:szCs w:val="21"/>
        </w:rPr>
        <w:t>的首选治疗。本例患者皮损面积较大，约为</w:t>
      </w:r>
      <w:r>
        <w:rPr>
          <w:rFonts w:ascii="Arial" w:hAnsi="Arial" w:cs="Arial"/>
          <w:color w:val="333333"/>
          <w:sz w:val="21"/>
          <w:szCs w:val="21"/>
        </w:rPr>
        <w:t>15cm×10cm</w:t>
      </w:r>
      <w:r>
        <w:rPr>
          <w:rFonts w:ascii="Arial" w:hAnsi="Arial" w:cs="Arial"/>
          <w:color w:val="333333"/>
          <w:sz w:val="21"/>
          <w:szCs w:val="21"/>
        </w:rPr>
        <w:t>，术前已有腋窝淋巴结肿大，考虑采用全乳切除、保留乳房表面皮肤并行保留皮瓣遮盖切除的皮损区，同时行腋窝淋巴结清扫。术后病理结果为高级别的副乳腺导管原位癌伴派杰氏病，免疫组化提示</w:t>
      </w:r>
      <w:r>
        <w:rPr>
          <w:rFonts w:ascii="Arial" w:hAnsi="Arial" w:cs="Arial"/>
          <w:color w:val="333333"/>
          <w:sz w:val="21"/>
          <w:szCs w:val="21"/>
        </w:rPr>
        <w:t>ER(</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PR(</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，故患者未接受相应的全身辅助治疗</w:t>
      </w:r>
      <w:r>
        <w:rPr>
          <w:rFonts w:ascii="Arial" w:hAnsi="Arial" w:cs="Arial"/>
          <w:color w:val="333333"/>
          <w:sz w:val="21"/>
          <w:szCs w:val="21"/>
        </w:rPr>
        <w:t>(</w:t>
      </w:r>
      <w:r>
        <w:rPr>
          <w:rFonts w:ascii="Arial" w:hAnsi="Arial" w:cs="Arial"/>
          <w:color w:val="333333"/>
          <w:sz w:val="21"/>
          <w:szCs w:val="21"/>
        </w:rPr>
        <w:t>包括化学治疗和内分泌治疗</w:t>
      </w:r>
      <w:r>
        <w:rPr>
          <w:rFonts w:ascii="Arial" w:hAnsi="Arial" w:cs="Arial"/>
          <w:color w:val="333333"/>
          <w:sz w:val="21"/>
          <w:szCs w:val="21"/>
        </w:rPr>
        <w:t>)</w:t>
      </w:r>
      <w:r>
        <w:rPr>
          <w:rFonts w:ascii="Arial" w:hAnsi="Arial" w:cs="Arial"/>
          <w:color w:val="333333"/>
          <w:sz w:val="21"/>
          <w:szCs w:val="21"/>
        </w:rPr>
        <w:t>。局部未发现转移淋巴结，也无需采用进一步的局部治疗</w:t>
      </w:r>
      <w:r>
        <w:rPr>
          <w:rFonts w:ascii="Arial" w:hAnsi="Arial" w:cs="Arial"/>
          <w:color w:val="333333"/>
          <w:sz w:val="21"/>
          <w:szCs w:val="21"/>
        </w:rPr>
        <w:t>(</w:t>
      </w:r>
      <w:r>
        <w:rPr>
          <w:rFonts w:ascii="Arial" w:hAnsi="Arial" w:cs="Arial"/>
          <w:color w:val="333333"/>
          <w:sz w:val="21"/>
          <w:szCs w:val="21"/>
        </w:rPr>
        <w:t>放射治疗</w:t>
      </w:r>
      <w:r>
        <w:rPr>
          <w:rFonts w:ascii="Arial" w:hAnsi="Arial" w:cs="Arial"/>
          <w:color w:val="333333"/>
          <w:sz w:val="21"/>
          <w:szCs w:val="21"/>
        </w:rPr>
        <w:t>)</w:t>
      </w:r>
      <w:r>
        <w:rPr>
          <w:rFonts w:ascii="Arial" w:hAnsi="Arial" w:cs="Arial"/>
          <w:color w:val="333333"/>
          <w:sz w:val="21"/>
          <w:szCs w:val="21"/>
        </w:rPr>
        <w:t>。</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 </w:t>
      </w:r>
    </w:p>
    <w:p w:rsidR="00B161FF" w:rsidRDefault="00B161FF" w:rsidP="00B161FF">
      <w:pPr>
        <w:pStyle w:val="a7"/>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临床研究表明，仅侵犯表皮内的</w:t>
      </w:r>
      <w:r>
        <w:rPr>
          <w:rFonts w:ascii="Arial" w:hAnsi="Arial" w:cs="Arial"/>
          <w:color w:val="333333"/>
          <w:sz w:val="21"/>
          <w:szCs w:val="21"/>
        </w:rPr>
        <w:t>EMPD</w:t>
      </w:r>
      <w:r>
        <w:rPr>
          <w:rFonts w:ascii="Arial" w:hAnsi="Arial" w:cs="Arial"/>
          <w:color w:val="333333"/>
          <w:sz w:val="21"/>
          <w:szCs w:val="21"/>
        </w:rPr>
        <w:t>患者，预后良好；临床存在的原发灶，区域淋巴结受累，有真皮浸润的结节是预后不良的指标。此外，还有一些其他的治疗方式如</w:t>
      </w:r>
      <w:r>
        <w:rPr>
          <w:rFonts w:ascii="Arial" w:hAnsi="Arial" w:cs="Arial"/>
          <w:color w:val="333333"/>
          <w:sz w:val="21"/>
          <w:szCs w:val="21"/>
        </w:rPr>
        <w:t>CO2</w:t>
      </w:r>
      <w:r>
        <w:rPr>
          <w:rFonts w:ascii="Arial" w:hAnsi="Arial" w:cs="Arial"/>
          <w:color w:val="333333"/>
          <w:sz w:val="21"/>
          <w:szCs w:val="21"/>
        </w:rPr>
        <w:t>和</w:t>
      </w:r>
      <w:r>
        <w:rPr>
          <w:rFonts w:ascii="Arial" w:hAnsi="Arial" w:cs="Arial"/>
          <w:color w:val="333333"/>
          <w:sz w:val="21"/>
          <w:szCs w:val="21"/>
        </w:rPr>
        <w:t>Nd:YAG</w:t>
      </w:r>
      <w:r>
        <w:rPr>
          <w:rFonts w:ascii="Arial" w:hAnsi="Arial" w:cs="Arial"/>
          <w:color w:val="333333"/>
          <w:sz w:val="21"/>
          <w:szCs w:val="21"/>
        </w:rPr>
        <w:t>激光器和光动力疗法也可帮助治疗。</w:t>
      </w:r>
    </w:p>
    <w:p w:rsidR="00353068" w:rsidRPr="00B161FF" w:rsidRDefault="002868E9"/>
    <w:sectPr w:rsidR="00353068" w:rsidRPr="00B16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8E9" w:rsidRDefault="002868E9" w:rsidP="00B161FF">
      <w:r>
        <w:separator/>
      </w:r>
    </w:p>
  </w:endnote>
  <w:endnote w:type="continuationSeparator" w:id="0">
    <w:p w:rsidR="002868E9" w:rsidRDefault="002868E9" w:rsidP="00B16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8E9" w:rsidRDefault="002868E9" w:rsidP="00B161FF">
      <w:r>
        <w:separator/>
      </w:r>
    </w:p>
  </w:footnote>
  <w:footnote w:type="continuationSeparator" w:id="0">
    <w:p w:rsidR="002868E9" w:rsidRDefault="002868E9" w:rsidP="00B16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3B"/>
    <w:rsid w:val="002868E9"/>
    <w:rsid w:val="00B161FF"/>
    <w:rsid w:val="00DF2EFC"/>
    <w:rsid w:val="00EB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3E9284-7111-4900-9FAC-38946BE8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1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1FF"/>
    <w:rPr>
      <w:sz w:val="18"/>
      <w:szCs w:val="18"/>
    </w:rPr>
  </w:style>
  <w:style w:type="paragraph" w:styleId="a5">
    <w:name w:val="footer"/>
    <w:basedOn w:val="a"/>
    <w:link w:val="a6"/>
    <w:uiPriority w:val="99"/>
    <w:unhideWhenUsed/>
    <w:rsid w:val="00B161FF"/>
    <w:pPr>
      <w:tabs>
        <w:tab w:val="center" w:pos="4153"/>
        <w:tab w:val="right" w:pos="8306"/>
      </w:tabs>
      <w:snapToGrid w:val="0"/>
      <w:jc w:val="left"/>
    </w:pPr>
    <w:rPr>
      <w:sz w:val="18"/>
      <w:szCs w:val="18"/>
    </w:rPr>
  </w:style>
  <w:style w:type="character" w:customStyle="1" w:styleId="a6">
    <w:name w:val="页脚 字符"/>
    <w:basedOn w:val="a0"/>
    <w:link w:val="a5"/>
    <w:uiPriority w:val="99"/>
    <w:rsid w:val="00B161FF"/>
    <w:rPr>
      <w:sz w:val="18"/>
      <w:szCs w:val="18"/>
    </w:rPr>
  </w:style>
  <w:style w:type="paragraph" w:styleId="a7">
    <w:name w:val="Normal (Web)"/>
    <w:basedOn w:val="a"/>
    <w:uiPriority w:val="99"/>
    <w:semiHidden/>
    <w:unhideWhenUsed/>
    <w:rsid w:val="00B161F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longfei xiao</dc:creator>
  <cp:keywords/>
  <dc:description/>
  <cp:lastModifiedBy>longfei xiao</cp:lastModifiedBy>
  <cp:revision>2</cp:revision>
  <dcterms:created xsi:type="dcterms:W3CDTF">2017-11-05T03:30:00Z</dcterms:created>
  <dcterms:modified xsi:type="dcterms:W3CDTF">2017-11-05T03:30:00Z</dcterms:modified>
</cp:coreProperties>
</file>