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E6A" w:rsidRDefault="00DB3E6A" w:rsidP="00DB3E6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C00000"/>
        </w:rPr>
        <w:t>病例简介</w:t>
      </w:r>
    </w:p>
    <w:p w:rsidR="00DB3E6A" w:rsidRDefault="00DB3E6A" w:rsidP="00DB3E6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患者男性，</w:t>
      </w:r>
      <w:r>
        <w:rPr>
          <w:rFonts w:ascii="Arial" w:hAnsi="Arial" w:cs="Arial"/>
          <w:color w:val="333333"/>
          <w:sz w:val="21"/>
          <w:szCs w:val="21"/>
        </w:rPr>
        <w:t>79</w:t>
      </w:r>
      <w:r>
        <w:rPr>
          <w:rFonts w:cs="Arial" w:hint="eastAsia"/>
          <w:color w:val="333333"/>
          <w:sz w:val="21"/>
          <w:szCs w:val="21"/>
        </w:rPr>
        <w:t>岁。患者于</w:t>
      </w:r>
      <w:r>
        <w:rPr>
          <w:rFonts w:ascii="Arial" w:hAnsi="Arial" w:cs="Arial"/>
          <w:color w:val="333333"/>
          <w:sz w:val="21"/>
          <w:szCs w:val="21"/>
        </w:rPr>
        <w:t>2014</w:t>
      </w:r>
      <w:r>
        <w:rPr>
          <w:rFonts w:cs="Arial" w:hint="eastAsia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cs="Arial" w:hint="eastAsia"/>
          <w:color w:val="333333"/>
          <w:sz w:val="21"/>
          <w:szCs w:val="21"/>
        </w:rPr>
        <w:t>月无意中发现左颈部一花生米大小肿物，无疼痛，无发热、咳嗽、咯血、胸痛、气短。</w:t>
      </w:r>
    </w:p>
    <w:p w:rsidR="00DB3E6A" w:rsidRDefault="00DB3E6A" w:rsidP="00DB3E6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DB3E6A" w:rsidRDefault="00DB3E6A" w:rsidP="00DB3E6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2014</w:t>
      </w:r>
      <w:r>
        <w:rPr>
          <w:rFonts w:cs="Arial" w:hint="eastAsia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cs="Arial" w:hint="eastAsia"/>
          <w:color w:val="333333"/>
          <w:sz w:val="21"/>
          <w:szCs w:val="21"/>
        </w:rPr>
        <w:t>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cs="Arial" w:hint="eastAsia"/>
          <w:color w:val="333333"/>
          <w:sz w:val="21"/>
          <w:szCs w:val="21"/>
        </w:rPr>
        <w:t>日行针吸细胞学检查：伴有恶性细胞。胸部Ｘ线摄片示：左肺病灶。</w:t>
      </w:r>
    </w:p>
    <w:p w:rsidR="00DB3E6A" w:rsidRDefault="00DB3E6A" w:rsidP="00DB3E6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DB3E6A" w:rsidRDefault="00DB3E6A" w:rsidP="00DB3E6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患者于</w:t>
      </w:r>
      <w:r>
        <w:rPr>
          <w:rFonts w:ascii="Arial" w:hAnsi="Arial" w:cs="Arial"/>
          <w:color w:val="333333"/>
          <w:sz w:val="21"/>
          <w:szCs w:val="21"/>
        </w:rPr>
        <w:t>2014</w:t>
      </w:r>
      <w:r>
        <w:rPr>
          <w:rFonts w:cs="Arial" w:hint="eastAsia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cs="Arial" w:hint="eastAsia"/>
          <w:color w:val="333333"/>
          <w:sz w:val="21"/>
          <w:szCs w:val="21"/>
        </w:rPr>
        <w:t>月</w:t>
      </w:r>
      <w:r>
        <w:rPr>
          <w:rFonts w:ascii="Arial" w:hAnsi="Arial" w:cs="Arial"/>
          <w:color w:val="333333"/>
          <w:sz w:val="21"/>
          <w:szCs w:val="21"/>
        </w:rPr>
        <w:t>15</w:t>
      </w:r>
      <w:r>
        <w:rPr>
          <w:rFonts w:cs="Arial" w:hint="eastAsia"/>
          <w:color w:val="333333"/>
          <w:sz w:val="21"/>
          <w:szCs w:val="21"/>
        </w:rPr>
        <w:t>日进一步在西安唐都医院行</w:t>
      </w:r>
      <w:r>
        <w:rPr>
          <w:rStyle w:val="a8"/>
          <w:rFonts w:cs="Arial" w:hint="eastAsia"/>
          <w:color w:val="333333"/>
          <w:sz w:val="21"/>
          <w:szCs w:val="21"/>
        </w:rPr>
        <w:t>胸部</w:t>
      </w:r>
      <w:r>
        <w:rPr>
          <w:rStyle w:val="a8"/>
          <w:rFonts w:ascii="Arial" w:hAnsi="Arial" w:cs="Arial"/>
          <w:color w:val="333333"/>
          <w:sz w:val="21"/>
          <w:szCs w:val="21"/>
        </w:rPr>
        <w:t>CT</w:t>
      </w:r>
      <w:r>
        <w:rPr>
          <w:rStyle w:val="a8"/>
          <w:rFonts w:cs="Arial" w:hint="eastAsia"/>
          <w:color w:val="333333"/>
          <w:sz w:val="21"/>
          <w:szCs w:val="21"/>
        </w:rPr>
        <w:t>检查示</w:t>
      </w:r>
      <w:r>
        <w:rPr>
          <w:rFonts w:cs="Arial" w:hint="eastAsia"/>
          <w:color w:val="333333"/>
          <w:sz w:val="21"/>
          <w:szCs w:val="21"/>
        </w:rPr>
        <w:t>：左肺上叶尖后段占位（最大横截面范围约</w:t>
      </w:r>
      <w:r>
        <w:rPr>
          <w:rFonts w:ascii="Arial" w:hAnsi="Arial" w:cs="Arial"/>
          <w:color w:val="333333"/>
          <w:sz w:val="21"/>
          <w:szCs w:val="21"/>
        </w:rPr>
        <w:t>70px×62.5px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CT</w:t>
      </w:r>
      <w:r>
        <w:rPr>
          <w:rFonts w:cs="Arial" w:hint="eastAsia"/>
          <w:color w:val="333333"/>
          <w:sz w:val="21"/>
          <w:szCs w:val="21"/>
        </w:rPr>
        <w:t>值约</w:t>
      </w:r>
      <w:r>
        <w:rPr>
          <w:rFonts w:ascii="Arial" w:hAnsi="Arial" w:cs="Arial"/>
          <w:color w:val="333333"/>
          <w:sz w:val="21"/>
          <w:szCs w:val="21"/>
        </w:rPr>
        <w:t>33HU</w:t>
      </w:r>
      <w:r>
        <w:rPr>
          <w:rFonts w:cs="Arial" w:hint="eastAsia"/>
          <w:color w:val="333333"/>
          <w:sz w:val="21"/>
          <w:szCs w:val="21"/>
        </w:rPr>
        <w:t>）；双肺多发小结节病灶；左肺门肿大淋巴结转移。</w:t>
      </w:r>
      <w:r>
        <w:rPr>
          <w:rStyle w:val="a8"/>
          <w:rFonts w:ascii="Arial" w:hAnsi="Arial" w:cs="Arial"/>
          <w:color w:val="333333"/>
          <w:sz w:val="21"/>
          <w:szCs w:val="21"/>
        </w:rPr>
        <w:t>ECT</w:t>
      </w:r>
      <w:r>
        <w:rPr>
          <w:rStyle w:val="a8"/>
          <w:rFonts w:cs="Arial" w:hint="eastAsia"/>
          <w:color w:val="333333"/>
          <w:sz w:val="21"/>
          <w:szCs w:val="21"/>
        </w:rPr>
        <w:t>检查示</w:t>
      </w:r>
      <w:r>
        <w:rPr>
          <w:rFonts w:cs="Arial" w:hint="eastAsia"/>
          <w:color w:val="333333"/>
          <w:sz w:val="21"/>
          <w:szCs w:val="21"/>
        </w:rPr>
        <w:t>：第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cs="Arial" w:hint="eastAsia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cs="Arial" w:hint="eastAsia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cs="Arial" w:hint="eastAsia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cs="Arial" w:hint="eastAsia"/>
          <w:color w:val="333333"/>
          <w:sz w:val="21"/>
          <w:szCs w:val="21"/>
        </w:rPr>
        <w:t>胸椎及右肩胛骨多发骨转移。患者既往伴高血压病史２年，服用贝那普利片降压治疗。</w:t>
      </w:r>
    </w:p>
    <w:p w:rsidR="00DB3E6A" w:rsidRDefault="00DB3E6A" w:rsidP="00DB3E6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DB3E6A" w:rsidRDefault="00DB3E6A" w:rsidP="00DB3E6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333333"/>
          <w:sz w:val="21"/>
          <w:szCs w:val="21"/>
        </w:rPr>
        <w:t>最终诊断：</w:t>
      </w:r>
      <w:r>
        <w:rPr>
          <w:rFonts w:cs="Arial" w:hint="eastAsia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cs="Arial" w:hint="eastAsia"/>
          <w:color w:val="333333"/>
          <w:sz w:val="21"/>
          <w:szCs w:val="21"/>
        </w:rPr>
        <w:t>）左肺</w:t>
      </w:r>
      <w:r>
        <w:rPr>
          <w:rFonts w:ascii="Arial" w:hAnsi="Arial" w:cs="Arial"/>
          <w:color w:val="333333"/>
          <w:sz w:val="21"/>
          <w:szCs w:val="21"/>
        </w:rPr>
        <w:t>NSCLC</w:t>
      </w:r>
      <w:r>
        <w:rPr>
          <w:rFonts w:cs="Arial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Ⅳ</w:t>
      </w:r>
      <w:r>
        <w:rPr>
          <w:rFonts w:cs="Arial" w:hint="eastAsia"/>
          <w:color w:val="333333"/>
          <w:sz w:val="21"/>
          <w:szCs w:val="21"/>
        </w:rPr>
        <w:t>期）；（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cs="Arial" w:hint="eastAsia"/>
          <w:color w:val="333333"/>
          <w:sz w:val="21"/>
          <w:szCs w:val="21"/>
        </w:rPr>
        <w:t>）高血压病１级（中危组）。患者拒绝行抗肿瘤治疗。</w:t>
      </w:r>
    </w:p>
    <w:p w:rsidR="00DB3E6A" w:rsidRDefault="00DB3E6A" w:rsidP="00DB3E6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DB3E6A" w:rsidRDefault="00DB3E6A" w:rsidP="00DB3E6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2014</w:t>
      </w:r>
      <w:r>
        <w:rPr>
          <w:rFonts w:cs="Arial" w:hint="eastAsia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cs="Arial" w:hint="eastAsia"/>
          <w:color w:val="333333"/>
          <w:sz w:val="21"/>
          <w:szCs w:val="21"/>
        </w:rPr>
        <w:t>月</w:t>
      </w:r>
      <w:r>
        <w:rPr>
          <w:rFonts w:ascii="Arial" w:hAnsi="Arial" w:cs="Arial"/>
          <w:color w:val="333333"/>
          <w:sz w:val="21"/>
          <w:szCs w:val="21"/>
        </w:rPr>
        <w:t>19</w:t>
      </w:r>
      <w:r>
        <w:rPr>
          <w:rFonts w:cs="Arial" w:hint="eastAsia"/>
          <w:color w:val="333333"/>
          <w:sz w:val="21"/>
          <w:szCs w:val="21"/>
        </w:rPr>
        <w:t>日于我院复查时左颈部肿物消失，胸部</w:t>
      </w:r>
      <w:r>
        <w:rPr>
          <w:rFonts w:ascii="Arial" w:hAnsi="Arial" w:cs="Arial"/>
          <w:color w:val="333333"/>
          <w:sz w:val="21"/>
          <w:szCs w:val="21"/>
        </w:rPr>
        <w:t>CT</w:t>
      </w:r>
      <w:r>
        <w:rPr>
          <w:rFonts w:cs="Arial" w:hint="eastAsia"/>
          <w:color w:val="333333"/>
          <w:sz w:val="21"/>
          <w:szCs w:val="21"/>
        </w:rPr>
        <w:t>检查示：左肺上叶及左肺门病灶略增大，双肺多发小结节病灶增大。</w:t>
      </w:r>
      <w:r>
        <w:rPr>
          <w:rFonts w:ascii="Arial" w:hAnsi="Arial" w:cs="Arial"/>
          <w:color w:val="333333"/>
          <w:sz w:val="21"/>
          <w:szCs w:val="21"/>
        </w:rPr>
        <w:t>CA 199  55.91 U/ml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CA 125  43U/ml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CEA 31.21ng/ml</w:t>
      </w:r>
      <w:r>
        <w:rPr>
          <w:rFonts w:cs="Arial" w:hint="eastAsia"/>
          <w:color w:val="333333"/>
          <w:sz w:val="21"/>
          <w:szCs w:val="21"/>
        </w:rPr>
        <w:t>。因患者拒绝化疗，予以国产</w:t>
      </w:r>
      <w:r>
        <w:rPr>
          <w:rFonts w:ascii="Arial" w:hAnsi="Arial" w:cs="Arial"/>
          <w:color w:val="333333"/>
          <w:sz w:val="21"/>
          <w:szCs w:val="21"/>
        </w:rPr>
        <w:t>EGFR-TKI</w:t>
      </w:r>
      <w:r>
        <w:rPr>
          <w:rFonts w:cs="Arial" w:hint="eastAsia"/>
          <w:color w:val="333333"/>
          <w:sz w:val="21"/>
          <w:szCs w:val="21"/>
        </w:rPr>
        <w:t>药物埃克替尼治疗。</w:t>
      </w:r>
    </w:p>
    <w:p w:rsidR="00DB3E6A" w:rsidRDefault="00DB3E6A" w:rsidP="00DB3E6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DB3E6A" w:rsidRDefault="00DB3E6A" w:rsidP="00DB3E6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9</w:t>
      </w:r>
      <w:r>
        <w:rPr>
          <w:rFonts w:cs="Arial" w:hint="eastAsia"/>
          <w:color w:val="333333"/>
          <w:sz w:val="21"/>
          <w:szCs w:val="21"/>
        </w:rPr>
        <w:t>月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cs="Arial" w:hint="eastAsia"/>
          <w:color w:val="333333"/>
          <w:sz w:val="21"/>
          <w:szCs w:val="21"/>
        </w:rPr>
        <w:t>日复查</w:t>
      </w:r>
      <w:r>
        <w:rPr>
          <w:rFonts w:ascii="Arial" w:hAnsi="Arial" w:cs="Arial"/>
          <w:color w:val="333333"/>
          <w:sz w:val="21"/>
          <w:szCs w:val="21"/>
        </w:rPr>
        <w:t>CT</w:t>
      </w:r>
      <w:r>
        <w:rPr>
          <w:rFonts w:cs="Arial" w:hint="eastAsia"/>
          <w:color w:val="333333"/>
          <w:sz w:val="21"/>
          <w:szCs w:val="21"/>
        </w:rPr>
        <w:t>示：左肺上叶病灶缩小（最大横截面范围约</w:t>
      </w:r>
      <w:r>
        <w:rPr>
          <w:rFonts w:ascii="Arial" w:hAnsi="Arial" w:cs="Arial"/>
          <w:color w:val="333333"/>
          <w:sz w:val="21"/>
          <w:szCs w:val="21"/>
        </w:rPr>
        <w:t>60.25px×40.5px</w:t>
      </w:r>
      <w:r>
        <w:rPr>
          <w:rFonts w:cs="Arial" w:hint="eastAsia"/>
          <w:color w:val="333333"/>
          <w:sz w:val="21"/>
          <w:szCs w:val="21"/>
        </w:rPr>
        <w:t>），左肺门及双肺小结节病灶缩小、消失，</w:t>
      </w:r>
      <w:r>
        <w:rPr>
          <w:rFonts w:ascii="Arial" w:hAnsi="Arial" w:cs="Arial"/>
          <w:color w:val="333333"/>
          <w:sz w:val="21"/>
          <w:szCs w:val="21"/>
        </w:rPr>
        <w:t>CEA 18.12 ng/ml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CA199</w:t>
      </w:r>
      <w:r>
        <w:rPr>
          <w:rFonts w:cs="Arial" w:hint="eastAsia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CA125</w:t>
      </w:r>
      <w:r>
        <w:rPr>
          <w:rFonts w:cs="Arial" w:hint="eastAsia"/>
          <w:color w:val="333333"/>
          <w:sz w:val="21"/>
          <w:szCs w:val="21"/>
        </w:rPr>
        <w:t>正常。疗效评价为部分缓解（</w:t>
      </w:r>
      <w:r>
        <w:rPr>
          <w:rFonts w:ascii="Arial" w:hAnsi="Arial" w:cs="Arial"/>
          <w:color w:val="333333"/>
          <w:sz w:val="21"/>
          <w:szCs w:val="21"/>
        </w:rPr>
        <w:t>PR</w:t>
      </w:r>
      <w:r>
        <w:rPr>
          <w:rFonts w:cs="Arial" w:hint="eastAsia"/>
          <w:color w:val="333333"/>
          <w:sz w:val="21"/>
          <w:szCs w:val="21"/>
        </w:rPr>
        <w:t>），患者出现面部、胸背部、双下肢痤疮样皮疹（２级）以及乏力。</w:t>
      </w:r>
    </w:p>
    <w:p w:rsidR="00DB3E6A" w:rsidRDefault="00DB3E6A" w:rsidP="00DB3E6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DB3E6A" w:rsidRDefault="00DB3E6A" w:rsidP="00DB3E6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后给予患者唑来膦酸４mg静滴，每４周１次，治疗骨转移。因职工医疗保险报销原因，患者于</w:t>
      </w:r>
      <w:r>
        <w:rPr>
          <w:rFonts w:ascii="Arial" w:hAnsi="Arial" w:cs="Arial"/>
          <w:color w:val="333333"/>
          <w:sz w:val="21"/>
          <w:szCs w:val="21"/>
        </w:rPr>
        <w:t>2014</w:t>
      </w:r>
      <w:r>
        <w:rPr>
          <w:rFonts w:cs="Arial" w:hint="eastAsia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>9</w:t>
      </w:r>
      <w:r>
        <w:rPr>
          <w:rFonts w:cs="Arial" w:hint="eastAsia"/>
          <w:color w:val="333333"/>
          <w:sz w:val="21"/>
          <w:szCs w:val="21"/>
        </w:rPr>
        <w:t>月换用吉非替尼，病情无进展，不良反应仍为皮疹、乏力。</w:t>
      </w:r>
    </w:p>
    <w:p w:rsidR="00DB3E6A" w:rsidRDefault="00DB3E6A" w:rsidP="00DB3E6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DB3E6A" w:rsidRDefault="00DB3E6A" w:rsidP="00DB3E6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2014</w:t>
      </w:r>
      <w:r>
        <w:rPr>
          <w:rFonts w:cs="Arial" w:hint="eastAsia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>11</w:t>
      </w:r>
      <w:r>
        <w:rPr>
          <w:rFonts w:cs="Arial" w:hint="eastAsia"/>
          <w:color w:val="333333"/>
          <w:sz w:val="21"/>
          <w:szCs w:val="21"/>
        </w:rPr>
        <w:t>月患者出现特异性毛发改变，头发、眉毛、胡须、阴毛毛发由白色变为黑色或灰白色，眉毛变长（</w:t>
      </w:r>
      <w:r>
        <w:rPr>
          <w:rStyle w:val="a8"/>
          <w:rFonts w:cs="Arial" w:hint="eastAsia"/>
          <w:color w:val="333333"/>
          <w:sz w:val="21"/>
          <w:szCs w:val="21"/>
        </w:rPr>
        <w:t>图１</w:t>
      </w:r>
      <w:r>
        <w:rPr>
          <w:rFonts w:cs="Arial" w:hint="eastAsia"/>
          <w:color w:val="333333"/>
          <w:sz w:val="21"/>
          <w:szCs w:val="21"/>
        </w:rPr>
        <w:t>）。</w:t>
      </w:r>
    </w:p>
    <w:p w:rsidR="00DB3E6A" w:rsidRDefault="00DB3E6A" w:rsidP="00DB3E6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DB3E6A" w:rsidRDefault="00DB3E6A" w:rsidP="00DB3E6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715000" cy="1552575"/>
            <wp:effectExtent l="0" t="0" r="0" b="9525"/>
            <wp:docPr id="1" name="图片 1" descr="http://www.fmtoa.com/ueditor/php/upload/image/20171105/1509847080963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mtoa.com/ueditor/php/upload/image/20171105/15098470809630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6A" w:rsidRDefault="00DB3E6A" w:rsidP="00DB3E6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333333"/>
          <w:sz w:val="18"/>
          <w:szCs w:val="18"/>
        </w:rPr>
        <w:t>A：眉毛变黑、变长；B：头发变黑、变灰；C：头发变黑、变灰</w:t>
      </w:r>
    </w:p>
    <w:p w:rsidR="00DB3E6A" w:rsidRDefault="00DB3E6A" w:rsidP="00DB3E6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333333"/>
          <w:sz w:val="18"/>
          <w:szCs w:val="18"/>
        </w:rPr>
        <w:t>图1　口服吉非替尼后的毛发改变</w:t>
      </w:r>
    </w:p>
    <w:p w:rsidR="00DB3E6A" w:rsidRDefault="00DB3E6A" w:rsidP="00DB3E6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DB3E6A" w:rsidRDefault="00DB3E6A" w:rsidP="00DB3E6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333333"/>
          <w:sz w:val="21"/>
          <w:szCs w:val="21"/>
        </w:rPr>
        <w:t>查体示</w:t>
      </w:r>
      <w:r>
        <w:rPr>
          <w:rFonts w:cs="Arial" w:hint="eastAsia"/>
          <w:color w:val="333333"/>
          <w:sz w:val="21"/>
          <w:szCs w:val="21"/>
        </w:rPr>
        <w:t>：双下肢皮肤见散在米粒大小、红色丘疹；浅表淋巴结未触及肿大；口唇轻度发绀；双肺呼吸音无异常，未闻及干湿性啰音；心率</w:t>
      </w:r>
      <w:r>
        <w:rPr>
          <w:rFonts w:ascii="Arial" w:hAnsi="Arial" w:cs="Arial"/>
          <w:color w:val="333333"/>
          <w:sz w:val="21"/>
          <w:szCs w:val="21"/>
        </w:rPr>
        <w:t>82</w:t>
      </w:r>
      <w:r>
        <w:rPr>
          <w:rFonts w:cs="Arial" w:hint="eastAsia"/>
          <w:color w:val="333333"/>
          <w:sz w:val="21"/>
          <w:szCs w:val="21"/>
        </w:rPr>
        <w:t>次／分，心律不齐，频发早搏；腹平软，肝脾肋下未触及。</w:t>
      </w:r>
    </w:p>
    <w:p w:rsidR="00DB3E6A" w:rsidRDefault="00DB3E6A" w:rsidP="00DB3E6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DB3E6A" w:rsidRDefault="00DB3E6A" w:rsidP="00DB3E6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2015</w:t>
      </w:r>
      <w:r>
        <w:rPr>
          <w:rFonts w:cs="Arial" w:hint="eastAsia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cs="Arial" w:hint="eastAsia"/>
          <w:color w:val="333333"/>
          <w:sz w:val="21"/>
          <w:szCs w:val="21"/>
        </w:rPr>
        <w:t>月</w:t>
      </w:r>
      <w:r>
        <w:rPr>
          <w:rFonts w:ascii="Arial" w:hAnsi="Arial" w:cs="Arial"/>
          <w:color w:val="333333"/>
          <w:sz w:val="21"/>
          <w:szCs w:val="21"/>
        </w:rPr>
        <w:t>24</w:t>
      </w:r>
      <w:r>
        <w:rPr>
          <w:rFonts w:cs="Arial" w:hint="eastAsia"/>
          <w:color w:val="333333"/>
          <w:sz w:val="21"/>
          <w:szCs w:val="21"/>
        </w:rPr>
        <w:t>日行胸部</w:t>
      </w:r>
      <w:r>
        <w:rPr>
          <w:rFonts w:ascii="Arial" w:hAnsi="Arial" w:cs="Arial"/>
          <w:color w:val="333333"/>
          <w:sz w:val="21"/>
          <w:szCs w:val="21"/>
        </w:rPr>
        <w:t>CT</w:t>
      </w:r>
      <w:r>
        <w:rPr>
          <w:rFonts w:cs="Arial" w:hint="eastAsia"/>
          <w:color w:val="333333"/>
          <w:sz w:val="21"/>
          <w:szCs w:val="21"/>
        </w:rPr>
        <w:t>扫描示：左肺上叶病灶缩小（最大横截面范围约</w:t>
      </w:r>
      <w:r>
        <w:rPr>
          <w:rFonts w:ascii="Arial" w:hAnsi="Arial" w:cs="Arial"/>
          <w:color w:val="333333"/>
          <w:sz w:val="21"/>
          <w:szCs w:val="21"/>
        </w:rPr>
        <w:t>52.25px×34.25px</w:t>
      </w:r>
      <w:r>
        <w:rPr>
          <w:rFonts w:cs="Arial" w:hint="eastAsia"/>
          <w:color w:val="333333"/>
          <w:sz w:val="21"/>
          <w:szCs w:val="21"/>
        </w:rPr>
        <w:t>），左肺门淋巴结缩小。</w:t>
      </w:r>
      <w:r>
        <w:rPr>
          <w:rFonts w:ascii="Arial" w:hAnsi="Arial" w:cs="Arial"/>
          <w:color w:val="333333"/>
          <w:sz w:val="21"/>
          <w:szCs w:val="21"/>
        </w:rPr>
        <w:t>CEA 4.15 ng/ml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CA199</w:t>
      </w:r>
      <w:r>
        <w:rPr>
          <w:rFonts w:cs="Arial" w:hint="eastAsia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CA125</w:t>
      </w:r>
      <w:r>
        <w:rPr>
          <w:rFonts w:cs="Arial" w:hint="eastAsia"/>
          <w:color w:val="333333"/>
          <w:sz w:val="21"/>
          <w:szCs w:val="21"/>
        </w:rPr>
        <w:t>正常。</w:t>
      </w:r>
      <w:r>
        <w:rPr>
          <w:rFonts w:ascii="Arial" w:hAnsi="Arial" w:cs="Arial"/>
          <w:color w:val="333333"/>
          <w:sz w:val="21"/>
          <w:szCs w:val="21"/>
        </w:rPr>
        <w:t>2015</w:t>
      </w:r>
      <w:r>
        <w:rPr>
          <w:rFonts w:cs="Arial" w:hint="eastAsia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>9</w:t>
      </w:r>
      <w:r>
        <w:rPr>
          <w:rFonts w:cs="Arial" w:hint="eastAsia"/>
          <w:color w:val="333333"/>
          <w:sz w:val="21"/>
          <w:szCs w:val="21"/>
        </w:rPr>
        <w:t>月</w:t>
      </w:r>
      <w:r>
        <w:rPr>
          <w:rFonts w:ascii="Arial" w:hAnsi="Arial" w:cs="Arial"/>
          <w:color w:val="333333"/>
          <w:sz w:val="21"/>
          <w:szCs w:val="21"/>
        </w:rPr>
        <w:t>20</w:t>
      </w:r>
      <w:r>
        <w:rPr>
          <w:rFonts w:cs="Arial" w:hint="eastAsia"/>
          <w:color w:val="333333"/>
          <w:sz w:val="21"/>
          <w:szCs w:val="21"/>
        </w:rPr>
        <w:t>日末次随访，患者病情持续缓解中，继续口服吉非替尼。</w:t>
      </w:r>
    </w:p>
    <w:p w:rsidR="00DB3E6A" w:rsidRDefault="00DB3E6A" w:rsidP="00DB3E6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Arial" w:hAnsi="Arial" w:cs="Arial"/>
          <w:color w:val="333333"/>
          <w:sz w:val="21"/>
          <w:szCs w:val="21"/>
        </w:rPr>
        <w:t> </w:t>
      </w:r>
    </w:p>
    <w:p w:rsidR="00DB3E6A" w:rsidRDefault="00DB3E6A" w:rsidP="00DB3E6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C00000"/>
        </w:rPr>
        <w:t>讨论</w:t>
      </w:r>
    </w:p>
    <w:p w:rsidR="00DB3E6A" w:rsidRDefault="00DB3E6A" w:rsidP="00DB3E6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第１代选择性</w:t>
      </w:r>
      <w:r>
        <w:rPr>
          <w:rFonts w:ascii="Arial" w:hAnsi="Arial" w:cs="Arial"/>
          <w:color w:val="333333"/>
          <w:sz w:val="21"/>
          <w:szCs w:val="21"/>
        </w:rPr>
        <w:t>EGFR-TKI</w:t>
      </w:r>
      <w:r>
        <w:rPr>
          <w:rFonts w:cs="Arial" w:hint="eastAsia"/>
          <w:color w:val="333333"/>
          <w:sz w:val="21"/>
          <w:szCs w:val="21"/>
        </w:rPr>
        <w:t>包括吉非替尼、厄洛替尼、埃克替尼，用于</w:t>
      </w:r>
      <w:r>
        <w:rPr>
          <w:rFonts w:ascii="Arial" w:hAnsi="Arial" w:cs="Arial"/>
          <w:color w:val="333333"/>
          <w:sz w:val="21"/>
          <w:szCs w:val="21"/>
        </w:rPr>
        <w:t>EGFR</w:t>
      </w:r>
      <w:r>
        <w:rPr>
          <w:rFonts w:cs="Arial" w:hint="eastAsia"/>
          <w:color w:val="333333"/>
          <w:sz w:val="21"/>
          <w:szCs w:val="21"/>
        </w:rPr>
        <w:t>基因外显子突变的</w:t>
      </w:r>
      <w:r>
        <w:rPr>
          <w:rFonts w:ascii="Arial" w:hAnsi="Arial" w:cs="Arial"/>
          <w:color w:val="333333"/>
          <w:sz w:val="21"/>
          <w:szCs w:val="21"/>
        </w:rPr>
        <w:t>NSCLC</w:t>
      </w:r>
      <w:r>
        <w:rPr>
          <w:rFonts w:cs="Arial" w:hint="eastAsia"/>
          <w:color w:val="333333"/>
          <w:sz w:val="21"/>
          <w:szCs w:val="21"/>
        </w:rPr>
        <w:t>一线治疗或化疗后的二、三线治疗，治疗效果明显改善。其机制在于药物选择性地与</w:t>
      </w:r>
      <w:r>
        <w:rPr>
          <w:rFonts w:ascii="Arial" w:hAnsi="Arial" w:cs="Arial"/>
          <w:color w:val="333333"/>
          <w:sz w:val="21"/>
          <w:szCs w:val="21"/>
        </w:rPr>
        <w:t>EGFR</w:t>
      </w:r>
      <w:r>
        <w:rPr>
          <w:rFonts w:cs="Arial" w:hint="eastAsia"/>
          <w:color w:val="333333"/>
          <w:sz w:val="21"/>
          <w:szCs w:val="21"/>
        </w:rPr>
        <w:t>酪氨酸结构域特异性结合，抑制酪氨酸激酶的磷酸化作用，阻断癌细胞增殖、侵袭转移、血管生成等相关的细胞信号传导通路，从而抑制肿瘤进展。</w:t>
      </w:r>
    </w:p>
    <w:p w:rsidR="00DB3E6A" w:rsidRDefault="00DB3E6A" w:rsidP="00DB3E6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DB3E6A" w:rsidRDefault="00DB3E6A" w:rsidP="00DB3E6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第１代分子靶向药物</w:t>
      </w:r>
      <w:r>
        <w:rPr>
          <w:rFonts w:ascii="Arial" w:hAnsi="Arial" w:cs="Arial"/>
          <w:color w:val="333333"/>
          <w:sz w:val="21"/>
          <w:szCs w:val="21"/>
        </w:rPr>
        <w:t>EGFR-TKI</w:t>
      </w:r>
      <w:r>
        <w:rPr>
          <w:rFonts w:cs="Arial" w:hint="eastAsia"/>
          <w:color w:val="333333"/>
          <w:sz w:val="21"/>
          <w:szCs w:val="21"/>
        </w:rPr>
        <w:t>的不良反应主要包括痤疮样皮疹、皮肤干燥龟裂、毛细血管扩张、甲沟炎、毛发改变等皮肤及附属器官病变，一般认为出现此类不良反应与更好的疗效和更长的生存时间相关，但发生机制尚不明确。毛发改变发生率较低，为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cs="Arial" w:hint="eastAsia"/>
          <w:color w:val="333333"/>
          <w:sz w:val="21"/>
          <w:szCs w:val="21"/>
        </w:rPr>
        <w:t>％～</w:t>
      </w: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cs="Arial" w:hint="eastAsia"/>
          <w:color w:val="333333"/>
          <w:sz w:val="21"/>
          <w:szCs w:val="21"/>
        </w:rPr>
        <w:t>％，通常是可逆的，主要表现为脱发、睫毛粗长、面部多毛等，往往在应用</w:t>
      </w:r>
      <w:r>
        <w:rPr>
          <w:rFonts w:ascii="Arial" w:hAnsi="Arial" w:cs="Arial"/>
          <w:color w:val="333333"/>
          <w:sz w:val="21"/>
          <w:szCs w:val="21"/>
        </w:rPr>
        <w:t>EGFR-TKI 2</w:t>
      </w:r>
      <w:r>
        <w:rPr>
          <w:rFonts w:cs="Arial" w:hint="eastAsia"/>
          <w:color w:val="333333"/>
          <w:sz w:val="21"/>
          <w:szCs w:val="21"/>
        </w:rPr>
        <w:t>个月后出现，停药后恢复正常。</w:t>
      </w:r>
    </w:p>
    <w:p w:rsidR="00DB3E6A" w:rsidRDefault="00DB3E6A" w:rsidP="00DB3E6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DB3E6A" w:rsidRDefault="00DB3E6A" w:rsidP="00DB3E6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333333"/>
          <w:sz w:val="21"/>
          <w:szCs w:val="21"/>
        </w:rPr>
        <w:t>其机制可能是</w:t>
      </w:r>
      <w:r>
        <w:rPr>
          <w:rStyle w:val="a8"/>
          <w:rFonts w:ascii="Arial" w:hAnsi="Arial" w:cs="Arial"/>
          <w:color w:val="333333"/>
          <w:sz w:val="21"/>
          <w:szCs w:val="21"/>
        </w:rPr>
        <w:t>EGFR-TKI</w:t>
      </w:r>
      <w:r>
        <w:rPr>
          <w:rStyle w:val="a8"/>
          <w:rFonts w:cs="Arial" w:hint="eastAsia"/>
          <w:color w:val="333333"/>
          <w:sz w:val="21"/>
          <w:szCs w:val="21"/>
        </w:rPr>
        <w:t>抑制了表皮生长因子（</w:t>
      </w:r>
      <w:r>
        <w:rPr>
          <w:rStyle w:val="a8"/>
          <w:rFonts w:ascii="Arial" w:hAnsi="Arial" w:cs="Arial"/>
          <w:color w:val="333333"/>
          <w:sz w:val="21"/>
          <w:szCs w:val="21"/>
        </w:rPr>
        <w:t>EGF</w:t>
      </w:r>
      <w:r>
        <w:rPr>
          <w:rStyle w:val="a8"/>
          <w:rFonts w:cs="Arial" w:hint="eastAsia"/>
          <w:color w:val="333333"/>
          <w:sz w:val="21"/>
          <w:szCs w:val="21"/>
        </w:rPr>
        <w:t>）对毛囊发育和维持的作用。</w:t>
      </w:r>
      <w:r>
        <w:rPr>
          <w:rFonts w:cs="Arial" w:hint="eastAsia"/>
          <w:color w:val="333333"/>
          <w:sz w:val="21"/>
          <w:szCs w:val="21"/>
        </w:rPr>
        <w:t>国内外报道的</w:t>
      </w:r>
      <w:r>
        <w:rPr>
          <w:rFonts w:ascii="Arial" w:hAnsi="Arial" w:cs="Arial"/>
          <w:color w:val="333333"/>
          <w:sz w:val="21"/>
          <w:szCs w:val="21"/>
        </w:rPr>
        <w:t>EGFR-TKI</w:t>
      </w:r>
      <w:r>
        <w:rPr>
          <w:rFonts w:cs="Arial" w:hint="eastAsia"/>
          <w:color w:val="333333"/>
          <w:sz w:val="21"/>
          <w:szCs w:val="21"/>
        </w:rPr>
        <w:t>致毛发改变较为罕见。本例患者出现的特异性毛发改变包括头发、眉毛、胡须、阴毛在内的多部位毛发由白色变为黑色或灰白色，并出现眉毛变长，但未出现卷曲、变细、变密、变脆，与既往的文献报道不同。</w:t>
      </w:r>
    </w:p>
    <w:p w:rsidR="00DB3E6A" w:rsidRDefault="00DB3E6A" w:rsidP="00DB3E6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DB3E6A" w:rsidRDefault="00DB3E6A" w:rsidP="00DB3E6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从不良反应出现的时间分析，毛发改变主要是服用吉非替尼所致。推测原因是局部毛囊酪氨酸酶的含量增加，黑色素分泌增高，但吉非替尼引起该变化的具体分子信号通路不明。目前该患者继续口服吉非替尼治疗，疾病处于缓解期，毛发变化情况仍在观察中。</w:t>
      </w:r>
    </w:p>
    <w:p w:rsidR="00DB3E6A" w:rsidRDefault="00DB3E6A" w:rsidP="00DB3E6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353068" w:rsidRPr="00DB3E6A" w:rsidRDefault="009451E0">
      <w:bookmarkStart w:id="0" w:name="_GoBack"/>
      <w:bookmarkEnd w:id="0"/>
    </w:p>
    <w:sectPr w:rsidR="00353068" w:rsidRPr="00DB3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1E0" w:rsidRDefault="009451E0" w:rsidP="00DB3E6A">
      <w:r>
        <w:separator/>
      </w:r>
    </w:p>
  </w:endnote>
  <w:endnote w:type="continuationSeparator" w:id="0">
    <w:p w:rsidR="009451E0" w:rsidRDefault="009451E0" w:rsidP="00DB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1E0" w:rsidRDefault="009451E0" w:rsidP="00DB3E6A">
      <w:r>
        <w:separator/>
      </w:r>
    </w:p>
  </w:footnote>
  <w:footnote w:type="continuationSeparator" w:id="0">
    <w:p w:rsidR="009451E0" w:rsidRDefault="009451E0" w:rsidP="00DB3E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D9B"/>
    <w:rsid w:val="006E7D9B"/>
    <w:rsid w:val="009451E0"/>
    <w:rsid w:val="00DB3E6A"/>
    <w:rsid w:val="00D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CFFE2B-E97F-404F-BEB2-4C358106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3E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3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3E6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B3E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B3E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longfei xiao</dc:creator>
  <cp:keywords/>
  <dc:description/>
  <cp:lastModifiedBy>longfei xiao</cp:lastModifiedBy>
  <cp:revision>2</cp:revision>
  <dcterms:created xsi:type="dcterms:W3CDTF">2017-11-05T03:23:00Z</dcterms:created>
  <dcterms:modified xsi:type="dcterms:W3CDTF">2017-11-05T03:23:00Z</dcterms:modified>
</cp:coreProperties>
</file>