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UNIVERSIDADE FEDERAL DO PARANÁ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DEPARTAMENTO DE INFORMÁTICA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BACHARELADO EM CIÊNCIA DA COMPUTAÇÃO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CI211 - CONSTRUÇÃO DE COMPILADORES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Trabalho 2 - Analisador Sintático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Nome: Henrique Colodetti Escanferla - GRR20135427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ALTERAÇÕES DO ANALISADOR LÉXICO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Retirado: ATR =&gt; [=]                         Adicionado: = =&gt; [=]    const =&gt; [c][o][n][s][t]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main =&gt; [m][a][i][n]</w:t>
        <w:tab/>
        <w:tab/>
        <w:t xml:space="preserve">function =&gt; [f][u][n][c][t][i][o][n]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return =&gt; [r][e][t][u][r][n]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GRAMÁTICA AUMENTADA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Obs.: red nº da redução (nº de pop da pilha)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As regras de NUM, TIPO, OP_REL e OP_LOG foram descartadas pois não são necessárias. O analisador léxico trata como itens léxicos.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Adicionado o lexical "function" em FUNCAO para evitar conflito entre DECL_VAR e FUNCAO e gerar mínimas modificações ao autômato.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COMENTÁRIOS SOBRE A IMPLEMENTAÇÃO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definido enums de constantes inteiras para as linhas e colunas da tabela alem dos itens contidos nela. Nos enums, existe o numero da regra e o numero de pop quando aplicável. Também existe representação do lexical em string para relacionar com o respectivo enum. Exceto a string mencionada, todo o resto foi declarado como inteiros e usados para indexar a matriz de inteiros que representa a tabela de análise sintática.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algoritmo que percorre a tabela é bastante simples. Existe uma funçao que retira até o ponto-e-virgula do item lexico retornado pelo analizador lexico. A partir disso, é feita uma leitura da posição atual na tabela e, por meio de alguns if-elses, é decidido o que fazer. Este passo define qual o próximo item da tabela e o que é feito com o lexical lido. Podemos empilhar, reduzir, aceitar finalizando a execução ou imprimir mensagem de erro e terminar a execução.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ocorre uma redução, desempilhamos a quantidade indicada pela constante declarada e escrevemos a constante que indica o simbolo reduzido. Logo em seguida, lemos tal simbolo e a posição atual da tabela e empilhamos o estado indicado na tabela. Isso foi feito para que não houvesse necessidade de perguntar se existe simbolo reduzido para ler no inicio do algoritmo que percorre a tabela afinal sempre podemos assumir que precisamos ler o simbolo reduzido e empilhar o próximo estado após fazer uma redução.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