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4B34E">
      <w:pPr>
        <w:bidi w:val="0"/>
        <w:rPr>
          <w:rFonts w:hint="eastAsia"/>
        </w:rPr>
      </w:pPr>
    </w:p>
    <w:p w14:paraId="647AF562">
      <w:pPr>
        <w:jc w:val="center"/>
        <w:rPr>
          <w:rFonts w:hint="eastAsia"/>
        </w:rPr>
      </w:pPr>
    </w:p>
    <w:p w14:paraId="11F267CA">
      <w:pPr>
        <w:jc w:val="center"/>
        <w:rPr>
          <w:rFonts w:hint="eastAsia"/>
        </w:rPr>
      </w:pPr>
    </w:p>
    <w:p w14:paraId="343D9AE0">
      <w:pPr>
        <w:jc w:val="center"/>
        <w:rPr>
          <w:rFonts w:hint="eastAsia" w:ascii="黑体" w:hAnsi="黑体" w:eastAsia="黑体" w:cs="黑体"/>
          <w:sz w:val="52"/>
          <w:szCs w:val="52"/>
        </w:rPr>
      </w:pPr>
      <w:r>
        <w:rPr>
          <w:rFonts w:hint="eastAsia" w:ascii="黑体" w:hAnsi="黑体" w:eastAsia="黑体" w:cs="黑体"/>
          <w:sz w:val="52"/>
          <w:szCs w:val="52"/>
        </w:rPr>
        <w:t>医保智能场景监控系统</w:t>
      </w:r>
    </w:p>
    <w:p w14:paraId="34EA9A8A">
      <w:pPr>
        <w:jc w:val="center"/>
        <w:rPr>
          <w:rFonts w:hint="eastAsia" w:ascii="黑体" w:hAnsi="黑体" w:eastAsia="黑体" w:cs="黑体"/>
          <w:sz w:val="52"/>
          <w:szCs w:val="52"/>
        </w:rPr>
      </w:pPr>
    </w:p>
    <w:p w14:paraId="765439DF">
      <w:pPr>
        <w:jc w:val="center"/>
        <w:rPr>
          <w:rFonts w:hint="eastAsia" w:ascii="黑体" w:hAnsi="黑体" w:eastAsia="黑体" w:cs="黑体"/>
          <w:sz w:val="52"/>
          <w:szCs w:val="52"/>
        </w:rPr>
      </w:pPr>
    </w:p>
    <w:p w14:paraId="53C11BDE">
      <w:pPr>
        <w:jc w:val="center"/>
        <w:rPr>
          <w:rFonts w:hint="eastAsia" w:ascii="黑体" w:hAnsi="黑体" w:eastAsia="黑体" w:cs="黑体"/>
          <w:sz w:val="52"/>
          <w:szCs w:val="52"/>
        </w:rPr>
      </w:pPr>
    </w:p>
    <w:p w14:paraId="481D95BF">
      <w:pPr>
        <w:jc w:val="center"/>
        <w:rPr>
          <w:rFonts w:hint="eastAsia" w:ascii="黑体" w:hAnsi="黑体" w:eastAsia="黑体" w:cs="黑体"/>
          <w:sz w:val="52"/>
          <w:szCs w:val="52"/>
        </w:rPr>
      </w:pPr>
      <w:r>
        <w:rPr>
          <w:rFonts w:hint="eastAsia" w:ascii="黑体" w:hAnsi="黑体" w:eastAsia="黑体" w:cs="黑体"/>
          <w:sz w:val="52"/>
          <w:szCs w:val="52"/>
        </w:rPr>
        <w:t>数据库设计说明书</w:t>
      </w:r>
    </w:p>
    <w:p w14:paraId="5FEFF332">
      <w:pPr>
        <w:jc w:val="center"/>
        <w:rPr>
          <w:rFonts w:hint="eastAsia"/>
        </w:rPr>
      </w:pPr>
    </w:p>
    <w:p w14:paraId="393A5E39">
      <w:pPr>
        <w:jc w:val="center"/>
        <w:rPr>
          <w:rFonts w:hint="eastAsia"/>
        </w:rPr>
      </w:pPr>
    </w:p>
    <w:p w14:paraId="1E4094C8">
      <w:pPr>
        <w:jc w:val="center"/>
        <w:rPr>
          <w:rFonts w:hint="eastAsia"/>
        </w:rPr>
      </w:pPr>
    </w:p>
    <w:p w14:paraId="68BE7D19">
      <w:pPr>
        <w:jc w:val="center"/>
        <w:rPr>
          <w:rFonts w:hint="eastAsia"/>
        </w:rPr>
      </w:pPr>
    </w:p>
    <w:p w14:paraId="17548544">
      <w:pPr>
        <w:jc w:val="center"/>
        <w:rPr>
          <w:rFonts w:hint="eastAsia"/>
        </w:rPr>
      </w:pPr>
    </w:p>
    <w:p w14:paraId="61EB9DB1">
      <w:pPr>
        <w:jc w:val="center"/>
        <w:rPr>
          <w:rFonts w:hint="eastAsia"/>
        </w:rPr>
      </w:pPr>
    </w:p>
    <w:p w14:paraId="5F9F31A5">
      <w:pPr>
        <w:jc w:val="center"/>
        <w:rPr>
          <w:rFonts w:hint="eastAsia"/>
        </w:rPr>
      </w:pPr>
    </w:p>
    <w:p w14:paraId="2821E538">
      <w:pPr>
        <w:jc w:val="center"/>
        <w:rPr>
          <w:rFonts w:hint="eastAsia"/>
        </w:rPr>
      </w:pPr>
    </w:p>
    <w:p w14:paraId="3FA0B128">
      <w:pPr>
        <w:jc w:val="center"/>
        <w:rPr>
          <w:rFonts w:hint="eastAsia"/>
        </w:rPr>
      </w:pPr>
    </w:p>
    <w:p w14:paraId="77E7B6AE">
      <w:pPr>
        <w:jc w:val="center"/>
        <w:rPr>
          <w:rFonts w:hint="eastAsia"/>
        </w:rPr>
      </w:pPr>
    </w:p>
    <w:p w14:paraId="445E4930">
      <w:pPr>
        <w:jc w:val="center"/>
        <w:rPr>
          <w:rFonts w:hint="eastAsia"/>
        </w:rPr>
      </w:pPr>
    </w:p>
    <w:p w14:paraId="793731C3">
      <w:pPr>
        <w:jc w:val="center"/>
        <w:rPr>
          <w:rFonts w:hint="eastAsia"/>
        </w:rPr>
      </w:pPr>
    </w:p>
    <w:p w14:paraId="4F68A5D7">
      <w:pPr>
        <w:jc w:val="center"/>
        <w:rPr>
          <w:rFonts w:hint="eastAsia"/>
        </w:rPr>
      </w:pPr>
    </w:p>
    <w:p w14:paraId="1B83AD02">
      <w:pPr>
        <w:jc w:val="center"/>
        <w:rPr>
          <w:rFonts w:hint="eastAsia"/>
        </w:rPr>
      </w:pPr>
    </w:p>
    <w:p w14:paraId="75D1547F">
      <w:pPr>
        <w:jc w:val="center"/>
        <w:rPr>
          <w:rFonts w:hint="eastAsia"/>
        </w:rPr>
      </w:pPr>
    </w:p>
    <w:p w14:paraId="545C8443">
      <w:pPr>
        <w:jc w:val="center"/>
        <w:rPr>
          <w:rFonts w:hint="eastAsia"/>
        </w:rPr>
      </w:pPr>
    </w:p>
    <w:p w14:paraId="4BBAD083">
      <w:pPr>
        <w:jc w:val="center"/>
        <w:rPr>
          <w:rFonts w:hint="eastAsia"/>
        </w:rPr>
      </w:pPr>
    </w:p>
    <w:p w14:paraId="0A80D1C8">
      <w:pPr>
        <w:jc w:val="center"/>
        <w:rPr>
          <w:rFonts w:hint="eastAsia"/>
        </w:rPr>
      </w:pPr>
    </w:p>
    <w:p w14:paraId="75A41863">
      <w:pPr>
        <w:jc w:val="center"/>
        <w:rPr>
          <w:rFonts w:hint="eastAsia"/>
        </w:rPr>
      </w:pPr>
    </w:p>
    <w:p w14:paraId="092C0DEF">
      <w:pPr>
        <w:jc w:val="center"/>
        <w:rPr>
          <w:rFonts w:hint="eastAsia" w:ascii="黑体" w:hAnsi="黑体" w:eastAsia="黑体" w:cs="黑体"/>
          <w:sz w:val="32"/>
          <w:szCs w:val="32"/>
        </w:rPr>
      </w:pPr>
      <w:r>
        <w:rPr>
          <w:rFonts w:hint="eastAsia" w:ascii="黑体" w:hAnsi="黑体" w:eastAsia="黑体" w:cs="黑体"/>
          <w:sz w:val="32"/>
          <w:szCs w:val="32"/>
        </w:rPr>
        <w:t>智慧眼科技股份有限公司</w:t>
      </w:r>
    </w:p>
    <w:p w14:paraId="11BDA34B">
      <w:pPr>
        <w:jc w:val="center"/>
        <w:rPr>
          <w:rFonts w:hint="eastAsia" w:ascii="黑体" w:hAnsi="黑体" w:eastAsia="黑体" w:cs="黑体"/>
          <w:sz w:val="32"/>
          <w:szCs w:val="32"/>
        </w:rPr>
      </w:pPr>
    </w:p>
    <w:p w14:paraId="2EDB71C8">
      <w:pPr>
        <w:jc w:val="center"/>
        <w:rPr>
          <w:rFonts w:hint="eastAsia" w:ascii="黑体" w:hAnsi="黑体" w:eastAsia="黑体" w:cs="黑体"/>
          <w:sz w:val="32"/>
          <w:szCs w:val="32"/>
        </w:rPr>
      </w:pPr>
      <w:r>
        <w:rPr>
          <w:rFonts w:hint="eastAsia" w:ascii="黑体" w:hAnsi="黑体" w:eastAsia="黑体" w:cs="黑体"/>
          <w:sz w:val="32"/>
          <w:szCs w:val="32"/>
        </w:rPr>
        <w:t>2025年10月</w:t>
      </w:r>
    </w:p>
    <w:p w14:paraId="566D9194">
      <w:pPr>
        <w:jc w:val="center"/>
        <w:rPr>
          <w:rFonts w:hint="eastAsia" w:ascii="黑体" w:hAnsi="黑体" w:eastAsia="黑体" w:cs="黑体"/>
          <w:sz w:val="32"/>
          <w:szCs w:val="32"/>
        </w:rPr>
      </w:pPr>
    </w:p>
    <w:p w14:paraId="06A6A017">
      <w:pPr>
        <w:pStyle w:val="2"/>
        <w:numPr>
          <w:ilvl w:val="0"/>
          <w:numId w:val="1"/>
        </w:numPr>
        <w:bidi w:val="0"/>
        <w:ind w:left="425" w:leftChars="0" w:hanging="425" w:firstLineChars="0"/>
        <w:rPr>
          <w:rFonts w:hint="eastAsia" w:ascii="黑体" w:hAnsi="黑体" w:eastAsia="黑体" w:cs="黑体"/>
          <w:sz w:val="32"/>
          <w:szCs w:val="32"/>
          <w:lang w:val="en-US" w:eastAsia="zh-CN"/>
        </w:rPr>
      </w:pPr>
      <w:bookmarkStart w:id="0" w:name="_Toc13590"/>
      <w:bookmarkStart w:id="24" w:name="_GoBack"/>
      <w:bookmarkEnd w:id="24"/>
      <w:r>
        <w:rPr>
          <w:rFonts w:hint="eastAsia" w:ascii="黑体" w:hAnsi="黑体" w:eastAsia="黑体" w:cs="黑体"/>
          <w:sz w:val="32"/>
          <w:szCs w:val="32"/>
          <w:lang w:val="en-US" w:eastAsia="zh-CN"/>
        </w:rPr>
        <w:t>引言</w:t>
      </w:r>
      <w:bookmarkEnd w:id="0"/>
    </w:p>
    <w:p w14:paraId="3C4FE0BF">
      <w:pPr>
        <w:pStyle w:val="3"/>
        <w:numPr>
          <w:ilvl w:val="1"/>
          <w:numId w:val="1"/>
        </w:numPr>
        <w:bidi w:val="0"/>
        <w:rPr>
          <w:rFonts w:hint="eastAsia"/>
          <w:lang w:val="en-US" w:eastAsia="zh-CN"/>
        </w:rPr>
      </w:pPr>
      <w:bookmarkStart w:id="1" w:name="_Toc26941"/>
      <w:r>
        <w:rPr>
          <w:rFonts w:hint="eastAsia"/>
          <w:lang w:val="en-US" w:eastAsia="zh-CN"/>
        </w:rPr>
        <w:t>编写目的</w:t>
      </w:r>
      <w:bookmarkEnd w:id="1"/>
    </w:p>
    <w:p w14:paraId="0AD3458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本数据库设计说明书是对</w:t>
      </w:r>
      <w:r>
        <w:rPr>
          <w:rFonts w:hint="eastAsia" w:asciiTheme="minorEastAsia" w:hAnsiTheme="minorEastAsia" w:eastAsiaTheme="minorEastAsia" w:cstheme="minorEastAsia"/>
          <w:sz w:val="21"/>
          <w:szCs w:val="21"/>
          <w:lang w:val="en-US" w:eastAsia="zh-CN"/>
        </w:rPr>
        <w:t>门诊慢特病管理系统</w:t>
      </w:r>
      <w:r>
        <w:rPr>
          <w:rFonts w:hint="eastAsia" w:asciiTheme="minorEastAsia" w:hAnsiTheme="minorEastAsia" w:eastAsiaTheme="minorEastAsia" w:cstheme="minorEastAsia"/>
          <w:sz w:val="21"/>
          <w:szCs w:val="21"/>
        </w:rPr>
        <w:t>数据库设计的定义，包括本系统数据逻辑结构设计、数据字典以及运行环境、安全保密设计等，按照数据对象的完整性、业务规则详尽性以及数据库系统的效能、安全等几个方面的要求，经过概念设计、逻辑设计、物理设计等几个设计过程，形成一个完整的、可扩展的、稳定的、安全的数据库方案。</w:t>
      </w:r>
    </w:p>
    <w:p w14:paraId="197C2FC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本数据库设计说明书适合以下读者：</w:t>
      </w:r>
    </w:p>
    <w:p w14:paraId="4C42E27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w:t>
      </w:r>
    </w:p>
    <w:p w14:paraId="3CF6563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系统设计人员</w:t>
      </w:r>
    </w:p>
    <w:p w14:paraId="5155EF7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系统开发人员</w:t>
      </w:r>
    </w:p>
    <w:p w14:paraId="68D09B9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质量控制人员</w:t>
      </w:r>
    </w:p>
    <w:p w14:paraId="25EEF21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系统测试人员</w:t>
      </w:r>
    </w:p>
    <w:p w14:paraId="5ACB03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hanging="414"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系统维护人员</w:t>
      </w:r>
    </w:p>
    <w:p w14:paraId="54268942">
      <w:pPr>
        <w:pStyle w:val="3"/>
        <w:numPr>
          <w:ilvl w:val="1"/>
          <w:numId w:val="1"/>
        </w:numPr>
        <w:bidi w:val="0"/>
        <w:rPr>
          <w:rFonts w:hint="eastAsia"/>
          <w:lang w:val="en-US" w:eastAsia="zh-CN"/>
        </w:rPr>
      </w:pPr>
      <w:bookmarkStart w:id="2" w:name="_Toc697"/>
      <w:r>
        <w:rPr>
          <w:rFonts w:hint="eastAsia"/>
          <w:lang w:val="en-US" w:eastAsia="zh-CN"/>
        </w:rPr>
        <w:t>参考资料</w:t>
      </w:r>
      <w:bookmarkEnd w:id="2"/>
    </w:p>
    <w:tbl>
      <w:tblPr>
        <w:tblStyle w:val="10"/>
        <w:tblW w:w="820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7260"/>
      </w:tblGrid>
      <w:tr w14:paraId="1C20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E7E6E6" w:themeFill="background2"/>
          </w:tcPr>
          <w:p w14:paraId="6DD3AB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ascii="宋体" w:hAnsi="宋体" w:cs="宋体"/>
                <w:b/>
                <w:bCs/>
                <w:vertAlign w:val="baseline"/>
                <w:lang w:val="en-US" w:eastAsia="zh-CN"/>
              </w:rPr>
              <w:t>序号</w:t>
            </w:r>
          </w:p>
        </w:tc>
        <w:tc>
          <w:tcPr>
            <w:tcW w:w="7260" w:type="dxa"/>
            <w:shd w:val="clear" w:color="auto" w:fill="E7E6E6" w:themeFill="background2"/>
          </w:tcPr>
          <w:p w14:paraId="5CF32C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b/>
                <w:bCs/>
                <w:lang w:val="en-US" w:eastAsia="zh-CN"/>
              </w:rPr>
              <w:t>文件名称</w:t>
            </w:r>
          </w:p>
        </w:tc>
      </w:tr>
      <w:tr w14:paraId="5340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039E8ABC">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1</w:t>
            </w:r>
          </w:p>
        </w:tc>
        <w:tc>
          <w:tcPr>
            <w:tcW w:w="7260" w:type="dxa"/>
            <w:shd w:val="clear" w:color="auto" w:fill="auto"/>
            <w:vAlign w:val="center"/>
          </w:tcPr>
          <w:p w14:paraId="21C0E8B9">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《计算机软件文档编制规范》GB/T 8567-1988</w:t>
            </w:r>
          </w:p>
        </w:tc>
      </w:tr>
      <w:tr w14:paraId="200A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22051F3D">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2</w:t>
            </w:r>
          </w:p>
        </w:tc>
        <w:tc>
          <w:tcPr>
            <w:tcW w:w="7260" w:type="dxa"/>
            <w:shd w:val="clear" w:color="auto" w:fill="auto"/>
            <w:vAlign w:val="center"/>
          </w:tcPr>
          <w:p w14:paraId="35B5C207">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《信息技术软件工程术语》GB/T 11457-2006</w:t>
            </w:r>
          </w:p>
        </w:tc>
      </w:tr>
      <w:tr w14:paraId="7651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314CDE25">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3</w:t>
            </w:r>
          </w:p>
        </w:tc>
        <w:tc>
          <w:tcPr>
            <w:tcW w:w="7260" w:type="dxa"/>
            <w:shd w:val="clear" w:color="auto" w:fill="auto"/>
            <w:vAlign w:val="center"/>
          </w:tcPr>
          <w:p w14:paraId="6894B152">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《信息技术系统及软件完整性级别》GB/T 18492-2001</w:t>
            </w:r>
          </w:p>
        </w:tc>
      </w:tr>
      <w:tr w14:paraId="3DBA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19D0E193">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4</w:t>
            </w:r>
          </w:p>
        </w:tc>
        <w:tc>
          <w:tcPr>
            <w:tcW w:w="7260" w:type="dxa"/>
            <w:shd w:val="clear" w:color="auto" w:fill="auto"/>
            <w:vAlign w:val="center"/>
          </w:tcPr>
          <w:p w14:paraId="28F6A081">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《信息安全等级保护管理办法》公通字〔2007〕43号</w:t>
            </w:r>
          </w:p>
        </w:tc>
      </w:tr>
      <w:tr w14:paraId="3740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13FDA634">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5</w:t>
            </w:r>
          </w:p>
        </w:tc>
        <w:tc>
          <w:tcPr>
            <w:tcW w:w="7260" w:type="dxa"/>
            <w:shd w:val="clear" w:color="auto" w:fill="auto"/>
            <w:vAlign w:val="center"/>
          </w:tcPr>
          <w:p w14:paraId="04C38F8F">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《计算机信息系统安全保护等级划分准则》GB17859-1999</w:t>
            </w:r>
          </w:p>
        </w:tc>
      </w:tr>
      <w:tr w14:paraId="2384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7ECB8BE7">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6</w:t>
            </w:r>
          </w:p>
        </w:tc>
        <w:tc>
          <w:tcPr>
            <w:tcW w:w="7260" w:type="dxa"/>
            <w:shd w:val="clear" w:color="auto" w:fill="auto"/>
            <w:vAlign w:val="center"/>
          </w:tcPr>
          <w:p w14:paraId="6981F45C">
            <w:pPr>
              <w:pStyle w:val="12"/>
              <w:spacing w:line="240" w:lineRule="auto"/>
              <w:ind w:firstLine="0" w:firstLineChars="0"/>
              <w:rPr>
                <w:rFonts w:hint="eastAsia" w:asciiTheme="minorEastAsia" w:hAnsiTheme="minorEastAsia" w:eastAsiaTheme="minorEastAsia" w:cstheme="minorEastAsia"/>
                <w:color w:val="auto"/>
                <w:kern w:val="0"/>
                <w:sz w:val="18"/>
                <w:szCs w:val="18"/>
                <w:u w:color="000000"/>
                <w:lang w:val="en-US" w:eastAsia="zh-CN" w:bidi="ar-SA"/>
              </w:rPr>
            </w:pPr>
            <w:r>
              <w:rPr>
                <w:rFonts w:hint="eastAsia" w:asciiTheme="minorEastAsia" w:hAnsiTheme="minorEastAsia" w:eastAsiaTheme="minorEastAsia" w:cstheme="minorEastAsia"/>
                <w:color w:val="auto"/>
                <w:sz w:val="18"/>
                <w:szCs w:val="18"/>
              </w:rPr>
              <w:t>《信息安全技术 信息系统安全等级保护基本要求》GB/T22239-2008</w:t>
            </w:r>
          </w:p>
        </w:tc>
      </w:tr>
      <w:tr w14:paraId="1E99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4B47A579">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7</w:t>
            </w:r>
          </w:p>
        </w:tc>
        <w:tc>
          <w:tcPr>
            <w:tcW w:w="7260" w:type="dxa"/>
            <w:shd w:val="clear" w:color="auto" w:fill="auto"/>
            <w:vAlign w:val="center"/>
          </w:tcPr>
          <w:p w14:paraId="7E022318">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《信息系统等级保护安全设计技术要求》信安秘字〔2009〕059号</w:t>
            </w:r>
          </w:p>
        </w:tc>
      </w:tr>
      <w:tr w14:paraId="6A73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36209C43">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8</w:t>
            </w:r>
          </w:p>
        </w:tc>
        <w:tc>
          <w:tcPr>
            <w:tcW w:w="7260" w:type="dxa"/>
            <w:shd w:val="clear" w:color="auto" w:fill="auto"/>
            <w:vAlign w:val="center"/>
          </w:tcPr>
          <w:p w14:paraId="396798D8">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《医保信息系统安全开发规范》</w:t>
            </w:r>
          </w:p>
        </w:tc>
      </w:tr>
      <w:tr w14:paraId="18C7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62305846">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9</w:t>
            </w:r>
          </w:p>
        </w:tc>
        <w:tc>
          <w:tcPr>
            <w:tcW w:w="7260" w:type="dxa"/>
            <w:shd w:val="clear" w:color="auto" w:fill="auto"/>
            <w:vAlign w:val="center"/>
          </w:tcPr>
          <w:p w14:paraId="7E7F9BA5">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《国家医疗保障局医疗保障信息平台建设工程初步设计方案》</w:t>
            </w:r>
          </w:p>
        </w:tc>
      </w:tr>
      <w:tr w14:paraId="114A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0" w:type="dxa"/>
            <w:shd w:val="clear" w:color="auto" w:fill="auto"/>
            <w:vAlign w:val="center"/>
          </w:tcPr>
          <w:p w14:paraId="058CD02F">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10</w:t>
            </w:r>
          </w:p>
        </w:tc>
        <w:tc>
          <w:tcPr>
            <w:tcW w:w="7260" w:type="dxa"/>
            <w:shd w:val="clear" w:color="auto" w:fill="auto"/>
            <w:vAlign w:val="center"/>
          </w:tcPr>
          <w:p w14:paraId="46C406BE">
            <w:pPr>
              <w:ind w:firstLine="0" w:firstLineChars="0"/>
              <w:jc w:val="left"/>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sz w:val="18"/>
                <w:szCs w:val="18"/>
              </w:rPr>
              <w:t>《国家医疗保障局医疗保障信息平台数据库设计规范》</w:t>
            </w:r>
          </w:p>
        </w:tc>
      </w:tr>
    </w:tbl>
    <w:p w14:paraId="25F72ACA">
      <w:pPr>
        <w:rPr>
          <w:rFonts w:hint="eastAsia"/>
          <w:lang w:val="en-US" w:eastAsia="zh-CN"/>
        </w:rPr>
      </w:pPr>
    </w:p>
    <w:p w14:paraId="1D939DEF">
      <w:pPr>
        <w:pStyle w:val="2"/>
        <w:numPr>
          <w:ilvl w:val="0"/>
          <w:numId w:val="1"/>
        </w:numPr>
        <w:bidi w:val="0"/>
        <w:ind w:left="425" w:leftChars="0" w:hanging="425" w:firstLineChars="0"/>
        <w:rPr>
          <w:rFonts w:hint="eastAsia" w:ascii="黑体" w:hAnsi="黑体" w:eastAsia="黑体" w:cs="黑体"/>
          <w:lang w:val="en-US" w:eastAsia="zh-CN"/>
        </w:rPr>
      </w:pPr>
      <w:bookmarkStart w:id="3" w:name="_Toc6942"/>
      <w:r>
        <w:rPr>
          <w:rFonts w:hint="eastAsia" w:ascii="黑体" w:hAnsi="黑体" w:eastAsia="黑体" w:cs="黑体"/>
          <w:lang w:val="en-US" w:eastAsia="zh-CN"/>
        </w:rPr>
        <w:t>总体设计</w:t>
      </w:r>
      <w:bookmarkEnd w:id="3"/>
    </w:p>
    <w:p w14:paraId="36461633">
      <w:pPr>
        <w:pStyle w:val="3"/>
        <w:numPr>
          <w:ilvl w:val="1"/>
          <w:numId w:val="1"/>
        </w:numPr>
        <w:bidi w:val="0"/>
        <w:rPr>
          <w:rFonts w:hint="eastAsia"/>
          <w:lang w:val="en-US" w:eastAsia="zh-CN"/>
        </w:rPr>
      </w:pPr>
      <w:bookmarkStart w:id="4" w:name="_Toc20306"/>
      <w:r>
        <w:rPr>
          <w:rFonts w:hint="eastAsia"/>
          <w:lang w:val="en-US" w:eastAsia="zh-CN"/>
        </w:rPr>
        <w:t>数据库用户</w:t>
      </w:r>
      <w:bookmarkEnd w:id="4"/>
    </w:p>
    <w:tbl>
      <w:tblPr>
        <w:tblStyle w:val="10"/>
        <w:tblW w:w="820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030"/>
        <w:gridCol w:w="2890"/>
        <w:gridCol w:w="1250"/>
        <w:gridCol w:w="1310"/>
      </w:tblGrid>
      <w:tr w14:paraId="5EEC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dxa"/>
            <w:shd w:val="clear" w:color="auto" w:fill="E7E6E6" w:themeFill="background2"/>
          </w:tcPr>
          <w:p w14:paraId="7C9A129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序号</w:t>
            </w:r>
          </w:p>
        </w:tc>
        <w:tc>
          <w:tcPr>
            <w:tcW w:w="2030" w:type="dxa"/>
            <w:shd w:val="clear" w:color="auto" w:fill="E7E6E6" w:themeFill="background2"/>
          </w:tcPr>
          <w:p w14:paraId="53E8287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数据库用户标识</w:t>
            </w:r>
          </w:p>
        </w:tc>
        <w:tc>
          <w:tcPr>
            <w:tcW w:w="2890" w:type="dxa"/>
            <w:shd w:val="clear" w:color="auto" w:fill="E7E6E6" w:themeFill="background2"/>
          </w:tcPr>
          <w:p w14:paraId="1D8F33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数据库用户描述</w:t>
            </w:r>
          </w:p>
        </w:tc>
        <w:tc>
          <w:tcPr>
            <w:tcW w:w="1250" w:type="dxa"/>
            <w:shd w:val="clear" w:color="auto" w:fill="E7E6E6" w:themeFill="background2"/>
          </w:tcPr>
          <w:p w14:paraId="786993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选型</w:t>
            </w:r>
          </w:p>
        </w:tc>
        <w:tc>
          <w:tcPr>
            <w:tcW w:w="1310" w:type="dxa"/>
            <w:shd w:val="clear" w:color="auto" w:fill="E7E6E6" w:themeFill="background2"/>
          </w:tcPr>
          <w:p w14:paraId="55BEC19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所属区</w:t>
            </w:r>
          </w:p>
        </w:tc>
      </w:tr>
      <w:tr w14:paraId="6188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dxa"/>
            <w:shd w:val="clear" w:color="auto" w:fill="auto"/>
            <w:vAlign w:val="center"/>
          </w:tcPr>
          <w:p w14:paraId="38802C69">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1</w:t>
            </w:r>
          </w:p>
        </w:tc>
        <w:tc>
          <w:tcPr>
            <w:tcW w:w="2030" w:type="dxa"/>
            <w:shd w:val="clear" w:color="auto" w:fill="auto"/>
            <w:vAlign w:val="center"/>
          </w:tcPr>
          <w:p w14:paraId="74030258">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SCEN_DB</w:t>
            </w:r>
          </w:p>
        </w:tc>
        <w:tc>
          <w:tcPr>
            <w:tcW w:w="2890" w:type="dxa"/>
            <w:shd w:val="clear" w:color="auto" w:fill="auto"/>
            <w:vAlign w:val="center"/>
          </w:tcPr>
          <w:p w14:paraId="50C0FF4B">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智能场景监控系统数据库</w:t>
            </w:r>
          </w:p>
        </w:tc>
        <w:tc>
          <w:tcPr>
            <w:tcW w:w="1250" w:type="dxa"/>
            <w:shd w:val="clear" w:color="auto" w:fill="auto"/>
            <w:vAlign w:val="center"/>
          </w:tcPr>
          <w:p w14:paraId="1D5635F5">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阿里DRDS</w:t>
            </w:r>
          </w:p>
        </w:tc>
        <w:tc>
          <w:tcPr>
            <w:tcW w:w="1310" w:type="dxa"/>
            <w:shd w:val="clear" w:color="auto" w:fill="auto"/>
            <w:vAlign w:val="center"/>
          </w:tcPr>
          <w:p w14:paraId="1DA6CDB2">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生产区</w:t>
            </w:r>
          </w:p>
        </w:tc>
      </w:tr>
    </w:tbl>
    <w:p w14:paraId="5A1E80E2">
      <w:pPr>
        <w:pStyle w:val="3"/>
        <w:numPr>
          <w:ilvl w:val="1"/>
          <w:numId w:val="1"/>
        </w:numPr>
        <w:bidi w:val="0"/>
        <w:rPr>
          <w:rFonts w:hint="eastAsia"/>
          <w:lang w:val="en-US" w:eastAsia="zh-CN"/>
        </w:rPr>
      </w:pPr>
      <w:bookmarkStart w:id="5" w:name="_Toc30402"/>
      <w:r>
        <w:rPr>
          <w:rFonts w:hint="eastAsia"/>
          <w:lang w:val="en-US" w:eastAsia="zh-CN"/>
        </w:rPr>
        <w:t>数据库应用程序</w:t>
      </w:r>
      <w:bookmarkEnd w:id="5"/>
    </w:p>
    <w:tbl>
      <w:tblPr>
        <w:tblStyle w:val="10"/>
        <w:tblW w:w="820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030"/>
        <w:gridCol w:w="2890"/>
        <w:gridCol w:w="1240"/>
        <w:gridCol w:w="1320"/>
      </w:tblGrid>
      <w:tr w14:paraId="7B2B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dxa"/>
            <w:shd w:val="clear" w:color="auto" w:fill="E7E6E6" w:themeFill="background2"/>
          </w:tcPr>
          <w:p w14:paraId="64E146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序号</w:t>
            </w:r>
          </w:p>
        </w:tc>
        <w:tc>
          <w:tcPr>
            <w:tcW w:w="2030" w:type="dxa"/>
            <w:shd w:val="clear" w:color="auto" w:fill="E7E6E6" w:themeFill="background2"/>
          </w:tcPr>
          <w:p w14:paraId="3EA2D56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应用名称</w:t>
            </w:r>
          </w:p>
        </w:tc>
        <w:tc>
          <w:tcPr>
            <w:tcW w:w="2890" w:type="dxa"/>
            <w:shd w:val="clear" w:color="auto" w:fill="E7E6E6" w:themeFill="background2"/>
          </w:tcPr>
          <w:p w14:paraId="2AC526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应用说明</w:t>
            </w:r>
          </w:p>
        </w:tc>
        <w:tc>
          <w:tcPr>
            <w:tcW w:w="1240" w:type="dxa"/>
            <w:shd w:val="clear" w:color="auto" w:fill="E7E6E6" w:themeFill="background2"/>
          </w:tcPr>
          <w:p w14:paraId="116B2E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核心/外网</w:t>
            </w:r>
          </w:p>
        </w:tc>
        <w:tc>
          <w:tcPr>
            <w:tcW w:w="1320" w:type="dxa"/>
            <w:shd w:val="clear" w:color="auto" w:fill="E7E6E6" w:themeFill="background2"/>
          </w:tcPr>
          <w:p w14:paraId="69F07C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bCs/>
                <w:vertAlign w:val="baseline"/>
                <w:lang w:val="en-US" w:eastAsia="zh-CN"/>
              </w:rPr>
            </w:pPr>
            <w:r>
              <w:rPr>
                <w:rFonts w:hint="eastAsia"/>
              </w:rPr>
              <w:t>数据库</w:t>
            </w:r>
          </w:p>
        </w:tc>
      </w:tr>
      <w:tr w14:paraId="3729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dxa"/>
            <w:shd w:val="clear" w:color="auto" w:fill="auto"/>
            <w:vAlign w:val="center"/>
          </w:tcPr>
          <w:p w14:paraId="238A47A8">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1</w:t>
            </w:r>
          </w:p>
        </w:tc>
        <w:tc>
          <w:tcPr>
            <w:tcW w:w="2030" w:type="dxa"/>
            <w:shd w:val="clear" w:color="auto" w:fill="auto"/>
            <w:vAlign w:val="center"/>
          </w:tcPr>
          <w:p w14:paraId="6EC366C1">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SCEN_MGT</w:t>
            </w:r>
          </w:p>
        </w:tc>
        <w:tc>
          <w:tcPr>
            <w:tcW w:w="2890" w:type="dxa"/>
            <w:shd w:val="clear" w:color="auto" w:fill="auto"/>
            <w:vAlign w:val="center"/>
          </w:tcPr>
          <w:p w14:paraId="3D4CA676">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智能场景监控系统</w:t>
            </w:r>
          </w:p>
        </w:tc>
        <w:tc>
          <w:tcPr>
            <w:tcW w:w="1240" w:type="dxa"/>
            <w:shd w:val="clear" w:color="auto" w:fill="auto"/>
            <w:vAlign w:val="center"/>
          </w:tcPr>
          <w:p w14:paraId="45304D79">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核心</w:t>
            </w:r>
          </w:p>
        </w:tc>
        <w:tc>
          <w:tcPr>
            <w:tcW w:w="1320" w:type="dxa"/>
            <w:shd w:val="clear" w:color="auto" w:fill="auto"/>
            <w:vAlign w:val="center"/>
          </w:tcPr>
          <w:p w14:paraId="620DBA92">
            <w:pPr>
              <w:ind w:firstLine="0" w:firstLineChars="0"/>
              <w:jc w:val="center"/>
              <w:rPr>
                <w:rFonts w:hint="eastAsia" w:asciiTheme="minorEastAsia" w:hAnsiTheme="minorEastAsia" w:eastAsiaTheme="minorEastAsia" w:cstheme="minorEastAsia"/>
                <w:kern w:val="2"/>
                <w:sz w:val="18"/>
                <w:szCs w:val="18"/>
                <w:lang w:val="en-US" w:eastAsia="zh-CN" w:bidi="ar-SA"/>
              </w:rPr>
            </w:pPr>
            <w:r>
              <w:rPr>
                <w:rFonts w:hint="eastAsia"/>
              </w:rPr>
              <w:t>SCEN_DB</w:t>
            </w:r>
          </w:p>
        </w:tc>
      </w:tr>
    </w:tbl>
    <w:p w14:paraId="7B0B5FFB">
      <w:pPr>
        <w:pStyle w:val="3"/>
        <w:numPr>
          <w:ilvl w:val="1"/>
          <w:numId w:val="1"/>
        </w:numPr>
        <w:bidi w:val="0"/>
        <w:rPr>
          <w:rFonts w:hint="eastAsia"/>
          <w:lang w:val="en-US" w:eastAsia="zh-CN"/>
        </w:rPr>
      </w:pPr>
      <w:bookmarkStart w:id="6" w:name="_Toc16317"/>
      <w:r>
        <w:rPr>
          <w:rFonts w:hint="eastAsia"/>
          <w:lang w:val="en-US" w:eastAsia="zh-CN"/>
        </w:rPr>
        <w:t>约定</w:t>
      </w:r>
      <w:bookmarkEnd w:id="6"/>
    </w:p>
    <w:p w14:paraId="2C7E6B1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Theme="minorEastAsia" w:hAnsiTheme="minorEastAsia" w:eastAsiaTheme="minorEastAsia" w:cstheme="minorEastAsia"/>
          <w:sz w:val="21"/>
          <w:szCs w:val="21"/>
          <w:lang w:val="en-US" w:eastAsia="zh-CN"/>
        </w:rPr>
      </w:pPr>
      <w:r>
        <w:rPr>
          <w:rFonts w:hint="default" w:asciiTheme="minorEastAsia" w:hAnsiTheme="minorEastAsia" w:eastAsiaTheme="minorEastAsia" w:cstheme="minorEastAsia"/>
          <w:sz w:val="21"/>
          <w:szCs w:val="21"/>
          <w:lang w:val="en-US" w:eastAsia="zh-CN"/>
        </w:rPr>
        <w:t>数据库设计中文分词命名约定、数据库基础约定、数据库命名约定、数据库数据表命名约定参考《国家医疗保障局医疗保障信息平台数据库设计规范》文档。</w:t>
      </w:r>
    </w:p>
    <w:p w14:paraId="11469935">
      <w:pPr>
        <w:pStyle w:val="3"/>
        <w:numPr>
          <w:ilvl w:val="1"/>
          <w:numId w:val="1"/>
        </w:numPr>
        <w:bidi w:val="0"/>
        <w:rPr>
          <w:rFonts w:hint="eastAsia"/>
          <w:lang w:val="en-US" w:eastAsia="zh-CN"/>
        </w:rPr>
      </w:pPr>
      <w:bookmarkStart w:id="7" w:name="_Toc17560"/>
      <w:r>
        <w:rPr>
          <w:rFonts w:hint="eastAsia"/>
          <w:lang w:val="en-US" w:eastAsia="zh-CN"/>
        </w:rPr>
        <w:t>专门指导</w:t>
      </w:r>
      <w:bookmarkEnd w:id="7"/>
    </w:p>
    <w:p w14:paraId="68224ABC">
      <w:pPr>
        <w:pStyle w:val="4"/>
        <w:numPr>
          <w:ilvl w:val="2"/>
          <w:numId w:val="1"/>
        </w:numPr>
        <w:bidi w:val="0"/>
        <w:rPr>
          <w:rFonts w:hint="eastAsia"/>
          <w:lang w:val="en-US" w:eastAsia="zh-CN"/>
        </w:rPr>
      </w:pPr>
      <w:bookmarkStart w:id="8" w:name="_Toc32143"/>
      <w:r>
        <w:rPr>
          <w:rFonts w:hint="eastAsia"/>
          <w:lang w:val="en-US" w:eastAsia="zh-CN"/>
        </w:rPr>
        <w:t>数据库选型</w:t>
      </w:r>
      <w:bookmarkEnd w:id="8"/>
    </w:p>
    <w:p w14:paraId="2194389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省级中台的核心区建议选型为阿里DRDS,地方中台数据库由各地方部署实施时，地方自行进行选型。</w:t>
      </w:r>
    </w:p>
    <w:p w14:paraId="49FF8C22">
      <w:pPr>
        <w:pStyle w:val="4"/>
        <w:numPr>
          <w:ilvl w:val="2"/>
          <w:numId w:val="1"/>
        </w:numPr>
        <w:bidi w:val="0"/>
        <w:rPr>
          <w:rFonts w:hint="eastAsia"/>
          <w:lang w:val="en-US" w:eastAsia="zh-CN"/>
        </w:rPr>
      </w:pPr>
      <w:bookmarkStart w:id="9" w:name="_Toc1855"/>
      <w:r>
        <w:rPr>
          <w:rFonts w:hint="eastAsia"/>
          <w:lang w:val="en-US" w:eastAsia="zh-CN"/>
        </w:rPr>
        <w:t>表设计规范</w:t>
      </w:r>
      <w:bookmarkEnd w:id="9"/>
    </w:p>
    <w:p w14:paraId="5392546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表设计遵循《国家医疗保障局医疗保障信息平台数据库设计规范》表设计规范要求。</w:t>
      </w:r>
    </w:p>
    <w:p w14:paraId="2FBD9FA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3"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ADB的表属于数据中台，在此文档中用于表述完整的数据库设计关系，不完全遵循以上规范。</w:t>
      </w:r>
    </w:p>
    <w:p w14:paraId="18A2C38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统计结果类表设计，主键根据统计维度设计为复合主键，不采用无意义的主键ID，有利于查询性能和避免统计维度重复数据。</w:t>
      </w:r>
    </w:p>
    <w:p w14:paraId="3B6CFD13">
      <w:pPr>
        <w:rPr>
          <w:rFonts w:hint="eastAsia"/>
          <w:lang w:val="en-US" w:eastAsia="zh-CN"/>
        </w:rPr>
      </w:pPr>
    </w:p>
    <w:p w14:paraId="7E314929">
      <w:pPr>
        <w:pStyle w:val="4"/>
        <w:numPr>
          <w:ilvl w:val="2"/>
          <w:numId w:val="1"/>
        </w:numPr>
        <w:bidi w:val="0"/>
        <w:rPr>
          <w:rFonts w:hint="eastAsia"/>
          <w:lang w:val="en-US" w:eastAsia="zh-CN"/>
        </w:rPr>
      </w:pPr>
      <w:bookmarkStart w:id="10" w:name="_Toc27361"/>
      <w:r>
        <w:rPr>
          <w:rFonts w:hint="eastAsia"/>
          <w:lang w:val="en-US" w:eastAsia="zh-CN"/>
        </w:rPr>
        <w:t>字段设计规范</w:t>
      </w:r>
      <w:bookmarkEnd w:id="10"/>
    </w:p>
    <w:p w14:paraId="3D87C3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0" w:firstLineChars="1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表字段设计遵循《国家医疗保障局医疗保障信息平台数据库设计规范》字段设计规范要求。</w:t>
      </w:r>
    </w:p>
    <w:p w14:paraId="37A3C063">
      <w:pPr>
        <w:pStyle w:val="4"/>
        <w:numPr>
          <w:ilvl w:val="2"/>
          <w:numId w:val="1"/>
        </w:numPr>
        <w:bidi w:val="0"/>
        <w:rPr>
          <w:rFonts w:hint="eastAsia"/>
          <w:lang w:val="en-US" w:eastAsia="zh-CN"/>
        </w:rPr>
      </w:pPr>
      <w:bookmarkStart w:id="11" w:name="_Toc8855"/>
      <w:r>
        <w:rPr>
          <w:rFonts w:hint="eastAsia"/>
          <w:lang w:val="en-US" w:eastAsia="zh-CN"/>
        </w:rPr>
        <w:t>索引设计规范</w:t>
      </w:r>
      <w:bookmarkEnd w:id="11"/>
    </w:p>
    <w:p w14:paraId="02EE656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索引设计遵循《国家医疗保障局医疗保障信息平台数据库设计规范》索引设计规范要求。</w:t>
      </w:r>
    </w:p>
    <w:p w14:paraId="0EB521E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对于表的主键列，默认使用主键索引，其他业务查询所需条件，选择使用频率高、数据筛选率高的，创建普通B-Tree索引。</w:t>
      </w:r>
    </w:p>
    <w:p w14:paraId="55E2233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对于ADB上的表，统一使用ADB默认索引。</w:t>
      </w:r>
    </w:p>
    <w:p w14:paraId="5F6EABD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4" w:firstLineChars="202"/>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所有普通索引的命名都是以IDX_表名_数字,数字按索引个数自增。</w:t>
      </w:r>
    </w:p>
    <w:p w14:paraId="3EC70330">
      <w:pPr>
        <w:rPr>
          <w:rFonts w:hint="eastAsia"/>
          <w:lang w:val="en-US" w:eastAsia="zh-CN"/>
        </w:rPr>
      </w:pPr>
    </w:p>
    <w:p w14:paraId="699AF346">
      <w:pPr>
        <w:pStyle w:val="2"/>
        <w:numPr>
          <w:ilvl w:val="0"/>
          <w:numId w:val="1"/>
        </w:numPr>
        <w:bidi w:val="0"/>
        <w:ind w:left="425" w:leftChars="0" w:hanging="425" w:firstLineChars="0"/>
        <w:rPr>
          <w:rFonts w:hint="eastAsia" w:ascii="黑体" w:hAnsi="黑体" w:eastAsia="黑体" w:cs="黑体"/>
          <w:lang w:val="en-US" w:eastAsia="zh-CN"/>
        </w:rPr>
      </w:pPr>
      <w:bookmarkStart w:id="12" w:name="_Toc450"/>
      <w:bookmarkStart w:id="13" w:name="_Toc26003"/>
      <w:r>
        <w:rPr>
          <w:rFonts w:hint="eastAsia" w:ascii="黑体" w:hAnsi="黑体" w:eastAsia="黑体" w:cs="黑体"/>
          <w:lang w:val="en-US" w:eastAsia="zh-CN"/>
        </w:rPr>
        <w:t>总体设计</w:t>
      </w:r>
      <w:bookmarkEnd w:id="12"/>
      <w:bookmarkEnd w:id="13"/>
    </w:p>
    <w:p w14:paraId="5EE4D734">
      <w:pPr>
        <w:pStyle w:val="3"/>
        <w:numPr>
          <w:ilvl w:val="1"/>
          <w:numId w:val="1"/>
        </w:numPr>
        <w:bidi w:val="0"/>
        <w:rPr>
          <w:rFonts w:hint="eastAsia" w:ascii="Arial" w:hAnsi="Arial"/>
          <w:b/>
          <w:lang w:val="en-US" w:eastAsia="zh-CN"/>
        </w:rPr>
      </w:pPr>
      <w:bookmarkStart w:id="14" w:name="_Toc26743"/>
      <w:bookmarkStart w:id="15" w:name="_Toc558"/>
      <w:r>
        <w:rPr>
          <w:rFonts w:hint="eastAsia" w:ascii="Arial" w:hAnsi="Arial"/>
          <w:b/>
          <w:lang w:val="en-US" w:eastAsia="zh-CN"/>
        </w:rPr>
        <w:t>逻辑</w:t>
      </w:r>
      <w:r>
        <w:rPr>
          <w:rFonts w:hint="eastAsia"/>
          <w:b/>
          <w:lang w:val="en-US" w:eastAsia="zh-CN"/>
        </w:rPr>
        <w:t>结构</w:t>
      </w:r>
      <w:r>
        <w:rPr>
          <w:rFonts w:hint="eastAsia" w:ascii="Arial" w:hAnsi="Arial"/>
          <w:b/>
          <w:lang w:val="en-US" w:eastAsia="zh-CN"/>
        </w:rPr>
        <w:t>设计</w:t>
      </w:r>
      <w:bookmarkEnd w:id="14"/>
      <w:bookmarkEnd w:id="15"/>
    </w:p>
    <w:p w14:paraId="5D569D1A">
      <w:pPr>
        <w:pStyle w:val="3"/>
        <w:numPr>
          <w:ilvl w:val="1"/>
          <w:numId w:val="1"/>
        </w:numPr>
        <w:bidi w:val="0"/>
        <w:rPr>
          <w:rFonts w:hint="eastAsia" w:ascii="Arial" w:hAnsi="Arial"/>
          <w:b/>
          <w:lang w:val="en-US" w:eastAsia="zh-CN"/>
        </w:rPr>
      </w:pPr>
      <w:bookmarkStart w:id="16" w:name="_Toc26958"/>
      <w:bookmarkStart w:id="17" w:name="_Toc7599"/>
      <w:r>
        <w:rPr>
          <w:rFonts w:hint="eastAsia" w:ascii="Arial" w:hAnsi="Arial"/>
          <w:b/>
          <w:lang w:val="en-US" w:eastAsia="zh-CN"/>
        </w:rPr>
        <w:t>物理</w:t>
      </w:r>
      <w:r>
        <w:rPr>
          <w:rFonts w:hint="eastAsia"/>
          <w:b/>
          <w:lang w:val="en-US" w:eastAsia="zh-CN"/>
        </w:rPr>
        <w:t>结构</w:t>
      </w:r>
      <w:r>
        <w:rPr>
          <w:rFonts w:hint="eastAsia" w:ascii="Arial" w:hAnsi="Arial"/>
          <w:b/>
          <w:lang w:val="en-US" w:eastAsia="zh-CN"/>
        </w:rPr>
        <w:t>设计</w:t>
      </w:r>
      <w:bookmarkEnd w:id="16"/>
      <w:bookmarkEnd w:id="17"/>
    </w:p>
    <w:p w14:paraId="4B01E7FB">
      <w:pPr>
        <w:pStyle w:val="2"/>
        <w:numPr>
          <w:ilvl w:val="0"/>
          <w:numId w:val="1"/>
        </w:numPr>
        <w:bidi w:val="0"/>
        <w:ind w:left="425" w:leftChars="0" w:hanging="425" w:firstLineChars="0"/>
        <w:rPr>
          <w:rFonts w:hint="eastAsia" w:ascii="黑体" w:hAnsi="黑体" w:eastAsia="黑体" w:cs="黑体"/>
          <w:lang w:val="en-US" w:eastAsia="zh-CN"/>
        </w:rPr>
      </w:pPr>
      <w:bookmarkStart w:id="18" w:name="_Toc8207"/>
      <w:bookmarkStart w:id="19" w:name="_Toc13279"/>
      <w:r>
        <w:rPr>
          <w:rFonts w:hint="eastAsia" w:ascii="黑体" w:hAnsi="黑体" w:eastAsia="黑体" w:cs="黑体"/>
          <w:lang w:val="en-US" w:eastAsia="zh-CN"/>
        </w:rPr>
        <w:t>运用设计</w:t>
      </w:r>
      <w:bookmarkEnd w:id="18"/>
      <w:bookmarkEnd w:id="19"/>
    </w:p>
    <w:p w14:paraId="16D06F27">
      <w:pPr>
        <w:pStyle w:val="3"/>
        <w:numPr>
          <w:ilvl w:val="1"/>
          <w:numId w:val="1"/>
        </w:numPr>
        <w:bidi w:val="0"/>
        <w:rPr>
          <w:rFonts w:hint="eastAsia" w:ascii="Arial" w:hAnsi="Arial"/>
          <w:b/>
          <w:lang w:val="en-US" w:eastAsia="zh-CN"/>
        </w:rPr>
      </w:pPr>
      <w:bookmarkStart w:id="20" w:name="_Toc24523"/>
      <w:bookmarkStart w:id="21" w:name="_Toc18480"/>
      <w:r>
        <w:rPr>
          <w:rFonts w:hint="eastAsia" w:ascii="Arial" w:hAnsi="Arial"/>
          <w:b/>
          <w:lang w:val="en-US" w:eastAsia="zh-CN"/>
        </w:rPr>
        <w:t>数据字典设计</w:t>
      </w:r>
      <w:bookmarkEnd w:id="20"/>
      <w:bookmarkEnd w:id="21"/>
    </w:p>
    <w:p w14:paraId="2F7C9FA6">
      <w:pPr>
        <w:pStyle w:val="3"/>
        <w:numPr>
          <w:ilvl w:val="1"/>
          <w:numId w:val="1"/>
        </w:numPr>
        <w:bidi w:val="0"/>
        <w:rPr>
          <w:rFonts w:hint="eastAsia" w:ascii="Arial" w:hAnsi="Arial"/>
          <w:b/>
          <w:lang w:val="en-US" w:eastAsia="zh-CN"/>
        </w:rPr>
      </w:pPr>
      <w:bookmarkStart w:id="22" w:name="_Toc13805"/>
      <w:bookmarkStart w:id="23" w:name="_Toc1329"/>
      <w:r>
        <w:rPr>
          <w:rFonts w:hint="eastAsia" w:ascii="Arial" w:hAnsi="Arial"/>
          <w:b/>
          <w:lang w:val="en-US" w:eastAsia="zh-CN"/>
        </w:rPr>
        <w:t>安全保密设计</w:t>
      </w:r>
      <w:bookmarkEnd w:id="22"/>
      <w:bookmarkEnd w:id="23"/>
    </w:p>
    <w:p w14:paraId="328A35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（1）用户权限设计</w:t>
      </w:r>
    </w:p>
    <w:p w14:paraId="2B5D0D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通过用户权限配置设计，对不同角色用户的可读可操作模块、菜单、资源，进行细粒度的管理。</w:t>
      </w:r>
    </w:p>
    <w:p w14:paraId="01B8A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（2）数据分类权限设计</w:t>
      </w:r>
    </w:p>
    <w:p w14:paraId="0DD50D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通过数据分类权限设计，结合用户权限，对不同角色用户的可读可操作数据范围，进行分类管理。主要按医保区划和医疗机构维度进行控制。</w:t>
      </w:r>
    </w:p>
    <w:p w14:paraId="1F7548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（3）数据脱敏设计</w:t>
      </w:r>
    </w:p>
    <w:p w14:paraId="1DFB91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脱敏由第三方统一提供方案，子系统根据业务要求，前台展示时进行敏感数据脱敏。</w:t>
      </w:r>
    </w:p>
    <w:p w14:paraId="5BC094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（4）数据库安全设计访问控制</w:t>
      </w:r>
    </w:p>
    <w:p w14:paraId="735724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数据库的访问权限需要进行统一管控，只允许特定应用访问对应的数据库（可采用白名单的方式），医疗保障信息平台应用系统采用的是分层的微服务架构设计，应用系统由多个微服务应用构成，每个微服务应用进一步按展现层、控制层、业务处理逻辑层、数据访问层进行划分，其中有的微服务应用包含数据访问层，有的不包含，对于数据库访问权限的要进行细粒度的管控，只对包含数据库访问层逻辑的对应微服务应用开放访问权限。</w:t>
      </w:r>
    </w:p>
    <w:p w14:paraId="5AB2D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（5）数据库安全审计要求</w:t>
      </w:r>
    </w:p>
    <w:p w14:paraId="3A8B52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进行数据库系统建设时，应同步规划数据库安全审计功能。数据库安全审计可以由数据库产品自带，也可以由第三方产品或云平台安全服务来提供。数据库安全审计主要用于监视并记录对数据库服务器的各类操作行为，通过对网络数据的分析，实时地、智能地解析对数据库服务器的各种操作，对数据库遭受的风险行为进行识别和告警，支持通过对数据库操作日志进行查询、分析和过滤来实现对目标数据库系统的用户操作的监控和审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93E07"/>
    <w:multiLevelType w:val="multilevel"/>
    <w:tmpl w:val="A3C93E0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0" w:leftChars="0" w:firstLine="0"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359E3388"/>
    <w:multiLevelType w:val="multilevel"/>
    <w:tmpl w:val="359E3388"/>
    <w:lvl w:ilvl="0" w:tentative="0">
      <w:start w:val="1"/>
      <w:numFmt w:val="decimal"/>
      <w:suff w:val="space"/>
      <w:lvlText w:val="%1、"/>
      <w:lvlJc w:val="left"/>
      <w:pPr>
        <w:ind w:left="444" w:hanging="420"/>
      </w:pPr>
      <w:rPr>
        <w:rFonts w:hint="default"/>
      </w:rPr>
    </w:lvl>
    <w:lvl w:ilvl="1" w:tentative="0">
      <w:start w:val="1"/>
      <w:numFmt w:val="lowerLetter"/>
      <w:lvlText w:val="%2)"/>
      <w:lvlJc w:val="left"/>
      <w:pPr>
        <w:ind w:left="864" w:hanging="420"/>
      </w:pPr>
    </w:lvl>
    <w:lvl w:ilvl="2" w:tentative="0">
      <w:start w:val="1"/>
      <w:numFmt w:val="lowerRoman"/>
      <w:lvlText w:val="%3."/>
      <w:lvlJc w:val="right"/>
      <w:pPr>
        <w:ind w:left="1284" w:hanging="420"/>
      </w:pPr>
    </w:lvl>
    <w:lvl w:ilvl="3" w:tentative="0">
      <w:start w:val="1"/>
      <w:numFmt w:val="decimal"/>
      <w:lvlText w:val="%4."/>
      <w:lvlJc w:val="left"/>
      <w:pPr>
        <w:ind w:left="1704" w:hanging="420"/>
      </w:pPr>
    </w:lvl>
    <w:lvl w:ilvl="4" w:tentative="0">
      <w:start w:val="1"/>
      <w:numFmt w:val="lowerLetter"/>
      <w:lvlText w:val="%5)"/>
      <w:lvlJc w:val="left"/>
      <w:pPr>
        <w:ind w:left="2124" w:hanging="420"/>
      </w:pPr>
    </w:lvl>
    <w:lvl w:ilvl="5" w:tentative="0">
      <w:start w:val="1"/>
      <w:numFmt w:val="lowerRoman"/>
      <w:lvlText w:val="%6."/>
      <w:lvlJc w:val="right"/>
      <w:pPr>
        <w:ind w:left="2544" w:hanging="420"/>
      </w:pPr>
    </w:lvl>
    <w:lvl w:ilvl="6" w:tentative="0">
      <w:start w:val="1"/>
      <w:numFmt w:val="decimal"/>
      <w:lvlText w:val="%7."/>
      <w:lvlJc w:val="left"/>
      <w:pPr>
        <w:ind w:left="2964" w:hanging="420"/>
      </w:pPr>
    </w:lvl>
    <w:lvl w:ilvl="7" w:tentative="0">
      <w:start w:val="1"/>
      <w:numFmt w:val="lowerLetter"/>
      <w:lvlText w:val="%8)"/>
      <w:lvlJc w:val="left"/>
      <w:pPr>
        <w:ind w:left="3384" w:hanging="420"/>
      </w:pPr>
    </w:lvl>
    <w:lvl w:ilvl="8" w:tentative="0">
      <w:start w:val="1"/>
      <w:numFmt w:val="lowerRoman"/>
      <w:lvlText w:val="%9."/>
      <w:lvlJc w:val="right"/>
      <w:pPr>
        <w:ind w:left="3804" w:hanging="420"/>
      </w:pPr>
    </w:lvl>
  </w:abstractNum>
  <w:abstractNum w:abstractNumId="2">
    <w:nsid w:val="363A0044"/>
    <w:multiLevelType w:val="multilevel"/>
    <w:tmpl w:val="363A0044"/>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D5D0188"/>
    <w:multiLevelType w:val="multilevel"/>
    <w:tmpl w:val="5D5D018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31491"/>
    <w:rsid w:val="03906A9D"/>
    <w:rsid w:val="045D1075"/>
    <w:rsid w:val="05C360F3"/>
    <w:rsid w:val="07787F8D"/>
    <w:rsid w:val="09E158F2"/>
    <w:rsid w:val="09F04F78"/>
    <w:rsid w:val="0BFE25DC"/>
    <w:rsid w:val="0CD07246"/>
    <w:rsid w:val="0F43513D"/>
    <w:rsid w:val="0FDF6DE2"/>
    <w:rsid w:val="10FC5772"/>
    <w:rsid w:val="136234C0"/>
    <w:rsid w:val="156C676A"/>
    <w:rsid w:val="180970F2"/>
    <w:rsid w:val="18B71157"/>
    <w:rsid w:val="1CF160D9"/>
    <w:rsid w:val="1DFF731C"/>
    <w:rsid w:val="1E1265D5"/>
    <w:rsid w:val="1E523CFB"/>
    <w:rsid w:val="1FE276D8"/>
    <w:rsid w:val="20783067"/>
    <w:rsid w:val="20D3029D"/>
    <w:rsid w:val="20E029BA"/>
    <w:rsid w:val="22981523"/>
    <w:rsid w:val="23680867"/>
    <w:rsid w:val="23AE4FF1"/>
    <w:rsid w:val="24296006"/>
    <w:rsid w:val="246F478D"/>
    <w:rsid w:val="249266C1"/>
    <w:rsid w:val="24D10F97"/>
    <w:rsid w:val="25311A36"/>
    <w:rsid w:val="26036F9A"/>
    <w:rsid w:val="265B26B4"/>
    <w:rsid w:val="2750728D"/>
    <w:rsid w:val="28016FB8"/>
    <w:rsid w:val="28AA3FD9"/>
    <w:rsid w:val="29DA08EE"/>
    <w:rsid w:val="2AAE58D7"/>
    <w:rsid w:val="2C7212B2"/>
    <w:rsid w:val="2E4A7BC7"/>
    <w:rsid w:val="2FC811E9"/>
    <w:rsid w:val="2FE853E7"/>
    <w:rsid w:val="308C66BA"/>
    <w:rsid w:val="317C672F"/>
    <w:rsid w:val="31801A87"/>
    <w:rsid w:val="32AF2C79"/>
    <w:rsid w:val="33BE5AFD"/>
    <w:rsid w:val="342A3BF7"/>
    <w:rsid w:val="3462425D"/>
    <w:rsid w:val="34CE2DFE"/>
    <w:rsid w:val="34DD764F"/>
    <w:rsid w:val="36A04C6E"/>
    <w:rsid w:val="374414CA"/>
    <w:rsid w:val="37DC51AD"/>
    <w:rsid w:val="39744DAF"/>
    <w:rsid w:val="3BD678CB"/>
    <w:rsid w:val="3C4B1C3D"/>
    <w:rsid w:val="3C8A1D00"/>
    <w:rsid w:val="3DED49EE"/>
    <w:rsid w:val="3E6B3DB3"/>
    <w:rsid w:val="3FB81E97"/>
    <w:rsid w:val="40363199"/>
    <w:rsid w:val="40AF61D9"/>
    <w:rsid w:val="414426B3"/>
    <w:rsid w:val="41CC4968"/>
    <w:rsid w:val="42914B7C"/>
    <w:rsid w:val="43D47D05"/>
    <w:rsid w:val="44427364"/>
    <w:rsid w:val="44C61D43"/>
    <w:rsid w:val="464C6278"/>
    <w:rsid w:val="47022DDB"/>
    <w:rsid w:val="473D738F"/>
    <w:rsid w:val="47FB61A8"/>
    <w:rsid w:val="484A67E7"/>
    <w:rsid w:val="48742578"/>
    <w:rsid w:val="48A73C3A"/>
    <w:rsid w:val="48DD58AD"/>
    <w:rsid w:val="498D7D16"/>
    <w:rsid w:val="49EC3FFA"/>
    <w:rsid w:val="4A834233"/>
    <w:rsid w:val="4B4F092F"/>
    <w:rsid w:val="4B7C065B"/>
    <w:rsid w:val="4BAD1567"/>
    <w:rsid w:val="4D6252C0"/>
    <w:rsid w:val="4E2A107A"/>
    <w:rsid w:val="4FAA4028"/>
    <w:rsid w:val="4FD1434D"/>
    <w:rsid w:val="503009B9"/>
    <w:rsid w:val="506066E7"/>
    <w:rsid w:val="50FE6543"/>
    <w:rsid w:val="522B768A"/>
    <w:rsid w:val="527E3C5D"/>
    <w:rsid w:val="52E951AC"/>
    <w:rsid w:val="52EA4E4F"/>
    <w:rsid w:val="5375681C"/>
    <w:rsid w:val="53844A5F"/>
    <w:rsid w:val="53A532E7"/>
    <w:rsid w:val="548E5721"/>
    <w:rsid w:val="5520724E"/>
    <w:rsid w:val="55850729"/>
    <w:rsid w:val="55D818D6"/>
    <w:rsid w:val="569577C7"/>
    <w:rsid w:val="579F23C9"/>
    <w:rsid w:val="57E722A5"/>
    <w:rsid w:val="587827C8"/>
    <w:rsid w:val="589A7317"/>
    <w:rsid w:val="5A436E7E"/>
    <w:rsid w:val="5B09679F"/>
    <w:rsid w:val="5C4528D4"/>
    <w:rsid w:val="5D72779D"/>
    <w:rsid w:val="5EB84053"/>
    <w:rsid w:val="5F1E1111"/>
    <w:rsid w:val="5F1F2324"/>
    <w:rsid w:val="5F5D2E4C"/>
    <w:rsid w:val="60522FB3"/>
    <w:rsid w:val="626A1B08"/>
    <w:rsid w:val="63500CFE"/>
    <w:rsid w:val="65E25E72"/>
    <w:rsid w:val="662A3DEC"/>
    <w:rsid w:val="66F53DDB"/>
    <w:rsid w:val="67D82F2F"/>
    <w:rsid w:val="68785A38"/>
    <w:rsid w:val="68996CA3"/>
    <w:rsid w:val="68D2737D"/>
    <w:rsid w:val="692755F0"/>
    <w:rsid w:val="6AAC6B7C"/>
    <w:rsid w:val="6AC56475"/>
    <w:rsid w:val="6AC713BC"/>
    <w:rsid w:val="6B7B4D86"/>
    <w:rsid w:val="6D21195D"/>
    <w:rsid w:val="6D725D15"/>
    <w:rsid w:val="6FB15342"/>
    <w:rsid w:val="6FD11419"/>
    <w:rsid w:val="6FF670D1"/>
    <w:rsid w:val="717B788E"/>
    <w:rsid w:val="71D40D4C"/>
    <w:rsid w:val="72B01C47"/>
    <w:rsid w:val="734B2115"/>
    <w:rsid w:val="73C16446"/>
    <w:rsid w:val="74336E87"/>
    <w:rsid w:val="74C16CDF"/>
    <w:rsid w:val="78044C6A"/>
    <w:rsid w:val="78054355"/>
    <w:rsid w:val="793A2657"/>
    <w:rsid w:val="7A603AC5"/>
    <w:rsid w:val="7B424F78"/>
    <w:rsid w:val="7B8E19C5"/>
    <w:rsid w:val="7BC20C05"/>
    <w:rsid w:val="7C306DEC"/>
    <w:rsid w:val="7D393C95"/>
    <w:rsid w:val="7D80447E"/>
    <w:rsid w:val="7DCB1B97"/>
    <w:rsid w:val="7E3F140B"/>
    <w:rsid w:val="7E994E83"/>
    <w:rsid w:val="7EEB5927"/>
    <w:rsid w:val="7F5B2ED8"/>
    <w:rsid w:val="7FF27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0"/>
    </w:rPr>
  </w:style>
  <w:style w:type="paragraph" w:styleId="4">
    <w:name w:val="heading 3"/>
    <w:basedOn w:val="1"/>
    <w:next w:val="1"/>
    <w:unhideWhenUsed/>
    <w:qFormat/>
    <w:uiPriority w:val="0"/>
    <w:pPr>
      <w:keepNext/>
      <w:keepLines/>
      <w:spacing w:before="200" w:beforeLines="0" w:beforeAutospacing="0" w:after="200" w:afterLines="0" w:afterAutospacing="0" w:line="360" w:lineRule="auto"/>
      <w:outlineLvl w:val="2"/>
    </w:pPr>
    <w:rPr>
      <w:rFonts w:eastAsia="黑体"/>
      <w:b/>
      <w:sz w:val="24"/>
    </w:rPr>
  </w:style>
  <w:style w:type="paragraph" w:styleId="5">
    <w:name w:val="heading 4"/>
    <w:basedOn w:val="1"/>
    <w:next w:val="1"/>
    <w:unhideWhenUsed/>
    <w:qFormat/>
    <w:uiPriority w:val="0"/>
    <w:pPr>
      <w:keepNext/>
      <w:keepLines/>
      <w:spacing w:before="200" w:beforeLines="0" w:beforeAutospacing="0" w:after="200" w:afterLines="0" w:afterAutospacing="0" w:line="240" w:lineRule="auto"/>
      <w:outlineLvl w:val="3"/>
    </w:pPr>
    <w:rPr>
      <w:rFonts w:ascii="Arial" w:hAnsi="Arial" w:eastAsia="黑体"/>
      <w:b/>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ZW"/>
    <w:basedOn w:val="1"/>
    <w:semiHidden/>
    <w:qFormat/>
    <w:uiPriority w:val="0"/>
    <w:pPr>
      <w:tabs>
        <w:tab w:val="left" w:pos="432"/>
      </w:tabs>
      <w:adjustRightInd w:val="0"/>
      <w:ind w:firstLine="0" w:firstLineChars="0"/>
      <w:jc w:val="left"/>
    </w:pPr>
    <w:rPr>
      <w:rFonts w:ascii="Times New Roman" w:hAnsi="Times New Roman"/>
      <w:color w:val="000000"/>
      <w:kern w:val="0"/>
      <w:sz w:val="20"/>
      <w:szCs w:val="30"/>
      <w:u w:color="0000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796</Words>
  <Characters>945</Characters>
  <Lines>0</Lines>
  <Paragraphs>0</Paragraphs>
  <TotalTime>0</TotalTime>
  <ScaleCrop>false</ScaleCrop>
  <LinksUpToDate>false</LinksUpToDate>
  <CharactersWithSpaces>1021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2025-10-29T08:39:00Z</dcterms:created>
  <dc:creator>Administrator</dc:creator>
  <cp:lastModifiedBy>杨佳</cp:lastModifiedBy>
  <dcterms:modified xsi:type="dcterms:W3CDTF">2025-11-02T15:58:17Z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eyJoZGlkIjoiODViY2JkMjU3NGYzZTEwMzZmMGFkZWViYmNkYWU3NDIiLCJ1c2VySWQiOiIxNDc4MDY4MjA4In0=</vt:lpwstr>
  </property>
  <property fmtid="{D5CDD505-2E9C-101B-9397-08002B2CF9AE}" pid="4" name="ICV">
    <vt:lpwstr>F90F88997059400F9F730B11074F7298_12</vt:lpwstr>
  </property>
</Properties>
</file>