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3062" w14:textId="77777777" w:rsidR="00D16027" w:rsidRDefault="00D16027">
      <w:pPr>
        <w:spacing w:after="600"/>
      </w:pPr>
    </w:p>
    <w:p w14:paraId="32D9C644" w14:textId="77777777" w:rsidR="00D16027" w:rsidRDefault="00000000">
      <w:pPr>
        <w:spacing w:after="200"/>
        <w:jc w:val="center"/>
      </w:pPr>
      <w:r>
        <w:rPr>
          <w:b/>
          <w:bCs/>
          <w:color w:val="2E75B6"/>
          <w:sz w:val="56"/>
          <w:szCs w:val="56"/>
        </w:rPr>
        <w:t>AI-INFORMED ASSESSMENT DESIGN</w:t>
      </w:r>
    </w:p>
    <w:p w14:paraId="6797EE0D" w14:textId="77777777" w:rsidR="00D16027" w:rsidRDefault="00000000">
      <w:pPr>
        <w:spacing w:after="120"/>
        <w:jc w:val="center"/>
      </w:pPr>
      <w:r>
        <w:rPr>
          <w:color w:val="444444"/>
          <w:sz w:val="30"/>
          <w:szCs w:val="30"/>
        </w:rPr>
        <w:t>A Practical Guide for Educators, Programme Leaders and Institutions</w:t>
      </w:r>
    </w:p>
    <w:p w14:paraId="4A945046" w14:textId="77777777" w:rsidR="00D16027" w:rsidRDefault="00D16027">
      <w:pPr>
        <w:pBdr>
          <w:bottom w:val="single" w:sz="8" w:space="1" w:color="2E75B6"/>
        </w:pBdr>
        <w:spacing w:before="300" w:after="300"/>
      </w:pPr>
    </w:p>
    <w:p w14:paraId="36D86852" w14:textId="77777777" w:rsidR="00D16027" w:rsidRDefault="00000000">
      <w:pPr>
        <w:spacing w:after="80"/>
        <w:jc w:val="center"/>
      </w:pPr>
      <w:r>
        <w:rPr>
          <w:i/>
          <w:iCs/>
          <w:color w:val="666666"/>
          <w:sz w:val="22"/>
          <w:szCs w:val="22"/>
        </w:rPr>
        <w:t>Designing and redesigning assessment in higher education for a world of generative AI</w:t>
      </w:r>
    </w:p>
    <w:p w14:paraId="2726D1EE" w14:textId="77777777" w:rsidR="00D16027" w:rsidRDefault="00D16027">
      <w:pPr>
        <w:spacing w:after="1400"/>
      </w:pPr>
    </w:p>
    <w:p w14:paraId="17505D86" w14:textId="77777777" w:rsidR="00D16027" w:rsidRDefault="00000000">
      <w:pPr>
        <w:jc w:val="center"/>
      </w:pPr>
      <w:r>
        <w:rPr>
          <w:i/>
          <w:iCs/>
          <w:color w:val="999999"/>
          <w:sz w:val="20"/>
          <w:szCs w:val="20"/>
        </w:rPr>
        <w:t>Working draft  |  September 2026  |  Capabilities and sources last reviewed September 2026</w:t>
      </w:r>
    </w:p>
    <w:p w14:paraId="01208ACA" w14:textId="77777777" w:rsidR="00D16027" w:rsidRDefault="00000000">
      <w:r>
        <w:br w:type="page"/>
      </w:r>
    </w:p>
    <w:p w14:paraId="58792832" w14:textId="77777777" w:rsidR="00D16027" w:rsidRDefault="00000000">
      <w:pPr>
        <w:spacing w:after="160"/>
      </w:pPr>
      <w:r>
        <w:rPr>
          <w:b/>
          <w:bCs/>
          <w:color w:val="2E75B6"/>
          <w:sz w:val="36"/>
          <w:szCs w:val="36"/>
        </w:rPr>
        <w:lastRenderedPageBreak/>
        <w:t>Contents</w:t>
      </w:r>
    </w:p>
    <w:p w14:paraId="3B07E493" w14:textId="77777777" w:rsidR="00D16027" w:rsidRDefault="00000000">
      <w:pPr>
        <w:pStyle w:val="TOC1"/>
      </w:pPr>
      <w:r>
        <w:fldChar w:fldCharType="begin"/>
      </w:r>
      <w:r>
        <w:instrText xml:space="preserve"> TOC \o "1-1" \h \z \u </w:instrText>
      </w:r>
      <w:r>
        <w:fldChar w:fldCharType="separate"/>
      </w:r>
      <w:r>
        <w:rPr>
          <w:color w:val="222222"/>
        </w:rPr>
        <w:t>Preface</w:t>
      </w:r>
      <w:r>
        <w:rPr>
          <w:color w:val="222222"/>
        </w:rPr>
        <w:tab/>
        <w:t>3</w:t>
      </w:r>
    </w:p>
    <w:p w14:paraId="38D8BB9C" w14:textId="77777777" w:rsidR="00D16027" w:rsidRDefault="00000000">
      <w:pPr>
        <w:pStyle w:val="TOC1"/>
        <w:spacing w:before="160"/>
      </w:pPr>
      <w:r>
        <w:rPr>
          <w:b/>
          <w:bCs/>
          <w:color w:val="1A4F7A"/>
        </w:rPr>
        <w:t>Part I: Understanding the Landscape</w:t>
      </w:r>
      <w:r>
        <w:rPr>
          <w:color w:val="222222"/>
        </w:rPr>
        <w:tab/>
        <w:t>5</w:t>
      </w:r>
    </w:p>
    <w:p w14:paraId="6DA23233" w14:textId="77777777" w:rsidR="00D16027" w:rsidRDefault="00000000">
      <w:pPr>
        <w:pStyle w:val="TOC1"/>
        <w:ind w:left="360"/>
      </w:pPr>
      <w:r>
        <w:rPr>
          <w:color w:val="222222"/>
        </w:rPr>
        <w:t>1  The Assessment We Inherited</w:t>
      </w:r>
      <w:r>
        <w:rPr>
          <w:color w:val="222222"/>
        </w:rPr>
        <w:tab/>
        <w:t>6</w:t>
      </w:r>
    </w:p>
    <w:p w14:paraId="026CC944" w14:textId="77777777" w:rsidR="00D16027" w:rsidRDefault="00000000">
      <w:pPr>
        <w:pStyle w:val="TOC1"/>
        <w:ind w:left="360"/>
      </w:pPr>
      <w:r>
        <w:rPr>
          <w:color w:val="222222"/>
        </w:rPr>
        <w:t>2  What AI Actually Does (and Does Not Do)</w:t>
      </w:r>
      <w:r>
        <w:rPr>
          <w:color w:val="222222"/>
        </w:rPr>
        <w:tab/>
        <w:t>11</w:t>
      </w:r>
    </w:p>
    <w:p w14:paraId="2271D733" w14:textId="77777777" w:rsidR="00D16027" w:rsidRDefault="00000000">
      <w:pPr>
        <w:pStyle w:val="TOC1"/>
        <w:ind w:left="360"/>
      </w:pPr>
      <w:r>
        <w:rPr>
          <w:color w:val="222222"/>
        </w:rPr>
        <w:t>3  The Stakes: Challenges, Risks and Opportunities</w:t>
      </w:r>
      <w:r>
        <w:rPr>
          <w:color w:val="222222"/>
        </w:rPr>
        <w:tab/>
        <w:t>17</w:t>
      </w:r>
    </w:p>
    <w:p w14:paraId="04597A6D" w14:textId="77777777" w:rsidR="00D16027" w:rsidRDefault="00000000">
      <w:pPr>
        <w:pStyle w:val="TOC1"/>
        <w:spacing w:before="160"/>
      </w:pPr>
      <w:r>
        <w:rPr>
          <w:b/>
          <w:bCs/>
          <w:color w:val="1A4F7A"/>
        </w:rPr>
        <w:t>Part II: Foundations for AI-Informed Assessment Design</w:t>
      </w:r>
      <w:r>
        <w:rPr>
          <w:color w:val="222222"/>
        </w:rPr>
        <w:tab/>
        <w:t>23</w:t>
      </w:r>
    </w:p>
    <w:p w14:paraId="77BA693B" w14:textId="77777777" w:rsidR="00D16027" w:rsidRDefault="00000000">
      <w:pPr>
        <w:pStyle w:val="TOC1"/>
        <w:ind w:left="360"/>
      </w:pPr>
      <w:r>
        <w:rPr>
          <w:color w:val="222222"/>
        </w:rPr>
        <w:t>4  Starting with Learning: Outcomes First</w:t>
      </w:r>
      <w:r>
        <w:rPr>
          <w:color w:val="222222"/>
        </w:rPr>
        <w:tab/>
        <w:t>24</w:t>
      </w:r>
    </w:p>
    <w:p w14:paraId="45640122" w14:textId="77777777" w:rsidR="00D16027" w:rsidRDefault="00000000">
      <w:pPr>
        <w:pStyle w:val="TOC1"/>
        <w:ind w:left="360"/>
      </w:pPr>
      <w:r>
        <w:rPr>
          <w:color w:val="222222"/>
        </w:rPr>
        <w:t>5  Rethinking the Validity Question</w:t>
      </w:r>
      <w:r>
        <w:rPr>
          <w:color w:val="222222"/>
        </w:rPr>
        <w:tab/>
        <w:t>29</w:t>
      </w:r>
    </w:p>
    <w:p w14:paraId="288C4334" w14:textId="77777777" w:rsidR="00D16027" w:rsidRDefault="00000000">
      <w:pPr>
        <w:pStyle w:val="TOC1"/>
        <w:ind w:left="360"/>
      </w:pPr>
      <w:r>
        <w:rPr>
          <w:color w:val="222222"/>
        </w:rPr>
        <w:t>6  The Spectrum of Assessment: From AI-Excluded to AI-Integrated</w:t>
      </w:r>
      <w:r>
        <w:rPr>
          <w:color w:val="222222"/>
        </w:rPr>
        <w:tab/>
        <w:t>35</w:t>
      </w:r>
    </w:p>
    <w:p w14:paraId="27FAF12B" w14:textId="77777777" w:rsidR="00D16027" w:rsidRDefault="00000000">
      <w:pPr>
        <w:pStyle w:val="TOC1"/>
        <w:spacing w:before="160"/>
      </w:pPr>
      <w:r>
        <w:rPr>
          <w:b/>
          <w:bCs/>
          <w:color w:val="1A4F7A"/>
        </w:rPr>
        <w:t>Part III: Designing AI-Resilient Assessments</w:t>
      </w:r>
      <w:r>
        <w:rPr>
          <w:color w:val="222222"/>
        </w:rPr>
        <w:tab/>
        <w:t>42</w:t>
      </w:r>
    </w:p>
    <w:p w14:paraId="6102B8D7" w14:textId="77777777" w:rsidR="00D16027" w:rsidRDefault="00000000">
      <w:pPr>
        <w:pStyle w:val="TOC1"/>
        <w:ind w:left="360"/>
      </w:pPr>
      <w:r>
        <w:rPr>
          <w:color w:val="222222"/>
        </w:rPr>
        <w:t>7  Assessing What AI Cannot Do</w:t>
      </w:r>
      <w:r>
        <w:rPr>
          <w:color w:val="222222"/>
        </w:rPr>
        <w:tab/>
        <w:t>43</w:t>
      </w:r>
    </w:p>
    <w:p w14:paraId="4079EF1D" w14:textId="77777777" w:rsidR="00D16027" w:rsidRDefault="00000000">
      <w:pPr>
        <w:pStyle w:val="TOC1"/>
        <w:ind w:left="360"/>
      </w:pPr>
      <w:r>
        <w:rPr>
          <w:color w:val="222222"/>
        </w:rPr>
        <w:t>8  Process, Not Just Product</w:t>
      </w:r>
      <w:r>
        <w:rPr>
          <w:color w:val="222222"/>
        </w:rPr>
        <w:tab/>
        <w:t>48</w:t>
      </w:r>
    </w:p>
    <w:p w14:paraId="20D711AA" w14:textId="77777777" w:rsidR="00D16027" w:rsidRDefault="00000000">
      <w:pPr>
        <w:pStyle w:val="TOC1"/>
        <w:ind w:left="360"/>
      </w:pPr>
      <w:r>
        <w:rPr>
          <w:color w:val="222222"/>
        </w:rPr>
        <w:t>9  Authentic and Contextualised Assessment</w:t>
      </w:r>
      <w:r>
        <w:rPr>
          <w:color w:val="222222"/>
        </w:rPr>
        <w:tab/>
        <w:t>53</w:t>
      </w:r>
    </w:p>
    <w:p w14:paraId="75CD7056" w14:textId="77777777" w:rsidR="00D16027" w:rsidRDefault="00000000">
      <w:pPr>
        <w:pStyle w:val="TOC1"/>
        <w:ind w:left="360"/>
      </w:pPr>
      <w:r>
        <w:rPr>
          <w:color w:val="222222"/>
        </w:rPr>
        <w:t>10  Oral and Live Assessment</w:t>
      </w:r>
      <w:r>
        <w:rPr>
          <w:color w:val="222222"/>
        </w:rPr>
        <w:tab/>
        <w:t>58</w:t>
      </w:r>
    </w:p>
    <w:p w14:paraId="655B7B51" w14:textId="77777777" w:rsidR="00D16027" w:rsidRDefault="00000000">
      <w:pPr>
        <w:pStyle w:val="TOC1"/>
        <w:spacing w:before="160"/>
      </w:pPr>
      <w:r>
        <w:rPr>
          <w:b/>
          <w:bCs/>
          <w:color w:val="1A4F7A"/>
        </w:rPr>
        <w:t>Part IV: Designing AI-Integrated Assessments</w:t>
      </w:r>
      <w:r>
        <w:rPr>
          <w:color w:val="222222"/>
        </w:rPr>
        <w:tab/>
        <w:t>64</w:t>
      </w:r>
    </w:p>
    <w:p w14:paraId="0196B7CF" w14:textId="77777777" w:rsidR="00D16027" w:rsidRDefault="00000000">
      <w:pPr>
        <w:pStyle w:val="TOC1"/>
        <w:ind w:left="360"/>
      </w:pPr>
      <w:r>
        <w:rPr>
          <w:color w:val="222222"/>
        </w:rPr>
        <w:t>11  AI as a Tool Within the Assessment</w:t>
      </w:r>
      <w:r>
        <w:rPr>
          <w:color w:val="222222"/>
        </w:rPr>
        <w:tab/>
        <w:t>65</w:t>
      </w:r>
    </w:p>
    <w:p w14:paraId="0E162A76" w14:textId="77777777" w:rsidR="00D16027" w:rsidRDefault="00000000">
      <w:pPr>
        <w:pStyle w:val="TOC1"/>
        <w:ind w:left="360"/>
      </w:pPr>
      <w:r>
        <w:rPr>
          <w:color w:val="222222"/>
        </w:rPr>
        <w:t>12  Using AI to Generate Better Feedback</w:t>
      </w:r>
      <w:r>
        <w:rPr>
          <w:color w:val="222222"/>
        </w:rPr>
        <w:tab/>
        <w:t>70</w:t>
      </w:r>
    </w:p>
    <w:p w14:paraId="0367B56F" w14:textId="77777777" w:rsidR="00D16027" w:rsidRDefault="00000000">
      <w:pPr>
        <w:pStyle w:val="TOC1"/>
        <w:ind w:left="360"/>
      </w:pPr>
      <w:r>
        <w:rPr>
          <w:color w:val="222222"/>
        </w:rPr>
        <w:t>13  AI-Assisted Marking and Moderation</w:t>
      </w:r>
      <w:r>
        <w:rPr>
          <w:color w:val="222222"/>
        </w:rPr>
        <w:tab/>
        <w:t>75</w:t>
      </w:r>
    </w:p>
    <w:p w14:paraId="3CA803A8" w14:textId="77777777" w:rsidR="00D16027" w:rsidRDefault="00000000">
      <w:pPr>
        <w:pStyle w:val="TOC1"/>
        <w:spacing w:before="160"/>
      </w:pPr>
      <w:r>
        <w:rPr>
          <w:b/>
          <w:bCs/>
          <w:color w:val="1A4F7A"/>
        </w:rPr>
        <w:t>Part V: Implementation and Institutional Context</w:t>
      </w:r>
      <w:r>
        <w:rPr>
          <w:color w:val="222222"/>
        </w:rPr>
        <w:tab/>
        <w:t>80</w:t>
      </w:r>
    </w:p>
    <w:p w14:paraId="14A11931" w14:textId="77777777" w:rsidR="00D16027" w:rsidRDefault="00000000">
      <w:pPr>
        <w:pStyle w:val="TOC1"/>
        <w:ind w:left="360"/>
      </w:pPr>
      <w:r>
        <w:rPr>
          <w:color w:val="222222"/>
        </w:rPr>
        <w:t>14  Auditing and Redesigning Your Current Assessments</w:t>
      </w:r>
      <w:r>
        <w:rPr>
          <w:color w:val="222222"/>
        </w:rPr>
        <w:tab/>
        <w:t>81</w:t>
      </w:r>
    </w:p>
    <w:p w14:paraId="03501DCF" w14:textId="77777777" w:rsidR="00D16027" w:rsidRDefault="00000000">
      <w:pPr>
        <w:pStyle w:val="TOC1"/>
        <w:ind w:left="360"/>
      </w:pPr>
      <w:r>
        <w:rPr>
          <w:color w:val="222222"/>
        </w:rPr>
        <w:t>15  Academic Integrity Reimagined</w:t>
      </w:r>
      <w:r>
        <w:rPr>
          <w:color w:val="222222"/>
        </w:rPr>
        <w:tab/>
        <w:t>87</w:t>
      </w:r>
    </w:p>
    <w:p w14:paraId="339439BC" w14:textId="77777777" w:rsidR="00D16027" w:rsidRDefault="00000000">
      <w:pPr>
        <w:pStyle w:val="TOC1"/>
        <w:ind w:left="360"/>
      </w:pPr>
      <w:r>
        <w:rPr>
          <w:color w:val="222222"/>
        </w:rPr>
        <w:t>16  Equity, Inclusion and Access</w:t>
      </w:r>
      <w:r>
        <w:rPr>
          <w:color w:val="222222"/>
        </w:rPr>
        <w:tab/>
        <w:t>93</w:t>
      </w:r>
    </w:p>
    <w:p w14:paraId="5877A93B" w14:textId="77777777" w:rsidR="00D16027" w:rsidRDefault="00000000">
      <w:pPr>
        <w:pStyle w:val="TOC1"/>
        <w:ind w:left="360"/>
      </w:pPr>
      <w:r>
        <w:rPr>
          <w:color w:val="222222"/>
        </w:rPr>
        <w:t>17  Working Within Your Institution</w:t>
      </w:r>
      <w:r>
        <w:rPr>
          <w:color w:val="222222"/>
        </w:rPr>
        <w:tab/>
        <w:t>98</w:t>
      </w:r>
    </w:p>
    <w:p w14:paraId="01A4154D" w14:textId="77777777" w:rsidR="00D16027" w:rsidRDefault="00000000">
      <w:pPr>
        <w:pStyle w:val="TOC1"/>
        <w:spacing w:before="160"/>
      </w:pPr>
      <w:r>
        <w:rPr>
          <w:b/>
          <w:bCs/>
          <w:color w:val="1A4F7A"/>
        </w:rPr>
        <w:t>Part VI: Looking Forward</w:t>
      </w:r>
      <w:r>
        <w:rPr>
          <w:color w:val="222222"/>
        </w:rPr>
        <w:tab/>
        <w:t>103</w:t>
      </w:r>
    </w:p>
    <w:p w14:paraId="0ED1EEC9" w14:textId="77777777" w:rsidR="00D16027" w:rsidRDefault="00000000">
      <w:pPr>
        <w:pStyle w:val="TOC1"/>
        <w:ind w:left="360"/>
      </w:pPr>
      <w:r>
        <w:rPr>
          <w:color w:val="222222"/>
        </w:rPr>
        <w:t>18  The Educator's Evolving Role</w:t>
      </w:r>
      <w:r>
        <w:rPr>
          <w:color w:val="222222"/>
        </w:rPr>
        <w:tab/>
        <w:t>104</w:t>
      </w:r>
    </w:p>
    <w:p w14:paraId="26C25742" w14:textId="77777777" w:rsidR="00D16027" w:rsidRDefault="00000000">
      <w:pPr>
        <w:pStyle w:val="TOC1"/>
        <w:ind w:left="360"/>
      </w:pPr>
      <w:r>
        <w:rPr>
          <w:color w:val="222222"/>
        </w:rPr>
        <w:t>19  Designing for a Moving Target</w:t>
      </w:r>
      <w:r>
        <w:rPr>
          <w:color w:val="222222"/>
        </w:rPr>
        <w:tab/>
        <w:t>109</w:t>
      </w:r>
    </w:p>
    <w:p w14:paraId="089A53D6" w14:textId="77777777" w:rsidR="00D16027" w:rsidRDefault="00000000">
      <w:pPr>
        <w:pStyle w:val="TOC1"/>
        <w:spacing w:before="160"/>
      </w:pPr>
      <w:r>
        <w:rPr>
          <w:b/>
          <w:bCs/>
          <w:color w:val="1A4F7A"/>
        </w:rPr>
        <w:t>Appendices</w:t>
      </w:r>
      <w:r>
        <w:rPr>
          <w:color w:val="222222"/>
        </w:rPr>
        <w:tab/>
        <w:t>114</w:t>
      </w:r>
    </w:p>
    <w:p w14:paraId="238EF433" w14:textId="77777777" w:rsidR="00D16027" w:rsidRDefault="00000000">
      <w:pPr>
        <w:pStyle w:val="TOC1"/>
        <w:ind w:left="360"/>
      </w:pPr>
      <w:r>
        <w:rPr>
          <w:color w:val="222222"/>
        </w:rPr>
        <w:t>Appendix A: Assessment Audit Tool and Redesign Template</w:t>
      </w:r>
      <w:r>
        <w:rPr>
          <w:color w:val="222222"/>
        </w:rPr>
        <w:tab/>
        <w:t>115</w:t>
      </w:r>
    </w:p>
    <w:p w14:paraId="3E3B143E" w14:textId="77777777" w:rsidR="00D16027" w:rsidRDefault="00000000">
      <w:pPr>
        <w:pStyle w:val="TOC1"/>
        <w:ind w:left="360"/>
      </w:pPr>
      <w:r>
        <w:rPr>
          <w:color w:val="222222"/>
        </w:rPr>
        <w:t>Appendix B: Glossary of AI Terms for Educators</w:t>
      </w:r>
      <w:r>
        <w:rPr>
          <w:color w:val="222222"/>
        </w:rPr>
        <w:tab/>
        <w:t>118</w:t>
      </w:r>
    </w:p>
    <w:p w14:paraId="7B846A32" w14:textId="77777777" w:rsidR="00D16027" w:rsidRDefault="00000000">
      <w:pPr>
        <w:pStyle w:val="TOC1"/>
        <w:ind w:left="360"/>
      </w:pPr>
      <w:r>
        <w:rPr>
          <w:color w:val="222222"/>
        </w:rPr>
        <w:t>Appendix C: Annotated Bibliography and Further Reading</w:t>
      </w:r>
      <w:r>
        <w:rPr>
          <w:color w:val="222222"/>
        </w:rPr>
        <w:tab/>
        <w:t>120</w:t>
      </w:r>
    </w:p>
    <w:p w14:paraId="21EAF641" w14:textId="77777777" w:rsidR="00D16027" w:rsidRDefault="00000000">
      <w:pPr>
        <w:pStyle w:val="TOC1"/>
        <w:ind w:left="360"/>
      </w:pPr>
      <w:r>
        <w:rPr>
          <w:color w:val="222222"/>
        </w:rPr>
        <w:t>Appendix D: Sample Assessment Briefs Across Disciplines</w:t>
      </w:r>
      <w:r>
        <w:rPr>
          <w:color w:val="222222"/>
        </w:rPr>
        <w:tab/>
        <w:t>122</w:t>
      </w:r>
    </w:p>
    <w:p w14:paraId="4DF5D947" w14:textId="77777777" w:rsidR="00D16027" w:rsidRDefault="00000000">
      <w:pPr>
        <w:pStyle w:val="TOC1"/>
      </w:pPr>
      <w:r>
        <w:rPr>
          <w:color w:val="222222"/>
        </w:rPr>
        <w:t>Consolidated Bibliography</w:t>
      </w:r>
      <w:r>
        <w:rPr>
          <w:color w:val="222222"/>
        </w:rPr>
        <w:tab/>
        <w:t>125</w:t>
      </w:r>
      <w:r>
        <w:fldChar w:fldCharType="end"/>
      </w:r>
    </w:p>
    <w:p w14:paraId="6B9D6570" w14:textId="77777777" w:rsidR="00D16027" w:rsidRDefault="00000000">
      <w:r>
        <w:br w:type="page"/>
      </w:r>
    </w:p>
    <w:p w14:paraId="10496211" w14:textId="77777777" w:rsidR="00D16027" w:rsidRDefault="00D16027">
      <w:pPr>
        <w:keepNext/>
        <w:spacing w:after="40"/>
      </w:pPr>
    </w:p>
    <w:p w14:paraId="6A43DAB3" w14:textId="77777777" w:rsidR="00D16027" w:rsidRDefault="00000000">
      <w:pPr>
        <w:pStyle w:val="Heading1"/>
        <w:keepNext/>
      </w:pPr>
      <w:r>
        <w:t>Preface</w:t>
      </w:r>
    </w:p>
    <w:p w14:paraId="4829EB87" w14:textId="77777777" w:rsidR="00D16027" w:rsidRDefault="00000000">
      <w:pPr>
        <w:pBdr>
          <w:left w:val="single" w:sz="14" w:space="10" w:color="2E75B6"/>
        </w:pBdr>
        <w:shd w:val="clear" w:color="auto" w:fill="EAF3FB"/>
        <w:spacing w:after="200"/>
      </w:pPr>
      <w:r>
        <w:rPr>
          <w:i/>
          <w:iCs/>
          <w:color w:val="333333"/>
        </w:rPr>
        <w:t>Why this book exists, who it is for, and how to use it.</w:t>
      </w:r>
    </w:p>
    <w:p w14:paraId="0B3D8678" w14:textId="77777777" w:rsidR="00D16027" w:rsidRDefault="00000000">
      <w:pPr>
        <w:pStyle w:val="Heading2"/>
        <w:keepNext/>
      </w:pPr>
      <w:r>
        <w:t>Why this book</w:t>
      </w:r>
    </w:p>
    <w:p w14:paraId="525C56B3" w14:textId="77777777" w:rsidR="00D16027" w:rsidRDefault="00000000">
      <w:pPr>
        <w:spacing w:after="140"/>
      </w:pPr>
      <w:r>
        <w:t>In November 2022 a chatbot became available that could write a passable undergraduate essay in thirty seconds. Within a year it could pass the bar exam, the medical licensing exam and a Wharton MBA final. Within three years, 92% of UK undergraduates were using generative AI and 88% were using it for assessed work. The assessment system that higher education inherited, built on the assumption that a well-made written artefact evidences the thinking of its author, has not adapted at the same pace.</w:t>
      </w:r>
    </w:p>
    <w:p w14:paraId="3B76F834" w14:textId="77777777" w:rsidR="00D16027" w:rsidRDefault="00000000">
      <w:pPr>
        <w:spacing w:after="140"/>
      </w:pPr>
      <w:r>
        <w:t>Much of the sector's early response was defensive: prohibition, detection software, a return to invigilated examinations. The research evidence, reviewed throughout this book, shows that detection does not work, that it discriminates against students writing in a second language, and that blanket retreat to the exam hall damages inclusion and authenticity without securing learning. At the same time a more constructive response has emerged from assessment scholars, regulators and universities in Australia, the United Kingdom, North America and Europe: begin from validity, relocate the evidence of learning to what AI cannot supply, and use AI's genuine strengths to improve feedback, develop judgement and prepare graduates for the world they will work in.</w:t>
      </w:r>
    </w:p>
    <w:p w14:paraId="5E1CC14C" w14:textId="77777777" w:rsidR="00D16027" w:rsidRDefault="00000000">
      <w:pPr>
        <w:spacing w:after="140"/>
      </w:pPr>
      <w:r>
        <w:t>This book distils that response into a practical guide. It is research-informed throughout, because educators are entitled to know the evidence behind the advice they are given, and because the evidence is more encouraging than the anxiety suggests. But its purpose is action: every chapter ends with what to do.</w:t>
      </w:r>
    </w:p>
    <w:p w14:paraId="10307BB8" w14:textId="77777777" w:rsidR="00D16027" w:rsidRDefault="00000000">
      <w:pPr>
        <w:pStyle w:val="Heading2"/>
        <w:keepNext/>
      </w:pPr>
      <w:r>
        <w:t>Who it is for</w:t>
      </w:r>
    </w:p>
    <w:p w14:paraId="2F070608" w14:textId="77777777" w:rsidR="00D16027" w:rsidRDefault="00000000">
      <w:pPr>
        <w:spacing w:after="140"/>
      </w:pPr>
      <w:r>
        <w:t>The book addresses three readers at once, because assessment reform fails when they work in isolation.</w:t>
      </w:r>
    </w:p>
    <w:p w14:paraId="3B7F1F9F" w14:textId="77777777" w:rsidR="00D16027" w:rsidRDefault="00000000">
      <w:pPr>
        <w:pStyle w:val="ListParagraph"/>
        <w:numPr>
          <w:ilvl w:val="0"/>
          <w:numId w:val="2"/>
        </w:numPr>
        <w:spacing w:before="40" w:after="40"/>
      </w:pPr>
      <w:r>
        <w:rPr>
          <w:b/>
          <w:bCs/>
        </w:rPr>
        <w:t>Individual academics</w:t>
      </w:r>
      <w:r>
        <w:t xml:space="preserve"> redesigning their own modules, who need to know which of their assessments are vulnerable, what to change, and how to do so without doubling their workload.</w:t>
      </w:r>
    </w:p>
    <w:p w14:paraId="16ECF1E1" w14:textId="77777777" w:rsidR="00D16027" w:rsidRDefault="00000000">
      <w:pPr>
        <w:pStyle w:val="ListParagraph"/>
        <w:numPr>
          <w:ilvl w:val="0"/>
          <w:numId w:val="2"/>
        </w:numPr>
        <w:spacing w:before="40" w:after="40"/>
      </w:pPr>
      <w:r>
        <w:rPr>
          <w:b/>
          <w:bCs/>
        </w:rPr>
        <w:t>Programme leaders</w:t>
      </w:r>
      <w:r>
        <w:t xml:space="preserve"> responsible for the coherence of a degree, who need to think at portfolio level about where assurance of learning rests, how AI literacy is sequenced, and how professional-body requirements are met.</w:t>
      </w:r>
    </w:p>
    <w:p w14:paraId="1B07F36C" w14:textId="77777777" w:rsidR="00D16027" w:rsidRDefault="00000000">
      <w:pPr>
        <w:pStyle w:val="ListParagraph"/>
        <w:numPr>
          <w:ilvl w:val="0"/>
          <w:numId w:val="2"/>
        </w:numPr>
        <w:spacing w:before="40" w:after="40"/>
      </w:pPr>
      <w:r>
        <w:rPr>
          <w:b/>
          <w:bCs/>
        </w:rPr>
        <w:t>Institutional policy-makers</w:t>
      </w:r>
      <w:r>
        <w:t>, quality officers and senior leaders, who set the frameworks within which the first two groups operate and who decide whether redesign is resourced as a change programme or issued as a circular.</w:t>
      </w:r>
    </w:p>
    <w:p w14:paraId="1B122FEF" w14:textId="77777777" w:rsidR="00D16027" w:rsidRDefault="00000000">
      <w:pPr>
        <w:spacing w:after="140"/>
      </w:pPr>
      <w:r>
        <w:t xml:space="preserve">Each chapter closes with a short section, </w:t>
      </w:r>
      <w:r>
        <w:rPr>
          <w:i/>
          <w:iCs/>
        </w:rPr>
        <w:t>What this means for you</w:t>
      </w:r>
      <w:r>
        <w:t>, addressed to each of the three in turn.</w:t>
      </w:r>
    </w:p>
    <w:p w14:paraId="23C5920F" w14:textId="77777777" w:rsidR="00D16027" w:rsidRDefault="00000000">
      <w:pPr>
        <w:pStyle w:val="Heading2"/>
        <w:keepNext/>
      </w:pPr>
      <w:r>
        <w:t>How to use it</w:t>
      </w:r>
    </w:p>
    <w:p w14:paraId="6D80FFB2" w14:textId="77777777" w:rsidR="00D16027" w:rsidRDefault="00000000">
      <w:pPr>
        <w:spacing w:after="140"/>
      </w:pPr>
      <w:r>
        <w:t>The book is organised in six parts. Part I (Chapters 1–3) sets out the landscape: the assessment we inherited, what AI actually does, and the challenges and opportunities it presents. Part II (Chapters 4–6) establishes the foundations of AI-informed design: outcomes, validity, and the spectrum from AI-excluded to AI-integrated assessment that organises the rest of the book. Part III (Chapters 7–10) is about designing AI-resilient assessment; Part IV (Chapters 11–13) about designing AI-integrated assessment, feedback and marking. Part V (Chapters 14–17) turns to implementation: auditing, integrity, equity and institutional change. Part VI (Chapters 18–19) looks forward to the educator's evolving role and to designing for a moving target.</w:t>
      </w:r>
    </w:p>
    <w:p w14:paraId="08DE3CFD" w14:textId="77777777" w:rsidR="00D16027" w:rsidRDefault="00000000">
      <w:pPr>
        <w:spacing w:after="140"/>
      </w:pPr>
      <w:r>
        <w:t xml:space="preserve">Readers with an immediate redesign problem may wish to begin with Chapter 14, the audit and redesign process, and work backwards. Readers responsible for policy may begin with Chapters 3, </w:t>
      </w:r>
      <w:r>
        <w:lastRenderedPageBreak/>
        <w:t>15 and 17. Every chapter is designed to stand alone, and cross-references point to fuller treatment elsewhere.</w:t>
      </w:r>
    </w:p>
    <w:p w14:paraId="50D669FC" w14:textId="77777777" w:rsidR="00D16027" w:rsidRDefault="00000000">
      <w:pPr>
        <w:spacing w:after="140"/>
      </w:pPr>
      <w:r>
        <w:t xml:space="preserve">Four recurring features are marked with shaded boxes. </w:t>
      </w:r>
      <w:r>
        <w:rPr>
          <w:i/>
          <w:iCs/>
        </w:rPr>
        <w:t>In this chapter</w:t>
      </w:r>
      <w:r>
        <w:t xml:space="preserve"> previews what each chapter will equip you to do. </w:t>
      </w:r>
      <w:r>
        <w:rPr>
          <w:i/>
          <w:iCs/>
        </w:rPr>
        <w:t>In practice</w:t>
      </w:r>
      <w:r>
        <w:t xml:space="preserve"> boxes give worked examples across disciplines, from medicine and law to engineering, business, the humanities, the creative arts and education; unless a source is cited, these are illustrative composites drawn from practice across institutions, not reports of specific evaluated cases, and any outcomes they describe are indicative rather than measured. </w:t>
      </w:r>
      <w:r>
        <w:rPr>
          <w:i/>
          <w:iCs/>
        </w:rPr>
        <w:t>Try this</w:t>
      </w:r>
      <w:r>
        <w:t xml:space="preserve"> boxes contain protocols and checklists you can use directly. </w:t>
      </w:r>
      <w:r>
        <w:rPr>
          <w:i/>
          <w:iCs/>
        </w:rPr>
        <w:t>What this means for you</w:t>
      </w:r>
      <w:r>
        <w:t xml:space="preserve"> closes each chapter with role-specific guidance. Tables summarise frameworks and evidence for quick reference.</w:t>
      </w:r>
    </w:p>
    <w:p w14:paraId="4CACCB9A" w14:textId="77777777" w:rsidR="00D16027" w:rsidRDefault="00000000">
      <w:pPr>
        <w:pStyle w:val="Heading2"/>
        <w:keepNext/>
      </w:pPr>
      <w:r>
        <w:t>A note on references and on dates</w:t>
      </w:r>
    </w:p>
    <w:p w14:paraId="1C0BB1BB" w14:textId="77777777" w:rsidR="00D16027" w:rsidRDefault="00000000">
      <w:pPr>
        <w:spacing w:after="140"/>
      </w:pPr>
      <w:r>
        <w:t>Each chapter ends with its key references in full, and a consolidated bibliography follows the appendices. The literature on AI and assessment is growing at a rate that outruns any book, and several of the most influential sources are regulator reports, institutional guidance and working papers rather than journal articles. Where quantitative claims are made, the source is named in the text. Readers preparing their own publications should verify volume, page and DOI details against the original, since some references were first circulated as preprints and have since been revised. Where this book states that AI can or cannot do something, the statement is true of the systems available in 2026 and should be treated as provisional; Chapter 19 explains how to design for that uncertainty.</w:t>
      </w:r>
    </w:p>
    <w:p w14:paraId="07AE2429" w14:textId="77777777" w:rsidR="00D16027" w:rsidRDefault="00000000">
      <w:r>
        <w:br w:type="page"/>
      </w:r>
    </w:p>
    <w:p w14:paraId="3EADE879" w14:textId="77777777" w:rsidR="00D16027" w:rsidRDefault="00D16027">
      <w:pPr>
        <w:spacing w:after="800"/>
      </w:pPr>
    </w:p>
    <w:p w14:paraId="30BC50E9" w14:textId="77777777" w:rsidR="00D16027" w:rsidRDefault="00000000">
      <w:pPr>
        <w:spacing w:after="60"/>
      </w:pPr>
      <w:r>
        <w:rPr>
          <w:b/>
          <w:bCs/>
          <w:vanish/>
          <w:color w:val="2E75B6"/>
          <w:sz w:val="30"/>
          <w:szCs w:val="30"/>
        </w:rPr>
        <w:t>PART I</w:t>
      </w:r>
    </w:p>
    <w:p w14:paraId="4378C426" w14:textId="77777777" w:rsidR="00D16027" w:rsidRDefault="00000000">
      <w:pPr>
        <w:pStyle w:val="Heading1"/>
        <w:keepNext/>
        <w:pBdr>
          <w:bottom w:val="single" w:sz="12" w:space="6" w:color="2E75B6"/>
        </w:pBdr>
        <w:spacing w:after="200"/>
      </w:pPr>
      <w:r>
        <w:rPr>
          <w:sz w:val="48"/>
          <w:szCs w:val="48"/>
        </w:rPr>
        <w:t>Part I: Understanding the Landscape</w:t>
      </w:r>
    </w:p>
    <w:p w14:paraId="0B09C6EA" w14:textId="77777777" w:rsidR="00D16027" w:rsidRDefault="00000000">
      <w:pPr>
        <w:spacing w:before="200" w:after="120"/>
      </w:pPr>
      <w:r>
        <w:rPr>
          <w:i/>
          <w:iCs/>
          <w:color w:val="555555"/>
          <w:sz w:val="23"/>
          <w:szCs w:val="23"/>
        </w:rPr>
        <w:t>Where our assessments came from, what generative AI actually does, and the challenges and opportunities it presents. Part I gives educators the working knowledge they need before redesign begins.</w:t>
      </w:r>
    </w:p>
    <w:p w14:paraId="1120C212" w14:textId="77777777" w:rsidR="00D16027" w:rsidRDefault="00000000">
      <w:r>
        <w:br w:type="page"/>
      </w:r>
    </w:p>
    <w:p w14:paraId="30C1F5D2" w14:textId="77777777" w:rsidR="00D16027" w:rsidRDefault="00000000">
      <w:pPr>
        <w:keepNext/>
        <w:spacing w:after="40"/>
      </w:pPr>
      <w:r>
        <w:rPr>
          <w:b/>
          <w:bCs/>
          <w:caps/>
          <w:color w:val="2E75B6"/>
          <w:sz w:val="22"/>
          <w:szCs w:val="22"/>
        </w:rPr>
        <w:lastRenderedPageBreak/>
        <w:t>CHAPTER 1</w:t>
      </w:r>
    </w:p>
    <w:p w14:paraId="1C00457E" w14:textId="77777777" w:rsidR="00D16027" w:rsidRDefault="00000000">
      <w:pPr>
        <w:pStyle w:val="Heading1"/>
        <w:keepNext/>
      </w:pPr>
      <w:r>
        <w:t>The Assessment We Inherited</w:t>
      </w:r>
    </w:p>
    <w:p w14:paraId="5176C232" w14:textId="77777777" w:rsidR="00D16027" w:rsidRDefault="00000000">
      <w:pPr>
        <w:pBdr>
          <w:left w:val="single" w:sz="14" w:space="10" w:color="2E75B6"/>
        </w:pBdr>
        <w:shd w:val="clear" w:color="auto" w:fill="EAF3FB"/>
        <w:spacing w:after="200"/>
      </w:pPr>
      <w:r>
        <w:rPr>
          <w:i/>
          <w:iCs/>
          <w:color w:val="333333"/>
        </w:rPr>
        <w:t>Before redesigning assessment for the AI age, we need to understand the foundations we are building on: why our assessment practices evolved as they did, what they do well, and where they were already under strain before generative AI arrived.</w:t>
      </w:r>
    </w:p>
    <w:p w14:paraId="5404E6AF"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5B129E5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Explain where the dominant assessment formats in higher education came from and what purposes they serve</w:t>
      </w:r>
    </w:p>
    <w:p w14:paraId="7451567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Apply four enduring frameworks (constructive alignment, backward design, cognitive taxonomies and validity) to any assessment you inherit</w:t>
      </w:r>
    </w:p>
    <w:p w14:paraId="6F6F959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Recognise the strains that predate AI and understand why AI makes them urgent rather than new</w:t>
      </w:r>
    </w:p>
    <w:p w14:paraId="26CA5A5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Run a four-question audit on any existing assessment</w:t>
      </w:r>
    </w:p>
    <w:p w14:paraId="3BF93E2F" w14:textId="77777777" w:rsidR="00D16027" w:rsidRDefault="00000000">
      <w:pPr>
        <w:pStyle w:val="Heading2"/>
        <w:keepNext/>
      </w:pPr>
      <w:r>
        <w:t>1.1 Where our assessments came from</w:t>
      </w:r>
    </w:p>
    <w:p w14:paraId="63D364D8" w14:textId="77777777" w:rsidR="00D16027" w:rsidRDefault="00000000">
      <w:pPr>
        <w:spacing w:after="140"/>
      </w:pPr>
      <w:r>
        <w:t>Most of what we do in university assessment was not designed; it accumulated. The written examination is a comparatively recent invention. Stray (2001) traces the shift from oral to written examination at Oxford and Cambridge across the eighteenth and nineteenth centuries, driven by growing student numbers and a desire for comparable, defensible judgements. The disputation and the viva gave way to the timed script because writing scaled and speaking did not. Much later, the expansion of coursework from the 1980s onwards responded both to critiques of the exam's narrowness and to the arrival of modular degrees (Knight 2002). The unseen essay, the problem sheet, the laboratory report and the dissertation each carry the fingerprints of the moment that produced them.</w:t>
      </w:r>
    </w:p>
    <w:p w14:paraId="3FD08F28" w14:textId="77777777" w:rsidR="00D16027" w:rsidRDefault="00000000">
      <w:pPr>
        <w:spacing w:after="140"/>
      </w:pPr>
      <w:r>
        <w:t>This history matters because the formats we inherited encode assumptions that generative AI has now broken. The unsupervised written assignment assumed that fluent, well-structured prose could only be produced by someone who had done the thinking. The problem sheet assumed that a correct worked solution evidenced mastery of the method. The reflective account assumed that the reflection was the student's own. None of these assumptions was ever entirely safe (essay mills existed long before ChatGPT), but they were safe enough, often enough, for the formats to persist. Knight (2002) described summative assessment in higher education as "practices in disarray" two decades before AI made that disarray impossible to ignore.</w:t>
      </w:r>
    </w:p>
    <w:p w14:paraId="3F10BF75" w14:textId="77777777" w:rsidR="00D16027" w:rsidRDefault="00000000">
      <w:pPr>
        <w:pStyle w:val="Heading2"/>
        <w:keepNext/>
      </w:pPr>
      <w:r>
        <w:t>1.2 What assessment is for</w:t>
      </w:r>
    </w:p>
    <w:p w14:paraId="008DC1C0" w14:textId="77777777" w:rsidR="00D16027" w:rsidRDefault="00000000">
      <w:pPr>
        <w:spacing w:after="140"/>
      </w:pPr>
      <w:r>
        <w:t xml:space="preserve">Any redesign has to begin by being honest about purpose. Boud and </w:t>
      </w:r>
      <w:proofErr w:type="spellStart"/>
      <w:r>
        <w:t>Falchikov</w:t>
      </w:r>
      <w:proofErr w:type="spellEnd"/>
      <w:r>
        <w:t xml:space="preserve"> (2007) identify three distinct jobs: certifying achievement to outside parties, supporting learning while it is happening, and equipping students to judge their own work long after they graduate. Boud (2000) called this last function </w:t>
      </w:r>
      <w:r>
        <w:rPr>
          <w:i/>
          <w:iCs/>
        </w:rPr>
        <w:t>sustainable assessment</w:t>
      </w:r>
      <w:r>
        <w:t>, and it recurs throughout this book because it is the function AI most directly threatens and most directly enables.</w:t>
      </w:r>
    </w:p>
    <w:p w14:paraId="594E98D9" w14:textId="77777777" w:rsidR="00D16027" w:rsidRDefault="00000000">
      <w:pPr>
        <w:spacing w:after="140"/>
      </w:pPr>
      <w:r>
        <w:t xml:space="preserve">The formative/summative distinction, borrowed from Scriven (1967) and made central to educational thinking by Black and Wiliam (1998), captures the first two purposes. Black and Wiliam's review of some 250 studies found formative assessment to be among the most powerful interventions available to educators, with effect sizes typically between 0.4 and 0.7. The mechanism is feedback that closes the gap between current and desired performance (Sadler 1989). Earl (2003) added a third term, </w:t>
      </w:r>
      <w:r>
        <w:rPr>
          <w:i/>
          <w:iCs/>
        </w:rPr>
        <w:t>assessment as learning</w:t>
      </w:r>
      <w:r>
        <w:t>, for tasks in which the act of being assessed is itself where the learning happens. Keep all three purposes in view: much of the confusion in institutional AI policy comes from treating every assessment as though it were certification.</w:t>
      </w:r>
    </w:p>
    <w:p w14:paraId="374A9C38" w14:textId="77777777" w:rsidR="00D16027" w:rsidRDefault="00000000">
      <w:pPr>
        <w:pStyle w:val="Heading2"/>
        <w:keepNext/>
      </w:pPr>
      <w:r>
        <w:t>1.3 Four frameworks that still hold</w:t>
      </w:r>
    </w:p>
    <w:p w14:paraId="4457D80D" w14:textId="77777777" w:rsidR="00D16027" w:rsidRDefault="00000000">
      <w:pPr>
        <w:spacing w:after="140"/>
      </w:pPr>
      <w:r>
        <w:t>Four frameworks from the pre-AI literature remain the most useful tools for redesign. None needs replacing; each needs sharpening.</w:t>
      </w:r>
    </w:p>
    <w:p w14:paraId="79083E0A" w14:textId="77777777" w:rsidR="00D16027" w:rsidRDefault="00000000">
      <w:pPr>
        <w:spacing w:after="140"/>
      </w:pPr>
      <w:r>
        <w:rPr>
          <w:b/>
          <w:bCs/>
        </w:rPr>
        <w:lastRenderedPageBreak/>
        <w:t>Constructive alignment.</w:t>
      </w:r>
      <w:r>
        <w:t xml:space="preserve"> Biggs (1996) and Biggs and Tang (2011) argued that intended learning outcomes, teaching activities and assessment tasks should form a coherent system in which the assessment task requires students to do the very thing the outcome describes. Misalignment is common: an outcome that says "critically evaluate" assessed by a task that rewards accurate summary. AI exposes such gaps mercilessly, because summary is precisely what it does best.</w:t>
      </w:r>
    </w:p>
    <w:p w14:paraId="4C41053C" w14:textId="77777777" w:rsidR="00D16027" w:rsidRDefault="00000000">
      <w:pPr>
        <w:spacing w:after="140"/>
      </w:pPr>
      <w:r>
        <w:rPr>
          <w:b/>
          <w:bCs/>
        </w:rPr>
        <w:t>Backward design.</w:t>
      </w:r>
      <w:r>
        <w:t xml:space="preserve"> Wiggins and McTighe (2005) ask designers to begin with desired results, then determine what would count as acceptable evidence, and only then plan activities. The question "what would count as evidence that this student can do this?" is the single most useful question in AI-era redesign, and Chapter 4 builds on it.</w:t>
      </w:r>
    </w:p>
    <w:p w14:paraId="7572B585" w14:textId="77777777" w:rsidR="00D16027" w:rsidRDefault="00000000">
      <w:pPr>
        <w:spacing w:after="140"/>
      </w:pPr>
      <w:r>
        <w:rPr>
          <w:b/>
          <w:bCs/>
        </w:rPr>
        <w:t>Cognitive taxonomies.</w:t>
      </w:r>
      <w:r>
        <w:t xml:space="preserve"> Bloom (1956) and the revision by Anderson and Krathwohl (2001) distinguish remembering, understanding and applying from analysing, evaluating and creating. Taxonomies are blunt instruments, but they give a shared language for noticing that an assessment portfolio lives almost entirely at the lower levels, where AI substitution is easiest.</w:t>
      </w:r>
    </w:p>
    <w:p w14:paraId="4CAAB0A4" w14:textId="77777777" w:rsidR="00D16027" w:rsidRDefault="00000000">
      <w:pPr>
        <w:spacing w:after="140"/>
      </w:pPr>
      <w:r>
        <w:rPr>
          <w:b/>
          <w:bCs/>
        </w:rPr>
        <w:t>Validity.</w:t>
      </w:r>
      <w:r>
        <w:t xml:space="preserve"> Messick (1989) reframed validity as a property not of a test but of the interpretations we draw from its results; Kane (2013) developed this into an argument-based approach in which every inference from score to claim must be defended. Pellegrino, </w:t>
      </w:r>
      <w:proofErr w:type="spellStart"/>
      <w:r>
        <w:t>Chudowsky</w:t>
      </w:r>
      <w:proofErr w:type="spellEnd"/>
      <w:r>
        <w:t xml:space="preserve"> and Glaser (2001) describe assessment as reasoning from evidence through a chain of cognition, observation and interpretation. When AI can produce the observation without the cognition, the chain breaks. Dawson, Bearman, Dollinger and Boud (2024) draw the conclusion this book adopts: validity matters more than cheating.</w:t>
      </w:r>
    </w:p>
    <w:p w14:paraId="4B477133" w14:textId="77777777" w:rsidR="00D16027" w:rsidRDefault="00000000">
      <w:pPr>
        <w:keepNext/>
        <w:spacing w:before="160" w:after="80"/>
      </w:pPr>
      <w:r>
        <w:rPr>
          <w:b/>
          <w:bCs/>
          <w:color w:val="1A4F7A"/>
          <w:sz w:val="20"/>
          <w:szCs w:val="20"/>
        </w:rPr>
        <w:t>Table 1.1  Four inherited frameworks and what AI changes about them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86"/>
      </w:tblGrid>
      <w:tr w:rsidR="00D16027" w14:paraId="0CEBB979" w14:textId="77777777">
        <w:tblPrEx>
          <w:tblCellMar>
            <w:top w:w="0" w:type="dxa"/>
            <w:bottom w:w="0" w:type="dxa"/>
          </w:tblCellMar>
        </w:tblPrEx>
        <w:trPr>
          <w:cantSplit/>
          <w:tblHeader/>
        </w:trPr>
        <w:tc>
          <w:tcPr>
            <w:tcW w:w="2400" w:type="dxa"/>
            <w:shd w:val="clear" w:color="auto" w:fill="2E75B6"/>
            <w:tcMar>
              <w:top w:w="70" w:type="dxa"/>
              <w:left w:w="100" w:type="dxa"/>
              <w:bottom w:w="70" w:type="dxa"/>
              <w:right w:w="100" w:type="dxa"/>
            </w:tcMar>
          </w:tcPr>
          <w:p w14:paraId="0ECE8167" w14:textId="77777777" w:rsidR="00D16027" w:rsidRDefault="00000000">
            <w:r>
              <w:rPr>
                <w:b/>
                <w:bCs/>
                <w:color w:val="FFFFFF"/>
                <w:sz w:val="19"/>
                <w:szCs w:val="19"/>
              </w:rPr>
              <w:t>Framework</w:t>
            </w:r>
          </w:p>
        </w:tc>
        <w:tc>
          <w:tcPr>
            <w:tcW w:w="3200" w:type="dxa"/>
            <w:shd w:val="clear" w:color="auto" w:fill="2E75B6"/>
            <w:tcMar>
              <w:top w:w="70" w:type="dxa"/>
              <w:left w:w="100" w:type="dxa"/>
              <w:bottom w:w="70" w:type="dxa"/>
              <w:right w:w="100" w:type="dxa"/>
            </w:tcMar>
          </w:tcPr>
          <w:p w14:paraId="23471806" w14:textId="77777777" w:rsidR="00D16027" w:rsidRDefault="00000000">
            <w:r>
              <w:rPr>
                <w:b/>
                <w:bCs/>
                <w:color w:val="FFFFFF"/>
                <w:sz w:val="19"/>
                <w:szCs w:val="19"/>
              </w:rPr>
              <w:t>The question it asks</w:t>
            </w:r>
          </w:p>
        </w:tc>
        <w:tc>
          <w:tcPr>
            <w:tcW w:w="3786" w:type="dxa"/>
            <w:shd w:val="clear" w:color="auto" w:fill="2E75B6"/>
            <w:tcMar>
              <w:top w:w="70" w:type="dxa"/>
              <w:left w:w="100" w:type="dxa"/>
              <w:bottom w:w="70" w:type="dxa"/>
              <w:right w:w="100" w:type="dxa"/>
            </w:tcMar>
          </w:tcPr>
          <w:p w14:paraId="79715C38" w14:textId="77777777" w:rsidR="00D16027" w:rsidRDefault="00000000">
            <w:r>
              <w:rPr>
                <w:b/>
                <w:bCs/>
                <w:color w:val="FFFFFF"/>
                <w:sz w:val="19"/>
                <w:szCs w:val="19"/>
              </w:rPr>
              <w:t>What generative AI changes</w:t>
            </w:r>
          </w:p>
        </w:tc>
      </w:tr>
      <w:tr w:rsidR="00D16027" w14:paraId="0F0B178D" w14:textId="77777777">
        <w:tblPrEx>
          <w:tblCellMar>
            <w:top w:w="0" w:type="dxa"/>
            <w:bottom w:w="0" w:type="dxa"/>
          </w:tblCellMar>
        </w:tblPrEx>
        <w:trPr>
          <w:cantSplit/>
        </w:trPr>
        <w:tc>
          <w:tcPr>
            <w:tcW w:w="2400" w:type="dxa"/>
            <w:tcMar>
              <w:top w:w="70" w:type="dxa"/>
              <w:left w:w="100" w:type="dxa"/>
              <w:bottom w:w="70" w:type="dxa"/>
              <w:right w:w="100" w:type="dxa"/>
            </w:tcMar>
          </w:tcPr>
          <w:p w14:paraId="4A370470" w14:textId="77777777" w:rsidR="00D16027" w:rsidRDefault="00000000">
            <w:r>
              <w:rPr>
                <w:sz w:val="19"/>
                <w:szCs w:val="19"/>
              </w:rPr>
              <w:t>Constructive alignment (Biggs &amp; Tang 2011)</w:t>
            </w:r>
          </w:p>
        </w:tc>
        <w:tc>
          <w:tcPr>
            <w:tcW w:w="3200" w:type="dxa"/>
            <w:tcMar>
              <w:top w:w="70" w:type="dxa"/>
              <w:left w:w="100" w:type="dxa"/>
              <w:bottom w:w="70" w:type="dxa"/>
              <w:right w:w="100" w:type="dxa"/>
            </w:tcMar>
          </w:tcPr>
          <w:p w14:paraId="3BB22058" w14:textId="77777777" w:rsidR="00D16027" w:rsidRDefault="00000000">
            <w:r>
              <w:rPr>
                <w:sz w:val="19"/>
                <w:szCs w:val="19"/>
              </w:rPr>
              <w:t>Does the task require students to do what the outcome says?</w:t>
            </w:r>
          </w:p>
        </w:tc>
        <w:tc>
          <w:tcPr>
            <w:tcW w:w="3786" w:type="dxa"/>
            <w:tcMar>
              <w:top w:w="70" w:type="dxa"/>
              <w:left w:w="100" w:type="dxa"/>
              <w:bottom w:w="70" w:type="dxa"/>
              <w:right w:w="100" w:type="dxa"/>
            </w:tcMar>
          </w:tcPr>
          <w:p w14:paraId="3B8F99C6" w14:textId="77777777" w:rsidR="00D16027" w:rsidRDefault="00000000">
            <w:r>
              <w:rPr>
                <w:sz w:val="19"/>
                <w:szCs w:val="19"/>
              </w:rPr>
              <w:t>Tasks that reward summary or reproduction are now trivially completable; alignment gaps become substitution risks</w:t>
            </w:r>
          </w:p>
        </w:tc>
      </w:tr>
      <w:tr w:rsidR="00D16027" w14:paraId="76463FA9" w14:textId="77777777">
        <w:tblPrEx>
          <w:tblCellMar>
            <w:top w:w="0" w:type="dxa"/>
            <w:bottom w:w="0" w:type="dxa"/>
          </w:tblCellMar>
        </w:tblPrEx>
        <w:trPr>
          <w:cantSplit/>
        </w:trPr>
        <w:tc>
          <w:tcPr>
            <w:tcW w:w="2400" w:type="dxa"/>
            <w:tcMar>
              <w:top w:w="70" w:type="dxa"/>
              <w:left w:w="100" w:type="dxa"/>
              <w:bottom w:w="70" w:type="dxa"/>
              <w:right w:w="100" w:type="dxa"/>
            </w:tcMar>
          </w:tcPr>
          <w:p w14:paraId="37932ECD" w14:textId="77777777" w:rsidR="00D16027" w:rsidRDefault="00000000">
            <w:r>
              <w:rPr>
                <w:sz w:val="19"/>
                <w:szCs w:val="19"/>
              </w:rPr>
              <w:t>Backward design (Wiggins &amp; McTighe 2005)</w:t>
            </w:r>
          </w:p>
        </w:tc>
        <w:tc>
          <w:tcPr>
            <w:tcW w:w="3200" w:type="dxa"/>
            <w:tcMar>
              <w:top w:w="70" w:type="dxa"/>
              <w:left w:w="100" w:type="dxa"/>
              <w:bottom w:w="70" w:type="dxa"/>
              <w:right w:w="100" w:type="dxa"/>
            </w:tcMar>
          </w:tcPr>
          <w:p w14:paraId="24773941" w14:textId="77777777" w:rsidR="00D16027" w:rsidRDefault="00000000">
            <w:r>
              <w:rPr>
                <w:sz w:val="19"/>
                <w:szCs w:val="19"/>
              </w:rPr>
              <w:t>What would count as evidence that this student has this capability?</w:t>
            </w:r>
          </w:p>
        </w:tc>
        <w:tc>
          <w:tcPr>
            <w:tcW w:w="3786" w:type="dxa"/>
            <w:tcMar>
              <w:top w:w="70" w:type="dxa"/>
              <w:left w:w="100" w:type="dxa"/>
              <w:bottom w:w="70" w:type="dxa"/>
              <w:right w:w="100" w:type="dxa"/>
            </w:tcMar>
          </w:tcPr>
          <w:p w14:paraId="0CDC30BB" w14:textId="77777777" w:rsidR="00D16027" w:rsidRDefault="00000000">
            <w:r>
              <w:rPr>
                <w:sz w:val="19"/>
                <w:szCs w:val="19"/>
              </w:rPr>
              <w:t>A fluent product is no longer evidence of a process; evidence must be relocated to what AI cannot supply</w:t>
            </w:r>
          </w:p>
        </w:tc>
      </w:tr>
      <w:tr w:rsidR="00D16027" w14:paraId="42C5B0C4" w14:textId="77777777">
        <w:tblPrEx>
          <w:tblCellMar>
            <w:top w:w="0" w:type="dxa"/>
            <w:bottom w:w="0" w:type="dxa"/>
          </w:tblCellMar>
        </w:tblPrEx>
        <w:trPr>
          <w:cantSplit/>
        </w:trPr>
        <w:tc>
          <w:tcPr>
            <w:tcW w:w="2400" w:type="dxa"/>
            <w:tcMar>
              <w:top w:w="70" w:type="dxa"/>
              <w:left w:w="100" w:type="dxa"/>
              <w:bottom w:w="70" w:type="dxa"/>
              <w:right w:w="100" w:type="dxa"/>
            </w:tcMar>
          </w:tcPr>
          <w:p w14:paraId="00052C69" w14:textId="77777777" w:rsidR="00D16027" w:rsidRDefault="00000000">
            <w:r>
              <w:rPr>
                <w:sz w:val="19"/>
                <w:szCs w:val="19"/>
              </w:rPr>
              <w:t>Cognitive taxonomy (Anderson &amp; Krathwohl 2001)</w:t>
            </w:r>
          </w:p>
        </w:tc>
        <w:tc>
          <w:tcPr>
            <w:tcW w:w="3200" w:type="dxa"/>
            <w:tcMar>
              <w:top w:w="70" w:type="dxa"/>
              <w:left w:w="100" w:type="dxa"/>
              <w:bottom w:w="70" w:type="dxa"/>
              <w:right w:w="100" w:type="dxa"/>
            </w:tcMar>
          </w:tcPr>
          <w:p w14:paraId="61856EEA" w14:textId="77777777" w:rsidR="00D16027" w:rsidRDefault="00000000">
            <w:r>
              <w:rPr>
                <w:sz w:val="19"/>
                <w:szCs w:val="19"/>
              </w:rPr>
              <w:t>Which cognitive level does the task actually demand?</w:t>
            </w:r>
          </w:p>
        </w:tc>
        <w:tc>
          <w:tcPr>
            <w:tcW w:w="3786" w:type="dxa"/>
            <w:tcMar>
              <w:top w:w="70" w:type="dxa"/>
              <w:left w:w="100" w:type="dxa"/>
              <w:bottom w:w="70" w:type="dxa"/>
              <w:right w:w="100" w:type="dxa"/>
            </w:tcMar>
          </w:tcPr>
          <w:p w14:paraId="56FCFEBE" w14:textId="77777777" w:rsidR="00D16027" w:rsidRDefault="00000000">
            <w:r>
              <w:rPr>
                <w:sz w:val="19"/>
                <w:szCs w:val="19"/>
              </w:rPr>
              <w:t>Lower levels are most exposed; higher levels are safer only when grounded in specific context</w:t>
            </w:r>
          </w:p>
        </w:tc>
      </w:tr>
      <w:tr w:rsidR="00D16027" w14:paraId="28B364E9" w14:textId="77777777">
        <w:tblPrEx>
          <w:tblCellMar>
            <w:top w:w="0" w:type="dxa"/>
            <w:bottom w:w="0" w:type="dxa"/>
          </w:tblCellMar>
        </w:tblPrEx>
        <w:trPr>
          <w:cantSplit/>
        </w:trPr>
        <w:tc>
          <w:tcPr>
            <w:tcW w:w="2400" w:type="dxa"/>
            <w:tcMar>
              <w:top w:w="70" w:type="dxa"/>
              <w:left w:w="100" w:type="dxa"/>
              <w:bottom w:w="70" w:type="dxa"/>
              <w:right w:w="100" w:type="dxa"/>
            </w:tcMar>
          </w:tcPr>
          <w:p w14:paraId="351B1EB4" w14:textId="77777777" w:rsidR="00D16027" w:rsidRDefault="00000000">
            <w:r>
              <w:rPr>
                <w:sz w:val="19"/>
                <w:szCs w:val="19"/>
              </w:rPr>
              <w:t>Validity argument (Messick 1989; Kane 2013)</w:t>
            </w:r>
          </w:p>
        </w:tc>
        <w:tc>
          <w:tcPr>
            <w:tcW w:w="3200" w:type="dxa"/>
            <w:tcMar>
              <w:top w:w="70" w:type="dxa"/>
              <w:left w:w="100" w:type="dxa"/>
              <w:bottom w:w="70" w:type="dxa"/>
              <w:right w:w="100" w:type="dxa"/>
            </w:tcMar>
          </w:tcPr>
          <w:p w14:paraId="6C75AE83" w14:textId="77777777" w:rsidR="00D16027" w:rsidRDefault="00000000">
            <w:r>
              <w:rPr>
                <w:sz w:val="19"/>
                <w:szCs w:val="19"/>
              </w:rPr>
              <w:t>Can we defend the inference from this score to this claim about the student?</w:t>
            </w:r>
          </w:p>
        </w:tc>
        <w:tc>
          <w:tcPr>
            <w:tcW w:w="3786" w:type="dxa"/>
            <w:tcMar>
              <w:top w:w="70" w:type="dxa"/>
              <w:left w:w="100" w:type="dxa"/>
              <w:bottom w:w="70" w:type="dxa"/>
              <w:right w:w="100" w:type="dxa"/>
            </w:tcMar>
          </w:tcPr>
          <w:p w14:paraId="79B4D099" w14:textId="77777777" w:rsidR="00D16027" w:rsidRDefault="00000000">
            <w:r>
              <w:rPr>
                <w:sz w:val="19"/>
                <w:szCs w:val="19"/>
              </w:rPr>
              <w:t>The inference from unsupervised written product to individual capability is now hard to defend</w:t>
            </w:r>
          </w:p>
        </w:tc>
      </w:tr>
    </w:tbl>
    <w:p w14:paraId="053304B5" w14:textId="77777777" w:rsidR="00D16027" w:rsidRDefault="00D16027">
      <w:pPr>
        <w:spacing w:after="120"/>
      </w:pPr>
    </w:p>
    <w:p w14:paraId="114840DD" w14:textId="77777777" w:rsidR="00D16027" w:rsidRDefault="00000000">
      <w:pPr>
        <w:pStyle w:val="Heading2"/>
        <w:keepNext/>
      </w:pPr>
      <w:r>
        <w:t>1.4 What conventional assessment does well</w:t>
      </w:r>
    </w:p>
    <w:p w14:paraId="1BED1F1A" w14:textId="77777777" w:rsidR="00D16027" w:rsidRDefault="00000000">
      <w:pPr>
        <w:spacing w:after="140"/>
      </w:pPr>
      <w:r>
        <w:t>It would be a mistake to treat the inherited system as simply broken. Timed, invigilated examinations provide strong assurance that the work is the candidate's own, and they scale to cohorts of thousands. Standardised marking schemes support comparability across markers and across years, which external examiners, professional bodies and employers rely on. The extended essay develops sustained argument in a way few other tasks do (Bloxham &amp; Boyd 2007). The laboratory report teaches a genre that working scientists actually use. These strengths are why redesign should build on the inheritance rather than dismiss it. A portfolio that retains some secured, supervised elements (Chapter 6 calls these Lane 1 assessments) is a feature of good design, not a failure of nerve.</w:t>
      </w:r>
    </w:p>
    <w:p w14:paraId="72CEE07D" w14:textId="77777777" w:rsidR="00D16027" w:rsidRDefault="00000000">
      <w:pPr>
        <w:pStyle w:val="Heading2"/>
        <w:keepNext/>
      </w:pPr>
      <w:r>
        <w:t>1.5 Strains that predate AI</w:t>
      </w:r>
    </w:p>
    <w:p w14:paraId="05871685" w14:textId="77777777" w:rsidR="00D16027" w:rsidRDefault="00000000">
      <w:pPr>
        <w:spacing w:after="140"/>
      </w:pPr>
      <w:r>
        <w:t>Five strains were visible long before 2022, and each is now amplified.</w:t>
      </w:r>
    </w:p>
    <w:p w14:paraId="2A77B094" w14:textId="77777777" w:rsidR="00D16027" w:rsidRDefault="00000000">
      <w:pPr>
        <w:spacing w:after="140"/>
      </w:pPr>
      <w:r>
        <w:rPr>
          <w:b/>
          <w:bCs/>
        </w:rPr>
        <w:t>Surface learning.</w:t>
      </w:r>
      <w:r>
        <w:t xml:space="preserve"> Marton and </w:t>
      </w:r>
      <w:proofErr w:type="spellStart"/>
      <w:r>
        <w:t>Säljö</w:t>
      </w:r>
      <w:proofErr w:type="spellEnd"/>
      <w:r>
        <w:t xml:space="preserve"> (1976) distinguished deep from surface approaches to learning and showed that assessment demands shape which approach students adopt. Ramsden (2003) and Biggs and Tang (2011) document how tasks that reward memorisation push even able students towards surface strategies. AI offers the ultimate surface strategy: a product with no engagement at all.</w:t>
      </w:r>
    </w:p>
    <w:p w14:paraId="4CBDE373" w14:textId="77777777" w:rsidR="00D16027" w:rsidRDefault="00000000">
      <w:pPr>
        <w:spacing w:after="140"/>
      </w:pPr>
      <w:r>
        <w:rPr>
          <w:b/>
          <w:bCs/>
        </w:rPr>
        <w:lastRenderedPageBreak/>
        <w:t>Feedback that arrives too late to use.</w:t>
      </w:r>
      <w:r>
        <w:t xml:space="preserve"> Gibbs and Simpson (2004) set out the conditions under which assessment supports learning; feedback that is timely, specific and acted upon is central, yet end-loaded summative tasks routinely violate all three. Nicol and Macfarlane-Dick (2006) and later Carless and Boud (2018) reframe feedback as a process the student must be able to use, not a product the tutor delivers. Winstone and Carless (2019) show how rarely institutional feedback systems are designed with this in mind.</w:t>
      </w:r>
    </w:p>
    <w:p w14:paraId="2BCB89C5" w14:textId="77777777" w:rsidR="00D16027" w:rsidRDefault="00000000">
      <w:pPr>
        <w:spacing w:after="140"/>
      </w:pPr>
      <w:r>
        <w:rPr>
          <w:b/>
          <w:bCs/>
        </w:rPr>
        <w:t>The coverage trap and assessment overload.</w:t>
      </w:r>
      <w:r>
        <w:t xml:space="preserve"> Modularisation multiplied assessment points. Students in some UK programmes face dozens of summative tasks a year, and staff marking loads have grown accordingly (Knight 2002; Bloxham &amp; Boyd 2007). Overloaded systems reward strategic compliance from students and defensive marking from staff, and neither leaves room for the dialogue that AI-resilient assessment requires.</w:t>
      </w:r>
    </w:p>
    <w:p w14:paraId="3A711FFC" w14:textId="77777777" w:rsidR="00D16027" w:rsidRDefault="00000000">
      <w:pPr>
        <w:spacing w:after="140"/>
      </w:pPr>
      <w:r>
        <w:rPr>
          <w:b/>
          <w:bCs/>
        </w:rPr>
        <w:t>Contract cheating.</w:t>
      </w:r>
      <w:r>
        <w:t xml:space="preserve"> Newton (2018) synthesised 65 studies and estimated that around 15.7% of students had at some point paid someone else to do their work, with prevalence rising over time. </w:t>
      </w:r>
      <w:proofErr w:type="spellStart"/>
      <w:r>
        <w:t>Bretag</w:t>
      </w:r>
      <w:proofErr w:type="spellEnd"/>
      <w:r>
        <w:t xml:space="preserve"> et al. (2019), in a survey of more than 14,000 Australian students, found the strongest predictors were dissatisfaction with the learning environment and perceived opportunity, not individual moral failure. Essay mills were a functioning industry before AI made the product free.</w:t>
      </w:r>
    </w:p>
    <w:p w14:paraId="20E4E316" w14:textId="77777777" w:rsidR="00D16027" w:rsidRDefault="00000000">
      <w:pPr>
        <w:spacing w:after="140"/>
      </w:pPr>
      <w:r>
        <w:rPr>
          <w:b/>
          <w:bCs/>
        </w:rPr>
        <w:t>Equity gaps.</w:t>
      </w:r>
      <w:r>
        <w:t xml:space="preserve"> Persistent differences in attainment by ethnicity, disability and socioeconomic background have been documented across UK, US and Australian systems, and assessment design contributes to them. Opaque criteria advantage students with more cultural capital (Sadler 2009), and high-stakes timed formats disadvantage many disabled students (Nieminen 2022). Any AI-era redesign that reaches instinctively for more invigilated exams needs to reckon with this evidence.</w:t>
      </w:r>
    </w:p>
    <w:p w14:paraId="07E882FC" w14:textId="77777777" w:rsidR="00D16027" w:rsidRDefault="00000000">
      <w:pPr>
        <w:pStyle w:val="Heading2"/>
        <w:keepNext/>
      </w:pPr>
      <w:r>
        <w:t>1.6 Why AI makes action urgent rather than optional</w:t>
      </w:r>
    </w:p>
    <w:p w14:paraId="7DF5B5AA" w14:textId="77777777" w:rsidR="00D16027" w:rsidRDefault="00000000">
      <w:pPr>
        <w:spacing w:after="140"/>
      </w:pPr>
      <w:r>
        <w:t>Generative AI did not create these problems; it removed the friction that let institutions tolerate them. Where contract cheating cost money and time and carried risk, AI substitution is free, instantaneous and, as Chapter 15 shows, effectively undetectable. Where surface approaches at least required the effort of memorising, AI can now supply a plausible product with no engagement whatsoever. Rudolph, Tan and Tan (2023) asked whether ChatGPT was "the end of traditional assessments in higher education". The more accurate answer is that it is the end of the assumption that a product evidences a process.</w:t>
      </w:r>
    </w:p>
    <w:p w14:paraId="56473CD5" w14:textId="77777777" w:rsidR="00D16027" w:rsidRDefault="00000000">
      <w:pPr>
        <w:pBdr>
          <w:left w:val="single" w:sz="14" w:space="10" w:color="2E75B6"/>
        </w:pBdr>
        <w:shd w:val="clear" w:color="auto" w:fill="EAF3FB"/>
        <w:spacing w:before="80" w:after="160"/>
      </w:pPr>
      <w:r>
        <w:rPr>
          <w:b/>
          <w:bCs/>
          <w:color w:val="333333"/>
        </w:rPr>
        <w:t>The core shift:</w:t>
      </w:r>
      <w:r>
        <w:rPr>
          <w:color w:val="333333"/>
        </w:rPr>
        <w:t xml:space="preserve"> for two centuries, a well-made written artefact was taken as evidence that its author had done the thinking. That inference is now unsafe for any unsupervised task. Everything that follows in this book is about relocating the evidence.</w:t>
      </w:r>
    </w:p>
    <w:p w14:paraId="05F59DCF"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Three inherited tasks, three different diagnoses</w:t>
      </w:r>
    </w:p>
    <w:p w14:paraId="3AB3CD4A" w14:textId="77777777" w:rsidR="00D16027" w:rsidRDefault="00000000">
      <w:pPr>
        <w:pBdr>
          <w:left w:val="single" w:sz="14" w:space="10" w:color="4E8A5E"/>
        </w:pBdr>
        <w:shd w:val="clear" w:color="auto" w:fill="EEF6EF"/>
        <w:spacing w:after="60"/>
      </w:pPr>
      <w:r>
        <w:rPr>
          <w:b/>
          <w:bCs/>
          <w:color w:val="333333"/>
          <w:sz w:val="20"/>
          <w:szCs w:val="20"/>
        </w:rPr>
        <w:t>History.</w:t>
      </w:r>
      <w:r>
        <w:rPr>
          <w:color w:val="333333"/>
          <w:sz w:val="20"/>
          <w:szCs w:val="20"/>
        </w:rPr>
        <w:t xml:space="preserve"> A 3,000-word essay on the causes of the Reformation, assessing the outcome "critically evaluate historiographical debates". The inherited strength (sustained argument) is real. The inherited assumption (only a student could write this) is not: AI synthesises secondary literature fluently. The outcome survives; the format needs process evidence or a dialogic element.</w:t>
      </w:r>
    </w:p>
    <w:p w14:paraId="1ED7677A" w14:textId="77777777" w:rsidR="00D16027" w:rsidRDefault="00000000">
      <w:pPr>
        <w:pBdr>
          <w:left w:val="single" w:sz="14" w:space="10" w:color="4E8A5E"/>
        </w:pBdr>
        <w:shd w:val="clear" w:color="auto" w:fill="EEF6EF"/>
        <w:spacing w:after="60"/>
      </w:pPr>
      <w:r>
        <w:rPr>
          <w:b/>
          <w:bCs/>
          <w:color w:val="333333"/>
          <w:sz w:val="20"/>
          <w:szCs w:val="20"/>
        </w:rPr>
        <w:t>Engineering.</w:t>
      </w:r>
      <w:r>
        <w:rPr>
          <w:color w:val="333333"/>
          <w:sz w:val="20"/>
          <w:szCs w:val="20"/>
        </w:rPr>
        <w:t xml:space="preserve"> A weekly problem sheet in structural analysis, assessing the outcome "apply the stiffness method". Nikolic et al. (2023) showed AI now produces worked solutions of passing quality. The formative purpose survives entirely; the summative weighting does not.</w:t>
      </w:r>
    </w:p>
    <w:p w14:paraId="48A973C2" w14:textId="77777777" w:rsidR="00D16027" w:rsidRDefault="00000000">
      <w:pPr>
        <w:pBdr>
          <w:left w:val="single" w:sz="14" w:space="10" w:color="4E8A5E"/>
        </w:pBdr>
        <w:shd w:val="clear" w:color="auto" w:fill="EEF6EF"/>
        <w:spacing w:after="200"/>
      </w:pPr>
      <w:r>
        <w:rPr>
          <w:b/>
          <w:bCs/>
          <w:color w:val="333333"/>
          <w:sz w:val="20"/>
          <w:szCs w:val="20"/>
        </w:rPr>
        <w:t>Nursing.</w:t>
      </w:r>
      <w:r>
        <w:rPr>
          <w:color w:val="333333"/>
          <w:sz w:val="20"/>
          <w:szCs w:val="20"/>
        </w:rPr>
        <w:t xml:space="preserve"> A written reflective account on a clinical placement. The outcome (reflection on one's own practice) is genuinely personal, but the format (unsupervised prose) is substitutable. The fix is not to abandon reflection but to anchor it in verifiable specifics and a brief conversation with the assessor (Chapter 8).</w:t>
      </w:r>
    </w:p>
    <w:p w14:paraId="27CABB69"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A four-question audit of any inherited assessment</w:t>
      </w:r>
    </w:p>
    <w:p w14:paraId="27846E22" w14:textId="77777777" w:rsidR="00D16027" w:rsidRDefault="00000000">
      <w:pPr>
        <w:pStyle w:val="ListParagraph"/>
        <w:numPr>
          <w:ilvl w:val="0"/>
          <w:numId w:val="2"/>
        </w:numPr>
        <w:pBdr>
          <w:left w:val="single" w:sz="14" w:space="10" w:color="555555"/>
        </w:pBdr>
        <w:shd w:val="clear" w:color="auto" w:fill="F4F4F4"/>
        <w:spacing w:before="20" w:after="30"/>
      </w:pPr>
      <w:r>
        <w:rPr>
          <w:b/>
          <w:bCs/>
          <w:color w:val="333333"/>
          <w:sz w:val="20"/>
          <w:szCs w:val="20"/>
        </w:rPr>
        <w:t>Purpose.</w:t>
      </w:r>
      <w:r>
        <w:rPr>
          <w:color w:val="333333"/>
          <w:sz w:val="20"/>
          <w:szCs w:val="20"/>
        </w:rPr>
        <w:t xml:space="preserve"> Is this task primarily certification, learning, or both? If both, which part must be secure and which can be open?</w:t>
      </w:r>
    </w:p>
    <w:p w14:paraId="1E81D0AA" w14:textId="77777777" w:rsidR="00D16027" w:rsidRDefault="00000000">
      <w:pPr>
        <w:pStyle w:val="ListParagraph"/>
        <w:numPr>
          <w:ilvl w:val="0"/>
          <w:numId w:val="2"/>
        </w:numPr>
        <w:pBdr>
          <w:left w:val="single" w:sz="14" w:space="10" w:color="555555"/>
        </w:pBdr>
        <w:shd w:val="clear" w:color="auto" w:fill="F4F4F4"/>
        <w:spacing w:before="20" w:after="30"/>
      </w:pPr>
      <w:r>
        <w:rPr>
          <w:b/>
          <w:bCs/>
          <w:color w:val="333333"/>
          <w:sz w:val="20"/>
          <w:szCs w:val="20"/>
        </w:rPr>
        <w:t>Alignment.</w:t>
      </w:r>
      <w:r>
        <w:rPr>
          <w:color w:val="333333"/>
          <w:sz w:val="20"/>
          <w:szCs w:val="20"/>
        </w:rPr>
        <w:t xml:space="preserve"> Does the task require the student to do what the outcome says, or something easier that merely correlates with it?</w:t>
      </w:r>
    </w:p>
    <w:p w14:paraId="752EDA14" w14:textId="77777777" w:rsidR="00D16027" w:rsidRDefault="00000000">
      <w:pPr>
        <w:pStyle w:val="ListParagraph"/>
        <w:numPr>
          <w:ilvl w:val="0"/>
          <w:numId w:val="2"/>
        </w:numPr>
        <w:pBdr>
          <w:left w:val="single" w:sz="14" w:space="10" w:color="555555"/>
        </w:pBdr>
        <w:shd w:val="clear" w:color="auto" w:fill="F4F4F4"/>
        <w:spacing w:before="20" w:after="30"/>
      </w:pPr>
      <w:r>
        <w:rPr>
          <w:b/>
          <w:bCs/>
          <w:color w:val="333333"/>
          <w:sz w:val="20"/>
          <w:szCs w:val="20"/>
        </w:rPr>
        <w:t>Evidence.</w:t>
      </w:r>
      <w:r>
        <w:rPr>
          <w:color w:val="333333"/>
          <w:sz w:val="20"/>
          <w:szCs w:val="20"/>
        </w:rPr>
        <w:t xml:space="preserve"> What in the submission could only have come from this student's own cognition, context or experience?</w:t>
      </w:r>
    </w:p>
    <w:p w14:paraId="217126AE" w14:textId="77777777" w:rsidR="00D16027" w:rsidRDefault="00000000">
      <w:pPr>
        <w:pStyle w:val="ListParagraph"/>
        <w:numPr>
          <w:ilvl w:val="0"/>
          <w:numId w:val="2"/>
        </w:numPr>
        <w:pBdr>
          <w:left w:val="single" w:sz="14" w:space="10" w:color="555555"/>
        </w:pBdr>
        <w:shd w:val="clear" w:color="auto" w:fill="F4F4F4"/>
        <w:spacing w:before="20" w:after="200"/>
      </w:pPr>
      <w:r>
        <w:rPr>
          <w:b/>
          <w:bCs/>
          <w:color w:val="333333"/>
          <w:sz w:val="20"/>
          <w:szCs w:val="20"/>
        </w:rPr>
        <w:lastRenderedPageBreak/>
        <w:t>Inheritance.</w:t>
      </w:r>
      <w:r>
        <w:rPr>
          <w:color w:val="333333"/>
          <w:sz w:val="20"/>
          <w:szCs w:val="20"/>
        </w:rPr>
        <w:t xml:space="preserve"> Which features of this task exist because of history rather than design, and would you choose them if designing from scratch today?</w:t>
      </w:r>
    </w:p>
    <w:p w14:paraId="0CE5ACF8" w14:textId="77777777" w:rsidR="00D16027" w:rsidRDefault="00000000">
      <w:pPr>
        <w:pStyle w:val="Heading2"/>
        <w:keepNext/>
      </w:pPr>
      <w:r>
        <w:t>What this means for you</w:t>
      </w:r>
    </w:p>
    <w:p w14:paraId="62294BB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654A3FA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Start from purpose, not from AI. Sort your assessments into those that certify and those that support learning; they need different responses.</w:t>
      </w:r>
    </w:p>
    <w:p w14:paraId="6C7824B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the four-question audit on your single highest-weighted unsupervised task before term begins.</w:t>
      </w:r>
    </w:p>
    <w:p w14:paraId="582615F0"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Do not abandon formats that work; identify which of their assumptions have failed and repair those.</w:t>
      </w:r>
    </w:p>
    <w:p w14:paraId="482489B4"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3CC39F5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Map the programme's assessment portfolio against purpose and against Bloom's levels. Where does the programme's assurance of learning actually rest?</w:t>
      </w:r>
    </w:p>
    <w:p w14:paraId="37C4F4D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Count the summative points a student faces per year. Overloaded portfolios cannot accommodate the dialogue that resilient assessment needs.</w:t>
      </w:r>
    </w:p>
    <w:p w14:paraId="19F0EDD0"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Identify the two or three assessments on which professional accreditation or degree classification genuinely depends; these are where redesign effort should concentrate first.</w:t>
      </w:r>
    </w:p>
    <w:p w14:paraId="4AE01004"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10D33FE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Resist framing AI as a novel integrity emergency. Frame it as the moment to address strains the sector already knew about: overload, late feedback, contract cheating and awarding gaps.</w:t>
      </w:r>
    </w:p>
    <w:p w14:paraId="13480BB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Policy that begins from purpose and validity will age better than policy that begins from prohibition.</w:t>
      </w:r>
    </w:p>
    <w:p w14:paraId="4DF724AE"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quality frameworks and external examiner guidance reward evidence of learning, not the persistence of familiar formats.</w:t>
      </w:r>
    </w:p>
    <w:p w14:paraId="1D470AF1" w14:textId="77777777" w:rsidR="00D16027" w:rsidRDefault="00000000">
      <w:pPr>
        <w:pStyle w:val="Heading2"/>
        <w:keepNext/>
      </w:pPr>
      <w:r>
        <w:t>Key references for this chapter</w:t>
      </w:r>
    </w:p>
    <w:p w14:paraId="497B9053" w14:textId="77777777" w:rsidR="00D16027" w:rsidRDefault="00000000">
      <w:pPr>
        <w:pStyle w:val="ListParagraph"/>
        <w:numPr>
          <w:ilvl w:val="0"/>
          <w:numId w:val="3"/>
        </w:numPr>
        <w:spacing w:before="30" w:after="50"/>
      </w:pPr>
      <w:r>
        <w:rPr>
          <w:color w:val="333333"/>
          <w:sz w:val="19"/>
          <w:szCs w:val="19"/>
        </w:rPr>
        <w:t xml:space="preserve">Anderson, L.W. &amp; Krathwohl, D.R. (eds.) (2001) </w:t>
      </w:r>
      <w:r>
        <w:rPr>
          <w:i/>
          <w:iCs/>
          <w:color w:val="333333"/>
          <w:sz w:val="19"/>
          <w:szCs w:val="19"/>
        </w:rPr>
        <w:t>A Taxonomy for Learning, Teaching, and Assessing: A Revision of Bloom's Taxonomy of Educational Objectives</w:t>
      </w:r>
      <w:r>
        <w:rPr>
          <w:color w:val="333333"/>
          <w:sz w:val="19"/>
          <w:szCs w:val="19"/>
        </w:rPr>
        <w:t>. New York: Longman.</w:t>
      </w:r>
    </w:p>
    <w:p w14:paraId="245C92A7" w14:textId="77777777" w:rsidR="00D16027" w:rsidRDefault="00000000">
      <w:pPr>
        <w:pStyle w:val="ListParagraph"/>
        <w:numPr>
          <w:ilvl w:val="0"/>
          <w:numId w:val="3"/>
        </w:numPr>
        <w:spacing w:before="30" w:after="50"/>
      </w:pPr>
      <w:r>
        <w:rPr>
          <w:color w:val="333333"/>
          <w:sz w:val="19"/>
          <w:szCs w:val="19"/>
        </w:rPr>
        <w:t xml:space="preserve">Biggs, J. &amp; Tang, C. (2011) </w:t>
      </w:r>
      <w:r>
        <w:rPr>
          <w:i/>
          <w:iCs/>
          <w:color w:val="333333"/>
          <w:sz w:val="19"/>
          <w:szCs w:val="19"/>
        </w:rPr>
        <w:t>Teaching for Quality Learning at University</w:t>
      </w:r>
      <w:r>
        <w:rPr>
          <w:color w:val="333333"/>
          <w:sz w:val="19"/>
          <w:szCs w:val="19"/>
        </w:rPr>
        <w:t xml:space="preserve"> (4th ed.). Maidenhead: Open University Press.</w:t>
      </w:r>
    </w:p>
    <w:p w14:paraId="0E72C39F" w14:textId="77777777" w:rsidR="00D16027" w:rsidRDefault="00000000">
      <w:pPr>
        <w:pStyle w:val="ListParagraph"/>
        <w:numPr>
          <w:ilvl w:val="0"/>
          <w:numId w:val="3"/>
        </w:numPr>
        <w:spacing w:before="30" w:after="50"/>
      </w:pPr>
      <w:r>
        <w:rPr>
          <w:color w:val="333333"/>
          <w:sz w:val="19"/>
          <w:szCs w:val="19"/>
        </w:rPr>
        <w:t xml:space="preserve">Biggs, J. (1996) Enhancing teaching through constructive alignment. </w:t>
      </w:r>
      <w:r>
        <w:rPr>
          <w:i/>
          <w:iCs/>
          <w:color w:val="333333"/>
          <w:sz w:val="19"/>
          <w:szCs w:val="19"/>
        </w:rPr>
        <w:t>Higher Education</w:t>
      </w:r>
      <w:r>
        <w:rPr>
          <w:color w:val="333333"/>
          <w:sz w:val="19"/>
          <w:szCs w:val="19"/>
        </w:rPr>
        <w:t>, 32(3), 347–364.</w:t>
      </w:r>
    </w:p>
    <w:p w14:paraId="63C77204" w14:textId="77777777" w:rsidR="00D16027" w:rsidRDefault="00000000">
      <w:pPr>
        <w:pStyle w:val="ListParagraph"/>
        <w:numPr>
          <w:ilvl w:val="0"/>
          <w:numId w:val="3"/>
        </w:numPr>
        <w:spacing w:before="30" w:after="50"/>
      </w:pPr>
      <w:r>
        <w:rPr>
          <w:color w:val="333333"/>
          <w:sz w:val="19"/>
          <w:szCs w:val="19"/>
        </w:rPr>
        <w:t xml:space="preserve">Black, P. &amp; Wiliam, D. (1998) Assessment and classroom learning. </w:t>
      </w:r>
      <w:r>
        <w:rPr>
          <w:i/>
          <w:iCs/>
          <w:color w:val="333333"/>
          <w:sz w:val="19"/>
          <w:szCs w:val="19"/>
        </w:rPr>
        <w:t>Assessment in Education: Principles, Policy &amp; Practice</w:t>
      </w:r>
      <w:r>
        <w:rPr>
          <w:color w:val="333333"/>
          <w:sz w:val="19"/>
          <w:szCs w:val="19"/>
        </w:rPr>
        <w:t>, 5(1), 7–74.</w:t>
      </w:r>
    </w:p>
    <w:p w14:paraId="756DF9B0" w14:textId="77777777" w:rsidR="00D16027" w:rsidRDefault="00000000">
      <w:pPr>
        <w:pStyle w:val="ListParagraph"/>
        <w:numPr>
          <w:ilvl w:val="0"/>
          <w:numId w:val="3"/>
        </w:numPr>
        <w:spacing w:before="30" w:after="50"/>
      </w:pPr>
      <w:r>
        <w:rPr>
          <w:color w:val="333333"/>
          <w:sz w:val="19"/>
          <w:szCs w:val="19"/>
        </w:rPr>
        <w:t xml:space="preserve">Bloom, B.S. (ed.) (1956) </w:t>
      </w:r>
      <w:r>
        <w:rPr>
          <w:i/>
          <w:iCs/>
          <w:color w:val="333333"/>
          <w:sz w:val="19"/>
          <w:szCs w:val="19"/>
        </w:rPr>
        <w:t>Taxonomy of Educational Objectives: The Classification of Educational Goals. Handbook I: Cognitive Domain</w:t>
      </w:r>
      <w:r>
        <w:rPr>
          <w:color w:val="333333"/>
          <w:sz w:val="19"/>
          <w:szCs w:val="19"/>
        </w:rPr>
        <w:t>. New York: David McKay.</w:t>
      </w:r>
    </w:p>
    <w:p w14:paraId="1710C6E8" w14:textId="77777777" w:rsidR="00D16027" w:rsidRDefault="00000000">
      <w:pPr>
        <w:pStyle w:val="ListParagraph"/>
        <w:numPr>
          <w:ilvl w:val="0"/>
          <w:numId w:val="3"/>
        </w:numPr>
        <w:spacing w:before="30" w:after="50"/>
      </w:pPr>
      <w:r>
        <w:rPr>
          <w:color w:val="333333"/>
          <w:sz w:val="19"/>
          <w:szCs w:val="19"/>
        </w:rPr>
        <w:t xml:space="preserve">Bloxham, S. &amp; Boyd, P. (2007) </w:t>
      </w:r>
      <w:r>
        <w:rPr>
          <w:i/>
          <w:iCs/>
          <w:color w:val="333333"/>
          <w:sz w:val="19"/>
          <w:szCs w:val="19"/>
        </w:rPr>
        <w:t>Developing Effective Assessment in Higher Education: A Practical Guide</w:t>
      </w:r>
      <w:r>
        <w:rPr>
          <w:color w:val="333333"/>
          <w:sz w:val="19"/>
          <w:szCs w:val="19"/>
        </w:rPr>
        <w:t>. Maidenhead: Open University Press.</w:t>
      </w:r>
    </w:p>
    <w:p w14:paraId="79AB7065" w14:textId="77777777" w:rsidR="00D16027" w:rsidRDefault="00000000">
      <w:pPr>
        <w:pStyle w:val="ListParagraph"/>
        <w:numPr>
          <w:ilvl w:val="0"/>
          <w:numId w:val="3"/>
        </w:numPr>
        <w:spacing w:before="30" w:after="50"/>
      </w:pPr>
      <w:r>
        <w:rPr>
          <w:color w:val="333333"/>
          <w:sz w:val="19"/>
          <w:szCs w:val="19"/>
        </w:rPr>
        <w:t xml:space="preserve">Boud, D. &amp; Falchikov, N. (eds.) (2007) </w:t>
      </w:r>
      <w:r>
        <w:rPr>
          <w:i/>
          <w:iCs/>
          <w:color w:val="333333"/>
          <w:sz w:val="19"/>
          <w:szCs w:val="19"/>
        </w:rPr>
        <w:t>Rethinking Assessment in Higher Education: Learning for the Longer Term</w:t>
      </w:r>
      <w:r>
        <w:rPr>
          <w:color w:val="333333"/>
          <w:sz w:val="19"/>
          <w:szCs w:val="19"/>
        </w:rPr>
        <w:t>. London: Routledge.</w:t>
      </w:r>
    </w:p>
    <w:p w14:paraId="4103C2C9" w14:textId="77777777" w:rsidR="00D16027" w:rsidRDefault="00000000">
      <w:pPr>
        <w:pStyle w:val="ListParagraph"/>
        <w:numPr>
          <w:ilvl w:val="0"/>
          <w:numId w:val="3"/>
        </w:numPr>
        <w:spacing w:before="30" w:after="50"/>
      </w:pPr>
      <w:r>
        <w:rPr>
          <w:color w:val="333333"/>
          <w:sz w:val="19"/>
          <w:szCs w:val="19"/>
        </w:rPr>
        <w:t xml:space="preserve">Boud, D. (2000) Sustainable assessment: rethinking assessment for the learning society. </w:t>
      </w:r>
      <w:r>
        <w:rPr>
          <w:i/>
          <w:iCs/>
          <w:color w:val="333333"/>
          <w:sz w:val="19"/>
          <w:szCs w:val="19"/>
        </w:rPr>
        <w:t>Studies in Continuing Education</w:t>
      </w:r>
      <w:r>
        <w:rPr>
          <w:color w:val="333333"/>
          <w:sz w:val="19"/>
          <w:szCs w:val="19"/>
        </w:rPr>
        <w:t>, 22(2), 151–167.</w:t>
      </w:r>
    </w:p>
    <w:p w14:paraId="485468AB" w14:textId="77777777" w:rsidR="00D16027" w:rsidRDefault="00000000">
      <w:pPr>
        <w:pStyle w:val="ListParagraph"/>
        <w:numPr>
          <w:ilvl w:val="0"/>
          <w:numId w:val="3"/>
        </w:numPr>
        <w:spacing w:before="30" w:after="50"/>
      </w:pPr>
      <w:proofErr w:type="spellStart"/>
      <w:r>
        <w:rPr>
          <w:color w:val="333333"/>
          <w:sz w:val="19"/>
          <w:szCs w:val="19"/>
        </w:rPr>
        <w:t>Bretag</w:t>
      </w:r>
      <w:proofErr w:type="spellEnd"/>
      <w:r>
        <w:rPr>
          <w:color w:val="333333"/>
          <w:sz w:val="19"/>
          <w:szCs w:val="19"/>
        </w:rPr>
        <w:t xml:space="preserve">, T., Harper, R., Burton, M., Ellis, C., Newton, P., Rozenberg, P., Saddiqui, S. &amp; van </w:t>
      </w:r>
      <w:proofErr w:type="spellStart"/>
      <w:r>
        <w:rPr>
          <w:color w:val="333333"/>
          <w:sz w:val="19"/>
          <w:szCs w:val="19"/>
        </w:rPr>
        <w:t>Haeringen</w:t>
      </w:r>
      <w:proofErr w:type="spellEnd"/>
      <w:r>
        <w:rPr>
          <w:color w:val="333333"/>
          <w:sz w:val="19"/>
          <w:szCs w:val="19"/>
        </w:rPr>
        <w:t xml:space="preserve">, K. (2019) Contract cheating: a survey of Australian university students. </w:t>
      </w:r>
      <w:r>
        <w:rPr>
          <w:i/>
          <w:iCs/>
          <w:color w:val="333333"/>
          <w:sz w:val="19"/>
          <w:szCs w:val="19"/>
        </w:rPr>
        <w:t>Studies in Higher Education</w:t>
      </w:r>
      <w:r>
        <w:rPr>
          <w:color w:val="333333"/>
          <w:sz w:val="19"/>
          <w:szCs w:val="19"/>
        </w:rPr>
        <w:t>, 44(11), 1837–1856.</w:t>
      </w:r>
    </w:p>
    <w:p w14:paraId="6940452E" w14:textId="77777777" w:rsidR="00D16027" w:rsidRDefault="00000000">
      <w:pPr>
        <w:pStyle w:val="ListParagraph"/>
        <w:numPr>
          <w:ilvl w:val="0"/>
          <w:numId w:val="3"/>
        </w:numPr>
        <w:spacing w:before="30" w:after="50"/>
      </w:pPr>
      <w:r>
        <w:rPr>
          <w:color w:val="333333"/>
          <w:sz w:val="19"/>
          <w:szCs w:val="19"/>
        </w:rPr>
        <w:t xml:space="preserve">Carless, D. &amp; Boud, D. (2018) The development of student feedback literacy: enabling uptake of feedback. </w:t>
      </w:r>
      <w:r>
        <w:rPr>
          <w:i/>
          <w:iCs/>
          <w:color w:val="333333"/>
          <w:sz w:val="19"/>
          <w:szCs w:val="19"/>
        </w:rPr>
        <w:t>Assessment &amp; Evaluation in Higher Education</w:t>
      </w:r>
      <w:r>
        <w:rPr>
          <w:color w:val="333333"/>
          <w:sz w:val="19"/>
          <w:szCs w:val="19"/>
        </w:rPr>
        <w:t>, 43(8), 1315–1325.</w:t>
      </w:r>
    </w:p>
    <w:p w14:paraId="61AAE67A"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7458BE51" w14:textId="77777777" w:rsidR="00D16027" w:rsidRDefault="00000000">
      <w:pPr>
        <w:pStyle w:val="ListParagraph"/>
        <w:numPr>
          <w:ilvl w:val="0"/>
          <w:numId w:val="3"/>
        </w:numPr>
        <w:spacing w:before="30" w:after="50"/>
      </w:pPr>
      <w:r>
        <w:rPr>
          <w:color w:val="333333"/>
          <w:sz w:val="19"/>
          <w:szCs w:val="19"/>
        </w:rPr>
        <w:t xml:space="preserve">Earl, L. (2003) </w:t>
      </w:r>
      <w:r>
        <w:rPr>
          <w:i/>
          <w:iCs/>
          <w:color w:val="333333"/>
          <w:sz w:val="19"/>
          <w:szCs w:val="19"/>
        </w:rPr>
        <w:t>Assessment as Learning: Using Classroom Assessment to Maximize Student Learning</w:t>
      </w:r>
      <w:r>
        <w:rPr>
          <w:color w:val="333333"/>
          <w:sz w:val="19"/>
          <w:szCs w:val="19"/>
        </w:rPr>
        <w:t>. Thousand Oaks, CA: Corwin.</w:t>
      </w:r>
    </w:p>
    <w:p w14:paraId="0B8A2E21" w14:textId="77777777" w:rsidR="00D16027" w:rsidRDefault="00000000">
      <w:pPr>
        <w:pStyle w:val="ListParagraph"/>
        <w:numPr>
          <w:ilvl w:val="0"/>
          <w:numId w:val="3"/>
        </w:numPr>
        <w:spacing w:before="30" w:after="50"/>
      </w:pPr>
      <w:r>
        <w:rPr>
          <w:color w:val="333333"/>
          <w:sz w:val="19"/>
          <w:szCs w:val="19"/>
        </w:rPr>
        <w:t xml:space="preserve">Gibbs, G. &amp; Simpson, C. (2004) Conditions under which assessment supports students' learning. </w:t>
      </w:r>
      <w:r>
        <w:rPr>
          <w:i/>
          <w:iCs/>
          <w:color w:val="333333"/>
          <w:sz w:val="19"/>
          <w:szCs w:val="19"/>
        </w:rPr>
        <w:t>Learning and Teaching in Higher Education</w:t>
      </w:r>
      <w:r>
        <w:rPr>
          <w:color w:val="333333"/>
          <w:sz w:val="19"/>
          <w:szCs w:val="19"/>
        </w:rPr>
        <w:t>, 1, 3–31.</w:t>
      </w:r>
    </w:p>
    <w:p w14:paraId="4F184F7A" w14:textId="77777777" w:rsidR="00D16027" w:rsidRDefault="00000000">
      <w:pPr>
        <w:pStyle w:val="ListParagraph"/>
        <w:numPr>
          <w:ilvl w:val="0"/>
          <w:numId w:val="3"/>
        </w:numPr>
        <w:spacing w:before="30" w:after="50"/>
      </w:pPr>
      <w:r>
        <w:rPr>
          <w:color w:val="333333"/>
          <w:sz w:val="19"/>
          <w:szCs w:val="19"/>
        </w:rPr>
        <w:t xml:space="preserve">Kane, M.T. (2013) Validating the interpretations and uses of test scores. </w:t>
      </w:r>
      <w:r>
        <w:rPr>
          <w:i/>
          <w:iCs/>
          <w:color w:val="333333"/>
          <w:sz w:val="19"/>
          <w:szCs w:val="19"/>
        </w:rPr>
        <w:t>Journal of Educational Measurement</w:t>
      </w:r>
      <w:r>
        <w:rPr>
          <w:color w:val="333333"/>
          <w:sz w:val="19"/>
          <w:szCs w:val="19"/>
        </w:rPr>
        <w:t>, 50(1), 1–73.</w:t>
      </w:r>
    </w:p>
    <w:p w14:paraId="72ADCA97" w14:textId="77777777" w:rsidR="00D16027" w:rsidRDefault="00000000">
      <w:pPr>
        <w:pStyle w:val="ListParagraph"/>
        <w:numPr>
          <w:ilvl w:val="0"/>
          <w:numId w:val="3"/>
        </w:numPr>
        <w:spacing w:before="30" w:after="50"/>
      </w:pPr>
      <w:r>
        <w:rPr>
          <w:color w:val="333333"/>
          <w:sz w:val="19"/>
          <w:szCs w:val="19"/>
        </w:rPr>
        <w:lastRenderedPageBreak/>
        <w:t xml:space="preserve">Knight, P.T. (2002) Summative assessment in higher education: practices in disarray. </w:t>
      </w:r>
      <w:r>
        <w:rPr>
          <w:i/>
          <w:iCs/>
          <w:color w:val="333333"/>
          <w:sz w:val="19"/>
          <w:szCs w:val="19"/>
        </w:rPr>
        <w:t>Studies in Higher Education</w:t>
      </w:r>
      <w:r>
        <w:rPr>
          <w:color w:val="333333"/>
          <w:sz w:val="19"/>
          <w:szCs w:val="19"/>
        </w:rPr>
        <w:t>, 27(3), 275–286.</w:t>
      </w:r>
    </w:p>
    <w:p w14:paraId="104209CE" w14:textId="77777777" w:rsidR="00D16027" w:rsidRDefault="00000000">
      <w:pPr>
        <w:pStyle w:val="ListParagraph"/>
        <w:numPr>
          <w:ilvl w:val="0"/>
          <w:numId w:val="3"/>
        </w:numPr>
        <w:spacing w:before="30" w:after="50"/>
      </w:pPr>
      <w:r>
        <w:rPr>
          <w:color w:val="333333"/>
          <w:sz w:val="19"/>
          <w:szCs w:val="19"/>
        </w:rPr>
        <w:t xml:space="preserve">Marton, F. &amp; </w:t>
      </w:r>
      <w:proofErr w:type="spellStart"/>
      <w:r>
        <w:rPr>
          <w:color w:val="333333"/>
          <w:sz w:val="19"/>
          <w:szCs w:val="19"/>
        </w:rPr>
        <w:t>Säljö</w:t>
      </w:r>
      <w:proofErr w:type="spellEnd"/>
      <w:r>
        <w:rPr>
          <w:color w:val="333333"/>
          <w:sz w:val="19"/>
          <w:szCs w:val="19"/>
        </w:rPr>
        <w:t xml:space="preserve">, R. (1976) On qualitative differences in learning: I. Outcome and process. </w:t>
      </w:r>
      <w:r>
        <w:rPr>
          <w:i/>
          <w:iCs/>
          <w:color w:val="333333"/>
          <w:sz w:val="19"/>
          <w:szCs w:val="19"/>
        </w:rPr>
        <w:t>British Journal of Educational Psychology</w:t>
      </w:r>
      <w:r>
        <w:rPr>
          <w:color w:val="333333"/>
          <w:sz w:val="19"/>
          <w:szCs w:val="19"/>
        </w:rPr>
        <w:t>, 46(1), 4–11.</w:t>
      </w:r>
    </w:p>
    <w:p w14:paraId="507EDC8E" w14:textId="77777777" w:rsidR="00D16027" w:rsidRDefault="00000000">
      <w:pPr>
        <w:pStyle w:val="ListParagraph"/>
        <w:numPr>
          <w:ilvl w:val="0"/>
          <w:numId w:val="3"/>
        </w:numPr>
        <w:spacing w:before="30" w:after="50"/>
      </w:pPr>
      <w:r>
        <w:rPr>
          <w:color w:val="333333"/>
          <w:sz w:val="19"/>
          <w:szCs w:val="19"/>
        </w:rPr>
        <w:t xml:space="preserve">Messick, S. (1989) Validity. In R.L. Linn (ed.) </w:t>
      </w:r>
      <w:r>
        <w:rPr>
          <w:i/>
          <w:iCs/>
          <w:color w:val="333333"/>
          <w:sz w:val="19"/>
          <w:szCs w:val="19"/>
        </w:rPr>
        <w:t>Educational Measurement</w:t>
      </w:r>
      <w:r>
        <w:rPr>
          <w:color w:val="333333"/>
          <w:sz w:val="19"/>
          <w:szCs w:val="19"/>
        </w:rPr>
        <w:t xml:space="preserve"> (3rd ed., pp. 13–103). New York: Macmillan.</w:t>
      </w:r>
    </w:p>
    <w:p w14:paraId="2DE020AF" w14:textId="77777777" w:rsidR="00D16027" w:rsidRDefault="00000000">
      <w:pPr>
        <w:pStyle w:val="ListParagraph"/>
        <w:numPr>
          <w:ilvl w:val="0"/>
          <w:numId w:val="3"/>
        </w:numPr>
        <w:spacing w:before="30" w:after="50"/>
      </w:pPr>
      <w:r>
        <w:rPr>
          <w:color w:val="333333"/>
          <w:sz w:val="19"/>
          <w:szCs w:val="19"/>
        </w:rPr>
        <w:t xml:space="preserve">Newton, P.M. (2018) How common is commercial contract cheating in higher education and is it increasing? A systematic review. </w:t>
      </w:r>
      <w:r>
        <w:rPr>
          <w:i/>
          <w:iCs/>
          <w:color w:val="333333"/>
          <w:sz w:val="19"/>
          <w:szCs w:val="19"/>
        </w:rPr>
        <w:t>Frontiers in Education</w:t>
      </w:r>
      <w:r>
        <w:rPr>
          <w:color w:val="333333"/>
          <w:sz w:val="19"/>
          <w:szCs w:val="19"/>
        </w:rPr>
        <w:t>, 3, 67.</w:t>
      </w:r>
    </w:p>
    <w:p w14:paraId="0A529F09" w14:textId="77777777" w:rsidR="00D16027" w:rsidRDefault="00000000">
      <w:pPr>
        <w:pStyle w:val="ListParagraph"/>
        <w:numPr>
          <w:ilvl w:val="0"/>
          <w:numId w:val="3"/>
        </w:numPr>
        <w:spacing w:before="30" w:after="50"/>
      </w:pPr>
      <w:r>
        <w:rPr>
          <w:color w:val="333333"/>
          <w:sz w:val="19"/>
          <w:szCs w:val="19"/>
        </w:rPr>
        <w:t xml:space="preserve">Nicol, D.J. &amp; Macfarlane-Dick, D. (2006) Formative assessment and self-regulated learning: a model and seven principles of good feedback practice. </w:t>
      </w:r>
      <w:r>
        <w:rPr>
          <w:i/>
          <w:iCs/>
          <w:color w:val="333333"/>
          <w:sz w:val="19"/>
          <w:szCs w:val="19"/>
        </w:rPr>
        <w:t>Studies in Higher Education</w:t>
      </w:r>
      <w:r>
        <w:rPr>
          <w:color w:val="333333"/>
          <w:sz w:val="19"/>
          <w:szCs w:val="19"/>
        </w:rPr>
        <w:t>, 31(2), 199–218.</w:t>
      </w:r>
    </w:p>
    <w:p w14:paraId="1EABDE5C"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427E2AD7" w14:textId="77777777" w:rsidR="00D16027" w:rsidRDefault="00000000">
      <w:pPr>
        <w:pStyle w:val="ListParagraph"/>
        <w:numPr>
          <w:ilvl w:val="0"/>
          <w:numId w:val="3"/>
        </w:numPr>
        <w:spacing w:before="30" w:after="50"/>
      </w:pPr>
      <w:r>
        <w:rPr>
          <w:color w:val="333333"/>
          <w:sz w:val="19"/>
          <w:szCs w:val="19"/>
        </w:rPr>
        <w:t xml:space="preserve">Nikolic, S., Daniel, S., Haque, R., </w:t>
      </w:r>
      <w:proofErr w:type="spellStart"/>
      <w:r>
        <w:rPr>
          <w:color w:val="333333"/>
          <w:sz w:val="19"/>
          <w:szCs w:val="19"/>
        </w:rPr>
        <w:t>Belkina</w:t>
      </w:r>
      <w:proofErr w:type="spellEnd"/>
      <w:r>
        <w:rPr>
          <w:color w:val="333333"/>
          <w:sz w:val="19"/>
          <w:szCs w:val="19"/>
        </w:rPr>
        <w:t xml:space="preserve">, M., Hassan, G.M., Grundy, S., Lyden, S., Neal, P. &amp; Sandison, C. (2023) ChatGPT versus engineering education assessment: a multidisciplinary and multi-institutional benchmarking and analysis of this generative artificial intelligence tool to investigate assessment integrity. </w:t>
      </w:r>
      <w:r>
        <w:rPr>
          <w:i/>
          <w:iCs/>
          <w:color w:val="333333"/>
          <w:sz w:val="19"/>
          <w:szCs w:val="19"/>
        </w:rPr>
        <w:t>European Journal of Engineering Education</w:t>
      </w:r>
      <w:r>
        <w:rPr>
          <w:color w:val="333333"/>
          <w:sz w:val="19"/>
          <w:szCs w:val="19"/>
        </w:rPr>
        <w:t>, 48(4), 559–614.</w:t>
      </w:r>
    </w:p>
    <w:p w14:paraId="7D3E5584" w14:textId="77777777" w:rsidR="00D16027" w:rsidRDefault="00000000">
      <w:pPr>
        <w:pStyle w:val="ListParagraph"/>
        <w:numPr>
          <w:ilvl w:val="0"/>
          <w:numId w:val="3"/>
        </w:numPr>
        <w:spacing w:before="30" w:after="50"/>
      </w:pPr>
      <w:r>
        <w:rPr>
          <w:color w:val="333333"/>
          <w:sz w:val="19"/>
          <w:szCs w:val="19"/>
        </w:rPr>
        <w:t xml:space="preserve">Pellegrino, J.W., Chudowsky, N. &amp; Glaser, R. (eds.) (2001) </w:t>
      </w:r>
      <w:r>
        <w:rPr>
          <w:i/>
          <w:iCs/>
          <w:color w:val="333333"/>
          <w:sz w:val="19"/>
          <w:szCs w:val="19"/>
        </w:rPr>
        <w:t>Knowing What Students Know: The Science and Design of Educational Assessment</w:t>
      </w:r>
      <w:r>
        <w:rPr>
          <w:color w:val="333333"/>
          <w:sz w:val="19"/>
          <w:szCs w:val="19"/>
        </w:rPr>
        <w:t>. Washington, DC: National Academies Press.</w:t>
      </w:r>
    </w:p>
    <w:p w14:paraId="5B6399DE" w14:textId="77777777" w:rsidR="00D16027" w:rsidRDefault="00000000">
      <w:pPr>
        <w:pStyle w:val="ListParagraph"/>
        <w:numPr>
          <w:ilvl w:val="0"/>
          <w:numId w:val="3"/>
        </w:numPr>
        <w:spacing w:before="30" w:after="50"/>
      </w:pPr>
      <w:r>
        <w:rPr>
          <w:color w:val="333333"/>
          <w:sz w:val="19"/>
          <w:szCs w:val="19"/>
        </w:rPr>
        <w:t xml:space="preserve">Ramsden, P. (2003) </w:t>
      </w:r>
      <w:r>
        <w:rPr>
          <w:i/>
          <w:iCs/>
          <w:color w:val="333333"/>
          <w:sz w:val="19"/>
          <w:szCs w:val="19"/>
        </w:rPr>
        <w:t>Learning to Teach in Higher Education</w:t>
      </w:r>
      <w:r>
        <w:rPr>
          <w:color w:val="333333"/>
          <w:sz w:val="19"/>
          <w:szCs w:val="19"/>
        </w:rPr>
        <w:t xml:space="preserve"> (2nd ed.). London: </w:t>
      </w:r>
      <w:proofErr w:type="spellStart"/>
      <w:r>
        <w:rPr>
          <w:color w:val="333333"/>
          <w:sz w:val="19"/>
          <w:szCs w:val="19"/>
        </w:rPr>
        <w:t>RoutledgeFalmer</w:t>
      </w:r>
      <w:proofErr w:type="spellEnd"/>
      <w:r>
        <w:rPr>
          <w:color w:val="333333"/>
          <w:sz w:val="19"/>
          <w:szCs w:val="19"/>
        </w:rPr>
        <w:t>.</w:t>
      </w:r>
    </w:p>
    <w:p w14:paraId="1712CFAA" w14:textId="77777777" w:rsidR="00D16027" w:rsidRDefault="00000000">
      <w:pPr>
        <w:pStyle w:val="ListParagraph"/>
        <w:numPr>
          <w:ilvl w:val="0"/>
          <w:numId w:val="3"/>
        </w:numPr>
        <w:spacing w:before="30" w:after="50"/>
      </w:pPr>
      <w:r>
        <w:rPr>
          <w:color w:val="333333"/>
          <w:sz w:val="19"/>
          <w:szCs w:val="19"/>
        </w:rPr>
        <w:t xml:space="preserve">Rudolph, J., Tan, S. &amp; Tan, S. (2023) ChatGPT: bullshit spinner or the end of traditional assessments in higher education? </w:t>
      </w:r>
      <w:r>
        <w:rPr>
          <w:i/>
          <w:iCs/>
          <w:color w:val="333333"/>
          <w:sz w:val="19"/>
          <w:szCs w:val="19"/>
        </w:rPr>
        <w:t>Journal of Applied Learning and Teaching</w:t>
      </w:r>
      <w:r>
        <w:rPr>
          <w:color w:val="333333"/>
          <w:sz w:val="19"/>
          <w:szCs w:val="19"/>
        </w:rPr>
        <w:t>, 6(1), 342–363.</w:t>
      </w:r>
    </w:p>
    <w:p w14:paraId="47B56375" w14:textId="77777777" w:rsidR="00D16027" w:rsidRDefault="00000000">
      <w:pPr>
        <w:pStyle w:val="ListParagraph"/>
        <w:numPr>
          <w:ilvl w:val="0"/>
          <w:numId w:val="3"/>
        </w:numPr>
        <w:spacing w:before="30" w:after="50"/>
      </w:pPr>
      <w:r>
        <w:rPr>
          <w:color w:val="333333"/>
          <w:sz w:val="19"/>
          <w:szCs w:val="19"/>
        </w:rPr>
        <w:t xml:space="preserve">Sadler, D.R. (1989) Formative assessment and the design of instructional systems. </w:t>
      </w:r>
      <w:r>
        <w:rPr>
          <w:i/>
          <w:iCs/>
          <w:color w:val="333333"/>
          <w:sz w:val="19"/>
          <w:szCs w:val="19"/>
        </w:rPr>
        <w:t>Instructional Science</w:t>
      </w:r>
      <w:r>
        <w:rPr>
          <w:color w:val="333333"/>
          <w:sz w:val="19"/>
          <w:szCs w:val="19"/>
        </w:rPr>
        <w:t>, 18(2), 119–144.</w:t>
      </w:r>
    </w:p>
    <w:p w14:paraId="14B549E9" w14:textId="77777777" w:rsidR="00D16027" w:rsidRDefault="00000000">
      <w:pPr>
        <w:pStyle w:val="ListParagraph"/>
        <w:numPr>
          <w:ilvl w:val="0"/>
          <w:numId w:val="3"/>
        </w:numPr>
        <w:spacing w:before="30" w:after="50"/>
      </w:pPr>
      <w:r>
        <w:rPr>
          <w:color w:val="333333"/>
          <w:sz w:val="19"/>
          <w:szCs w:val="19"/>
        </w:rPr>
        <w:t xml:space="preserve">Sadler, D.R. (2009) Indeterminacy in the use of preset criteria for assessment and grading. </w:t>
      </w:r>
      <w:r>
        <w:rPr>
          <w:i/>
          <w:iCs/>
          <w:color w:val="333333"/>
          <w:sz w:val="19"/>
          <w:szCs w:val="19"/>
        </w:rPr>
        <w:t>Assessment &amp; Evaluation in Higher Education</w:t>
      </w:r>
      <w:r>
        <w:rPr>
          <w:color w:val="333333"/>
          <w:sz w:val="19"/>
          <w:szCs w:val="19"/>
        </w:rPr>
        <w:t>, 34(2), 159–179.</w:t>
      </w:r>
    </w:p>
    <w:p w14:paraId="09E13149" w14:textId="77777777" w:rsidR="00D16027" w:rsidRDefault="00000000">
      <w:pPr>
        <w:pStyle w:val="ListParagraph"/>
        <w:numPr>
          <w:ilvl w:val="0"/>
          <w:numId w:val="3"/>
        </w:numPr>
        <w:spacing w:before="30" w:after="50"/>
      </w:pPr>
      <w:r>
        <w:rPr>
          <w:color w:val="333333"/>
          <w:sz w:val="19"/>
          <w:szCs w:val="19"/>
        </w:rPr>
        <w:t xml:space="preserve">Scriven, M. (1967) The methodology of evaluation. In R.W. Tyler, R.M. Gagné &amp; M. Scriven (eds.) </w:t>
      </w:r>
      <w:r>
        <w:rPr>
          <w:i/>
          <w:iCs/>
          <w:color w:val="333333"/>
          <w:sz w:val="19"/>
          <w:szCs w:val="19"/>
        </w:rPr>
        <w:t>Perspectives of Curriculum Evaluation</w:t>
      </w:r>
      <w:r>
        <w:rPr>
          <w:color w:val="333333"/>
          <w:sz w:val="19"/>
          <w:szCs w:val="19"/>
        </w:rPr>
        <w:t xml:space="preserve"> (pp. 39–83). Chicago: Rand McNally.</w:t>
      </w:r>
    </w:p>
    <w:p w14:paraId="1F2C757E" w14:textId="77777777" w:rsidR="00D16027" w:rsidRDefault="00000000">
      <w:pPr>
        <w:pStyle w:val="ListParagraph"/>
        <w:numPr>
          <w:ilvl w:val="0"/>
          <w:numId w:val="3"/>
        </w:numPr>
        <w:spacing w:before="30" w:after="50"/>
      </w:pPr>
      <w:r>
        <w:rPr>
          <w:color w:val="333333"/>
          <w:sz w:val="19"/>
          <w:szCs w:val="19"/>
        </w:rPr>
        <w:t xml:space="preserve">Stray, C. (2001) The shift from oral to written examination: Cambridge and Oxford 1700–1900. </w:t>
      </w:r>
      <w:r>
        <w:rPr>
          <w:i/>
          <w:iCs/>
          <w:color w:val="333333"/>
          <w:sz w:val="19"/>
          <w:szCs w:val="19"/>
        </w:rPr>
        <w:t>Assessment in Education: Principles, Policy &amp; Practice</w:t>
      </w:r>
      <w:r>
        <w:rPr>
          <w:color w:val="333333"/>
          <w:sz w:val="19"/>
          <w:szCs w:val="19"/>
        </w:rPr>
        <w:t>, 8(1), 33–50.</w:t>
      </w:r>
    </w:p>
    <w:p w14:paraId="07A4308E" w14:textId="77777777" w:rsidR="00D16027" w:rsidRDefault="00000000">
      <w:pPr>
        <w:pStyle w:val="ListParagraph"/>
        <w:numPr>
          <w:ilvl w:val="0"/>
          <w:numId w:val="3"/>
        </w:numPr>
        <w:spacing w:before="30" w:after="50"/>
      </w:pPr>
      <w:r>
        <w:rPr>
          <w:color w:val="333333"/>
          <w:sz w:val="19"/>
          <w:szCs w:val="19"/>
        </w:rPr>
        <w:t xml:space="preserve">Wiggins, G. &amp; McTighe, J. (2005) </w:t>
      </w:r>
      <w:r>
        <w:rPr>
          <w:i/>
          <w:iCs/>
          <w:color w:val="333333"/>
          <w:sz w:val="19"/>
          <w:szCs w:val="19"/>
        </w:rPr>
        <w:t>Understanding by Design</w:t>
      </w:r>
      <w:r>
        <w:rPr>
          <w:color w:val="333333"/>
          <w:sz w:val="19"/>
          <w:szCs w:val="19"/>
        </w:rPr>
        <w:t xml:space="preserve"> (2nd ed.). Alexandria, VA: ASCD.</w:t>
      </w:r>
    </w:p>
    <w:p w14:paraId="40E75987" w14:textId="77777777" w:rsidR="00D16027" w:rsidRDefault="00000000">
      <w:pPr>
        <w:pStyle w:val="ListParagraph"/>
        <w:numPr>
          <w:ilvl w:val="0"/>
          <w:numId w:val="3"/>
        </w:numPr>
        <w:spacing w:before="30" w:after="50"/>
      </w:pPr>
      <w:r>
        <w:rPr>
          <w:color w:val="333333"/>
          <w:sz w:val="19"/>
          <w:szCs w:val="19"/>
        </w:rPr>
        <w:t xml:space="preserve">Winstone, N. &amp; Carless, D. (2019) </w:t>
      </w:r>
      <w:r>
        <w:rPr>
          <w:i/>
          <w:iCs/>
          <w:color w:val="333333"/>
          <w:sz w:val="19"/>
          <w:szCs w:val="19"/>
        </w:rPr>
        <w:t>Designing Effective Feedback Processes in Higher Education: A Learning-Focused Approach</w:t>
      </w:r>
      <w:r>
        <w:rPr>
          <w:color w:val="333333"/>
          <w:sz w:val="19"/>
          <w:szCs w:val="19"/>
        </w:rPr>
        <w:t>. London: Routledge.</w:t>
      </w:r>
    </w:p>
    <w:p w14:paraId="066274C0" w14:textId="77777777" w:rsidR="00D16027" w:rsidRDefault="00000000">
      <w:r>
        <w:br w:type="page"/>
      </w:r>
    </w:p>
    <w:p w14:paraId="0A25A206" w14:textId="77777777" w:rsidR="00D16027" w:rsidRDefault="00000000">
      <w:pPr>
        <w:keepNext/>
        <w:spacing w:after="40"/>
      </w:pPr>
      <w:r>
        <w:rPr>
          <w:b/>
          <w:bCs/>
          <w:caps/>
          <w:color w:val="2E75B6"/>
          <w:sz w:val="22"/>
          <w:szCs w:val="22"/>
        </w:rPr>
        <w:lastRenderedPageBreak/>
        <w:t>CHAPTER 2</w:t>
      </w:r>
    </w:p>
    <w:p w14:paraId="60C58377" w14:textId="77777777" w:rsidR="00D16027" w:rsidRDefault="00000000">
      <w:pPr>
        <w:pStyle w:val="Heading1"/>
        <w:keepNext/>
      </w:pPr>
      <w:r>
        <w:t>What AI Actually Does (and Does Not Do)</w:t>
      </w:r>
    </w:p>
    <w:p w14:paraId="14514A6B" w14:textId="77777777" w:rsidR="00D16027" w:rsidRDefault="00000000">
      <w:pPr>
        <w:pBdr>
          <w:left w:val="single" w:sz="14" w:space="10" w:color="2E75B6"/>
        </w:pBdr>
        <w:shd w:val="clear" w:color="auto" w:fill="EAF3FB"/>
        <w:spacing w:after="200"/>
      </w:pPr>
      <w:r>
        <w:rPr>
          <w:i/>
          <w:iCs/>
          <w:color w:val="333333"/>
        </w:rPr>
        <w:t>Educators cannot make good decisions about assessment without a working understanding of what generative AI is, what it does well, where it fails, and how fast it is changing. This chapter is written for educators, not computer scientists.</w:t>
      </w:r>
    </w:p>
    <w:p w14:paraId="0DA0AAB7"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67C1D8A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Hold a plain-language working model of how large language models produce text</w:t>
      </w:r>
    </w:p>
    <w:p w14:paraId="12A1D5B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Know the published evidence on how AI performs on real university assessments across disciplines</w:t>
      </w:r>
    </w:p>
    <w:p w14:paraId="65908CC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Recognise AI's characteristic failure modes and understand why most of them are not stable enough to design around</w:t>
      </w:r>
    </w:p>
    <w:p w14:paraId="7576343D"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Run a repeatable protocol for testing your own assessments against current tools</w:t>
      </w:r>
    </w:p>
    <w:p w14:paraId="52BF08F6" w14:textId="77777777" w:rsidR="00D16027" w:rsidRDefault="00000000">
      <w:pPr>
        <w:pStyle w:val="Heading2"/>
        <w:keepNext/>
      </w:pPr>
      <w:r>
        <w:t>2.1 A working model</w:t>
      </w:r>
    </w:p>
    <w:p w14:paraId="05C7A880" w14:textId="77777777" w:rsidR="00D16027" w:rsidRDefault="00000000">
      <w:pPr>
        <w:spacing w:after="140"/>
      </w:pPr>
      <w:r>
        <w:t xml:space="preserve">A large language model (LLM) is a statistical model of language trained to predict the next token, roughly the next word fragment, given everything that came before. The architecture that made this possible at scale, the transformer (Vaswani et al. 2017), and the discovery that predictive performance keeps improving as models and training data grow (Brown et al. 2020) produced systems that generate fluent, coherent text in almost any genre. A further stage, reinforcement learning from human feedback, tunes the model to produce responses that human raters prefer: helpful, polite and confident. Bender et al. (2021) called such systems "stochastic parrots", a label that captures something true (the model has no referent for its words) and misses something important (the behaviours that emerge from prediction at scale include passable reasoning, planning and code). </w:t>
      </w:r>
      <w:proofErr w:type="spellStart"/>
      <w:r>
        <w:t>Bommasani</w:t>
      </w:r>
      <w:proofErr w:type="spellEnd"/>
      <w:r>
        <w:t xml:space="preserve"> et al. (2021) prefer the term "foundation models" to signal their generality.</w:t>
      </w:r>
    </w:p>
    <w:p w14:paraId="5797F5E3" w14:textId="77777777" w:rsidR="00D16027" w:rsidRDefault="00000000">
      <w:pPr>
        <w:spacing w:after="140"/>
      </w:pPr>
      <w:r>
        <w:t>Since 2024 the systems students actually use have moved well beyond pure text prediction. They browse the web, run code, read images and PDFs, work with uploaded data, and chain several steps together to complete a task. An assessment designed on the assumption that "AI can't read my uploaded dataset" or "AI can't do the calculation" is already out of date. The safe assumption for design purposes is that anything a student can do alone at a keyboard, with access to the same documents, AI can plausibly do too.</w:t>
      </w:r>
    </w:p>
    <w:p w14:paraId="7BC0F8ED" w14:textId="77777777" w:rsidR="00D16027" w:rsidRDefault="00000000">
      <w:pPr>
        <w:pBdr>
          <w:left w:val="single" w:sz="14" w:space="10" w:color="2E75B6"/>
        </w:pBdr>
        <w:shd w:val="clear" w:color="auto" w:fill="EAF3FB"/>
        <w:spacing w:before="80" w:after="160"/>
      </w:pPr>
      <w:r>
        <w:rPr>
          <w:b/>
          <w:bCs/>
          <w:color w:val="333333"/>
        </w:rPr>
        <w:t>Design assumption for this book:</w:t>
      </w:r>
      <w:r>
        <w:rPr>
          <w:color w:val="333333"/>
        </w:rPr>
        <w:t xml:space="preserve"> if a task can be completed by a person sitting alone with a laptop and the course materials, assume current AI can complete it to a passing standard. Design the evidence of learning accordingly. Capabilities described in this chapter were last reviewed in September 2026; readers should re-test rather than rely on them.</w:t>
      </w:r>
    </w:p>
    <w:p w14:paraId="351A98C8" w14:textId="77777777" w:rsidR="00D16027" w:rsidRDefault="00000000">
      <w:pPr>
        <w:pStyle w:val="Heading2"/>
        <w:keepNext/>
      </w:pPr>
      <w:r>
        <w:t>2.2 What AI does well: the evidence from our own assessments</w:t>
      </w:r>
    </w:p>
    <w:p w14:paraId="5863EDB9" w14:textId="77777777" w:rsidR="00D16027" w:rsidRDefault="00000000">
      <w:pPr>
        <w:spacing w:after="140"/>
      </w:pPr>
      <w:r>
        <w:t>The most useful evidence for educators comes from studies that fed real university assessments to AI and marked the output. Table 2.1 summarises the most cited. Two patterns stand out. First, in every discipline tested, the model reached or approached a passing standard on unsupervised written and numerical work. Second, each new model generation improved sharply: GPT-4 passed the full Uniform Bar Examination that GPT-3.5 had largely failed only months earlier (Katz et al. 2024).</w:t>
      </w:r>
    </w:p>
    <w:p w14:paraId="0CA3AD79" w14:textId="77777777" w:rsidR="00D16027" w:rsidRDefault="00000000">
      <w:pPr>
        <w:keepNext/>
        <w:spacing w:before="160" w:after="80"/>
      </w:pPr>
      <w:r>
        <w:rPr>
          <w:b/>
          <w:bCs/>
          <w:color w:val="1A4F7A"/>
          <w:sz w:val="20"/>
          <w:szCs w:val="20"/>
        </w:rPr>
        <w:t>Table 2.1  How generative AI performed on real university assessments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50"/>
        <w:gridCol w:w="2900"/>
        <w:gridCol w:w="3436"/>
      </w:tblGrid>
      <w:tr w:rsidR="00D16027" w14:paraId="1EFA0357" w14:textId="77777777">
        <w:tblPrEx>
          <w:tblCellMar>
            <w:top w:w="0" w:type="dxa"/>
            <w:bottom w:w="0" w:type="dxa"/>
          </w:tblCellMar>
        </w:tblPrEx>
        <w:trPr>
          <w:cantSplit/>
          <w:tblHeader/>
        </w:trPr>
        <w:tc>
          <w:tcPr>
            <w:tcW w:w="1300" w:type="dxa"/>
            <w:shd w:val="clear" w:color="auto" w:fill="2E75B6"/>
            <w:tcMar>
              <w:top w:w="70" w:type="dxa"/>
              <w:left w:w="100" w:type="dxa"/>
              <w:bottom w:w="70" w:type="dxa"/>
              <w:right w:w="100" w:type="dxa"/>
            </w:tcMar>
          </w:tcPr>
          <w:p w14:paraId="7E42B792" w14:textId="77777777" w:rsidR="00D16027" w:rsidRDefault="00000000">
            <w:r>
              <w:rPr>
                <w:b/>
                <w:bCs/>
                <w:color w:val="FFFFFF"/>
                <w:sz w:val="19"/>
                <w:szCs w:val="19"/>
              </w:rPr>
              <w:t>Discipline</w:t>
            </w:r>
          </w:p>
        </w:tc>
        <w:tc>
          <w:tcPr>
            <w:tcW w:w="1750" w:type="dxa"/>
            <w:shd w:val="clear" w:color="auto" w:fill="2E75B6"/>
            <w:tcMar>
              <w:top w:w="70" w:type="dxa"/>
              <w:left w:w="100" w:type="dxa"/>
              <w:bottom w:w="70" w:type="dxa"/>
              <w:right w:w="100" w:type="dxa"/>
            </w:tcMar>
          </w:tcPr>
          <w:p w14:paraId="60895A37" w14:textId="77777777" w:rsidR="00D16027" w:rsidRDefault="00000000">
            <w:r>
              <w:rPr>
                <w:b/>
                <w:bCs/>
                <w:color w:val="FFFFFF"/>
                <w:sz w:val="19"/>
                <w:szCs w:val="19"/>
              </w:rPr>
              <w:t>Study</w:t>
            </w:r>
          </w:p>
        </w:tc>
        <w:tc>
          <w:tcPr>
            <w:tcW w:w="2900" w:type="dxa"/>
            <w:shd w:val="clear" w:color="auto" w:fill="2E75B6"/>
            <w:tcMar>
              <w:top w:w="70" w:type="dxa"/>
              <w:left w:w="100" w:type="dxa"/>
              <w:bottom w:w="70" w:type="dxa"/>
              <w:right w:w="100" w:type="dxa"/>
            </w:tcMar>
          </w:tcPr>
          <w:p w14:paraId="1056EBB1" w14:textId="77777777" w:rsidR="00D16027" w:rsidRDefault="00000000">
            <w:r>
              <w:rPr>
                <w:b/>
                <w:bCs/>
                <w:color w:val="FFFFFF"/>
                <w:sz w:val="19"/>
                <w:szCs w:val="19"/>
              </w:rPr>
              <w:t>Assessment</w:t>
            </w:r>
          </w:p>
        </w:tc>
        <w:tc>
          <w:tcPr>
            <w:tcW w:w="3436" w:type="dxa"/>
            <w:shd w:val="clear" w:color="auto" w:fill="2E75B6"/>
            <w:tcMar>
              <w:top w:w="70" w:type="dxa"/>
              <w:left w:w="100" w:type="dxa"/>
              <w:bottom w:w="70" w:type="dxa"/>
              <w:right w:w="100" w:type="dxa"/>
            </w:tcMar>
          </w:tcPr>
          <w:p w14:paraId="719C9481" w14:textId="77777777" w:rsidR="00D16027" w:rsidRDefault="00000000">
            <w:r>
              <w:rPr>
                <w:b/>
                <w:bCs/>
                <w:color w:val="FFFFFF"/>
                <w:sz w:val="19"/>
                <w:szCs w:val="19"/>
              </w:rPr>
              <w:t>Result</w:t>
            </w:r>
          </w:p>
        </w:tc>
      </w:tr>
      <w:tr w:rsidR="00D16027" w14:paraId="12A4B266" w14:textId="77777777">
        <w:tblPrEx>
          <w:tblCellMar>
            <w:top w:w="0" w:type="dxa"/>
            <w:bottom w:w="0" w:type="dxa"/>
          </w:tblCellMar>
        </w:tblPrEx>
        <w:trPr>
          <w:cantSplit/>
        </w:trPr>
        <w:tc>
          <w:tcPr>
            <w:tcW w:w="1300" w:type="dxa"/>
            <w:tcMar>
              <w:top w:w="70" w:type="dxa"/>
              <w:left w:w="100" w:type="dxa"/>
              <w:bottom w:w="70" w:type="dxa"/>
              <w:right w:w="100" w:type="dxa"/>
            </w:tcMar>
          </w:tcPr>
          <w:p w14:paraId="785ED86D" w14:textId="77777777" w:rsidR="00D16027" w:rsidRDefault="00000000">
            <w:r>
              <w:rPr>
                <w:sz w:val="19"/>
                <w:szCs w:val="19"/>
              </w:rPr>
              <w:t>Medicine</w:t>
            </w:r>
          </w:p>
        </w:tc>
        <w:tc>
          <w:tcPr>
            <w:tcW w:w="1750" w:type="dxa"/>
            <w:tcMar>
              <w:top w:w="70" w:type="dxa"/>
              <w:left w:w="100" w:type="dxa"/>
              <w:bottom w:w="70" w:type="dxa"/>
              <w:right w:w="100" w:type="dxa"/>
            </w:tcMar>
          </w:tcPr>
          <w:p w14:paraId="69A1B3CC" w14:textId="77777777" w:rsidR="00D16027" w:rsidRDefault="00000000">
            <w:r>
              <w:rPr>
                <w:sz w:val="19"/>
                <w:szCs w:val="19"/>
              </w:rPr>
              <w:t>Kung et al. (2023)</w:t>
            </w:r>
          </w:p>
        </w:tc>
        <w:tc>
          <w:tcPr>
            <w:tcW w:w="2900" w:type="dxa"/>
            <w:tcMar>
              <w:top w:w="70" w:type="dxa"/>
              <w:left w:w="100" w:type="dxa"/>
              <w:bottom w:w="70" w:type="dxa"/>
              <w:right w:w="100" w:type="dxa"/>
            </w:tcMar>
          </w:tcPr>
          <w:p w14:paraId="7B7B9004" w14:textId="77777777" w:rsidR="00D16027" w:rsidRDefault="00000000">
            <w:r>
              <w:rPr>
                <w:sz w:val="19"/>
                <w:szCs w:val="19"/>
              </w:rPr>
              <w:t>USMLE Steps 1–3 (350 public items)</w:t>
            </w:r>
          </w:p>
        </w:tc>
        <w:tc>
          <w:tcPr>
            <w:tcW w:w="3436" w:type="dxa"/>
            <w:tcMar>
              <w:top w:w="70" w:type="dxa"/>
              <w:left w:w="100" w:type="dxa"/>
              <w:bottom w:w="70" w:type="dxa"/>
              <w:right w:w="100" w:type="dxa"/>
            </w:tcMar>
          </w:tcPr>
          <w:p w14:paraId="4E50F3C5" w14:textId="77777777" w:rsidR="00D16027" w:rsidRDefault="00000000">
            <w:r>
              <w:rPr>
                <w:sz w:val="19"/>
                <w:szCs w:val="19"/>
              </w:rPr>
              <w:t>52.4–75.0% against a passing threshold of about 60%; 88.9% of responses contained at least one significant clinical insight</w:t>
            </w:r>
          </w:p>
        </w:tc>
      </w:tr>
      <w:tr w:rsidR="00D16027" w14:paraId="4C983464" w14:textId="77777777">
        <w:tblPrEx>
          <w:tblCellMar>
            <w:top w:w="0" w:type="dxa"/>
            <w:bottom w:w="0" w:type="dxa"/>
          </w:tblCellMar>
        </w:tblPrEx>
        <w:trPr>
          <w:cantSplit/>
        </w:trPr>
        <w:tc>
          <w:tcPr>
            <w:tcW w:w="1300" w:type="dxa"/>
            <w:tcMar>
              <w:top w:w="70" w:type="dxa"/>
              <w:left w:w="100" w:type="dxa"/>
              <w:bottom w:w="70" w:type="dxa"/>
              <w:right w:w="100" w:type="dxa"/>
            </w:tcMar>
          </w:tcPr>
          <w:p w14:paraId="535CA0C3" w14:textId="77777777" w:rsidR="00D16027" w:rsidRDefault="00000000">
            <w:r>
              <w:rPr>
                <w:sz w:val="19"/>
                <w:szCs w:val="19"/>
              </w:rPr>
              <w:lastRenderedPageBreak/>
              <w:t>Law</w:t>
            </w:r>
          </w:p>
        </w:tc>
        <w:tc>
          <w:tcPr>
            <w:tcW w:w="1750" w:type="dxa"/>
            <w:tcMar>
              <w:top w:w="70" w:type="dxa"/>
              <w:left w:w="100" w:type="dxa"/>
              <w:bottom w:w="70" w:type="dxa"/>
              <w:right w:w="100" w:type="dxa"/>
            </w:tcMar>
          </w:tcPr>
          <w:p w14:paraId="23902B0A" w14:textId="77777777" w:rsidR="00D16027" w:rsidRDefault="00000000">
            <w:r>
              <w:rPr>
                <w:sz w:val="19"/>
                <w:szCs w:val="19"/>
              </w:rPr>
              <w:t>Choi et al. (2023)</w:t>
            </w:r>
          </w:p>
        </w:tc>
        <w:tc>
          <w:tcPr>
            <w:tcW w:w="2900" w:type="dxa"/>
            <w:tcMar>
              <w:top w:w="70" w:type="dxa"/>
              <w:left w:w="100" w:type="dxa"/>
              <w:bottom w:w="70" w:type="dxa"/>
              <w:right w:w="100" w:type="dxa"/>
            </w:tcMar>
          </w:tcPr>
          <w:p w14:paraId="6CCFDC12" w14:textId="77777777" w:rsidR="00D16027" w:rsidRDefault="00000000">
            <w:r>
              <w:rPr>
                <w:sz w:val="19"/>
                <w:szCs w:val="19"/>
              </w:rPr>
              <w:t>Four University of Minnesota law school exams (95 MCQs, 12 essays)</w:t>
            </w:r>
          </w:p>
        </w:tc>
        <w:tc>
          <w:tcPr>
            <w:tcW w:w="3436" w:type="dxa"/>
            <w:tcMar>
              <w:top w:w="70" w:type="dxa"/>
              <w:left w:w="100" w:type="dxa"/>
              <w:bottom w:w="70" w:type="dxa"/>
              <w:right w:w="100" w:type="dxa"/>
            </w:tcMar>
          </w:tcPr>
          <w:p w14:paraId="7D3A9CA4" w14:textId="77777777" w:rsidR="00D16027" w:rsidRDefault="00000000">
            <w:r>
              <w:rPr>
                <w:sz w:val="19"/>
                <w:szCs w:val="19"/>
              </w:rPr>
              <w:t>C+ overall, a low pass; strong on composition, weak on issue-spotting in open prompts and on mathematically framed items</w:t>
            </w:r>
          </w:p>
        </w:tc>
      </w:tr>
      <w:tr w:rsidR="00D16027" w14:paraId="40FEFEC0" w14:textId="77777777">
        <w:tblPrEx>
          <w:tblCellMar>
            <w:top w:w="0" w:type="dxa"/>
            <w:bottom w:w="0" w:type="dxa"/>
          </w:tblCellMar>
        </w:tblPrEx>
        <w:trPr>
          <w:cantSplit/>
        </w:trPr>
        <w:tc>
          <w:tcPr>
            <w:tcW w:w="1300" w:type="dxa"/>
            <w:tcMar>
              <w:top w:w="70" w:type="dxa"/>
              <w:left w:w="100" w:type="dxa"/>
              <w:bottom w:w="70" w:type="dxa"/>
              <w:right w:w="100" w:type="dxa"/>
            </w:tcMar>
          </w:tcPr>
          <w:p w14:paraId="061EC110" w14:textId="77777777" w:rsidR="00D16027" w:rsidRDefault="00000000">
            <w:r>
              <w:rPr>
                <w:sz w:val="19"/>
                <w:szCs w:val="19"/>
              </w:rPr>
              <w:t>Law</w:t>
            </w:r>
          </w:p>
        </w:tc>
        <w:tc>
          <w:tcPr>
            <w:tcW w:w="1750" w:type="dxa"/>
            <w:tcMar>
              <w:top w:w="70" w:type="dxa"/>
              <w:left w:w="100" w:type="dxa"/>
              <w:bottom w:w="70" w:type="dxa"/>
              <w:right w:w="100" w:type="dxa"/>
            </w:tcMar>
          </w:tcPr>
          <w:p w14:paraId="64E14965" w14:textId="77777777" w:rsidR="00D16027" w:rsidRDefault="00000000">
            <w:r>
              <w:rPr>
                <w:sz w:val="19"/>
                <w:szCs w:val="19"/>
              </w:rPr>
              <w:t>Katz et al. (2024)</w:t>
            </w:r>
          </w:p>
        </w:tc>
        <w:tc>
          <w:tcPr>
            <w:tcW w:w="2900" w:type="dxa"/>
            <w:tcMar>
              <w:top w:w="70" w:type="dxa"/>
              <w:left w:w="100" w:type="dxa"/>
              <w:bottom w:w="70" w:type="dxa"/>
              <w:right w:w="100" w:type="dxa"/>
            </w:tcMar>
          </w:tcPr>
          <w:p w14:paraId="31C98594" w14:textId="77777777" w:rsidR="00D16027" w:rsidRDefault="00000000">
            <w:r>
              <w:rPr>
                <w:sz w:val="19"/>
                <w:szCs w:val="19"/>
              </w:rPr>
              <w:t>Full Uniform Bar Examination (MBE, MEE, MPT)</w:t>
            </w:r>
          </w:p>
        </w:tc>
        <w:tc>
          <w:tcPr>
            <w:tcW w:w="3436" w:type="dxa"/>
            <w:tcMar>
              <w:top w:w="70" w:type="dxa"/>
              <w:left w:w="100" w:type="dxa"/>
              <w:bottom w:w="70" w:type="dxa"/>
              <w:right w:w="100" w:type="dxa"/>
            </w:tcMar>
          </w:tcPr>
          <w:p w14:paraId="1B164919" w14:textId="77777777" w:rsidR="00D16027" w:rsidRDefault="00000000">
            <w:r>
              <w:rPr>
                <w:sz w:val="19"/>
                <w:szCs w:val="19"/>
              </w:rPr>
              <w:t>GPT-4 passed all components; the reported 90th-percentile figure has been contested by re-analysis (Martínez 2024), which places the score nearer the 69th percentile overall and lower on essays</w:t>
            </w:r>
          </w:p>
        </w:tc>
      </w:tr>
      <w:tr w:rsidR="00D16027" w14:paraId="7FBF3F68" w14:textId="77777777">
        <w:tblPrEx>
          <w:tblCellMar>
            <w:top w:w="0" w:type="dxa"/>
            <w:bottom w:w="0" w:type="dxa"/>
          </w:tblCellMar>
        </w:tblPrEx>
        <w:trPr>
          <w:cantSplit/>
        </w:trPr>
        <w:tc>
          <w:tcPr>
            <w:tcW w:w="1300" w:type="dxa"/>
            <w:tcMar>
              <w:top w:w="70" w:type="dxa"/>
              <w:left w:w="100" w:type="dxa"/>
              <w:bottom w:w="70" w:type="dxa"/>
              <w:right w:w="100" w:type="dxa"/>
            </w:tcMar>
          </w:tcPr>
          <w:p w14:paraId="117FEE35" w14:textId="77777777" w:rsidR="00D16027" w:rsidRDefault="00000000">
            <w:r>
              <w:rPr>
                <w:sz w:val="19"/>
                <w:szCs w:val="19"/>
              </w:rPr>
              <w:t>Business</w:t>
            </w:r>
          </w:p>
        </w:tc>
        <w:tc>
          <w:tcPr>
            <w:tcW w:w="1750" w:type="dxa"/>
            <w:tcMar>
              <w:top w:w="70" w:type="dxa"/>
              <w:left w:w="100" w:type="dxa"/>
              <w:bottom w:w="70" w:type="dxa"/>
              <w:right w:w="100" w:type="dxa"/>
            </w:tcMar>
          </w:tcPr>
          <w:p w14:paraId="73E234A7" w14:textId="77777777" w:rsidR="00D16027" w:rsidRDefault="00000000">
            <w:proofErr w:type="spellStart"/>
            <w:r>
              <w:rPr>
                <w:sz w:val="19"/>
                <w:szCs w:val="19"/>
              </w:rPr>
              <w:t>Terwiesch</w:t>
            </w:r>
            <w:proofErr w:type="spellEnd"/>
            <w:r>
              <w:rPr>
                <w:sz w:val="19"/>
                <w:szCs w:val="19"/>
              </w:rPr>
              <w:t xml:space="preserve"> (2023)</w:t>
            </w:r>
          </w:p>
        </w:tc>
        <w:tc>
          <w:tcPr>
            <w:tcW w:w="2900" w:type="dxa"/>
            <w:tcMar>
              <w:top w:w="70" w:type="dxa"/>
              <w:left w:w="100" w:type="dxa"/>
              <w:bottom w:w="70" w:type="dxa"/>
              <w:right w:w="100" w:type="dxa"/>
            </w:tcMar>
          </w:tcPr>
          <w:p w14:paraId="480ADCDC" w14:textId="77777777" w:rsidR="00D16027" w:rsidRDefault="00000000">
            <w:r>
              <w:rPr>
                <w:sz w:val="19"/>
                <w:szCs w:val="19"/>
              </w:rPr>
              <w:t>Wharton MBA Operations Management final</w:t>
            </w:r>
          </w:p>
        </w:tc>
        <w:tc>
          <w:tcPr>
            <w:tcW w:w="3436" w:type="dxa"/>
            <w:tcMar>
              <w:top w:w="70" w:type="dxa"/>
              <w:left w:w="100" w:type="dxa"/>
              <w:bottom w:w="70" w:type="dxa"/>
              <w:right w:w="100" w:type="dxa"/>
            </w:tcMar>
          </w:tcPr>
          <w:p w14:paraId="63C7B6DE" w14:textId="77777777" w:rsidR="00D16027" w:rsidRDefault="00000000">
            <w:r>
              <w:rPr>
                <w:sz w:val="19"/>
                <w:szCs w:val="19"/>
              </w:rPr>
              <w:t>B to B−; excellent on case-based process analysis, surprising errors in simple arithmetic</w:t>
            </w:r>
          </w:p>
        </w:tc>
      </w:tr>
      <w:tr w:rsidR="00D16027" w14:paraId="76A9425A" w14:textId="77777777">
        <w:tblPrEx>
          <w:tblCellMar>
            <w:top w:w="0" w:type="dxa"/>
            <w:bottom w:w="0" w:type="dxa"/>
          </w:tblCellMar>
        </w:tblPrEx>
        <w:trPr>
          <w:cantSplit/>
        </w:trPr>
        <w:tc>
          <w:tcPr>
            <w:tcW w:w="1300" w:type="dxa"/>
            <w:tcMar>
              <w:top w:w="70" w:type="dxa"/>
              <w:left w:w="100" w:type="dxa"/>
              <w:bottom w:w="70" w:type="dxa"/>
              <w:right w:w="100" w:type="dxa"/>
            </w:tcMar>
          </w:tcPr>
          <w:p w14:paraId="66F07409" w14:textId="77777777" w:rsidR="00D16027" w:rsidRDefault="00000000">
            <w:r>
              <w:rPr>
                <w:sz w:val="19"/>
                <w:szCs w:val="19"/>
              </w:rPr>
              <w:t>Computing</w:t>
            </w:r>
          </w:p>
        </w:tc>
        <w:tc>
          <w:tcPr>
            <w:tcW w:w="1750" w:type="dxa"/>
            <w:tcMar>
              <w:top w:w="70" w:type="dxa"/>
              <w:left w:w="100" w:type="dxa"/>
              <w:bottom w:w="70" w:type="dxa"/>
              <w:right w:w="100" w:type="dxa"/>
            </w:tcMar>
          </w:tcPr>
          <w:p w14:paraId="31A075D5" w14:textId="77777777" w:rsidR="00D16027" w:rsidRDefault="00000000">
            <w:r>
              <w:rPr>
                <w:sz w:val="19"/>
                <w:szCs w:val="19"/>
              </w:rPr>
              <w:t>Finnie-Ansley et al. (2022)</w:t>
            </w:r>
          </w:p>
        </w:tc>
        <w:tc>
          <w:tcPr>
            <w:tcW w:w="2900" w:type="dxa"/>
            <w:tcMar>
              <w:top w:w="70" w:type="dxa"/>
              <w:left w:w="100" w:type="dxa"/>
              <w:bottom w:w="70" w:type="dxa"/>
              <w:right w:w="100" w:type="dxa"/>
            </w:tcMar>
          </w:tcPr>
          <w:p w14:paraId="73D529D1" w14:textId="77777777" w:rsidR="00D16027" w:rsidRDefault="00000000">
            <w:r>
              <w:rPr>
                <w:sz w:val="19"/>
                <w:szCs w:val="19"/>
              </w:rPr>
              <w:t>CS1 exam questions</w:t>
            </w:r>
          </w:p>
        </w:tc>
        <w:tc>
          <w:tcPr>
            <w:tcW w:w="3436" w:type="dxa"/>
            <w:tcMar>
              <w:top w:w="70" w:type="dxa"/>
              <w:left w:w="100" w:type="dxa"/>
              <w:bottom w:w="70" w:type="dxa"/>
              <w:right w:w="100" w:type="dxa"/>
            </w:tcMar>
          </w:tcPr>
          <w:p w14:paraId="53B23507" w14:textId="77777777" w:rsidR="00D16027" w:rsidRDefault="00000000">
            <w:r>
              <w:rPr>
                <w:sz w:val="19"/>
                <w:szCs w:val="19"/>
              </w:rPr>
              <w:t>Codex scored in the top quartile of 71 students; CS2 follow-up (2023) showed the same pattern</w:t>
            </w:r>
          </w:p>
        </w:tc>
      </w:tr>
      <w:tr w:rsidR="00D16027" w14:paraId="6DE41987" w14:textId="77777777">
        <w:tblPrEx>
          <w:tblCellMar>
            <w:top w:w="0" w:type="dxa"/>
            <w:bottom w:w="0" w:type="dxa"/>
          </w:tblCellMar>
        </w:tblPrEx>
        <w:trPr>
          <w:cantSplit/>
        </w:trPr>
        <w:tc>
          <w:tcPr>
            <w:tcW w:w="1300" w:type="dxa"/>
            <w:tcMar>
              <w:top w:w="70" w:type="dxa"/>
              <w:left w:w="100" w:type="dxa"/>
              <w:bottom w:w="70" w:type="dxa"/>
              <w:right w:w="100" w:type="dxa"/>
            </w:tcMar>
          </w:tcPr>
          <w:p w14:paraId="56637DB7" w14:textId="77777777" w:rsidR="00D16027" w:rsidRDefault="00000000">
            <w:r>
              <w:rPr>
                <w:sz w:val="19"/>
                <w:szCs w:val="19"/>
              </w:rPr>
              <w:t>Engineering</w:t>
            </w:r>
          </w:p>
        </w:tc>
        <w:tc>
          <w:tcPr>
            <w:tcW w:w="1750" w:type="dxa"/>
            <w:tcMar>
              <w:top w:w="70" w:type="dxa"/>
              <w:left w:w="100" w:type="dxa"/>
              <w:bottom w:w="70" w:type="dxa"/>
              <w:right w:w="100" w:type="dxa"/>
            </w:tcMar>
          </w:tcPr>
          <w:p w14:paraId="41DABB9C" w14:textId="77777777" w:rsidR="00D16027" w:rsidRDefault="00000000">
            <w:r>
              <w:rPr>
                <w:sz w:val="19"/>
                <w:szCs w:val="19"/>
              </w:rPr>
              <w:t>Nikolic et al. (2023)</w:t>
            </w:r>
          </w:p>
        </w:tc>
        <w:tc>
          <w:tcPr>
            <w:tcW w:w="2900" w:type="dxa"/>
            <w:tcMar>
              <w:top w:w="70" w:type="dxa"/>
              <w:left w:w="100" w:type="dxa"/>
              <w:bottom w:w="70" w:type="dxa"/>
              <w:right w:w="100" w:type="dxa"/>
            </w:tcMar>
          </w:tcPr>
          <w:p w14:paraId="7F5C193F" w14:textId="77777777" w:rsidR="00D16027" w:rsidRDefault="00000000">
            <w:r>
              <w:rPr>
                <w:sz w:val="19"/>
                <w:szCs w:val="19"/>
              </w:rPr>
              <w:t>Ten subjects across seven Australian institutions</w:t>
            </w:r>
          </w:p>
        </w:tc>
        <w:tc>
          <w:tcPr>
            <w:tcW w:w="3436" w:type="dxa"/>
            <w:tcMar>
              <w:top w:w="70" w:type="dxa"/>
              <w:left w:w="100" w:type="dxa"/>
              <w:bottom w:w="70" w:type="dxa"/>
              <w:right w:w="100" w:type="dxa"/>
            </w:tcMar>
          </w:tcPr>
          <w:p w14:paraId="0B419454" w14:textId="77777777" w:rsidR="00D16027" w:rsidRDefault="00000000">
            <w:r>
              <w:rPr>
                <w:sz w:val="19"/>
                <w:szCs w:val="19"/>
              </w:rPr>
              <w:t>Passed or nearly passed most written and numerical tasks; weakest where images, lab data or local context were required</w:t>
            </w:r>
          </w:p>
        </w:tc>
      </w:tr>
      <w:tr w:rsidR="00D16027" w14:paraId="21EBB0BF" w14:textId="77777777">
        <w:tblPrEx>
          <w:tblCellMar>
            <w:top w:w="0" w:type="dxa"/>
            <w:bottom w:w="0" w:type="dxa"/>
          </w:tblCellMar>
        </w:tblPrEx>
        <w:trPr>
          <w:cantSplit/>
        </w:trPr>
        <w:tc>
          <w:tcPr>
            <w:tcW w:w="1300" w:type="dxa"/>
            <w:tcMar>
              <w:top w:w="70" w:type="dxa"/>
              <w:left w:w="100" w:type="dxa"/>
              <w:bottom w:w="70" w:type="dxa"/>
              <w:right w:w="100" w:type="dxa"/>
            </w:tcMar>
          </w:tcPr>
          <w:p w14:paraId="62B44707" w14:textId="77777777" w:rsidR="00D16027" w:rsidRDefault="00000000">
            <w:r>
              <w:rPr>
                <w:sz w:val="19"/>
                <w:szCs w:val="19"/>
              </w:rPr>
              <w:t>Mathematics</w:t>
            </w:r>
          </w:p>
        </w:tc>
        <w:tc>
          <w:tcPr>
            <w:tcW w:w="1750" w:type="dxa"/>
            <w:tcMar>
              <w:top w:w="70" w:type="dxa"/>
              <w:left w:w="100" w:type="dxa"/>
              <w:bottom w:w="70" w:type="dxa"/>
              <w:right w:w="100" w:type="dxa"/>
            </w:tcMar>
          </w:tcPr>
          <w:p w14:paraId="3915C277" w14:textId="77777777" w:rsidR="00D16027" w:rsidRDefault="00000000">
            <w:r>
              <w:rPr>
                <w:sz w:val="19"/>
                <w:szCs w:val="19"/>
              </w:rPr>
              <w:t>Frieder et al. (2023)</w:t>
            </w:r>
          </w:p>
        </w:tc>
        <w:tc>
          <w:tcPr>
            <w:tcW w:w="2900" w:type="dxa"/>
            <w:tcMar>
              <w:top w:w="70" w:type="dxa"/>
              <w:left w:w="100" w:type="dxa"/>
              <w:bottom w:w="70" w:type="dxa"/>
              <w:right w:w="100" w:type="dxa"/>
            </w:tcMar>
          </w:tcPr>
          <w:p w14:paraId="12D230CA" w14:textId="77777777" w:rsidR="00D16027" w:rsidRDefault="00000000">
            <w:r>
              <w:rPr>
                <w:sz w:val="19"/>
                <w:szCs w:val="19"/>
              </w:rPr>
              <w:t>Graduate-level problems and proofs</w:t>
            </w:r>
          </w:p>
        </w:tc>
        <w:tc>
          <w:tcPr>
            <w:tcW w:w="3436" w:type="dxa"/>
            <w:tcMar>
              <w:top w:w="70" w:type="dxa"/>
              <w:left w:w="100" w:type="dxa"/>
              <w:bottom w:w="70" w:type="dxa"/>
              <w:right w:w="100" w:type="dxa"/>
            </w:tcMar>
          </w:tcPr>
          <w:p w14:paraId="24A67BE4" w14:textId="77777777" w:rsidR="00D16027" w:rsidRDefault="00000000">
            <w:r>
              <w:rPr>
                <w:sz w:val="19"/>
                <w:szCs w:val="19"/>
              </w:rPr>
              <w:t>Well below passing on proof-based work; fluency masks reasoning gaps</w:t>
            </w:r>
          </w:p>
        </w:tc>
      </w:tr>
    </w:tbl>
    <w:p w14:paraId="69E85DD6" w14:textId="77777777" w:rsidR="00D16027" w:rsidRDefault="00D16027">
      <w:pPr>
        <w:spacing w:after="120"/>
      </w:pPr>
    </w:p>
    <w:p w14:paraId="1264BB67" w14:textId="77777777" w:rsidR="00D16027" w:rsidRDefault="00000000">
      <w:pPr>
        <w:spacing w:after="140"/>
      </w:pPr>
      <w:r>
        <w:t>Beyond examinations, current models handle fluent prose in any register, summary of long documents, structuring an argument from rough notes, code generation and explanation, translation, and the production of rubrics, model answers and tutor-style feedback (Dai et al. 2023). Sharples (2022) drew the implication early: if a machine can write a passable essay, the essay can no longer be assumed to evidence thought.</w:t>
      </w:r>
    </w:p>
    <w:p w14:paraId="3D761E08" w14:textId="77777777" w:rsidR="00D16027" w:rsidRDefault="00000000">
      <w:pPr>
        <w:pStyle w:val="Heading2"/>
        <w:keepNext/>
      </w:pPr>
      <w:r>
        <w:t>2.3 Where it fails, and why the failures are fragile</w:t>
      </w:r>
    </w:p>
    <w:p w14:paraId="776AFAE9" w14:textId="77777777" w:rsidR="00D16027" w:rsidRDefault="00000000">
      <w:pPr>
        <w:spacing w:after="140"/>
      </w:pPr>
      <w:r>
        <w:t>The literature on AI limitations is large, but educators need to distinguish limitations that are durable in principle from those that are simply current.</w:t>
      </w:r>
    </w:p>
    <w:p w14:paraId="5E28ACF6" w14:textId="77777777" w:rsidR="00D16027" w:rsidRDefault="00000000">
      <w:pPr>
        <w:spacing w:after="140"/>
      </w:pPr>
      <w:r>
        <w:rPr>
          <w:b/>
          <w:bCs/>
        </w:rPr>
        <w:t>Hallucination.</w:t>
      </w:r>
      <w:r>
        <w:t xml:space="preserve"> Models produce fluent falsehoods, including fabricated references. Walters and Wilder (2023) found that a substantial proportion of citations generated by ChatGPT-3.5 for short literature reviews were fabricated and many real ones contained errors; Ji et al. (2023) survey the phenomenon across natural language generation. But retrieval-augmented tools now check sources against live databases, and fabrication rates have fallen sharply. Hallucination is a reason for students to verify, not a reliable barrier.</w:t>
      </w:r>
    </w:p>
    <w:p w14:paraId="59803DFF" w14:textId="77777777" w:rsidR="00D16027" w:rsidRDefault="00000000">
      <w:pPr>
        <w:spacing w:after="140"/>
      </w:pPr>
      <w:r>
        <w:rPr>
          <w:b/>
          <w:bCs/>
        </w:rPr>
        <w:t>Arithmetic and multi-step reasoning.</w:t>
      </w:r>
      <w:r>
        <w:t xml:space="preserve"> </w:t>
      </w:r>
      <w:proofErr w:type="spellStart"/>
      <w:r>
        <w:t>Terwiesch</w:t>
      </w:r>
      <w:proofErr w:type="spellEnd"/>
      <w:r>
        <w:t xml:space="preserve"> (2023) and Frieder et al. (2023) documented errors that a competent undergraduate would not make, and Choi et al. (2023) found the model failed badly on mathematically framed multiple-choice items. Models now routinely call calculators and code interpreters, and the reasoning-focused models released from late 2024 onwards have, on vendors' published benchmarks and in classroom testing, narrowed the gap considerably. Do not design a numerical task on the assumption that AI will get the sums wrong.</w:t>
      </w:r>
    </w:p>
    <w:p w14:paraId="27D7374E" w14:textId="77777777" w:rsidR="00D16027" w:rsidRDefault="00000000">
      <w:pPr>
        <w:spacing w:after="140"/>
      </w:pPr>
      <w:r>
        <w:rPr>
          <w:b/>
          <w:bCs/>
        </w:rPr>
        <w:t>Local context.</w:t>
      </w:r>
      <w:r>
        <w:t xml:space="preserve"> AI does not know what happened in your seminar, what the client said in Tuesday's meeting, what the sample in the fridge looked like, or which argument a particular student made in week three. This limitation is durable in principle, but only where the context is genuinely unavailable in text. If the seminar is recorded and transcribed, the limitation vanishes.</w:t>
      </w:r>
    </w:p>
    <w:p w14:paraId="067172BF" w14:textId="77777777" w:rsidR="00D16027" w:rsidRDefault="00000000">
      <w:pPr>
        <w:spacing w:after="140"/>
      </w:pPr>
      <w:r>
        <w:rPr>
          <w:b/>
          <w:bCs/>
        </w:rPr>
        <w:t>Embodiment and accountability.</w:t>
      </w:r>
      <w:r>
        <w:t xml:space="preserve"> AI cannot perform the clinical examination, run the experiment, facilitate the meeting, stand in front of a class, or be held responsible for a decision. These are the most durable limits, and Chapter 7 builds a design strategy on them.</w:t>
      </w:r>
    </w:p>
    <w:p w14:paraId="494BC0D5" w14:textId="77777777" w:rsidR="00D16027" w:rsidRDefault="00000000">
      <w:pPr>
        <w:spacing w:after="140"/>
      </w:pPr>
      <w:r>
        <w:rPr>
          <w:b/>
          <w:bCs/>
        </w:rPr>
        <w:lastRenderedPageBreak/>
        <w:t>Voice, homogenisation and sycophancy.</w:t>
      </w:r>
      <w:r>
        <w:t xml:space="preserve"> AI-assisted writing converges structurally: a preprint analysing 6,875 essays found that AI-augmented writing gained in quality while the variance of its cohesion structure fell by 70–78%, although specific prompting reversed the effect on argument depth (</w:t>
      </w:r>
      <w:proofErr w:type="spellStart"/>
      <w:r>
        <w:t>Inoshita</w:t>
      </w:r>
      <w:proofErr w:type="spellEnd"/>
      <w:r>
        <w:t xml:space="preserve"> et al. 2026). Models also tend to agree with the user's framing rather than challenge it, and to give different answers to the same prompt on different occasions. These traits are useful for assessors to know about but are not stable enough to design around.</w:t>
      </w:r>
    </w:p>
    <w:p w14:paraId="7A319519" w14:textId="77777777" w:rsidR="00D16027" w:rsidRDefault="00000000">
      <w:pPr>
        <w:pBdr>
          <w:left w:val="single" w:sz="14" w:space="10" w:color="2E75B6"/>
        </w:pBdr>
        <w:shd w:val="clear" w:color="auto" w:fill="EAF3FB"/>
        <w:spacing w:before="80" w:after="160"/>
      </w:pPr>
      <w:r>
        <w:rPr>
          <w:b/>
          <w:bCs/>
          <w:color w:val="333333"/>
        </w:rPr>
        <w:t>The lesson (Lodge et al. 2023):</w:t>
      </w:r>
      <w:r>
        <w:rPr>
          <w:color w:val="333333"/>
        </w:rPr>
        <w:t xml:space="preserve"> design against what AI cannot do in principle, not against what it happens to do badly this year. Nikolic et al. (2023) found that their own vulnerability map needed substantial revision within twelve months.</w:t>
      </w:r>
    </w:p>
    <w:p w14:paraId="5B31EB99" w14:textId="77777777" w:rsidR="00D16027" w:rsidRDefault="00000000">
      <w:pPr>
        <w:pStyle w:val="Heading2"/>
        <w:keepNext/>
      </w:pPr>
      <w:r>
        <w:t>2.4 The moving target</w:t>
      </w:r>
    </w:p>
    <w:p w14:paraId="25282ED1" w14:textId="77777777" w:rsidR="00D16027" w:rsidRDefault="00000000">
      <w:pPr>
        <w:spacing w:after="140"/>
      </w:pPr>
      <w:r>
        <w:t>The pace of change is the single most important fact about generative AI for assessment designers. Between the first and second halves of 2023 the same research team saw a model move from failing a professional licensing exam to passing it comfortably (Katz et al. 2024). Between 2023 and 2026 the systems students use acquired vision, web access, code execution and the ability to act autonomously across multiple steps. Any feature-based defence ("AI can't handle images", "AI doesn't know about the 2025 regulations", "AI can't access our library databases") has a shelf life measured in months. Principles-based design, the subject of Chapter 19, does not. Yan et al. (2024) note that the field's systematic reviews are themselves out of date almost as soon as they are published, which is a caution for readers of this book as well as for its author.</w:t>
      </w:r>
    </w:p>
    <w:p w14:paraId="1198C06D" w14:textId="77777777" w:rsidR="00D16027" w:rsidRDefault="00000000">
      <w:pPr>
        <w:pStyle w:val="Heading2"/>
        <w:keepNext/>
      </w:pPr>
      <w:r>
        <w:t>2.5 Why you should not rely on recognising AI output</w:t>
      </w:r>
    </w:p>
    <w:p w14:paraId="2C1AC76D" w14:textId="77777777" w:rsidR="00D16027" w:rsidRDefault="00000000">
      <w:pPr>
        <w:spacing w:after="140"/>
      </w:pPr>
      <w:r>
        <w:t>Many experienced markers believe they can spot AI-generated work by its blandness, its symmetrical structure or its fondness for certain phrases. The evidence is not encouraging. Automated detectors performed poorly in the most rigorous independent test (Weber-Wulff et al. 2023), and human judges do little better. More seriously, both detectors and human intuition flag the writing of non-native English speakers and of some neurodivergent students at much higher rates (Liang et al. 2023). Chapter 15 sets out the evidence in full. The practical point here is simple: do not build assessment design on the expectation of detection, and do not let a marker's hunch become an integrity case.</w:t>
      </w:r>
    </w:p>
    <w:p w14:paraId="1A61726C" w14:textId="77777777" w:rsidR="00D16027" w:rsidRDefault="00000000">
      <w:pPr>
        <w:pStyle w:val="Heading2"/>
        <w:keepNext/>
      </w:pPr>
      <w:r>
        <w:t>2.6 Test your own assessment: a protocol</w:t>
      </w:r>
    </w:p>
    <w:p w14:paraId="276F5A33" w14:textId="77777777" w:rsidR="00D16027" w:rsidRDefault="00000000">
      <w:pPr>
        <w:spacing w:after="140"/>
      </w:pPr>
      <w:r>
        <w:t>The most effective way to understand what AI means for your assessment is to run it. Nikolic et al. (2023) did this systematically across seven institutions; individual academics can do it in an afternoon. The protocol below is deliberately repeatable, because the results will change.</w:t>
      </w:r>
    </w:p>
    <w:p w14:paraId="75E41C82" w14:textId="77777777" w:rsidR="00D16027" w:rsidRDefault="00000000">
      <w:pPr>
        <w:pStyle w:val="ListParagraph"/>
        <w:numPr>
          <w:ilvl w:val="0"/>
          <w:numId w:val="4"/>
        </w:numPr>
        <w:spacing w:before="40" w:after="70"/>
      </w:pPr>
      <w:r>
        <w:rPr>
          <w:b/>
          <w:bCs/>
        </w:rPr>
        <w:t>Choose your highest-stakes unsupervised task.</w:t>
      </w:r>
      <w:r>
        <w:t xml:space="preserve"> Copy the brief exactly as students see it, including the rubric, word limit and any attached materials.</w:t>
      </w:r>
    </w:p>
    <w:p w14:paraId="4B269A17" w14:textId="77777777" w:rsidR="00D16027" w:rsidRDefault="00000000">
      <w:pPr>
        <w:pStyle w:val="ListParagraph"/>
        <w:numPr>
          <w:ilvl w:val="0"/>
          <w:numId w:val="4"/>
        </w:numPr>
        <w:spacing w:before="40" w:after="70"/>
      </w:pPr>
      <w:r>
        <w:rPr>
          <w:b/>
          <w:bCs/>
        </w:rPr>
        <w:t>Run it through at least two current models,</w:t>
      </w:r>
      <w:r>
        <w:t xml:space="preserve"> one free tier and one premium, because that is what your students have. Do it twice: once with the bare brief, and once with a two-line prompt asking for a high-scoring answer in the required format. If the task involves data, code or images, upload them.</w:t>
      </w:r>
    </w:p>
    <w:p w14:paraId="22F24FBB" w14:textId="77777777" w:rsidR="00D16027" w:rsidRDefault="00000000">
      <w:pPr>
        <w:pStyle w:val="ListParagraph"/>
        <w:numPr>
          <w:ilvl w:val="0"/>
          <w:numId w:val="4"/>
        </w:numPr>
        <w:spacing w:before="40" w:after="70"/>
      </w:pPr>
      <w:r>
        <w:rPr>
          <w:b/>
          <w:bCs/>
        </w:rPr>
        <w:t>Mark the outputs blind</w:t>
      </w:r>
      <w:r>
        <w:t xml:space="preserve"> alongside three or four real scripts from a previous cohort, using your normal rubric. Ask a colleague to do the same.</w:t>
      </w:r>
    </w:p>
    <w:p w14:paraId="44E97793" w14:textId="77777777" w:rsidR="00D16027" w:rsidRDefault="00000000">
      <w:pPr>
        <w:pStyle w:val="ListParagraph"/>
        <w:numPr>
          <w:ilvl w:val="0"/>
          <w:numId w:val="4"/>
        </w:numPr>
        <w:spacing w:before="40" w:after="70"/>
      </w:pPr>
      <w:r>
        <w:rPr>
          <w:b/>
          <w:bCs/>
        </w:rPr>
        <w:t>Record the grade and annotate the failure points:</w:t>
      </w:r>
      <w:r>
        <w:t xml:space="preserve"> factual errors, invented sources, missing local content, generic argument, no engagement with seminar material, misuse of disciplinary conventions.</w:t>
      </w:r>
    </w:p>
    <w:p w14:paraId="4B9D168C" w14:textId="77777777" w:rsidR="00D16027" w:rsidRDefault="00000000">
      <w:pPr>
        <w:pStyle w:val="ListParagraph"/>
        <w:numPr>
          <w:ilvl w:val="0"/>
          <w:numId w:val="4"/>
        </w:numPr>
        <w:spacing w:before="40" w:after="70"/>
      </w:pPr>
      <w:r>
        <w:rPr>
          <w:b/>
          <w:bCs/>
        </w:rPr>
        <w:t>Ask the construct question:</w:t>
      </w:r>
      <w:r>
        <w:t xml:space="preserve"> what did the best real submissions contain that the AI output did not? That answer is the capability your assessment should be evidencing. If the answer is "nothing", the task needs redesign (Chapter 5).</w:t>
      </w:r>
    </w:p>
    <w:p w14:paraId="6476D206" w14:textId="77777777" w:rsidR="00D16027" w:rsidRDefault="00000000">
      <w:pPr>
        <w:pStyle w:val="ListParagraph"/>
        <w:numPr>
          <w:ilvl w:val="0"/>
          <w:numId w:val="4"/>
        </w:numPr>
        <w:spacing w:before="40" w:after="70"/>
      </w:pPr>
      <w:r>
        <w:rPr>
          <w:b/>
          <w:bCs/>
        </w:rPr>
        <w:t>Repeat every year,</w:t>
      </w:r>
      <w:r>
        <w:t xml:space="preserve"> and log the results. A departmental record of AI performance on live tasks is more useful than any published benchmark.</w:t>
      </w:r>
    </w:p>
    <w:p w14:paraId="3D640FDD"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lastRenderedPageBreak/>
        <w:t>In practice (illustrative)  |  What the protocol reveals in five disciplines</w:t>
      </w:r>
    </w:p>
    <w:p w14:paraId="42C16967" w14:textId="77777777" w:rsidR="00D16027" w:rsidRDefault="00000000">
      <w:pPr>
        <w:pBdr>
          <w:left w:val="single" w:sz="14" w:space="10" w:color="4E8A5E"/>
        </w:pBdr>
        <w:shd w:val="clear" w:color="auto" w:fill="EEF6EF"/>
        <w:spacing w:after="60"/>
      </w:pPr>
      <w:r>
        <w:rPr>
          <w:b/>
          <w:bCs/>
          <w:color w:val="333333"/>
          <w:sz w:val="20"/>
          <w:szCs w:val="20"/>
        </w:rPr>
        <w:t>Law.</w:t>
      </w:r>
      <w:r>
        <w:rPr>
          <w:color w:val="333333"/>
          <w:sz w:val="20"/>
          <w:szCs w:val="20"/>
        </w:rPr>
        <w:t xml:space="preserve"> A problem question on contractual misrepresentation: AI issue-spots well on familiar fact patterns and cites the leading cases accurately; it is weak on genuinely novel facts and on the interaction with a recent local statute (compare Choi et al. 2023). The assessable capability is application to the unfamiliar.</w:t>
      </w:r>
    </w:p>
    <w:p w14:paraId="10F55F46" w14:textId="77777777" w:rsidR="00D16027" w:rsidRDefault="00000000">
      <w:pPr>
        <w:pBdr>
          <w:left w:val="single" w:sz="14" w:space="10" w:color="4E8A5E"/>
        </w:pBdr>
        <w:shd w:val="clear" w:color="auto" w:fill="EEF6EF"/>
        <w:spacing w:after="60"/>
      </w:pPr>
      <w:r>
        <w:rPr>
          <w:b/>
          <w:bCs/>
          <w:color w:val="333333"/>
          <w:sz w:val="20"/>
          <w:szCs w:val="20"/>
        </w:rPr>
        <w:t>Chemistry.</w:t>
      </w:r>
      <w:r>
        <w:rPr>
          <w:color w:val="333333"/>
          <w:sz w:val="20"/>
          <w:szCs w:val="20"/>
        </w:rPr>
        <w:t xml:space="preserve"> A laboratory report on a titration: AI writes a plausible introduction and discussion, and if given the data it analyses it competently. What it cannot do is generate the data. The assessable capability is the experiment, its provenance and the interpretation of what actually went wrong on the bench.</w:t>
      </w:r>
    </w:p>
    <w:p w14:paraId="3054C584" w14:textId="77777777" w:rsidR="00D16027" w:rsidRDefault="00000000">
      <w:pPr>
        <w:pBdr>
          <w:left w:val="single" w:sz="14" w:space="10" w:color="4E8A5E"/>
        </w:pBdr>
        <w:shd w:val="clear" w:color="auto" w:fill="EEF6EF"/>
        <w:spacing w:after="60"/>
      </w:pPr>
      <w:r>
        <w:rPr>
          <w:b/>
          <w:bCs/>
          <w:color w:val="333333"/>
          <w:sz w:val="20"/>
          <w:szCs w:val="20"/>
        </w:rPr>
        <w:t>Marketing.</w:t>
      </w:r>
      <w:r>
        <w:rPr>
          <w:color w:val="333333"/>
          <w:sz w:val="20"/>
          <w:szCs w:val="20"/>
        </w:rPr>
        <w:t xml:space="preserve"> A marketing plan for a named local business: AI produces a competent generic plan. It fails on the client's actual constraints, the conversation the student had with the owner, and the local competitive picture. The assessable capability is the engagement with the real client.</w:t>
      </w:r>
    </w:p>
    <w:p w14:paraId="3F2A1E90" w14:textId="77777777" w:rsidR="00D16027" w:rsidRDefault="00000000">
      <w:pPr>
        <w:pBdr>
          <w:left w:val="single" w:sz="14" w:space="10" w:color="4E8A5E"/>
        </w:pBdr>
        <w:shd w:val="clear" w:color="auto" w:fill="EEF6EF"/>
        <w:spacing w:after="60"/>
      </w:pPr>
      <w:r>
        <w:rPr>
          <w:b/>
          <w:bCs/>
          <w:color w:val="333333"/>
          <w:sz w:val="20"/>
          <w:szCs w:val="20"/>
        </w:rPr>
        <w:t>Philosophy.</w:t>
      </w:r>
      <w:r>
        <w:rPr>
          <w:color w:val="333333"/>
          <w:sz w:val="20"/>
          <w:szCs w:val="20"/>
        </w:rPr>
        <w:t xml:space="preserve"> An essay on personal identity: AI reproduces the standard positions and objections fluently. It struggles to develop an original objection and cannot respond to the specific argument advanced in week six's seminar. The assessable capability is dialectical engagement with a live discussion.</w:t>
      </w:r>
    </w:p>
    <w:p w14:paraId="4DE34A56" w14:textId="77777777" w:rsidR="00D16027" w:rsidRDefault="00000000">
      <w:pPr>
        <w:pBdr>
          <w:left w:val="single" w:sz="14" w:space="10" w:color="4E8A5E"/>
        </w:pBdr>
        <w:shd w:val="clear" w:color="auto" w:fill="EEF6EF"/>
        <w:spacing w:after="200"/>
      </w:pPr>
      <w:r>
        <w:rPr>
          <w:b/>
          <w:bCs/>
          <w:color w:val="333333"/>
          <w:sz w:val="20"/>
          <w:szCs w:val="20"/>
        </w:rPr>
        <w:t>Education.</w:t>
      </w:r>
      <w:r>
        <w:rPr>
          <w:color w:val="333333"/>
          <w:sz w:val="20"/>
          <w:szCs w:val="20"/>
        </w:rPr>
        <w:t xml:space="preserve"> A lesson plan for a Year 8 science class: AI produces a competent, well-sequenced plan. It cannot evaluate that plan against the class the trainee actually taught on Thursday, nor explain why the second activity was abandoned. The assessable capability is the enacted judgement, not the document.</w:t>
      </w:r>
    </w:p>
    <w:p w14:paraId="23A79EC9" w14:textId="77777777" w:rsidR="00D16027" w:rsidRDefault="00000000">
      <w:pPr>
        <w:pStyle w:val="Heading2"/>
        <w:keepNext/>
      </w:pPr>
      <w:r>
        <w:t>2.7 A short vocabulary</w:t>
      </w:r>
    </w:p>
    <w:p w14:paraId="70833AD1" w14:textId="77777777" w:rsidR="00D16027" w:rsidRDefault="00000000">
      <w:pPr>
        <w:keepNext/>
        <w:spacing w:before="160" w:after="80"/>
      </w:pPr>
      <w:r>
        <w:rPr>
          <w:b/>
          <w:bCs/>
          <w:color w:val="1A4F7A"/>
          <w:sz w:val="20"/>
          <w:szCs w:val="20"/>
        </w:rPr>
        <w:t>Table 2.2  Terms educators need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086"/>
      </w:tblGrid>
      <w:tr w:rsidR="00D16027" w14:paraId="3A53E595"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75744DCC" w14:textId="77777777" w:rsidR="00D16027" w:rsidRDefault="00000000">
            <w:r>
              <w:rPr>
                <w:b/>
                <w:bCs/>
                <w:color w:val="FFFFFF"/>
                <w:sz w:val="19"/>
                <w:szCs w:val="19"/>
              </w:rPr>
              <w:t>Term</w:t>
            </w:r>
          </w:p>
        </w:tc>
        <w:tc>
          <w:tcPr>
            <w:tcW w:w="3300" w:type="dxa"/>
            <w:shd w:val="clear" w:color="auto" w:fill="2E75B6"/>
            <w:tcMar>
              <w:top w:w="70" w:type="dxa"/>
              <w:left w:w="100" w:type="dxa"/>
              <w:bottom w:w="70" w:type="dxa"/>
              <w:right w:w="100" w:type="dxa"/>
            </w:tcMar>
          </w:tcPr>
          <w:p w14:paraId="09D97E47" w14:textId="77777777" w:rsidR="00D16027" w:rsidRDefault="00000000">
            <w:r>
              <w:rPr>
                <w:b/>
                <w:bCs/>
                <w:color w:val="FFFFFF"/>
                <w:sz w:val="19"/>
                <w:szCs w:val="19"/>
              </w:rPr>
              <w:t>Plain meaning</w:t>
            </w:r>
          </w:p>
        </w:tc>
        <w:tc>
          <w:tcPr>
            <w:tcW w:w="4086" w:type="dxa"/>
            <w:shd w:val="clear" w:color="auto" w:fill="2E75B6"/>
            <w:tcMar>
              <w:top w:w="70" w:type="dxa"/>
              <w:left w:w="100" w:type="dxa"/>
              <w:bottom w:w="70" w:type="dxa"/>
              <w:right w:w="100" w:type="dxa"/>
            </w:tcMar>
          </w:tcPr>
          <w:p w14:paraId="77CE244F" w14:textId="77777777" w:rsidR="00D16027" w:rsidRDefault="00000000">
            <w:r>
              <w:rPr>
                <w:b/>
                <w:bCs/>
                <w:color w:val="FFFFFF"/>
                <w:sz w:val="19"/>
                <w:szCs w:val="19"/>
              </w:rPr>
              <w:t>Why it matters for assessment</w:t>
            </w:r>
          </w:p>
        </w:tc>
      </w:tr>
      <w:tr w:rsidR="00D16027" w14:paraId="241E4B17" w14:textId="77777777">
        <w:tblPrEx>
          <w:tblCellMar>
            <w:top w:w="0" w:type="dxa"/>
            <w:bottom w:w="0" w:type="dxa"/>
          </w:tblCellMar>
        </w:tblPrEx>
        <w:trPr>
          <w:cantSplit/>
        </w:trPr>
        <w:tc>
          <w:tcPr>
            <w:tcW w:w="2000" w:type="dxa"/>
            <w:tcMar>
              <w:top w:w="70" w:type="dxa"/>
              <w:left w:w="100" w:type="dxa"/>
              <w:bottom w:w="70" w:type="dxa"/>
              <w:right w:w="100" w:type="dxa"/>
            </w:tcMar>
          </w:tcPr>
          <w:p w14:paraId="3F9B5AC6" w14:textId="77777777" w:rsidR="00D16027" w:rsidRDefault="00000000">
            <w:r>
              <w:rPr>
                <w:sz w:val="19"/>
                <w:szCs w:val="19"/>
              </w:rPr>
              <w:t>Large language model (LLM)</w:t>
            </w:r>
          </w:p>
        </w:tc>
        <w:tc>
          <w:tcPr>
            <w:tcW w:w="3300" w:type="dxa"/>
            <w:tcMar>
              <w:top w:w="70" w:type="dxa"/>
              <w:left w:w="100" w:type="dxa"/>
              <w:bottom w:w="70" w:type="dxa"/>
              <w:right w:w="100" w:type="dxa"/>
            </w:tcMar>
          </w:tcPr>
          <w:p w14:paraId="45F62902" w14:textId="77777777" w:rsidR="00D16027" w:rsidRDefault="00000000">
            <w:r>
              <w:rPr>
                <w:sz w:val="19"/>
                <w:szCs w:val="19"/>
              </w:rPr>
              <w:t>A model trained to predict the next token in a sequence, producing fluent text</w:t>
            </w:r>
          </w:p>
        </w:tc>
        <w:tc>
          <w:tcPr>
            <w:tcW w:w="4086" w:type="dxa"/>
            <w:tcMar>
              <w:top w:w="70" w:type="dxa"/>
              <w:left w:w="100" w:type="dxa"/>
              <w:bottom w:w="70" w:type="dxa"/>
              <w:right w:w="100" w:type="dxa"/>
            </w:tcMar>
          </w:tcPr>
          <w:p w14:paraId="0F900BB8" w14:textId="77777777" w:rsidR="00D16027" w:rsidRDefault="00000000">
            <w:r>
              <w:rPr>
                <w:sz w:val="19"/>
                <w:szCs w:val="19"/>
              </w:rPr>
              <w:t>The basis of all current text-generating tools; fluency is not evidence of understanding</w:t>
            </w:r>
          </w:p>
        </w:tc>
      </w:tr>
      <w:tr w:rsidR="00D16027" w14:paraId="4C8FAC0E" w14:textId="77777777">
        <w:tblPrEx>
          <w:tblCellMar>
            <w:top w:w="0" w:type="dxa"/>
            <w:bottom w:w="0" w:type="dxa"/>
          </w:tblCellMar>
        </w:tblPrEx>
        <w:trPr>
          <w:cantSplit/>
        </w:trPr>
        <w:tc>
          <w:tcPr>
            <w:tcW w:w="2000" w:type="dxa"/>
            <w:tcMar>
              <w:top w:w="70" w:type="dxa"/>
              <w:left w:w="100" w:type="dxa"/>
              <w:bottom w:w="70" w:type="dxa"/>
              <w:right w:w="100" w:type="dxa"/>
            </w:tcMar>
          </w:tcPr>
          <w:p w14:paraId="39338281" w14:textId="77777777" w:rsidR="00D16027" w:rsidRDefault="00000000">
            <w:r>
              <w:rPr>
                <w:sz w:val="19"/>
                <w:szCs w:val="19"/>
              </w:rPr>
              <w:t>Prompt</w:t>
            </w:r>
          </w:p>
        </w:tc>
        <w:tc>
          <w:tcPr>
            <w:tcW w:w="3300" w:type="dxa"/>
            <w:tcMar>
              <w:top w:w="70" w:type="dxa"/>
              <w:left w:w="100" w:type="dxa"/>
              <w:bottom w:w="70" w:type="dxa"/>
              <w:right w:w="100" w:type="dxa"/>
            </w:tcMar>
          </w:tcPr>
          <w:p w14:paraId="08225DD7" w14:textId="77777777" w:rsidR="00D16027" w:rsidRDefault="00000000">
            <w:r>
              <w:rPr>
                <w:sz w:val="19"/>
                <w:szCs w:val="19"/>
              </w:rPr>
              <w:t>The instruction or context given to the model</w:t>
            </w:r>
          </w:p>
        </w:tc>
        <w:tc>
          <w:tcPr>
            <w:tcW w:w="4086" w:type="dxa"/>
            <w:tcMar>
              <w:top w:w="70" w:type="dxa"/>
              <w:left w:w="100" w:type="dxa"/>
              <w:bottom w:w="70" w:type="dxa"/>
              <w:right w:w="100" w:type="dxa"/>
            </w:tcMar>
          </w:tcPr>
          <w:p w14:paraId="2976C5D1" w14:textId="77777777" w:rsidR="00D16027" w:rsidRDefault="00000000">
            <w:r>
              <w:rPr>
                <w:sz w:val="19"/>
                <w:szCs w:val="19"/>
              </w:rPr>
              <w:t>Prompting is a skill; students who prompt well get better output, which is itself assessable (Chapter 11)</w:t>
            </w:r>
          </w:p>
        </w:tc>
      </w:tr>
      <w:tr w:rsidR="00D16027" w14:paraId="0B04AB6E" w14:textId="77777777">
        <w:tblPrEx>
          <w:tblCellMar>
            <w:top w:w="0" w:type="dxa"/>
            <w:bottom w:w="0" w:type="dxa"/>
          </w:tblCellMar>
        </w:tblPrEx>
        <w:trPr>
          <w:cantSplit/>
        </w:trPr>
        <w:tc>
          <w:tcPr>
            <w:tcW w:w="2000" w:type="dxa"/>
            <w:tcMar>
              <w:top w:w="70" w:type="dxa"/>
              <w:left w:w="100" w:type="dxa"/>
              <w:bottom w:w="70" w:type="dxa"/>
              <w:right w:w="100" w:type="dxa"/>
            </w:tcMar>
          </w:tcPr>
          <w:p w14:paraId="3EC879B7" w14:textId="77777777" w:rsidR="00D16027" w:rsidRDefault="00000000">
            <w:r>
              <w:rPr>
                <w:sz w:val="19"/>
                <w:szCs w:val="19"/>
              </w:rPr>
              <w:t>Hallucination</w:t>
            </w:r>
          </w:p>
        </w:tc>
        <w:tc>
          <w:tcPr>
            <w:tcW w:w="3300" w:type="dxa"/>
            <w:tcMar>
              <w:top w:w="70" w:type="dxa"/>
              <w:left w:w="100" w:type="dxa"/>
              <w:bottom w:w="70" w:type="dxa"/>
              <w:right w:w="100" w:type="dxa"/>
            </w:tcMar>
          </w:tcPr>
          <w:p w14:paraId="2BF23926" w14:textId="77777777" w:rsidR="00D16027" w:rsidRDefault="00000000">
            <w:r>
              <w:rPr>
                <w:sz w:val="19"/>
                <w:szCs w:val="19"/>
              </w:rPr>
              <w:t>A confident, fluent but false output, including invented sources</w:t>
            </w:r>
          </w:p>
        </w:tc>
        <w:tc>
          <w:tcPr>
            <w:tcW w:w="4086" w:type="dxa"/>
            <w:tcMar>
              <w:top w:w="70" w:type="dxa"/>
              <w:left w:w="100" w:type="dxa"/>
              <w:bottom w:w="70" w:type="dxa"/>
              <w:right w:w="100" w:type="dxa"/>
            </w:tcMar>
          </w:tcPr>
          <w:p w14:paraId="06872E37" w14:textId="77777777" w:rsidR="00D16027" w:rsidRDefault="00000000">
            <w:r>
              <w:rPr>
                <w:sz w:val="19"/>
                <w:szCs w:val="19"/>
              </w:rPr>
              <w:t>A reason to require verification and source-checking, not a reliable defence</w:t>
            </w:r>
          </w:p>
        </w:tc>
      </w:tr>
      <w:tr w:rsidR="00D16027" w14:paraId="7EEDAED8" w14:textId="77777777">
        <w:tblPrEx>
          <w:tblCellMar>
            <w:top w:w="0" w:type="dxa"/>
            <w:bottom w:w="0" w:type="dxa"/>
          </w:tblCellMar>
        </w:tblPrEx>
        <w:trPr>
          <w:cantSplit/>
        </w:trPr>
        <w:tc>
          <w:tcPr>
            <w:tcW w:w="2000" w:type="dxa"/>
            <w:tcMar>
              <w:top w:w="70" w:type="dxa"/>
              <w:left w:w="100" w:type="dxa"/>
              <w:bottom w:w="70" w:type="dxa"/>
              <w:right w:w="100" w:type="dxa"/>
            </w:tcMar>
          </w:tcPr>
          <w:p w14:paraId="4D315E52" w14:textId="77777777" w:rsidR="00D16027" w:rsidRDefault="00000000">
            <w:r>
              <w:rPr>
                <w:sz w:val="19"/>
                <w:szCs w:val="19"/>
              </w:rPr>
              <w:t>Retrieval-augmented generation (RAG)</w:t>
            </w:r>
          </w:p>
        </w:tc>
        <w:tc>
          <w:tcPr>
            <w:tcW w:w="3300" w:type="dxa"/>
            <w:tcMar>
              <w:top w:w="70" w:type="dxa"/>
              <w:left w:w="100" w:type="dxa"/>
              <w:bottom w:w="70" w:type="dxa"/>
              <w:right w:w="100" w:type="dxa"/>
            </w:tcMar>
          </w:tcPr>
          <w:p w14:paraId="79FC54F0" w14:textId="77777777" w:rsidR="00D16027" w:rsidRDefault="00000000">
            <w:r>
              <w:rPr>
                <w:sz w:val="19"/>
                <w:szCs w:val="19"/>
              </w:rPr>
              <w:t>The model looks up documents before answering</w:t>
            </w:r>
          </w:p>
        </w:tc>
        <w:tc>
          <w:tcPr>
            <w:tcW w:w="4086" w:type="dxa"/>
            <w:tcMar>
              <w:top w:w="70" w:type="dxa"/>
              <w:left w:w="100" w:type="dxa"/>
              <w:bottom w:w="70" w:type="dxa"/>
              <w:right w:w="100" w:type="dxa"/>
            </w:tcMar>
          </w:tcPr>
          <w:p w14:paraId="605383A1" w14:textId="77777777" w:rsidR="00D16027" w:rsidRDefault="00000000">
            <w:r>
              <w:rPr>
                <w:sz w:val="19"/>
                <w:szCs w:val="19"/>
              </w:rPr>
              <w:t>Removes the "AI doesn't know our materials" defence when materials are digital</w:t>
            </w:r>
          </w:p>
        </w:tc>
      </w:tr>
      <w:tr w:rsidR="00D16027" w14:paraId="3DCF1788" w14:textId="77777777">
        <w:tblPrEx>
          <w:tblCellMar>
            <w:top w:w="0" w:type="dxa"/>
            <w:bottom w:w="0" w:type="dxa"/>
          </w:tblCellMar>
        </w:tblPrEx>
        <w:trPr>
          <w:cantSplit/>
        </w:trPr>
        <w:tc>
          <w:tcPr>
            <w:tcW w:w="2000" w:type="dxa"/>
            <w:tcMar>
              <w:top w:w="70" w:type="dxa"/>
              <w:left w:w="100" w:type="dxa"/>
              <w:bottom w:w="70" w:type="dxa"/>
              <w:right w:w="100" w:type="dxa"/>
            </w:tcMar>
          </w:tcPr>
          <w:p w14:paraId="7F59A23B" w14:textId="77777777" w:rsidR="00D16027" w:rsidRDefault="00000000">
            <w:r>
              <w:rPr>
                <w:sz w:val="19"/>
                <w:szCs w:val="19"/>
              </w:rPr>
              <w:t>Multimodal model</w:t>
            </w:r>
          </w:p>
        </w:tc>
        <w:tc>
          <w:tcPr>
            <w:tcW w:w="3300" w:type="dxa"/>
            <w:tcMar>
              <w:top w:w="70" w:type="dxa"/>
              <w:left w:w="100" w:type="dxa"/>
              <w:bottom w:w="70" w:type="dxa"/>
              <w:right w:w="100" w:type="dxa"/>
            </w:tcMar>
          </w:tcPr>
          <w:p w14:paraId="2CB1A4C0" w14:textId="77777777" w:rsidR="00D16027" w:rsidRDefault="00000000">
            <w:r>
              <w:rPr>
                <w:sz w:val="19"/>
                <w:szCs w:val="19"/>
              </w:rPr>
              <w:t>A model that handles images, audio and video as well as text</w:t>
            </w:r>
          </w:p>
        </w:tc>
        <w:tc>
          <w:tcPr>
            <w:tcW w:w="4086" w:type="dxa"/>
            <w:tcMar>
              <w:top w:w="70" w:type="dxa"/>
              <w:left w:w="100" w:type="dxa"/>
              <w:bottom w:w="70" w:type="dxa"/>
              <w:right w:w="100" w:type="dxa"/>
            </w:tcMar>
          </w:tcPr>
          <w:p w14:paraId="360A2235" w14:textId="77777777" w:rsidR="00D16027" w:rsidRDefault="00000000">
            <w:r>
              <w:rPr>
                <w:sz w:val="19"/>
                <w:szCs w:val="19"/>
              </w:rPr>
              <w:t>Diagrams, photographs of lab set-ups and handwritten work are no longer AI-proof</w:t>
            </w:r>
          </w:p>
        </w:tc>
      </w:tr>
      <w:tr w:rsidR="00D16027" w14:paraId="2DA5F994" w14:textId="77777777">
        <w:tblPrEx>
          <w:tblCellMar>
            <w:top w:w="0" w:type="dxa"/>
            <w:bottom w:w="0" w:type="dxa"/>
          </w:tblCellMar>
        </w:tblPrEx>
        <w:trPr>
          <w:cantSplit/>
        </w:trPr>
        <w:tc>
          <w:tcPr>
            <w:tcW w:w="2000" w:type="dxa"/>
            <w:tcMar>
              <w:top w:w="70" w:type="dxa"/>
              <w:left w:w="100" w:type="dxa"/>
              <w:bottom w:w="70" w:type="dxa"/>
              <w:right w:w="100" w:type="dxa"/>
            </w:tcMar>
          </w:tcPr>
          <w:p w14:paraId="4CC692CC" w14:textId="77777777" w:rsidR="00D16027" w:rsidRDefault="00000000">
            <w:r>
              <w:rPr>
                <w:sz w:val="19"/>
                <w:szCs w:val="19"/>
              </w:rPr>
              <w:t>Agent</w:t>
            </w:r>
          </w:p>
        </w:tc>
        <w:tc>
          <w:tcPr>
            <w:tcW w:w="3300" w:type="dxa"/>
            <w:tcMar>
              <w:top w:w="70" w:type="dxa"/>
              <w:left w:w="100" w:type="dxa"/>
              <w:bottom w:w="70" w:type="dxa"/>
              <w:right w:w="100" w:type="dxa"/>
            </w:tcMar>
          </w:tcPr>
          <w:p w14:paraId="78FA8681" w14:textId="77777777" w:rsidR="00D16027" w:rsidRDefault="00000000">
            <w:r>
              <w:rPr>
                <w:sz w:val="19"/>
                <w:szCs w:val="19"/>
              </w:rPr>
              <w:t>A system that plans and executes multi-step tasks, using tools, without step-by-step human prompting</w:t>
            </w:r>
          </w:p>
        </w:tc>
        <w:tc>
          <w:tcPr>
            <w:tcW w:w="4086" w:type="dxa"/>
            <w:tcMar>
              <w:top w:w="70" w:type="dxa"/>
              <w:left w:w="100" w:type="dxa"/>
              <w:bottom w:w="70" w:type="dxa"/>
              <w:right w:w="100" w:type="dxa"/>
            </w:tcMar>
          </w:tcPr>
          <w:p w14:paraId="3E07005E" w14:textId="77777777" w:rsidR="00D16027" w:rsidRDefault="00000000">
            <w:r>
              <w:rPr>
                <w:sz w:val="19"/>
                <w:szCs w:val="19"/>
              </w:rPr>
              <w:t>Extended projects and multi-part briefs can be completed end-to-end</w:t>
            </w:r>
          </w:p>
        </w:tc>
      </w:tr>
      <w:tr w:rsidR="00D16027" w14:paraId="2EE7B67B" w14:textId="77777777">
        <w:tblPrEx>
          <w:tblCellMar>
            <w:top w:w="0" w:type="dxa"/>
            <w:bottom w:w="0" w:type="dxa"/>
          </w:tblCellMar>
        </w:tblPrEx>
        <w:trPr>
          <w:cantSplit/>
        </w:trPr>
        <w:tc>
          <w:tcPr>
            <w:tcW w:w="2000" w:type="dxa"/>
            <w:tcMar>
              <w:top w:w="70" w:type="dxa"/>
              <w:left w:w="100" w:type="dxa"/>
              <w:bottom w:w="70" w:type="dxa"/>
              <w:right w:w="100" w:type="dxa"/>
            </w:tcMar>
          </w:tcPr>
          <w:p w14:paraId="53647E07" w14:textId="77777777" w:rsidR="00D16027" w:rsidRDefault="00000000">
            <w:r>
              <w:rPr>
                <w:sz w:val="19"/>
                <w:szCs w:val="19"/>
              </w:rPr>
              <w:t>Fine-tuning</w:t>
            </w:r>
          </w:p>
        </w:tc>
        <w:tc>
          <w:tcPr>
            <w:tcW w:w="3300" w:type="dxa"/>
            <w:tcMar>
              <w:top w:w="70" w:type="dxa"/>
              <w:left w:w="100" w:type="dxa"/>
              <w:bottom w:w="70" w:type="dxa"/>
              <w:right w:w="100" w:type="dxa"/>
            </w:tcMar>
          </w:tcPr>
          <w:p w14:paraId="5143B586" w14:textId="77777777" w:rsidR="00D16027" w:rsidRDefault="00000000">
            <w:r>
              <w:rPr>
                <w:sz w:val="19"/>
                <w:szCs w:val="19"/>
              </w:rPr>
              <w:t>Further training of a model on a specific dataset</w:t>
            </w:r>
          </w:p>
        </w:tc>
        <w:tc>
          <w:tcPr>
            <w:tcW w:w="4086" w:type="dxa"/>
            <w:tcMar>
              <w:top w:w="70" w:type="dxa"/>
              <w:left w:w="100" w:type="dxa"/>
              <w:bottom w:w="70" w:type="dxa"/>
              <w:right w:w="100" w:type="dxa"/>
            </w:tcMar>
          </w:tcPr>
          <w:p w14:paraId="2D97AD7F" w14:textId="77777777" w:rsidR="00D16027" w:rsidRDefault="00000000">
            <w:r>
              <w:rPr>
                <w:sz w:val="19"/>
                <w:szCs w:val="19"/>
              </w:rPr>
              <w:t>Institutional or disciplinary models may behave differently from public ones</w:t>
            </w:r>
          </w:p>
        </w:tc>
      </w:tr>
      <w:tr w:rsidR="00D16027" w14:paraId="664C10A8" w14:textId="77777777">
        <w:tblPrEx>
          <w:tblCellMar>
            <w:top w:w="0" w:type="dxa"/>
            <w:bottom w:w="0" w:type="dxa"/>
          </w:tblCellMar>
        </w:tblPrEx>
        <w:trPr>
          <w:cantSplit/>
        </w:trPr>
        <w:tc>
          <w:tcPr>
            <w:tcW w:w="2000" w:type="dxa"/>
            <w:tcMar>
              <w:top w:w="70" w:type="dxa"/>
              <w:left w:w="100" w:type="dxa"/>
              <w:bottom w:w="70" w:type="dxa"/>
              <w:right w:w="100" w:type="dxa"/>
            </w:tcMar>
          </w:tcPr>
          <w:p w14:paraId="0A506241" w14:textId="77777777" w:rsidR="00D16027" w:rsidRDefault="00000000">
            <w:r>
              <w:rPr>
                <w:sz w:val="19"/>
                <w:szCs w:val="19"/>
              </w:rPr>
              <w:t>Detector</w:t>
            </w:r>
          </w:p>
        </w:tc>
        <w:tc>
          <w:tcPr>
            <w:tcW w:w="3300" w:type="dxa"/>
            <w:tcMar>
              <w:top w:w="70" w:type="dxa"/>
              <w:left w:w="100" w:type="dxa"/>
              <w:bottom w:w="70" w:type="dxa"/>
              <w:right w:w="100" w:type="dxa"/>
            </w:tcMar>
          </w:tcPr>
          <w:p w14:paraId="48D61BB9" w14:textId="77777777" w:rsidR="00D16027" w:rsidRDefault="00000000">
            <w:r>
              <w:rPr>
                <w:sz w:val="19"/>
                <w:szCs w:val="19"/>
              </w:rPr>
              <w:t>A classifier that estimates whether text was machine-generated</w:t>
            </w:r>
          </w:p>
        </w:tc>
        <w:tc>
          <w:tcPr>
            <w:tcW w:w="4086" w:type="dxa"/>
            <w:tcMar>
              <w:top w:w="70" w:type="dxa"/>
              <w:left w:w="100" w:type="dxa"/>
              <w:bottom w:w="70" w:type="dxa"/>
              <w:right w:w="100" w:type="dxa"/>
            </w:tcMar>
          </w:tcPr>
          <w:p w14:paraId="58F26651" w14:textId="77777777" w:rsidR="00D16027" w:rsidRDefault="00000000">
            <w:r>
              <w:rPr>
                <w:sz w:val="19"/>
                <w:szCs w:val="19"/>
              </w:rPr>
              <w:t>Unreliable and biased (Chapter 15); not a basis for integrity decisions</w:t>
            </w:r>
          </w:p>
        </w:tc>
      </w:tr>
    </w:tbl>
    <w:p w14:paraId="0F27F811" w14:textId="77777777" w:rsidR="00D16027" w:rsidRDefault="00D16027">
      <w:pPr>
        <w:spacing w:after="120"/>
      </w:pPr>
    </w:p>
    <w:p w14:paraId="0B646165" w14:textId="77777777" w:rsidR="00D16027" w:rsidRDefault="00000000">
      <w:pPr>
        <w:pStyle w:val="Heading2"/>
        <w:keepNext/>
      </w:pPr>
      <w:r>
        <w:t>What this means for you</w:t>
      </w:r>
    </w:p>
    <w:p w14:paraId="24F92288"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04AE6FC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the protocol in section 2.6 on your most heavily weighted unsupervised task this term, and keep the outputs.</w:t>
      </w:r>
    </w:p>
    <w:p w14:paraId="3303243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every "AI can't do X" claim, including those in this chapter, as provisional. Re-test annually.</w:t>
      </w:r>
    </w:p>
    <w:p w14:paraId="1A916D02"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Use the model's failure points to locate your construct: what the best students do that the machine does not.</w:t>
      </w:r>
    </w:p>
    <w:p w14:paraId="580FB87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lastRenderedPageBreak/>
        <w:t>For programme leaders</w:t>
      </w:r>
    </w:p>
    <w:p w14:paraId="6E23DBA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Commission a programme-wide benchmark on the Nikolic et al. (2023) model: every module lead runs their main task through current tools and reports the grade. Use the results to prioritise redesign.</w:t>
      </w:r>
    </w:p>
    <w:p w14:paraId="70ADB71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Share the findings with students. Transparency about what AI can do to your assessments builds the shared understanding on which honest AI policies depend.</w:t>
      </w:r>
    </w:p>
    <w:p w14:paraId="53567E52"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Budget for the benchmark to be repeated each year; it is a quality process, not a one-off exercise.</w:t>
      </w:r>
    </w:p>
    <w:p w14:paraId="3838DED7"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8C9A9C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Provide staff with institutional access to current premium tools so that testing reflects what students actually use.</w:t>
      </w:r>
    </w:p>
    <w:p w14:paraId="6B83490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Avoid policy language that assumes a fixed level of AI capability; write for a moving target, with scheduled review.</w:t>
      </w:r>
    </w:p>
    <w:p w14:paraId="269576A0"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Fund a small central service that maintains an up-to-date, plain-language briefing on capabilities for academic staff.</w:t>
      </w:r>
    </w:p>
    <w:p w14:paraId="4EF48CF3" w14:textId="77777777" w:rsidR="00D16027" w:rsidRDefault="00000000">
      <w:pPr>
        <w:pStyle w:val="Heading2"/>
        <w:keepNext/>
      </w:pPr>
      <w:r>
        <w:t>Key references for this chapter</w:t>
      </w:r>
    </w:p>
    <w:p w14:paraId="16D0224B" w14:textId="77777777" w:rsidR="00D16027" w:rsidRDefault="00000000">
      <w:pPr>
        <w:pStyle w:val="ListParagraph"/>
        <w:numPr>
          <w:ilvl w:val="0"/>
          <w:numId w:val="3"/>
        </w:numPr>
        <w:spacing w:before="30" w:after="50"/>
      </w:pPr>
      <w:r>
        <w:rPr>
          <w:color w:val="333333"/>
          <w:sz w:val="19"/>
          <w:szCs w:val="19"/>
        </w:rPr>
        <w:t xml:space="preserve">Bender, E.M., Gebru, T., McMillan-Major, A. &amp; </w:t>
      </w:r>
      <w:proofErr w:type="spellStart"/>
      <w:r>
        <w:rPr>
          <w:color w:val="333333"/>
          <w:sz w:val="19"/>
          <w:szCs w:val="19"/>
        </w:rPr>
        <w:t>Shmitchell</w:t>
      </w:r>
      <w:proofErr w:type="spellEnd"/>
      <w:r>
        <w:rPr>
          <w:color w:val="333333"/>
          <w:sz w:val="19"/>
          <w:szCs w:val="19"/>
        </w:rPr>
        <w:t xml:space="preserve">, S. (2021) On the dangers of stochastic parrots: can language models be too big? </w:t>
      </w:r>
      <w:r>
        <w:rPr>
          <w:i/>
          <w:iCs/>
          <w:color w:val="333333"/>
          <w:sz w:val="19"/>
          <w:szCs w:val="19"/>
        </w:rPr>
        <w:t>Proceedings of the 2021 ACM Conference on Fairness, Accountability, and Transparency</w:t>
      </w:r>
      <w:r>
        <w:rPr>
          <w:color w:val="333333"/>
          <w:sz w:val="19"/>
          <w:szCs w:val="19"/>
        </w:rPr>
        <w:t>, 610–623.</w:t>
      </w:r>
    </w:p>
    <w:p w14:paraId="49C04CD2" w14:textId="77777777" w:rsidR="00D16027" w:rsidRDefault="00000000">
      <w:pPr>
        <w:pStyle w:val="ListParagraph"/>
        <w:numPr>
          <w:ilvl w:val="0"/>
          <w:numId w:val="3"/>
        </w:numPr>
        <w:spacing w:before="30" w:after="50"/>
      </w:pPr>
      <w:proofErr w:type="spellStart"/>
      <w:r>
        <w:rPr>
          <w:color w:val="333333"/>
          <w:sz w:val="19"/>
          <w:szCs w:val="19"/>
        </w:rPr>
        <w:t>Bommasani</w:t>
      </w:r>
      <w:proofErr w:type="spellEnd"/>
      <w:r>
        <w:rPr>
          <w:color w:val="333333"/>
          <w:sz w:val="19"/>
          <w:szCs w:val="19"/>
        </w:rPr>
        <w:t xml:space="preserve">, R. et al. (2021) On the opportunities and risks of foundation models. Stanford </w:t>
      </w:r>
      <w:proofErr w:type="spellStart"/>
      <w:r>
        <w:rPr>
          <w:color w:val="333333"/>
          <w:sz w:val="19"/>
          <w:szCs w:val="19"/>
        </w:rPr>
        <w:t>Center</w:t>
      </w:r>
      <w:proofErr w:type="spellEnd"/>
      <w:r>
        <w:rPr>
          <w:color w:val="333333"/>
          <w:sz w:val="19"/>
          <w:szCs w:val="19"/>
        </w:rPr>
        <w:t xml:space="preserve"> for Research on Foundation Models. arXiv:2108.07258.</w:t>
      </w:r>
    </w:p>
    <w:p w14:paraId="714FE941" w14:textId="77777777" w:rsidR="00D16027" w:rsidRDefault="00000000">
      <w:pPr>
        <w:pStyle w:val="ListParagraph"/>
        <w:numPr>
          <w:ilvl w:val="0"/>
          <w:numId w:val="3"/>
        </w:numPr>
        <w:spacing w:before="30" w:after="50"/>
      </w:pPr>
      <w:r>
        <w:rPr>
          <w:color w:val="333333"/>
          <w:sz w:val="19"/>
          <w:szCs w:val="19"/>
        </w:rPr>
        <w:t xml:space="preserve">Brown, T.B. et al. (2020) Language models are few-shot learners. </w:t>
      </w:r>
      <w:r>
        <w:rPr>
          <w:i/>
          <w:iCs/>
          <w:color w:val="333333"/>
          <w:sz w:val="19"/>
          <w:szCs w:val="19"/>
        </w:rPr>
        <w:t>Advances in Neural Information Processing Systems</w:t>
      </w:r>
      <w:r>
        <w:rPr>
          <w:color w:val="333333"/>
          <w:sz w:val="19"/>
          <w:szCs w:val="19"/>
        </w:rPr>
        <w:t>, 33, 1877–1901.</w:t>
      </w:r>
    </w:p>
    <w:p w14:paraId="21B46212" w14:textId="77777777" w:rsidR="00D16027" w:rsidRDefault="00000000">
      <w:pPr>
        <w:pStyle w:val="ListParagraph"/>
        <w:numPr>
          <w:ilvl w:val="0"/>
          <w:numId w:val="3"/>
        </w:numPr>
        <w:spacing w:before="30" w:after="50"/>
      </w:pPr>
      <w:r>
        <w:rPr>
          <w:color w:val="333333"/>
          <w:sz w:val="19"/>
          <w:szCs w:val="19"/>
        </w:rPr>
        <w:t xml:space="preserve">Choi, J.H., Hickman, K.E., Monahan, A. &amp; Schwarcz, D. (2023) ChatGPT goes to law school. </w:t>
      </w:r>
      <w:r>
        <w:rPr>
          <w:i/>
          <w:iCs/>
          <w:color w:val="333333"/>
          <w:sz w:val="19"/>
          <w:szCs w:val="19"/>
        </w:rPr>
        <w:t>Journal of Legal Education</w:t>
      </w:r>
      <w:r>
        <w:rPr>
          <w:color w:val="333333"/>
          <w:sz w:val="19"/>
          <w:szCs w:val="19"/>
        </w:rPr>
        <w:t>, 71(3), 387–400.</w:t>
      </w:r>
    </w:p>
    <w:p w14:paraId="2022FEF8" w14:textId="77777777" w:rsidR="00D16027" w:rsidRDefault="00000000">
      <w:pPr>
        <w:pStyle w:val="ListParagraph"/>
        <w:numPr>
          <w:ilvl w:val="0"/>
          <w:numId w:val="3"/>
        </w:numPr>
        <w:spacing w:before="30" w:after="50"/>
      </w:pPr>
      <w:r>
        <w:rPr>
          <w:color w:val="333333"/>
          <w:sz w:val="19"/>
          <w:szCs w:val="19"/>
        </w:rPr>
        <w:t xml:space="preserve">Dai, W., Lin, J., Jin, H., Li, T., Tsai, Y.-S., </w:t>
      </w:r>
      <w:proofErr w:type="spellStart"/>
      <w:r>
        <w:rPr>
          <w:color w:val="333333"/>
          <w:sz w:val="19"/>
          <w:szCs w:val="19"/>
        </w:rPr>
        <w:t>Gašević</w:t>
      </w:r>
      <w:proofErr w:type="spellEnd"/>
      <w:r>
        <w:rPr>
          <w:color w:val="333333"/>
          <w:sz w:val="19"/>
          <w:szCs w:val="19"/>
        </w:rPr>
        <w:t xml:space="preserve">, D. &amp; Chen, G. (2023) Can large language models provide feedback to students? A case study on ChatGPT. </w:t>
      </w:r>
      <w:r>
        <w:rPr>
          <w:i/>
          <w:iCs/>
          <w:color w:val="333333"/>
          <w:sz w:val="19"/>
          <w:szCs w:val="19"/>
        </w:rPr>
        <w:t>Proceedings of the IEEE International Conference on Advanced Learning Technologies (ICALT)</w:t>
      </w:r>
      <w:r>
        <w:rPr>
          <w:color w:val="333333"/>
          <w:sz w:val="19"/>
          <w:szCs w:val="19"/>
        </w:rPr>
        <w:t>, 323–325.</w:t>
      </w:r>
    </w:p>
    <w:p w14:paraId="799C2CEF" w14:textId="77777777" w:rsidR="00D16027" w:rsidRDefault="00000000">
      <w:pPr>
        <w:pStyle w:val="ListParagraph"/>
        <w:numPr>
          <w:ilvl w:val="0"/>
          <w:numId w:val="3"/>
        </w:numPr>
        <w:spacing w:before="30" w:after="50"/>
      </w:pPr>
      <w:r>
        <w:rPr>
          <w:color w:val="333333"/>
          <w:sz w:val="19"/>
          <w:szCs w:val="19"/>
        </w:rPr>
        <w:t xml:space="preserve">Finnie-Ansley, J., Denny, P., Becker, B.A., Luxton-Reilly, A. &amp; Prather, J. (2022) The robots are coming: exploring the implications of OpenAI Codex on introductory programming. </w:t>
      </w:r>
      <w:r>
        <w:rPr>
          <w:i/>
          <w:iCs/>
          <w:color w:val="333333"/>
          <w:sz w:val="19"/>
          <w:szCs w:val="19"/>
        </w:rPr>
        <w:t>Proceedings of the 24th Australasian Computing Education Conference</w:t>
      </w:r>
      <w:r>
        <w:rPr>
          <w:color w:val="333333"/>
          <w:sz w:val="19"/>
          <w:szCs w:val="19"/>
        </w:rPr>
        <w:t>, 10–19.</w:t>
      </w:r>
    </w:p>
    <w:p w14:paraId="7774B98B" w14:textId="77777777" w:rsidR="00D16027" w:rsidRDefault="00000000">
      <w:pPr>
        <w:pStyle w:val="ListParagraph"/>
        <w:numPr>
          <w:ilvl w:val="0"/>
          <w:numId w:val="3"/>
        </w:numPr>
        <w:spacing w:before="30" w:after="50"/>
      </w:pPr>
      <w:r>
        <w:rPr>
          <w:color w:val="333333"/>
          <w:sz w:val="19"/>
          <w:szCs w:val="19"/>
        </w:rPr>
        <w:t xml:space="preserve">Frieder, S., </w:t>
      </w:r>
      <w:proofErr w:type="spellStart"/>
      <w:r>
        <w:rPr>
          <w:color w:val="333333"/>
          <w:sz w:val="19"/>
          <w:szCs w:val="19"/>
        </w:rPr>
        <w:t>Pinchetti</w:t>
      </w:r>
      <w:proofErr w:type="spellEnd"/>
      <w:r>
        <w:rPr>
          <w:color w:val="333333"/>
          <w:sz w:val="19"/>
          <w:szCs w:val="19"/>
        </w:rPr>
        <w:t xml:space="preserve">, L., Griffiths, R.-R., Salvatori, T., Lukasiewicz, T., Petersen, P.C. &amp; Berner, J. (2023) Mathematical capabilities of ChatGPT. </w:t>
      </w:r>
      <w:r>
        <w:rPr>
          <w:i/>
          <w:iCs/>
          <w:color w:val="333333"/>
          <w:sz w:val="19"/>
          <w:szCs w:val="19"/>
        </w:rPr>
        <w:t>Advances in Neural Information Processing Systems</w:t>
      </w:r>
      <w:r>
        <w:rPr>
          <w:color w:val="333333"/>
          <w:sz w:val="19"/>
          <w:szCs w:val="19"/>
        </w:rPr>
        <w:t>, 36 (Datasets and Benchmarks Track).</w:t>
      </w:r>
    </w:p>
    <w:p w14:paraId="53FEF8EA" w14:textId="77777777" w:rsidR="00D16027" w:rsidRDefault="00000000">
      <w:pPr>
        <w:pStyle w:val="ListParagraph"/>
        <w:numPr>
          <w:ilvl w:val="0"/>
          <w:numId w:val="3"/>
        </w:numPr>
        <w:spacing w:before="30" w:after="50"/>
      </w:pPr>
      <w:r>
        <w:rPr>
          <w:color w:val="333333"/>
          <w:sz w:val="19"/>
          <w:szCs w:val="19"/>
        </w:rPr>
        <w:t>Inoshita, K., Omura, M., Yamanaka, T., Maeda, G. &amp; Tsuji, K. (2026) Does AI homogenize student thinking? A multi-dimensional analysis of structural convergence in AI-augmented essays. arXiv:2603.21228 (preprint).</w:t>
      </w:r>
    </w:p>
    <w:p w14:paraId="77A006BD" w14:textId="77777777" w:rsidR="00D16027" w:rsidRDefault="00000000">
      <w:pPr>
        <w:pStyle w:val="ListParagraph"/>
        <w:numPr>
          <w:ilvl w:val="0"/>
          <w:numId w:val="3"/>
        </w:numPr>
        <w:spacing w:before="30" w:after="50"/>
      </w:pPr>
      <w:r>
        <w:rPr>
          <w:color w:val="333333"/>
          <w:sz w:val="19"/>
          <w:szCs w:val="19"/>
        </w:rPr>
        <w:t xml:space="preserve">Ji, Z., Lee, N., </w:t>
      </w:r>
      <w:proofErr w:type="spellStart"/>
      <w:r>
        <w:rPr>
          <w:color w:val="333333"/>
          <w:sz w:val="19"/>
          <w:szCs w:val="19"/>
        </w:rPr>
        <w:t>Frieske</w:t>
      </w:r>
      <w:proofErr w:type="spellEnd"/>
      <w:r>
        <w:rPr>
          <w:color w:val="333333"/>
          <w:sz w:val="19"/>
          <w:szCs w:val="19"/>
        </w:rPr>
        <w:t xml:space="preserve">, R., Yu, T., Su, D., Xu, Y., Ishii, E., Bang, Y.J., </w:t>
      </w:r>
      <w:proofErr w:type="spellStart"/>
      <w:r>
        <w:rPr>
          <w:color w:val="333333"/>
          <w:sz w:val="19"/>
          <w:szCs w:val="19"/>
        </w:rPr>
        <w:t>Madotto</w:t>
      </w:r>
      <w:proofErr w:type="spellEnd"/>
      <w:r>
        <w:rPr>
          <w:color w:val="333333"/>
          <w:sz w:val="19"/>
          <w:szCs w:val="19"/>
        </w:rPr>
        <w:t xml:space="preserve">, A. &amp; Fung, P. (2023) Survey of hallucination in natural language generation. </w:t>
      </w:r>
      <w:r>
        <w:rPr>
          <w:i/>
          <w:iCs/>
          <w:color w:val="333333"/>
          <w:sz w:val="19"/>
          <w:szCs w:val="19"/>
        </w:rPr>
        <w:t>ACM Computing Surveys</w:t>
      </w:r>
      <w:r>
        <w:rPr>
          <w:color w:val="333333"/>
          <w:sz w:val="19"/>
          <w:szCs w:val="19"/>
        </w:rPr>
        <w:t>, 55(12), 1–38.</w:t>
      </w:r>
    </w:p>
    <w:p w14:paraId="512F89C7" w14:textId="77777777" w:rsidR="00D16027" w:rsidRDefault="00000000">
      <w:pPr>
        <w:pStyle w:val="ListParagraph"/>
        <w:numPr>
          <w:ilvl w:val="0"/>
          <w:numId w:val="3"/>
        </w:numPr>
        <w:spacing w:before="30" w:after="50"/>
      </w:pPr>
      <w:r>
        <w:rPr>
          <w:color w:val="333333"/>
          <w:sz w:val="19"/>
          <w:szCs w:val="19"/>
        </w:rPr>
        <w:t xml:space="preserve">Katz, D.M., Bommarito, M.J., Gao, S. &amp; Arredondo, P. (2024) GPT-4 passes the bar exam. </w:t>
      </w:r>
      <w:r>
        <w:rPr>
          <w:i/>
          <w:iCs/>
          <w:color w:val="333333"/>
          <w:sz w:val="19"/>
          <w:szCs w:val="19"/>
        </w:rPr>
        <w:t>Philosophical Transactions of the Royal Society A</w:t>
      </w:r>
      <w:r>
        <w:rPr>
          <w:color w:val="333333"/>
          <w:sz w:val="19"/>
          <w:szCs w:val="19"/>
        </w:rPr>
        <w:t>, 382(2270), 20230254.</w:t>
      </w:r>
    </w:p>
    <w:p w14:paraId="27C580B8" w14:textId="77777777" w:rsidR="00D16027" w:rsidRDefault="00000000">
      <w:pPr>
        <w:pStyle w:val="ListParagraph"/>
        <w:numPr>
          <w:ilvl w:val="0"/>
          <w:numId w:val="3"/>
        </w:numPr>
        <w:spacing w:before="30" w:after="50"/>
      </w:pPr>
      <w:r>
        <w:rPr>
          <w:color w:val="333333"/>
          <w:sz w:val="19"/>
          <w:szCs w:val="19"/>
        </w:rPr>
        <w:t xml:space="preserve">Kung, T.H., Cheatham, M., </w:t>
      </w:r>
      <w:proofErr w:type="spellStart"/>
      <w:r>
        <w:rPr>
          <w:color w:val="333333"/>
          <w:sz w:val="19"/>
          <w:szCs w:val="19"/>
        </w:rPr>
        <w:t>Medenilla</w:t>
      </w:r>
      <w:proofErr w:type="spellEnd"/>
      <w:r>
        <w:rPr>
          <w:color w:val="333333"/>
          <w:sz w:val="19"/>
          <w:szCs w:val="19"/>
        </w:rPr>
        <w:t xml:space="preserve">, A., </w:t>
      </w:r>
      <w:proofErr w:type="spellStart"/>
      <w:r>
        <w:rPr>
          <w:color w:val="333333"/>
          <w:sz w:val="19"/>
          <w:szCs w:val="19"/>
        </w:rPr>
        <w:t>Sillos</w:t>
      </w:r>
      <w:proofErr w:type="spellEnd"/>
      <w:r>
        <w:rPr>
          <w:color w:val="333333"/>
          <w:sz w:val="19"/>
          <w:szCs w:val="19"/>
        </w:rPr>
        <w:t xml:space="preserve">, C., De Leon, L., </w:t>
      </w:r>
      <w:proofErr w:type="spellStart"/>
      <w:r>
        <w:rPr>
          <w:color w:val="333333"/>
          <w:sz w:val="19"/>
          <w:szCs w:val="19"/>
        </w:rPr>
        <w:t>Elepaño</w:t>
      </w:r>
      <w:proofErr w:type="spellEnd"/>
      <w:r>
        <w:rPr>
          <w:color w:val="333333"/>
          <w:sz w:val="19"/>
          <w:szCs w:val="19"/>
        </w:rPr>
        <w:t xml:space="preserve">, C., Madriaga, M., </w:t>
      </w:r>
      <w:proofErr w:type="spellStart"/>
      <w:r>
        <w:rPr>
          <w:color w:val="333333"/>
          <w:sz w:val="19"/>
          <w:szCs w:val="19"/>
        </w:rPr>
        <w:t>Aggabao</w:t>
      </w:r>
      <w:proofErr w:type="spellEnd"/>
      <w:r>
        <w:rPr>
          <w:color w:val="333333"/>
          <w:sz w:val="19"/>
          <w:szCs w:val="19"/>
        </w:rPr>
        <w:t xml:space="preserve">, R., Diaz-Candido, G., </w:t>
      </w:r>
      <w:proofErr w:type="spellStart"/>
      <w:r>
        <w:rPr>
          <w:color w:val="333333"/>
          <w:sz w:val="19"/>
          <w:szCs w:val="19"/>
        </w:rPr>
        <w:t>Maningo</w:t>
      </w:r>
      <w:proofErr w:type="spellEnd"/>
      <w:r>
        <w:rPr>
          <w:color w:val="333333"/>
          <w:sz w:val="19"/>
          <w:szCs w:val="19"/>
        </w:rPr>
        <w:t xml:space="preserve">, J. &amp; Tseng, V. (2023) Performance of ChatGPT on USMLE: potential for AI-assisted medical education using large language models. </w:t>
      </w:r>
      <w:r>
        <w:rPr>
          <w:i/>
          <w:iCs/>
          <w:color w:val="333333"/>
          <w:sz w:val="19"/>
          <w:szCs w:val="19"/>
        </w:rPr>
        <w:t>PLOS Digital Health</w:t>
      </w:r>
      <w:r>
        <w:rPr>
          <w:color w:val="333333"/>
          <w:sz w:val="19"/>
          <w:szCs w:val="19"/>
        </w:rPr>
        <w:t>, 2(2), e0000198.</w:t>
      </w:r>
    </w:p>
    <w:p w14:paraId="5EE7DC1F"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7FF483D3"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Tertiary Education Quality and Standards Agency.</w:t>
      </w:r>
    </w:p>
    <w:p w14:paraId="62722B70" w14:textId="77777777" w:rsidR="00D16027" w:rsidRDefault="00000000">
      <w:pPr>
        <w:pStyle w:val="ListParagraph"/>
        <w:numPr>
          <w:ilvl w:val="0"/>
          <w:numId w:val="3"/>
        </w:numPr>
        <w:spacing w:before="30" w:after="50"/>
      </w:pPr>
      <w:r>
        <w:rPr>
          <w:color w:val="333333"/>
          <w:sz w:val="19"/>
          <w:szCs w:val="19"/>
        </w:rPr>
        <w:t xml:space="preserve">Luckin, R. (2018) </w:t>
      </w:r>
      <w:r>
        <w:rPr>
          <w:i/>
          <w:iCs/>
          <w:color w:val="333333"/>
          <w:sz w:val="19"/>
          <w:szCs w:val="19"/>
        </w:rPr>
        <w:t>Machine Learning and Human Intelligence: The Future of Education for the 21st Century</w:t>
      </w:r>
      <w:r>
        <w:rPr>
          <w:color w:val="333333"/>
          <w:sz w:val="19"/>
          <w:szCs w:val="19"/>
        </w:rPr>
        <w:t>. London: UCL IOE Press.</w:t>
      </w:r>
    </w:p>
    <w:p w14:paraId="50F95635" w14:textId="77777777" w:rsidR="00D16027" w:rsidRDefault="00000000">
      <w:pPr>
        <w:pStyle w:val="ListParagraph"/>
        <w:numPr>
          <w:ilvl w:val="0"/>
          <w:numId w:val="3"/>
        </w:numPr>
        <w:spacing w:before="30" w:after="50"/>
      </w:pPr>
      <w:r>
        <w:rPr>
          <w:color w:val="333333"/>
          <w:sz w:val="19"/>
          <w:szCs w:val="19"/>
        </w:rPr>
        <w:t xml:space="preserve">Martínez, E. (2024) Re-evaluating GPT-4's bar exam performance. </w:t>
      </w:r>
      <w:r>
        <w:rPr>
          <w:i/>
          <w:iCs/>
          <w:color w:val="333333"/>
          <w:sz w:val="19"/>
          <w:szCs w:val="19"/>
        </w:rPr>
        <w:t>Artificial Intelligence and Law</w:t>
      </w:r>
      <w:r>
        <w:rPr>
          <w:color w:val="333333"/>
          <w:sz w:val="19"/>
          <w:szCs w:val="19"/>
        </w:rPr>
        <w:t xml:space="preserve"> (advance online).</w:t>
      </w:r>
    </w:p>
    <w:p w14:paraId="086D0606"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598CD4B1" w14:textId="77777777" w:rsidR="00D16027" w:rsidRDefault="00000000">
      <w:pPr>
        <w:pStyle w:val="ListParagraph"/>
        <w:numPr>
          <w:ilvl w:val="0"/>
          <w:numId w:val="3"/>
        </w:numPr>
        <w:spacing w:before="30" w:after="50"/>
      </w:pPr>
      <w:r>
        <w:rPr>
          <w:color w:val="333333"/>
          <w:sz w:val="19"/>
          <w:szCs w:val="19"/>
        </w:rPr>
        <w:t xml:space="preserve">Sharples, M. (2022) Automated essay writing: an AIED opinion. </w:t>
      </w:r>
      <w:r>
        <w:rPr>
          <w:i/>
          <w:iCs/>
          <w:color w:val="333333"/>
          <w:sz w:val="19"/>
          <w:szCs w:val="19"/>
        </w:rPr>
        <w:t>International Journal of Artificial Intelligence in Education</w:t>
      </w:r>
      <w:r>
        <w:rPr>
          <w:color w:val="333333"/>
          <w:sz w:val="19"/>
          <w:szCs w:val="19"/>
        </w:rPr>
        <w:t>, 32(4), 1119–1126.</w:t>
      </w:r>
    </w:p>
    <w:p w14:paraId="0AC87334" w14:textId="77777777" w:rsidR="00D16027" w:rsidRDefault="00000000">
      <w:pPr>
        <w:pStyle w:val="ListParagraph"/>
        <w:numPr>
          <w:ilvl w:val="0"/>
          <w:numId w:val="3"/>
        </w:numPr>
        <w:spacing w:before="30" w:after="50"/>
      </w:pPr>
      <w:proofErr w:type="spellStart"/>
      <w:r>
        <w:rPr>
          <w:color w:val="333333"/>
          <w:sz w:val="19"/>
          <w:szCs w:val="19"/>
        </w:rPr>
        <w:lastRenderedPageBreak/>
        <w:t>Terwiesch</w:t>
      </w:r>
      <w:proofErr w:type="spellEnd"/>
      <w:r>
        <w:rPr>
          <w:color w:val="333333"/>
          <w:sz w:val="19"/>
          <w:szCs w:val="19"/>
        </w:rPr>
        <w:t xml:space="preserve">, C. (2023) </w:t>
      </w:r>
      <w:r>
        <w:rPr>
          <w:i/>
          <w:iCs/>
          <w:color w:val="333333"/>
          <w:sz w:val="19"/>
          <w:szCs w:val="19"/>
        </w:rPr>
        <w:t>Would ChatGPT Get a Wharton MBA? A Prediction Based on Its Performance in the Operations Management Course</w:t>
      </w:r>
      <w:r>
        <w:rPr>
          <w:color w:val="333333"/>
          <w:sz w:val="19"/>
          <w:szCs w:val="19"/>
        </w:rPr>
        <w:t>. Philadelphia: Mack Institute for Innovation Management, Wharton School.</w:t>
      </w:r>
    </w:p>
    <w:p w14:paraId="46F850C1" w14:textId="77777777" w:rsidR="00D16027" w:rsidRDefault="00000000">
      <w:pPr>
        <w:pStyle w:val="ListParagraph"/>
        <w:numPr>
          <w:ilvl w:val="0"/>
          <w:numId w:val="3"/>
        </w:numPr>
        <w:spacing w:before="30" w:after="50"/>
      </w:pPr>
      <w:r>
        <w:rPr>
          <w:color w:val="333333"/>
          <w:sz w:val="19"/>
          <w:szCs w:val="19"/>
        </w:rPr>
        <w:t xml:space="preserve">Vaswani, A., </w:t>
      </w:r>
      <w:proofErr w:type="spellStart"/>
      <w:r>
        <w:rPr>
          <w:color w:val="333333"/>
          <w:sz w:val="19"/>
          <w:szCs w:val="19"/>
        </w:rPr>
        <w:t>Shazeer</w:t>
      </w:r>
      <w:proofErr w:type="spellEnd"/>
      <w:r>
        <w:rPr>
          <w:color w:val="333333"/>
          <w:sz w:val="19"/>
          <w:szCs w:val="19"/>
        </w:rPr>
        <w:t xml:space="preserve">, N., Parmar, N., </w:t>
      </w:r>
      <w:proofErr w:type="spellStart"/>
      <w:r>
        <w:rPr>
          <w:color w:val="333333"/>
          <w:sz w:val="19"/>
          <w:szCs w:val="19"/>
        </w:rPr>
        <w:t>Uszkoreit</w:t>
      </w:r>
      <w:proofErr w:type="spellEnd"/>
      <w:r>
        <w:rPr>
          <w:color w:val="333333"/>
          <w:sz w:val="19"/>
          <w:szCs w:val="19"/>
        </w:rPr>
        <w:t xml:space="preserve">, J., Jones, L., Gomez, A.N., Kaiser, Ł. &amp; </w:t>
      </w:r>
      <w:proofErr w:type="spellStart"/>
      <w:r>
        <w:rPr>
          <w:color w:val="333333"/>
          <w:sz w:val="19"/>
          <w:szCs w:val="19"/>
        </w:rPr>
        <w:t>Polosukhin</w:t>
      </w:r>
      <w:proofErr w:type="spellEnd"/>
      <w:r>
        <w:rPr>
          <w:color w:val="333333"/>
          <w:sz w:val="19"/>
          <w:szCs w:val="19"/>
        </w:rPr>
        <w:t xml:space="preserve">, I. (2017) Attention is all you need. </w:t>
      </w:r>
      <w:r>
        <w:rPr>
          <w:i/>
          <w:iCs/>
          <w:color w:val="333333"/>
          <w:sz w:val="19"/>
          <w:szCs w:val="19"/>
        </w:rPr>
        <w:t>Advances in Neural Information Processing Systems</w:t>
      </w:r>
      <w:r>
        <w:rPr>
          <w:color w:val="333333"/>
          <w:sz w:val="19"/>
          <w:szCs w:val="19"/>
        </w:rPr>
        <w:t>, 30, 5998–6008.</w:t>
      </w:r>
    </w:p>
    <w:p w14:paraId="3F3EE52A" w14:textId="77777777" w:rsidR="00D16027" w:rsidRDefault="00000000">
      <w:pPr>
        <w:pStyle w:val="ListParagraph"/>
        <w:numPr>
          <w:ilvl w:val="0"/>
          <w:numId w:val="3"/>
        </w:numPr>
        <w:spacing w:before="30" w:after="50"/>
      </w:pPr>
      <w:r>
        <w:rPr>
          <w:color w:val="333333"/>
          <w:sz w:val="19"/>
          <w:szCs w:val="19"/>
        </w:rPr>
        <w:t xml:space="preserve">Walters, W.H. &amp; Wilder, E.I. (2023) Fabrication and errors in the bibliographic citations generated by ChatGPT. </w:t>
      </w:r>
      <w:r>
        <w:rPr>
          <w:i/>
          <w:iCs/>
          <w:color w:val="333333"/>
          <w:sz w:val="19"/>
          <w:szCs w:val="19"/>
        </w:rPr>
        <w:t>Scientific Reports</w:t>
      </w:r>
      <w:r>
        <w:rPr>
          <w:color w:val="333333"/>
          <w:sz w:val="19"/>
          <w:szCs w:val="19"/>
        </w:rPr>
        <w:t>, 13, 14045.</w:t>
      </w:r>
    </w:p>
    <w:p w14:paraId="6AEA490F" w14:textId="77777777" w:rsidR="00D16027" w:rsidRDefault="00000000">
      <w:pPr>
        <w:pStyle w:val="ListParagraph"/>
        <w:numPr>
          <w:ilvl w:val="0"/>
          <w:numId w:val="3"/>
        </w:numPr>
        <w:spacing w:before="30" w:after="50"/>
      </w:pPr>
      <w:r>
        <w:rPr>
          <w:color w:val="333333"/>
          <w:sz w:val="19"/>
          <w:szCs w:val="19"/>
        </w:rPr>
        <w:t xml:space="preserve">Weber-Wulff, D., </w:t>
      </w:r>
      <w:proofErr w:type="spellStart"/>
      <w:r>
        <w:rPr>
          <w:color w:val="333333"/>
          <w:sz w:val="19"/>
          <w:szCs w:val="19"/>
        </w:rPr>
        <w:t>Anohina-Naumeca</w:t>
      </w:r>
      <w:proofErr w:type="spellEnd"/>
      <w:r>
        <w:rPr>
          <w:color w:val="333333"/>
          <w:sz w:val="19"/>
          <w:szCs w:val="19"/>
        </w:rPr>
        <w:t xml:space="preserve">, A., </w:t>
      </w:r>
      <w:proofErr w:type="spellStart"/>
      <w:r>
        <w:rPr>
          <w:color w:val="333333"/>
          <w:sz w:val="19"/>
          <w:szCs w:val="19"/>
        </w:rPr>
        <w:t>Bjelobaba</w:t>
      </w:r>
      <w:proofErr w:type="spellEnd"/>
      <w:r>
        <w:rPr>
          <w:color w:val="333333"/>
          <w:sz w:val="19"/>
          <w:szCs w:val="19"/>
        </w:rPr>
        <w:t xml:space="preserve">, S., </w:t>
      </w:r>
      <w:proofErr w:type="spellStart"/>
      <w:r>
        <w:rPr>
          <w:color w:val="333333"/>
          <w:sz w:val="19"/>
          <w:szCs w:val="19"/>
        </w:rPr>
        <w:t>Foltýnek</w:t>
      </w:r>
      <w:proofErr w:type="spellEnd"/>
      <w:r>
        <w:rPr>
          <w:color w:val="333333"/>
          <w:sz w:val="19"/>
          <w:szCs w:val="19"/>
        </w:rPr>
        <w:t xml:space="preserve">, T., Guerrero-Dib, J., Popoola, O., </w:t>
      </w:r>
      <w:proofErr w:type="spellStart"/>
      <w:r>
        <w:rPr>
          <w:color w:val="333333"/>
          <w:sz w:val="19"/>
          <w:szCs w:val="19"/>
        </w:rPr>
        <w:t>Šigut</w:t>
      </w:r>
      <w:proofErr w:type="spellEnd"/>
      <w:r>
        <w:rPr>
          <w:color w:val="333333"/>
          <w:sz w:val="19"/>
          <w:szCs w:val="19"/>
        </w:rPr>
        <w:t xml:space="preserve">, P. &amp; Waddington, L. (2023) Testing of detection tools for AI-generated text. </w:t>
      </w:r>
      <w:r>
        <w:rPr>
          <w:i/>
          <w:iCs/>
          <w:color w:val="333333"/>
          <w:sz w:val="19"/>
          <w:szCs w:val="19"/>
        </w:rPr>
        <w:t>International Journal for Educational Integrity</w:t>
      </w:r>
      <w:r>
        <w:rPr>
          <w:color w:val="333333"/>
          <w:sz w:val="19"/>
          <w:szCs w:val="19"/>
        </w:rPr>
        <w:t>, 19, 26.</w:t>
      </w:r>
    </w:p>
    <w:p w14:paraId="3901A542" w14:textId="77777777" w:rsidR="00D16027" w:rsidRDefault="00000000">
      <w:pPr>
        <w:pStyle w:val="ListParagraph"/>
        <w:numPr>
          <w:ilvl w:val="0"/>
          <w:numId w:val="3"/>
        </w:numPr>
        <w:spacing w:before="30" w:after="50"/>
      </w:pPr>
      <w:r>
        <w:rPr>
          <w:color w:val="333333"/>
          <w:sz w:val="19"/>
          <w:szCs w:val="19"/>
        </w:rPr>
        <w:t xml:space="preserve">Yan, L., Greiff, S., Teuber, Z. &amp; </w:t>
      </w:r>
      <w:proofErr w:type="spellStart"/>
      <w:r>
        <w:rPr>
          <w:color w:val="333333"/>
          <w:sz w:val="19"/>
          <w:szCs w:val="19"/>
        </w:rPr>
        <w:t>Gašević</w:t>
      </w:r>
      <w:proofErr w:type="spellEnd"/>
      <w:r>
        <w:rPr>
          <w:color w:val="333333"/>
          <w:sz w:val="19"/>
          <w:szCs w:val="19"/>
        </w:rPr>
        <w:t xml:space="preserve">, D. (2024) Promises and challenges of generative artificial intelligence for human learning. </w:t>
      </w:r>
      <w:r>
        <w:rPr>
          <w:i/>
          <w:iCs/>
          <w:color w:val="333333"/>
          <w:sz w:val="19"/>
          <w:szCs w:val="19"/>
        </w:rPr>
        <w:t>Nature Human Behaviour</w:t>
      </w:r>
      <w:r>
        <w:rPr>
          <w:color w:val="333333"/>
          <w:sz w:val="19"/>
          <w:szCs w:val="19"/>
        </w:rPr>
        <w:t>, 8(10), 1839–1850.</w:t>
      </w:r>
    </w:p>
    <w:p w14:paraId="0F2DA288" w14:textId="77777777" w:rsidR="00D16027" w:rsidRDefault="00000000">
      <w:pPr>
        <w:pStyle w:val="ListParagraph"/>
        <w:numPr>
          <w:ilvl w:val="0"/>
          <w:numId w:val="3"/>
        </w:numPr>
        <w:spacing w:before="30" w:after="50"/>
      </w:pPr>
      <w:r>
        <w:rPr>
          <w:color w:val="333333"/>
          <w:sz w:val="19"/>
          <w:szCs w:val="19"/>
        </w:rPr>
        <w:t xml:space="preserve">Yan, L., Sha, L., Zhao, L., Li, Y., Martinez-Maldonado, R., Chen, G., Li, X., Jin, Y. &amp; </w:t>
      </w:r>
      <w:proofErr w:type="spellStart"/>
      <w:r>
        <w:rPr>
          <w:color w:val="333333"/>
          <w:sz w:val="19"/>
          <w:szCs w:val="19"/>
        </w:rPr>
        <w:t>Gašević</w:t>
      </w:r>
      <w:proofErr w:type="spellEnd"/>
      <w:r>
        <w:rPr>
          <w:color w:val="333333"/>
          <w:sz w:val="19"/>
          <w:szCs w:val="19"/>
        </w:rPr>
        <w:t xml:space="preserve">, D. (2024) Practical and ethical challenges of large language models in education: a systematic scoping review. </w:t>
      </w:r>
      <w:r>
        <w:rPr>
          <w:i/>
          <w:iCs/>
          <w:color w:val="333333"/>
          <w:sz w:val="19"/>
          <w:szCs w:val="19"/>
        </w:rPr>
        <w:t>British Journal of Educational Technology</w:t>
      </w:r>
      <w:r>
        <w:rPr>
          <w:color w:val="333333"/>
          <w:sz w:val="19"/>
          <w:szCs w:val="19"/>
        </w:rPr>
        <w:t>, 55(1), 90–112.</w:t>
      </w:r>
    </w:p>
    <w:p w14:paraId="64C0EECE" w14:textId="77777777" w:rsidR="00D16027" w:rsidRDefault="00000000">
      <w:r>
        <w:br w:type="page"/>
      </w:r>
    </w:p>
    <w:p w14:paraId="589645E7" w14:textId="77777777" w:rsidR="00D16027" w:rsidRDefault="00000000">
      <w:pPr>
        <w:keepNext/>
        <w:spacing w:after="40"/>
      </w:pPr>
      <w:r>
        <w:rPr>
          <w:b/>
          <w:bCs/>
          <w:caps/>
          <w:color w:val="2E75B6"/>
          <w:sz w:val="22"/>
          <w:szCs w:val="22"/>
        </w:rPr>
        <w:lastRenderedPageBreak/>
        <w:t>CHAPTER 3</w:t>
      </w:r>
    </w:p>
    <w:p w14:paraId="18048C6E" w14:textId="77777777" w:rsidR="00D16027" w:rsidRDefault="00000000">
      <w:pPr>
        <w:pStyle w:val="Heading1"/>
        <w:keepNext/>
      </w:pPr>
      <w:r>
        <w:t>The Stakes: Challenges, Risks and Opportunities</w:t>
      </w:r>
    </w:p>
    <w:p w14:paraId="018C25D1" w14:textId="77777777" w:rsidR="00D16027" w:rsidRDefault="00000000">
      <w:pPr>
        <w:pBdr>
          <w:left w:val="single" w:sz="14" w:space="10" w:color="2E75B6"/>
        </w:pBdr>
        <w:shd w:val="clear" w:color="auto" w:fill="EAF3FB"/>
        <w:spacing w:after="200"/>
      </w:pPr>
      <w:r>
        <w:rPr>
          <w:i/>
          <w:iCs/>
          <w:color w:val="333333"/>
        </w:rPr>
        <w:t>Generative AI both threatens the validity of existing assessment and offers real opportunities to improve it. This chapter maps both sides of the ledger so that redesign begins from the full picture rather than from anxiety.</w:t>
      </w:r>
    </w:p>
    <w:p w14:paraId="78936BD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4A9CD15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Understand the scale and pattern of student AI use from the best available survey evidence</w:t>
      </w:r>
    </w:p>
    <w:p w14:paraId="7D1747C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Distinguish five separate challenges (validity, integrity, learning, equity and workload) that are often conflated</w:t>
      </w:r>
    </w:p>
    <w:p w14:paraId="012962F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Identify the genuine opportunities AI offers for feedback, design, literacy and inclusion</w:t>
      </w:r>
    </w:p>
    <w:p w14:paraId="2BC6E7F7"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Adopt the dual mandate that organises the rest of this book: build resilience and harness opportunity</w:t>
      </w:r>
    </w:p>
    <w:p w14:paraId="08BDABBA" w14:textId="77777777" w:rsidR="00D16027" w:rsidRDefault="00000000">
      <w:pPr>
        <w:pStyle w:val="Heading2"/>
        <w:keepNext/>
      </w:pPr>
      <w:r>
        <w:t>3.1 The scale of the shift</w:t>
      </w:r>
    </w:p>
    <w:p w14:paraId="6F71B800" w14:textId="77777777" w:rsidR="00D16027" w:rsidRDefault="00000000">
      <w:pPr>
        <w:spacing w:after="140"/>
      </w:pPr>
      <w:r>
        <w:t>The single most important fact for institutional planning is that students have already adopted generative AI, comprehensively and across every discipline. The annual HEPI/</w:t>
      </w:r>
      <w:proofErr w:type="spellStart"/>
      <w:r>
        <w:t>Kortext</w:t>
      </w:r>
      <w:proofErr w:type="spellEnd"/>
      <w:r>
        <w:t xml:space="preserve"> surveys of UK undergraduates found that use of generative AI rose from 66% in 2024 to 92% in 2025, and use specifically for assessed work rose from 53% to 88% (Freeman 2024, 2025). In 2025, 64% reported using AI to generate text and 18% said they had included AI-generated text directly in submitted work. Only 36% had received support from their institution to develop AI skills, even though most believed such skills would be essential in their careers. The Digital Education Council's global survey of 3,839 students across sixteen countries found 86% using AI in their studies, 54% at least weekly, while 58% felt they lacked sufficient AI knowledge and 48% felt unprepared for an AI-enabled workplace (Digital Education Council 2024).</w:t>
      </w:r>
    </w:p>
    <w:p w14:paraId="78ACCDBF" w14:textId="77777777" w:rsidR="00D16027" w:rsidRDefault="00000000">
      <w:pPr>
        <w:spacing w:after="140"/>
      </w:pPr>
      <w:r>
        <w:t>Student attitudes are more thoughtful than the headline figures suggest. Chan and Hu (2023), surveying 399 Hong Kong students, found strong willingness to use AI and strong belief in its career relevance, alongside real concern about accuracy, over-reliance, and the erosion of critical thinking. On the staff side, Bower et al. (2024) surveyed several hundred teachers across sectors and found widespread agreement that teaching and assessment must change, combined with uncertainty about how. The question for institutions is therefore not whether students will use AI but how assessment design will respond.</w:t>
      </w:r>
    </w:p>
    <w:p w14:paraId="185E16A5" w14:textId="77777777" w:rsidR="00D16027" w:rsidRDefault="00000000">
      <w:pPr>
        <w:pStyle w:val="Heading2"/>
        <w:keepNext/>
      </w:pPr>
      <w:r>
        <w:t>3.2 Challenge one: validity</w:t>
      </w:r>
    </w:p>
    <w:p w14:paraId="6C976DF6" w14:textId="77777777" w:rsidR="00D16027" w:rsidRDefault="00000000">
      <w:pPr>
        <w:spacing w:after="140"/>
      </w:pPr>
      <w:r>
        <w:t xml:space="preserve">The deepest challenge is not that students may cheat but that many assessments no longer measure what they claim to. Pellegrino, </w:t>
      </w:r>
      <w:proofErr w:type="spellStart"/>
      <w:r>
        <w:t>Chudowsky</w:t>
      </w:r>
      <w:proofErr w:type="spellEnd"/>
      <w:r>
        <w:t xml:space="preserve"> and Glaser (2001) describe assessment as reasoning from evidence: we observe a performance and infer a capability. When AI can produce the performance, the inference collapses. An unsupervised 2,500-word essay may still be an excellent piece of writing, but it no longer licenses the claim that its nominal author can analyse, synthesise or argue.</w:t>
      </w:r>
    </w:p>
    <w:p w14:paraId="08627526" w14:textId="77777777" w:rsidR="00D16027" w:rsidRDefault="00000000">
      <w:pPr>
        <w:spacing w:after="140"/>
      </w:pPr>
      <w:r>
        <w:t>Dawson, Bearman, Dollinger and Boud (2024) make the argument that anchors this book: validity matters more than cheating. Cheating is a subset of the validity problem, and some responses to cheating, particularly surveillance technologies and blanket returns to invigilated examination, can improve one aspect of validity while damaging inclusion and authenticity so badly that overall validity falls. The proper aim is assurance of learning, not moral enforcement. Chapter 5 develops the tools for auditing validity task by task.</w:t>
      </w:r>
    </w:p>
    <w:p w14:paraId="4434F32B" w14:textId="77777777" w:rsidR="00D16027" w:rsidRDefault="00000000">
      <w:pPr>
        <w:pStyle w:val="Heading2"/>
        <w:keepNext/>
      </w:pPr>
      <w:r>
        <w:t>3.3 Challenge two: integrity and the detection trap</w:t>
      </w:r>
    </w:p>
    <w:p w14:paraId="3E619396" w14:textId="77777777" w:rsidR="00D16027" w:rsidRDefault="00000000">
      <w:pPr>
        <w:spacing w:after="140"/>
      </w:pPr>
      <w:r>
        <w:t xml:space="preserve">Institutions under pressure reach first for detection. The evidence, set out in full in Chapter 15, says they should not: the largest independent test found no detector reaching 80% accuracy, with performance collapsing on edited and paraphrased text (Weber-Wulff et al. 2023), and detectors flag the writing of non-native English speakers at grossly elevated rates (Liang et al. 2023). OpenAI </w:t>
      </w:r>
      <w:r>
        <w:lastRenderedPageBreak/>
        <w:t>withdrew its own detector in 2023. Perkins (2023) and Eaton (2023) argue that the arrival of AI has moved us into a "</w:t>
      </w:r>
      <w:proofErr w:type="spellStart"/>
      <w:r>
        <w:t>postplagiarism</w:t>
      </w:r>
      <w:proofErr w:type="spellEnd"/>
      <w:r>
        <w:t>" era in which hybrid human–AI writing is normal and the old binary of original versus copied no longer holds. Cotton, Cotton and Shipway (2023) reach the same practical conclusion from a different direction: the sustainable response is design, transparency and education, not an arms race.</w:t>
      </w:r>
    </w:p>
    <w:p w14:paraId="4067A899" w14:textId="77777777" w:rsidR="00D16027" w:rsidRDefault="00000000">
      <w:pPr>
        <w:spacing w:after="140"/>
      </w:pPr>
      <w:r>
        <w:t>The costs of the detection trap are not only technical. False accusations damage students, generate appeals and complaints, and corrode the trust on which learning depends. Staff time spent policing is time not spent designing. Chapter 15 sets out an integrity strategy that does not depend on detection.</w:t>
      </w:r>
    </w:p>
    <w:p w14:paraId="63BBDDE1" w14:textId="77777777" w:rsidR="00D16027" w:rsidRDefault="00000000">
      <w:pPr>
        <w:pStyle w:val="Heading2"/>
        <w:keepNext/>
      </w:pPr>
      <w:r>
        <w:t>3.4 Challenge three: learning and agency</w:t>
      </w:r>
    </w:p>
    <w:p w14:paraId="393BFAF2" w14:textId="77777777" w:rsidR="00D16027" w:rsidRDefault="00000000">
      <w:pPr>
        <w:spacing w:after="140"/>
      </w:pPr>
      <w:r>
        <w:t xml:space="preserve">Even where AI use is permitted and honest, it can undermine learning. Darvishi, Khosravi, Sadiq, </w:t>
      </w:r>
      <w:proofErr w:type="spellStart"/>
      <w:r>
        <w:t>Gašević</w:t>
      </w:r>
      <w:proofErr w:type="spellEnd"/>
      <w:r>
        <w:t xml:space="preserve"> and Siemens (2024), in a randomised study across ten courses, found that students given AI assistance with peer feedback tended to rely on it rather than learn from it; when the assistance was withdrawn, their performance dropped. Bastani et al. (2024), in a large field experiment with secondary mathematics students, found that unrestricted access to a GPT-based assistant improved practice performance but reduced subsequent unassisted exam performance by around 17%; a version with tutoring guardrails removed the harm. Fan et al. (2025) describe the risk as "metacognitive laziness": students offload the effortful parts of thinking and lose the benefit that came from doing them. Yan et al. (2024) and </w:t>
      </w:r>
      <w:proofErr w:type="spellStart"/>
      <w:r>
        <w:t>Kasneci</w:t>
      </w:r>
      <w:proofErr w:type="spellEnd"/>
      <w:r>
        <w:t xml:space="preserve"> et al. (2023) both identify over-reliance and the erosion of critical engagement as central risks.</w:t>
      </w:r>
    </w:p>
    <w:p w14:paraId="4D16F991" w14:textId="77777777" w:rsidR="00D16027" w:rsidRDefault="00000000">
      <w:pPr>
        <w:spacing w:after="140"/>
      </w:pPr>
      <w:r>
        <w:t>A subtler concern is homogenisation. A large preprint study found that AI-augmented student essays improved in quality while converging sharply in structure, a trade-off the authors term quality-homogenisation (</w:t>
      </w:r>
      <w:proofErr w:type="spellStart"/>
      <w:r>
        <w:t>Inoshita</w:t>
      </w:r>
      <w:proofErr w:type="spellEnd"/>
      <w:r>
        <w:t xml:space="preserve"> et al. 2026); the finding awaits peer review but is consistent with practitioner reports. For disciplines in which distinctive voice and independent judgement are the point, this is a validity threat as well as a pedagogical one.</w:t>
      </w:r>
    </w:p>
    <w:p w14:paraId="05711FD9" w14:textId="77777777" w:rsidR="00D16027" w:rsidRDefault="00000000">
      <w:pPr>
        <w:pStyle w:val="Heading2"/>
        <w:keepNext/>
      </w:pPr>
      <w:r>
        <w:t>3.5 Challenge four: equity</w:t>
      </w:r>
    </w:p>
    <w:p w14:paraId="5FDF7816" w14:textId="77777777" w:rsidR="00D16027" w:rsidRDefault="00000000">
      <w:pPr>
        <w:spacing w:after="140"/>
      </w:pPr>
      <w:r>
        <w:t>AI-informed redesign carries its own equity risks, and Chapter 16 treats them in full. Three deserve early notice. First, access: premium tools cost money, and the HEPI/</w:t>
      </w:r>
      <w:proofErr w:type="spellStart"/>
      <w:r>
        <w:t>Kortext</w:t>
      </w:r>
      <w:proofErr w:type="spellEnd"/>
      <w:r>
        <w:t xml:space="preserve"> 2025 survey found that only 24% of UK students said their institution provided AI tools, although 53% believed it should; the same survey identified a widening digital divide by gender and by prior schooling (Freeman 2025). Second, bias in detection, discussed above, falls hardest on international students, students writing in a second language, and some neurodivergent students. Third, assistive use: for many disabled students AI is a legitimate accessibility tool for drafting, organising and summarising, and blanket prohibitions penalise exactly the students inclusive practice is meant to serve. Holmes and </w:t>
      </w:r>
      <w:proofErr w:type="spellStart"/>
      <w:r>
        <w:t>Porayska-Pomsta</w:t>
      </w:r>
      <w:proofErr w:type="spellEnd"/>
      <w:r>
        <w:t xml:space="preserve"> (2022), UNESCO (2023) and the US Department of Education (2023) all place equity at the centre of responsible institutional AI policy.</w:t>
      </w:r>
    </w:p>
    <w:p w14:paraId="1B0EBCEF" w14:textId="77777777" w:rsidR="00D16027" w:rsidRDefault="00000000">
      <w:pPr>
        <w:pStyle w:val="Heading2"/>
        <w:keepNext/>
      </w:pPr>
      <w:r>
        <w:t>3.6 Challenge five: workload, trust and the educator</w:t>
      </w:r>
    </w:p>
    <w:p w14:paraId="1F72E79B" w14:textId="77777777" w:rsidR="00D16027" w:rsidRDefault="00000000">
      <w:pPr>
        <w:spacing w:after="140"/>
      </w:pPr>
      <w:r>
        <w:t>Redesign costs time. Vivas, interactive orals, staged submissions and portfolio review are more labour-intensive than marking a stack of essays, and the sector's workload problems predate AI (Chapter 1). Policy ambiguity compounds the cost: Chan (2023), drawing on 457 students and 180 staff, found that many academics were uncertain what they were permitted to allow, and that governance and operational support lagged behind pedagogical need. Staff asked to police AI use without clear rules, reliable tools or adequate time report something close to moral distress. Chapter 17 addresses workload directly; the point here is that redesign that ignores it will not survive contact with a semester.</w:t>
      </w:r>
    </w:p>
    <w:p w14:paraId="162BE36D" w14:textId="77777777" w:rsidR="00D16027" w:rsidRDefault="00000000">
      <w:pPr>
        <w:pStyle w:val="Heading2"/>
        <w:keepNext/>
      </w:pPr>
      <w:r>
        <w:t>3.7 The opportunities</w:t>
      </w:r>
    </w:p>
    <w:p w14:paraId="2CC09654" w14:textId="77777777" w:rsidR="00D16027" w:rsidRDefault="00000000">
      <w:pPr>
        <w:spacing w:after="140"/>
      </w:pPr>
      <w:r>
        <w:t>Against these challenges stand opportunities that are just as real, and a book that catalogued only the risks would leave educators worse equipped, not better.</w:t>
      </w:r>
    </w:p>
    <w:p w14:paraId="7353E429" w14:textId="77777777" w:rsidR="00D16027" w:rsidRDefault="00000000">
      <w:pPr>
        <w:spacing w:after="140"/>
      </w:pPr>
      <w:r>
        <w:rPr>
          <w:b/>
          <w:bCs/>
        </w:rPr>
        <w:lastRenderedPageBreak/>
        <w:t>Feedback.</w:t>
      </w:r>
      <w:r>
        <w:t xml:space="preserve"> Feedback is the most powerful and most under-supplied element of assessment (Black &amp; Wiliam 1998; Sadler 1989). </w:t>
      </w:r>
      <w:proofErr w:type="spellStart"/>
      <w:r>
        <w:t>Steiss</w:t>
      </w:r>
      <w:proofErr w:type="spellEnd"/>
      <w:r>
        <w:t xml:space="preserve"> et al. (2024) compared human and ChatGPT feedback on 200 student essays and found humans still superior on most criteria, but AI comparable on alignment with the rubric and dramatically faster. Dai et al. (2023) found AI feedback detailed, consistent and readable. </w:t>
      </w:r>
      <w:proofErr w:type="spellStart"/>
      <w:r>
        <w:t>Banihashem</w:t>
      </w:r>
      <w:proofErr w:type="spellEnd"/>
      <w:r>
        <w:t xml:space="preserve"> et al. (2025) propose a hybrid model in which AI provides a first pass and the educator adds judgement and relationship. Chapter 12 develops this.</w:t>
      </w:r>
    </w:p>
    <w:p w14:paraId="7464FC51" w14:textId="77777777" w:rsidR="00D16027" w:rsidRDefault="00000000">
      <w:pPr>
        <w:spacing w:after="140"/>
      </w:pPr>
      <w:r>
        <w:rPr>
          <w:b/>
          <w:bCs/>
        </w:rPr>
        <w:t>Design assistance.</w:t>
      </w:r>
      <w:r>
        <w:t xml:space="preserve"> AI is a capable collaborator for the educator's own work: drafting rubrics, generating exemplars at different grade levels, producing banks of viva questions, stress-testing a brief for ambiguity, or building case scenarios with variable facts. Nikolic et al. (2023) and </w:t>
      </w:r>
      <w:proofErr w:type="spellStart"/>
      <w:r>
        <w:t>Kasneci</w:t>
      </w:r>
      <w:proofErr w:type="spellEnd"/>
      <w:r>
        <w:t xml:space="preserve"> et al. (2023) both note that the same capability that threatens assessment can accelerate its redesign.</w:t>
      </w:r>
    </w:p>
    <w:p w14:paraId="6130A057" w14:textId="77777777" w:rsidR="00D16027" w:rsidRDefault="00000000">
      <w:pPr>
        <w:spacing w:after="140"/>
      </w:pPr>
      <w:r>
        <w:rPr>
          <w:b/>
          <w:bCs/>
        </w:rPr>
        <w:t>AI literacy as a graduate capability.</w:t>
      </w:r>
      <w:r>
        <w:t xml:space="preserve"> Employers increasingly expect graduates to work with AI competently and critically. Long and </w:t>
      </w:r>
      <w:proofErr w:type="spellStart"/>
      <w:r>
        <w:t>Magerko</w:t>
      </w:r>
      <w:proofErr w:type="spellEnd"/>
      <w:r>
        <w:t xml:space="preserve"> (2020) and Ng et al. (2021) provide frameworks for AI literacy that include not only using tools but evaluating their output and understanding their ethics. Students already see this: career relevance was the strongest single motivation in Chan and Hu's (2023) survey. Chapter 11 treats AI-integrated assessment as a way of teaching and assessing this capability.</w:t>
      </w:r>
    </w:p>
    <w:p w14:paraId="21841F9F" w14:textId="77777777" w:rsidR="00D16027" w:rsidRDefault="00000000">
      <w:pPr>
        <w:spacing w:after="140"/>
      </w:pPr>
      <w:r>
        <w:rPr>
          <w:b/>
          <w:bCs/>
        </w:rPr>
        <w:t>Evaluative judgement.</w:t>
      </w:r>
      <w:r>
        <w:t xml:space="preserve"> Tai et al. (2018) define evaluative judgement as the capability to make decisions about the quality of one's own and others' work. Bearman, Tai, Dawson, Boud and </w:t>
      </w:r>
      <w:proofErr w:type="spellStart"/>
      <w:r>
        <w:t>Ajjawi</w:t>
      </w:r>
      <w:proofErr w:type="spellEnd"/>
      <w:r>
        <w:t xml:space="preserve"> (2024) argue that in an AI-rich world this becomes the central graduate capability: the person who can judge whether an AI output is good, and why, has a skill the machine does not. Tasks built around critique, comparison and justification develop it.</w:t>
      </w:r>
    </w:p>
    <w:p w14:paraId="64BDCD75" w14:textId="77777777" w:rsidR="00D16027" w:rsidRDefault="00000000">
      <w:pPr>
        <w:spacing w:after="140"/>
      </w:pPr>
      <w:r>
        <w:rPr>
          <w:b/>
          <w:bCs/>
        </w:rPr>
        <w:t>Inclusion.</w:t>
      </w:r>
      <w:r>
        <w:t xml:space="preserve"> Used well, AI lowers barriers: it drafts, restructures, translates and summarises for students who find those steps hardest. An assessment regime that permits assistive use while securing the evidence of learning elsewhere can be more inclusive than the one it replaces.</w:t>
      </w:r>
    </w:p>
    <w:p w14:paraId="607FF245" w14:textId="77777777" w:rsidR="00D16027" w:rsidRDefault="00000000">
      <w:pPr>
        <w:spacing w:after="140"/>
      </w:pPr>
      <w:r>
        <w:rPr>
          <w:b/>
          <w:bCs/>
        </w:rPr>
        <w:t>Reduced burden.</w:t>
      </w:r>
      <w:r>
        <w:t xml:space="preserve"> Finally, AI-era redesign is an opportunity to do what assessment scholars have urged for decades (Knight 2002; Boud &amp; </w:t>
      </w:r>
      <w:proofErr w:type="spellStart"/>
      <w:r>
        <w:t>Falchikov</w:t>
      </w:r>
      <w:proofErr w:type="spellEnd"/>
      <w:r>
        <w:t xml:space="preserve"> 2007): fewer, better, more integrated assessments. A programme that replaces a dozen fragmented essays with a smaller number of staged, dialogic tasks may reduce marking load while improving validity.</w:t>
      </w:r>
    </w:p>
    <w:p w14:paraId="277E2912" w14:textId="77777777" w:rsidR="00D16027" w:rsidRDefault="00000000">
      <w:pPr>
        <w:keepNext/>
        <w:spacing w:before="160" w:after="80"/>
      </w:pPr>
      <w:r>
        <w:rPr>
          <w:b/>
          <w:bCs/>
          <w:color w:val="1A4F7A"/>
          <w:sz w:val="20"/>
          <w:szCs w:val="20"/>
        </w:rPr>
        <w:t>Table 3.1  Five challenges and the design response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3286"/>
        <w:gridCol w:w="1700"/>
      </w:tblGrid>
      <w:tr w:rsidR="00D16027" w14:paraId="2E0F82FA" w14:textId="77777777">
        <w:tblPrEx>
          <w:tblCellMar>
            <w:top w:w="0" w:type="dxa"/>
            <w:bottom w:w="0" w:type="dxa"/>
          </w:tblCellMar>
        </w:tblPrEx>
        <w:trPr>
          <w:cantSplit/>
          <w:tblHeader/>
        </w:trPr>
        <w:tc>
          <w:tcPr>
            <w:tcW w:w="1500" w:type="dxa"/>
            <w:shd w:val="clear" w:color="auto" w:fill="2E75B6"/>
            <w:tcMar>
              <w:top w:w="70" w:type="dxa"/>
              <w:left w:w="100" w:type="dxa"/>
              <w:bottom w:w="70" w:type="dxa"/>
              <w:right w:w="100" w:type="dxa"/>
            </w:tcMar>
          </w:tcPr>
          <w:p w14:paraId="2DFA4F83" w14:textId="77777777" w:rsidR="00D16027" w:rsidRDefault="00000000">
            <w:r>
              <w:rPr>
                <w:b/>
                <w:bCs/>
                <w:color w:val="FFFFFF"/>
                <w:sz w:val="19"/>
                <w:szCs w:val="19"/>
              </w:rPr>
              <w:t>Challenge</w:t>
            </w:r>
          </w:p>
        </w:tc>
        <w:tc>
          <w:tcPr>
            <w:tcW w:w="2900" w:type="dxa"/>
            <w:shd w:val="clear" w:color="auto" w:fill="2E75B6"/>
            <w:tcMar>
              <w:top w:w="70" w:type="dxa"/>
              <w:left w:w="100" w:type="dxa"/>
              <w:bottom w:w="70" w:type="dxa"/>
              <w:right w:w="100" w:type="dxa"/>
            </w:tcMar>
          </w:tcPr>
          <w:p w14:paraId="76C9225D" w14:textId="77777777" w:rsidR="00D16027" w:rsidRDefault="00000000">
            <w:r>
              <w:rPr>
                <w:b/>
                <w:bCs/>
                <w:color w:val="FFFFFF"/>
                <w:sz w:val="19"/>
                <w:szCs w:val="19"/>
              </w:rPr>
              <w:t>The risk</w:t>
            </w:r>
          </w:p>
        </w:tc>
        <w:tc>
          <w:tcPr>
            <w:tcW w:w="3286" w:type="dxa"/>
            <w:shd w:val="clear" w:color="auto" w:fill="2E75B6"/>
            <w:tcMar>
              <w:top w:w="70" w:type="dxa"/>
              <w:left w:w="100" w:type="dxa"/>
              <w:bottom w:w="70" w:type="dxa"/>
              <w:right w:w="100" w:type="dxa"/>
            </w:tcMar>
          </w:tcPr>
          <w:p w14:paraId="1D383875" w14:textId="77777777" w:rsidR="00D16027" w:rsidRDefault="00000000">
            <w:r>
              <w:rPr>
                <w:b/>
                <w:bCs/>
                <w:color w:val="FFFFFF"/>
                <w:sz w:val="19"/>
                <w:szCs w:val="19"/>
              </w:rPr>
              <w:t>Design response</w:t>
            </w:r>
          </w:p>
        </w:tc>
        <w:tc>
          <w:tcPr>
            <w:tcW w:w="1700" w:type="dxa"/>
            <w:shd w:val="clear" w:color="auto" w:fill="2E75B6"/>
            <w:tcMar>
              <w:top w:w="70" w:type="dxa"/>
              <w:left w:w="100" w:type="dxa"/>
              <w:bottom w:w="70" w:type="dxa"/>
              <w:right w:w="100" w:type="dxa"/>
            </w:tcMar>
          </w:tcPr>
          <w:p w14:paraId="10DA9EEC" w14:textId="77777777" w:rsidR="00D16027" w:rsidRDefault="00000000">
            <w:r>
              <w:rPr>
                <w:b/>
                <w:bCs/>
                <w:color w:val="FFFFFF"/>
                <w:sz w:val="19"/>
                <w:szCs w:val="19"/>
              </w:rPr>
              <w:t>Where in this book</w:t>
            </w:r>
          </w:p>
        </w:tc>
      </w:tr>
      <w:tr w:rsidR="00D16027" w14:paraId="00A40250" w14:textId="77777777">
        <w:tblPrEx>
          <w:tblCellMar>
            <w:top w:w="0" w:type="dxa"/>
            <w:bottom w:w="0" w:type="dxa"/>
          </w:tblCellMar>
        </w:tblPrEx>
        <w:trPr>
          <w:cantSplit/>
        </w:trPr>
        <w:tc>
          <w:tcPr>
            <w:tcW w:w="1500" w:type="dxa"/>
            <w:tcMar>
              <w:top w:w="70" w:type="dxa"/>
              <w:left w:w="100" w:type="dxa"/>
              <w:bottom w:w="70" w:type="dxa"/>
              <w:right w:w="100" w:type="dxa"/>
            </w:tcMar>
          </w:tcPr>
          <w:p w14:paraId="24206FFD" w14:textId="77777777" w:rsidR="00D16027" w:rsidRDefault="00000000">
            <w:r>
              <w:rPr>
                <w:sz w:val="19"/>
                <w:szCs w:val="19"/>
              </w:rPr>
              <w:t>Validity</w:t>
            </w:r>
          </w:p>
        </w:tc>
        <w:tc>
          <w:tcPr>
            <w:tcW w:w="2900" w:type="dxa"/>
            <w:tcMar>
              <w:top w:w="70" w:type="dxa"/>
              <w:left w:w="100" w:type="dxa"/>
              <w:bottom w:w="70" w:type="dxa"/>
              <w:right w:w="100" w:type="dxa"/>
            </w:tcMar>
          </w:tcPr>
          <w:p w14:paraId="0B74F51C" w14:textId="77777777" w:rsidR="00D16027" w:rsidRDefault="00000000">
            <w:r>
              <w:rPr>
                <w:sz w:val="19"/>
                <w:szCs w:val="19"/>
              </w:rPr>
              <w:t>Products no longer evidence capability</w:t>
            </w:r>
          </w:p>
        </w:tc>
        <w:tc>
          <w:tcPr>
            <w:tcW w:w="3286" w:type="dxa"/>
            <w:tcMar>
              <w:top w:w="70" w:type="dxa"/>
              <w:left w:w="100" w:type="dxa"/>
              <w:bottom w:w="70" w:type="dxa"/>
              <w:right w:w="100" w:type="dxa"/>
            </w:tcMar>
          </w:tcPr>
          <w:p w14:paraId="20EBEF7E" w14:textId="77777777" w:rsidR="00D16027" w:rsidRDefault="00000000">
            <w:r>
              <w:rPr>
                <w:sz w:val="19"/>
                <w:szCs w:val="19"/>
              </w:rPr>
              <w:t>Relocate evidence to process, context, dialogue and performance</w:t>
            </w:r>
          </w:p>
        </w:tc>
        <w:tc>
          <w:tcPr>
            <w:tcW w:w="1700" w:type="dxa"/>
            <w:tcMar>
              <w:top w:w="70" w:type="dxa"/>
              <w:left w:w="100" w:type="dxa"/>
              <w:bottom w:w="70" w:type="dxa"/>
              <w:right w:w="100" w:type="dxa"/>
            </w:tcMar>
          </w:tcPr>
          <w:p w14:paraId="164F70B8" w14:textId="77777777" w:rsidR="00D16027" w:rsidRDefault="00000000">
            <w:r>
              <w:rPr>
                <w:sz w:val="19"/>
                <w:szCs w:val="19"/>
              </w:rPr>
              <w:t>Chapters 4–10</w:t>
            </w:r>
          </w:p>
        </w:tc>
      </w:tr>
      <w:tr w:rsidR="00D16027" w14:paraId="7AE98633" w14:textId="77777777">
        <w:tblPrEx>
          <w:tblCellMar>
            <w:top w:w="0" w:type="dxa"/>
            <w:bottom w:w="0" w:type="dxa"/>
          </w:tblCellMar>
        </w:tblPrEx>
        <w:trPr>
          <w:cantSplit/>
        </w:trPr>
        <w:tc>
          <w:tcPr>
            <w:tcW w:w="1500" w:type="dxa"/>
            <w:tcMar>
              <w:top w:w="70" w:type="dxa"/>
              <w:left w:w="100" w:type="dxa"/>
              <w:bottom w:w="70" w:type="dxa"/>
              <w:right w:w="100" w:type="dxa"/>
            </w:tcMar>
          </w:tcPr>
          <w:p w14:paraId="2EF964C5" w14:textId="77777777" w:rsidR="00D16027" w:rsidRDefault="00000000">
            <w:r>
              <w:rPr>
                <w:sz w:val="19"/>
                <w:szCs w:val="19"/>
              </w:rPr>
              <w:t>Integrity</w:t>
            </w:r>
          </w:p>
        </w:tc>
        <w:tc>
          <w:tcPr>
            <w:tcW w:w="2900" w:type="dxa"/>
            <w:tcMar>
              <w:top w:w="70" w:type="dxa"/>
              <w:left w:w="100" w:type="dxa"/>
              <w:bottom w:w="70" w:type="dxa"/>
              <w:right w:w="100" w:type="dxa"/>
            </w:tcMar>
          </w:tcPr>
          <w:p w14:paraId="309BABC4" w14:textId="77777777" w:rsidR="00D16027" w:rsidRDefault="00000000">
            <w:r>
              <w:rPr>
                <w:sz w:val="19"/>
                <w:szCs w:val="19"/>
              </w:rPr>
              <w:t>Detection is unreliable and biased; adversarial cultures form</w:t>
            </w:r>
          </w:p>
        </w:tc>
        <w:tc>
          <w:tcPr>
            <w:tcW w:w="3286" w:type="dxa"/>
            <w:tcMar>
              <w:top w:w="70" w:type="dxa"/>
              <w:left w:w="100" w:type="dxa"/>
              <w:bottom w:w="70" w:type="dxa"/>
              <w:right w:w="100" w:type="dxa"/>
            </w:tcMar>
          </w:tcPr>
          <w:p w14:paraId="5F194725" w14:textId="77777777" w:rsidR="00D16027" w:rsidRDefault="00000000">
            <w:r>
              <w:rPr>
                <w:sz w:val="19"/>
                <w:szCs w:val="19"/>
              </w:rPr>
              <w:t>Design-led integrity; declaration; transparency</w:t>
            </w:r>
          </w:p>
        </w:tc>
        <w:tc>
          <w:tcPr>
            <w:tcW w:w="1700" w:type="dxa"/>
            <w:tcMar>
              <w:top w:w="70" w:type="dxa"/>
              <w:left w:w="100" w:type="dxa"/>
              <w:bottom w:w="70" w:type="dxa"/>
              <w:right w:w="100" w:type="dxa"/>
            </w:tcMar>
          </w:tcPr>
          <w:p w14:paraId="67CB3CD4" w14:textId="77777777" w:rsidR="00D16027" w:rsidRDefault="00000000">
            <w:r>
              <w:rPr>
                <w:sz w:val="19"/>
                <w:szCs w:val="19"/>
              </w:rPr>
              <w:t>Chapter 15</w:t>
            </w:r>
          </w:p>
        </w:tc>
      </w:tr>
      <w:tr w:rsidR="00D16027" w14:paraId="7926D4B1" w14:textId="77777777">
        <w:tblPrEx>
          <w:tblCellMar>
            <w:top w:w="0" w:type="dxa"/>
            <w:bottom w:w="0" w:type="dxa"/>
          </w:tblCellMar>
        </w:tblPrEx>
        <w:trPr>
          <w:cantSplit/>
        </w:trPr>
        <w:tc>
          <w:tcPr>
            <w:tcW w:w="1500" w:type="dxa"/>
            <w:tcMar>
              <w:top w:w="70" w:type="dxa"/>
              <w:left w:w="100" w:type="dxa"/>
              <w:bottom w:w="70" w:type="dxa"/>
              <w:right w:w="100" w:type="dxa"/>
            </w:tcMar>
          </w:tcPr>
          <w:p w14:paraId="6BCE5606" w14:textId="77777777" w:rsidR="00D16027" w:rsidRDefault="00000000">
            <w:r>
              <w:rPr>
                <w:sz w:val="19"/>
                <w:szCs w:val="19"/>
              </w:rPr>
              <w:t>Learning</w:t>
            </w:r>
          </w:p>
        </w:tc>
        <w:tc>
          <w:tcPr>
            <w:tcW w:w="2900" w:type="dxa"/>
            <w:tcMar>
              <w:top w:w="70" w:type="dxa"/>
              <w:left w:w="100" w:type="dxa"/>
              <w:bottom w:w="70" w:type="dxa"/>
              <w:right w:w="100" w:type="dxa"/>
            </w:tcMar>
          </w:tcPr>
          <w:p w14:paraId="65C71BFD" w14:textId="77777777" w:rsidR="00D16027" w:rsidRDefault="00000000">
            <w:r>
              <w:rPr>
                <w:sz w:val="19"/>
                <w:szCs w:val="19"/>
              </w:rPr>
              <w:t>Over-reliance, metacognitive offloading, homogenisation</w:t>
            </w:r>
          </w:p>
        </w:tc>
        <w:tc>
          <w:tcPr>
            <w:tcW w:w="3286" w:type="dxa"/>
            <w:tcMar>
              <w:top w:w="70" w:type="dxa"/>
              <w:left w:w="100" w:type="dxa"/>
              <w:bottom w:w="70" w:type="dxa"/>
              <w:right w:w="100" w:type="dxa"/>
            </w:tcMar>
          </w:tcPr>
          <w:p w14:paraId="2289A3D6" w14:textId="77777777" w:rsidR="00D16027" w:rsidRDefault="00000000">
            <w:r>
              <w:rPr>
                <w:sz w:val="19"/>
                <w:szCs w:val="19"/>
              </w:rPr>
              <w:t>Scaffolded AI use; evaluative judgement tasks; guardrails</w:t>
            </w:r>
          </w:p>
        </w:tc>
        <w:tc>
          <w:tcPr>
            <w:tcW w:w="1700" w:type="dxa"/>
            <w:tcMar>
              <w:top w:w="70" w:type="dxa"/>
              <w:left w:w="100" w:type="dxa"/>
              <w:bottom w:w="70" w:type="dxa"/>
              <w:right w:w="100" w:type="dxa"/>
            </w:tcMar>
          </w:tcPr>
          <w:p w14:paraId="155F03F0" w14:textId="77777777" w:rsidR="00D16027" w:rsidRDefault="00000000">
            <w:r>
              <w:rPr>
                <w:sz w:val="19"/>
                <w:szCs w:val="19"/>
              </w:rPr>
              <w:t>Chapters 11–12</w:t>
            </w:r>
          </w:p>
        </w:tc>
      </w:tr>
      <w:tr w:rsidR="00D16027" w14:paraId="1D7879A0" w14:textId="77777777">
        <w:tblPrEx>
          <w:tblCellMar>
            <w:top w:w="0" w:type="dxa"/>
            <w:bottom w:w="0" w:type="dxa"/>
          </w:tblCellMar>
        </w:tblPrEx>
        <w:trPr>
          <w:cantSplit/>
        </w:trPr>
        <w:tc>
          <w:tcPr>
            <w:tcW w:w="1500" w:type="dxa"/>
            <w:tcMar>
              <w:top w:w="70" w:type="dxa"/>
              <w:left w:w="100" w:type="dxa"/>
              <w:bottom w:w="70" w:type="dxa"/>
              <w:right w:w="100" w:type="dxa"/>
            </w:tcMar>
          </w:tcPr>
          <w:p w14:paraId="61BA8794" w14:textId="77777777" w:rsidR="00D16027" w:rsidRDefault="00000000">
            <w:r>
              <w:rPr>
                <w:sz w:val="19"/>
                <w:szCs w:val="19"/>
              </w:rPr>
              <w:t>Equity</w:t>
            </w:r>
          </w:p>
        </w:tc>
        <w:tc>
          <w:tcPr>
            <w:tcW w:w="2900" w:type="dxa"/>
            <w:tcMar>
              <w:top w:w="70" w:type="dxa"/>
              <w:left w:w="100" w:type="dxa"/>
              <w:bottom w:w="70" w:type="dxa"/>
              <w:right w:w="100" w:type="dxa"/>
            </w:tcMar>
          </w:tcPr>
          <w:p w14:paraId="4BF02D94" w14:textId="77777777" w:rsidR="00D16027" w:rsidRDefault="00000000">
            <w:r>
              <w:rPr>
                <w:sz w:val="19"/>
                <w:szCs w:val="19"/>
              </w:rPr>
              <w:t>Unequal access; biased detectors; assistive use penalised</w:t>
            </w:r>
          </w:p>
        </w:tc>
        <w:tc>
          <w:tcPr>
            <w:tcW w:w="3286" w:type="dxa"/>
            <w:tcMar>
              <w:top w:w="70" w:type="dxa"/>
              <w:left w:w="100" w:type="dxa"/>
              <w:bottom w:w="70" w:type="dxa"/>
              <w:right w:w="100" w:type="dxa"/>
            </w:tcMar>
          </w:tcPr>
          <w:p w14:paraId="5811676C" w14:textId="77777777" w:rsidR="00D16027" w:rsidRDefault="00000000">
            <w:r>
              <w:rPr>
                <w:sz w:val="19"/>
                <w:szCs w:val="19"/>
              </w:rPr>
              <w:t>Provide tools; drop detection; equity review in every redesign</w:t>
            </w:r>
          </w:p>
        </w:tc>
        <w:tc>
          <w:tcPr>
            <w:tcW w:w="1700" w:type="dxa"/>
            <w:tcMar>
              <w:top w:w="70" w:type="dxa"/>
              <w:left w:w="100" w:type="dxa"/>
              <w:bottom w:w="70" w:type="dxa"/>
              <w:right w:w="100" w:type="dxa"/>
            </w:tcMar>
          </w:tcPr>
          <w:p w14:paraId="2EB98037" w14:textId="77777777" w:rsidR="00D16027" w:rsidRDefault="00000000">
            <w:r>
              <w:rPr>
                <w:sz w:val="19"/>
                <w:szCs w:val="19"/>
              </w:rPr>
              <w:t>Chapter 16</w:t>
            </w:r>
          </w:p>
        </w:tc>
      </w:tr>
      <w:tr w:rsidR="00D16027" w14:paraId="3F3F6720" w14:textId="77777777">
        <w:tblPrEx>
          <w:tblCellMar>
            <w:top w:w="0" w:type="dxa"/>
            <w:bottom w:w="0" w:type="dxa"/>
          </w:tblCellMar>
        </w:tblPrEx>
        <w:trPr>
          <w:cantSplit/>
        </w:trPr>
        <w:tc>
          <w:tcPr>
            <w:tcW w:w="1500" w:type="dxa"/>
            <w:tcMar>
              <w:top w:w="70" w:type="dxa"/>
              <w:left w:w="100" w:type="dxa"/>
              <w:bottom w:w="70" w:type="dxa"/>
              <w:right w:w="100" w:type="dxa"/>
            </w:tcMar>
          </w:tcPr>
          <w:p w14:paraId="31DEB915" w14:textId="77777777" w:rsidR="00D16027" w:rsidRDefault="00000000">
            <w:r>
              <w:rPr>
                <w:sz w:val="19"/>
                <w:szCs w:val="19"/>
              </w:rPr>
              <w:t>Workload</w:t>
            </w:r>
          </w:p>
        </w:tc>
        <w:tc>
          <w:tcPr>
            <w:tcW w:w="2900" w:type="dxa"/>
            <w:tcMar>
              <w:top w:w="70" w:type="dxa"/>
              <w:left w:w="100" w:type="dxa"/>
              <w:bottom w:w="70" w:type="dxa"/>
              <w:right w:w="100" w:type="dxa"/>
            </w:tcMar>
          </w:tcPr>
          <w:p w14:paraId="486F18D2" w14:textId="77777777" w:rsidR="00D16027" w:rsidRDefault="00000000">
            <w:r>
              <w:rPr>
                <w:sz w:val="19"/>
                <w:szCs w:val="19"/>
              </w:rPr>
              <w:t>Resilient formats cost time; policy ambiguity</w:t>
            </w:r>
          </w:p>
        </w:tc>
        <w:tc>
          <w:tcPr>
            <w:tcW w:w="3286" w:type="dxa"/>
            <w:tcMar>
              <w:top w:w="70" w:type="dxa"/>
              <w:left w:w="100" w:type="dxa"/>
              <w:bottom w:w="70" w:type="dxa"/>
              <w:right w:w="100" w:type="dxa"/>
            </w:tcMar>
          </w:tcPr>
          <w:p w14:paraId="691800FC" w14:textId="77777777" w:rsidR="00D16027" w:rsidRDefault="00000000">
            <w:r>
              <w:rPr>
                <w:sz w:val="19"/>
                <w:szCs w:val="19"/>
              </w:rPr>
              <w:t>Fewer, better assessments; clear policy; resourced change</w:t>
            </w:r>
          </w:p>
        </w:tc>
        <w:tc>
          <w:tcPr>
            <w:tcW w:w="1700" w:type="dxa"/>
            <w:tcMar>
              <w:top w:w="70" w:type="dxa"/>
              <w:left w:w="100" w:type="dxa"/>
              <w:bottom w:w="70" w:type="dxa"/>
              <w:right w:w="100" w:type="dxa"/>
            </w:tcMar>
          </w:tcPr>
          <w:p w14:paraId="58EAB570" w14:textId="77777777" w:rsidR="00D16027" w:rsidRDefault="00000000">
            <w:r>
              <w:rPr>
                <w:sz w:val="19"/>
                <w:szCs w:val="19"/>
              </w:rPr>
              <w:t>Chapter 17</w:t>
            </w:r>
          </w:p>
        </w:tc>
      </w:tr>
    </w:tbl>
    <w:p w14:paraId="7E63FD81" w14:textId="77777777" w:rsidR="00D16027" w:rsidRDefault="00D16027">
      <w:pPr>
        <w:spacing w:after="120"/>
      </w:pPr>
    </w:p>
    <w:p w14:paraId="5D01379F" w14:textId="77777777" w:rsidR="00D16027" w:rsidRDefault="00000000">
      <w:pPr>
        <w:pStyle w:val="Heading2"/>
        <w:keepNext/>
      </w:pPr>
      <w:r>
        <w:t>3.8 The dual mandate</w:t>
      </w:r>
    </w:p>
    <w:p w14:paraId="12BFAF0C" w14:textId="77777777" w:rsidR="00D16027" w:rsidRDefault="00000000">
      <w:pPr>
        <w:spacing w:after="140"/>
      </w:pPr>
      <w:r>
        <w:t xml:space="preserve">The sector has, remarkably quickly, converged on a shared response. The Australian regulator's expert report (Lodge et al. 2023) states two guiding principles: assessment should equip students to participate ethically and actively in a society pervaded by AI, and forming trustworthy judgements about student learning requires multiple, inclusive and contextualised approaches. The University of Sydney's two-lane model (Liu &amp; Bridgeman 2023) operationalises this: a small number of secured, </w:t>
      </w:r>
      <w:r>
        <w:lastRenderedPageBreak/>
        <w:t xml:space="preserve">supervised assessments of learning, alongside open assessments for learning in which AI use is expected and scaffolded. The AI Assessment Scale (Perkins, Furze, Roe &amp; </w:t>
      </w:r>
      <w:proofErr w:type="spellStart"/>
      <w:r>
        <w:t>MacVaugh</w:t>
      </w:r>
      <w:proofErr w:type="spellEnd"/>
      <w:r>
        <w:t xml:space="preserve"> 2024) gives educators a five-level vocabulary for telling students exactly what is permitted on each task, and has been adopted in more than 300 institutions. The Russell Group's (2023) five principles commit the UK's research-intensive universities to AI literacy, staff capability, adapted assessment, academic rigour and shared practice.</w:t>
      </w:r>
    </w:p>
    <w:p w14:paraId="5EAB227E" w14:textId="77777777" w:rsidR="00D16027" w:rsidRDefault="00000000">
      <w:pPr>
        <w:pBdr>
          <w:left w:val="single" w:sz="14" w:space="10" w:color="2E75B6"/>
        </w:pBdr>
        <w:shd w:val="clear" w:color="auto" w:fill="EAF3FB"/>
        <w:spacing w:before="80" w:after="160"/>
      </w:pPr>
      <w:r>
        <w:rPr>
          <w:b/>
          <w:bCs/>
          <w:color w:val="333333"/>
        </w:rPr>
        <w:t>The dual mandate.</w:t>
      </w:r>
      <w:r>
        <w:rPr>
          <w:color w:val="333333"/>
        </w:rPr>
        <w:t xml:space="preserve"> Build resilience: secure the evidence of learning where it must be secure. Harness opportunity: use AI to improve feedback, develop judgement and prepare graduates. Neither alone is sufficient; a purely defensive response fails on validity and inclusion, and a purely permissive one fails on assurance.</w:t>
      </w:r>
    </w:p>
    <w:p w14:paraId="66573262"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How the dual mandate looks in three settings</w:t>
      </w:r>
    </w:p>
    <w:p w14:paraId="3A34C80C" w14:textId="77777777" w:rsidR="00D16027" w:rsidRDefault="00000000">
      <w:pPr>
        <w:pBdr>
          <w:left w:val="single" w:sz="14" w:space="10" w:color="4E8A5E"/>
        </w:pBdr>
        <w:shd w:val="clear" w:color="auto" w:fill="EEF6EF"/>
        <w:spacing w:after="60"/>
      </w:pPr>
      <w:r>
        <w:rPr>
          <w:b/>
          <w:bCs/>
          <w:color w:val="333333"/>
          <w:sz w:val="20"/>
          <w:szCs w:val="20"/>
        </w:rPr>
        <w:t>A large first-year psychology module (900 students).</w:t>
      </w:r>
      <w:r>
        <w:rPr>
          <w:color w:val="333333"/>
          <w:sz w:val="20"/>
          <w:szCs w:val="20"/>
        </w:rPr>
        <w:t xml:space="preserve"> The unsupervised essay is retained as a formative task with AI use permitted and declared; the summative weight moves to an in-class structured writing task and a short online oral, sampled. Marking load falls; assurance rises.</w:t>
      </w:r>
    </w:p>
    <w:p w14:paraId="15EB4429" w14:textId="77777777" w:rsidR="00D16027" w:rsidRDefault="00000000">
      <w:pPr>
        <w:pBdr>
          <w:left w:val="single" w:sz="14" w:space="10" w:color="4E8A5E"/>
        </w:pBdr>
        <w:shd w:val="clear" w:color="auto" w:fill="EEF6EF"/>
        <w:spacing w:after="60"/>
      </w:pPr>
      <w:r>
        <w:rPr>
          <w:b/>
          <w:bCs/>
          <w:color w:val="333333"/>
          <w:sz w:val="20"/>
          <w:szCs w:val="20"/>
        </w:rPr>
        <w:t>A final-year architecture design studio.</w:t>
      </w:r>
      <w:r>
        <w:rPr>
          <w:color w:val="333333"/>
          <w:sz w:val="20"/>
          <w:szCs w:val="20"/>
        </w:rPr>
        <w:t xml:space="preserve"> AI image and text generation are integrated into the concept stage and declared in the portfolio; assessment concentrates on the crit, the physical model and the student's defence of decisions. The portfolio evidences process; the crit evidences judgement.</w:t>
      </w:r>
    </w:p>
    <w:p w14:paraId="7DA29D87" w14:textId="77777777" w:rsidR="00D16027" w:rsidRDefault="00000000">
      <w:pPr>
        <w:pBdr>
          <w:left w:val="single" w:sz="14" w:space="10" w:color="4E8A5E"/>
        </w:pBdr>
        <w:shd w:val="clear" w:color="auto" w:fill="EEF6EF"/>
        <w:spacing w:after="200"/>
      </w:pPr>
      <w:r>
        <w:rPr>
          <w:b/>
          <w:bCs/>
          <w:color w:val="333333"/>
          <w:sz w:val="20"/>
          <w:szCs w:val="20"/>
        </w:rPr>
        <w:t>A postgraduate nursing programme.</w:t>
      </w:r>
      <w:r>
        <w:rPr>
          <w:color w:val="333333"/>
          <w:sz w:val="20"/>
          <w:szCs w:val="20"/>
        </w:rPr>
        <w:t xml:space="preserve"> Written care plans are drafted with AI as a permitted tool and then defended in a simulated handover; OSCEs and placement assessments remain secured. Professional-body requirements are met; the AI-enabled task mirrors practice.</w:t>
      </w:r>
    </w:p>
    <w:p w14:paraId="62822C91" w14:textId="77777777" w:rsidR="00D16027" w:rsidRDefault="00000000">
      <w:pPr>
        <w:pStyle w:val="Heading2"/>
        <w:keepNext/>
      </w:pPr>
      <w:r>
        <w:t>What this means for you</w:t>
      </w:r>
    </w:p>
    <w:p w14:paraId="36F49F8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6197CFC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Separate the five challenges when you think about your own modules. A task may be perfectly valid yet unfair, or secure yet pedagogically thin.</w:t>
      </w:r>
    </w:p>
    <w:p w14:paraId="180A32A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Identify one opportunity you can act on this term: AI-assisted rubric drafting, a bank of viva questions, or formative AI feedback with your own review.</w:t>
      </w:r>
    </w:p>
    <w:p w14:paraId="5A45D6BB"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Tell students plainly what the evidence says about detection and what you are doing instead. Candour is the foundation of a credible AI policy.</w:t>
      </w:r>
    </w:p>
    <w:p w14:paraId="444BA84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2582F47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Table 3.1 as an agenda for programme review: which of the five challenges is most acute for your programme, and which opportunity is most within reach?</w:t>
      </w:r>
    </w:p>
    <w:p w14:paraId="2BEA840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a shared vocabulary (two lanes, the AI Assessment Scale) so that module leads and students describe permitted AI use consistently across the programme.</w:t>
      </w:r>
    </w:p>
    <w:p w14:paraId="5ED7DCD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the programme's response includes at least one explicit AI-literacy outcome, mapped to specific tasks.</w:t>
      </w:r>
    </w:p>
    <w:p w14:paraId="1A408F0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39BB043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Do not centre integrity policy on detection tools; the evidence on accuracy and bias is consistent and, on bias, serious.</w:t>
      </w:r>
    </w:p>
    <w:p w14:paraId="569D663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the provision of AI tools and AI-literacy support as an equity obligation, not an optional enhancement.</w:t>
      </w:r>
    </w:p>
    <w:p w14:paraId="6F66C9E1"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Resource redesign as a change programme with time, training and recognition, not as a policy circular.</w:t>
      </w:r>
    </w:p>
    <w:p w14:paraId="555BB9A5" w14:textId="77777777" w:rsidR="00D16027" w:rsidRDefault="00000000">
      <w:pPr>
        <w:pStyle w:val="Heading2"/>
        <w:keepNext/>
      </w:pPr>
      <w:r>
        <w:t>Key references for this chapter</w:t>
      </w:r>
    </w:p>
    <w:p w14:paraId="3AEDC0FD" w14:textId="77777777" w:rsidR="00D16027" w:rsidRDefault="00000000">
      <w:pPr>
        <w:pStyle w:val="ListParagraph"/>
        <w:numPr>
          <w:ilvl w:val="0"/>
          <w:numId w:val="3"/>
        </w:numPr>
        <w:spacing w:before="30" w:after="50"/>
      </w:pPr>
      <w:proofErr w:type="spellStart"/>
      <w:r>
        <w:rPr>
          <w:color w:val="333333"/>
          <w:sz w:val="19"/>
          <w:szCs w:val="19"/>
        </w:rPr>
        <w:t>Banihashem</w:t>
      </w:r>
      <w:proofErr w:type="spellEnd"/>
      <w:r>
        <w:rPr>
          <w:color w:val="333333"/>
          <w:sz w:val="19"/>
          <w:szCs w:val="19"/>
        </w:rPr>
        <w:t xml:space="preserve">, S.K. et al. (2025) A pedagogical framework for hybrid intelligent feedback. </w:t>
      </w:r>
      <w:r>
        <w:rPr>
          <w:i/>
          <w:iCs/>
          <w:color w:val="333333"/>
          <w:sz w:val="19"/>
          <w:szCs w:val="19"/>
        </w:rPr>
        <w:t>Innovations in Education and Teaching International</w:t>
      </w:r>
      <w:r>
        <w:rPr>
          <w:color w:val="333333"/>
          <w:sz w:val="19"/>
          <w:szCs w:val="19"/>
        </w:rPr>
        <w:t xml:space="preserve"> (advance online).</w:t>
      </w:r>
    </w:p>
    <w:p w14:paraId="4E117FC7" w14:textId="77777777" w:rsidR="00D16027" w:rsidRDefault="00000000">
      <w:pPr>
        <w:pStyle w:val="ListParagraph"/>
        <w:numPr>
          <w:ilvl w:val="0"/>
          <w:numId w:val="3"/>
        </w:numPr>
        <w:spacing w:before="30" w:after="50"/>
      </w:pPr>
      <w:r>
        <w:rPr>
          <w:color w:val="333333"/>
          <w:sz w:val="19"/>
          <w:szCs w:val="19"/>
        </w:rPr>
        <w:t xml:space="preserve">Bastani, H., Bastani, O., Sungu, A., Ge, H., </w:t>
      </w:r>
      <w:proofErr w:type="spellStart"/>
      <w:r>
        <w:rPr>
          <w:color w:val="333333"/>
          <w:sz w:val="19"/>
          <w:szCs w:val="19"/>
        </w:rPr>
        <w:t>Kabakcı</w:t>
      </w:r>
      <w:proofErr w:type="spellEnd"/>
      <w:r>
        <w:rPr>
          <w:color w:val="333333"/>
          <w:sz w:val="19"/>
          <w:szCs w:val="19"/>
        </w:rPr>
        <w:t xml:space="preserve">, Ö. &amp; Mariman, R. (2024) </w:t>
      </w:r>
      <w:r>
        <w:rPr>
          <w:i/>
          <w:iCs/>
          <w:color w:val="333333"/>
          <w:sz w:val="19"/>
          <w:szCs w:val="19"/>
        </w:rPr>
        <w:t>Generative AI Can Harm Learning</w:t>
      </w:r>
      <w:r>
        <w:rPr>
          <w:color w:val="333333"/>
          <w:sz w:val="19"/>
          <w:szCs w:val="19"/>
        </w:rPr>
        <w:t>. Wharton School Research Paper / SSRN 4895486.</w:t>
      </w:r>
    </w:p>
    <w:p w14:paraId="105FD548" w14:textId="77777777" w:rsidR="00D16027" w:rsidRDefault="00000000">
      <w:pPr>
        <w:pStyle w:val="ListParagraph"/>
        <w:numPr>
          <w:ilvl w:val="0"/>
          <w:numId w:val="3"/>
        </w:numPr>
        <w:spacing w:before="30" w:after="50"/>
      </w:pPr>
      <w:r>
        <w:rPr>
          <w:color w:val="333333"/>
          <w:sz w:val="19"/>
          <w:szCs w:val="19"/>
        </w:rPr>
        <w:t xml:space="preserve">Bearman, M., Tai, J., Dawson, P., Boud, D. &amp; </w:t>
      </w:r>
      <w:proofErr w:type="spellStart"/>
      <w:r>
        <w:rPr>
          <w:color w:val="333333"/>
          <w:sz w:val="19"/>
          <w:szCs w:val="19"/>
        </w:rPr>
        <w:t>Ajjawi</w:t>
      </w:r>
      <w:proofErr w:type="spellEnd"/>
      <w:r>
        <w:rPr>
          <w:color w:val="333333"/>
          <w:sz w:val="19"/>
          <w:szCs w:val="19"/>
        </w:rPr>
        <w:t xml:space="preserve">, R. (2024) Developing evaluative judgement for a time of generative artificial intelligence. </w:t>
      </w:r>
      <w:r>
        <w:rPr>
          <w:i/>
          <w:iCs/>
          <w:color w:val="333333"/>
          <w:sz w:val="19"/>
          <w:szCs w:val="19"/>
        </w:rPr>
        <w:t>Assessment &amp; Evaluation in Higher Education</w:t>
      </w:r>
      <w:r>
        <w:rPr>
          <w:color w:val="333333"/>
          <w:sz w:val="19"/>
          <w:szCs w:val="19"/>
        </w:rPr>
        <w:t>, 49(6), 893–905.</w:t>
      </w:r>
    </w:p>
    <w:p w14:paraId="4785D26B" w14:textId="77777777" w:rsidR="00D16027" w:rsidRDefault="00000000">
      <w:pPr>
        <w:pStyle w:val="ListParagraph"/>
        <w:numPr>
          <w:ilvl w:val="0"/>
          <w:numId w:val="3"/>
        </w:numPr>
        <w:spacing w:before="30" w:after="50"/>
      </w:pPr>
      <w:r>
        <w:rPr>
          <w:color w:val="333333"/>
          <w:sz w:val="19"/>
          <w:szCs w:val="19"/>
        </w:rPr>
        <w:lastRenderedPageBreak/>
        <w:t xml:space="preserve">Bower, M., Torrington, J., Lai, J.W.M., </w:t>
      </w:r>
      <w:proofErr w:type="spellStart"/>
      <w:r>
        <w:rPr>
          <w:color w:val="333333"/>
          <w:sz w:val="19"/>
          <w:szCs w:val="19"/>
        </w:rPr>
        <w:t>Petocz</w:t>
      </w:r>
      <w:proofErr w:type="spellEnd"/>
      <w:r>
        <w:rPr>
          <w:color w:val="333333"/>
          <w:sz w:val="19"/>
          <w:szCs w:val="19"/>
        </w:rPr>
        <w:t xml:space="preserve">, P. &amp; Alfano, M. (2024) How should we change teaching and assessment in response to increasingly powerful generative artificial intelligence? Outcomes of the ChatGPT teacher survey. </w:t>
      </w:r>
      <w:r>
        <w:rPr>
          <w:i/>
          <w:iCs/>
          <w:color w:val="333333"/>
          <w:sz w:val="19"/>
          <w:szCs w:val="19"/>
        </w:rPr>
        <w:t>Education and Information Technologies</w:t>
      </w:r>
      <w:r>
        <w:rPr>
          <w:color w:val="333333"/>
          <w:sz w:val="19"/>
          <w:szCs w:val="19"/>
        </w:rPr>
        <w:t>, 29, 15403–15439.</w:t>
      </w:r>
    </w:p>
    <w:p w14:paraId="73E6339A"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perceptions, benefits, and challenges in higher education. </w:t>
      </w:r>
      <w:r>
        <w:rPr>
          <w:i/>
          <w:iCs/>
          <w:color w:val="333333"/>
          <w:sz w:val="19"/>
          <w:szCs w:val="19"/>
        </w:rPr>
        <w:t>International Journal of Educational Technology in Higher Education</w:t>
      </w:r>
      <w:r>
        <w:rPr>
          <w:color w:val="333333"/>
          <w:sz w:val="19"/>
          <w:szCs w:val="19"/>
        </w:rPr>
        <w:t>, 20, 43.</w:t>
      </w:r>
    </w:p>
    <w:p w14:paraId="615687E4"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4FA813DD" w14:textId="77777777" w:rsidR="00D16027" w:rsidRDefault="00000000">
      <w:pPr>
        <w:pStyle w:val="ListParagraph"/>
        <w:numPr>
          <w:ilvl w:val="0"/>
          <w:numId w:val="3"/>
        </w:numPr>
        <w:spacing w:before="30" w:after="50"/>
      </w:pPr>
      <w:r>
        <w:rPr>
          <w:color w:val="333333"/>
          <w:sz w:val="19"/>
          <w:szCs w:val="19"/>
        </w:rPr>
        <w:t xml:space="preserve">Cotton, D.R.E., Cotton, P.A. &amp; Shipway, J.R. (2023) Chatting and cheating: ensuring academic integrity in the era of ChatGPT. </w:t>
      </w:r>
      <w:r>
        <w:rPr>
          <w:i/>
          <w:iCs/>
          <w:color w:val="333333"/>
          <w:sz w:val="19"/>
          <w:szCs w:val="19"/>
        </w:rPr>
        <w:t>Innovations in Education and Teaching International</w:t>
      </w:r>
      <w:r>
        <w:rPr>
          <w:color w:val="333333"/>
          <w:sz w:val="19"/>
          <w:szCs w:val="19"/>
        </w:rPr>
        <w:t>, 61(2), 228–239.</w:t>
      </w:r>
    </w:p>
    <w:p w14:paraId="7E0EDD8C" w14:textId="77777777" w:rsidR="00D16027" w:rsidRDefault="00000000">
      <w:pPr>
        <w:pStyle w:val="ListParagraph"/>
        <w:numPr>
          <w:ilvl w:val="0"/>
          <w:numId w:val="3"/>
        </w:numPr>
        <w:spacing w:before="30" w:after="50"/>
      </w:pPr>
      <w:r>
        <w:rPr>
          <w:color w:val="333333"/>
          <w:sz w:val="19"/>
          <w:szCs w:val="19"/>
        </w:rPr>
        <w:t xml:space="preserve">Dai, W. et al. (2023) Can large language models provide feedback to students? A case study on ChatGPT. </w:t>
      </w:r>
      <w:r>
        <w:rPr>
          <w:i/>
          <w:iCs/>
          <w:color w:val="333333"/>
          <w:sz w:val="19"/>
          <w:szCs w:val="19"/>
        </w:rPr>
        <w:t>Proceedings of IEEE ICALT</w:t>
      </w:r>
      <w:r>
        <w:rPr>
          <w:color w:val="333333"/>
          <w:sz w:val="19"/>
          <w:szCs w:val="19"/>
        </w:rPr>
        <w:t>, 323–325.</w:t>
      </w:r>
    </w:p>
    <w:p w14:paraId="1B564304" w14:textId="77777777" w:rsidR="00D16027" w:rsidRDefault="00000000">
      <w:pPr>
        <w:pStyle w:val="ListParagraph"/>
        <w:numPr>
          <w:ilvl w:val="0"/>
          <w:numId w:val="3"/>
        </w:numPr>
        <w:spacing w:before="30" w:after="50"/>
      </w:pPr>
      <w:r>
        <w:rPr>
          <w:color w:val="333333"/>
          <w:sz w:val="19"/>
          <w:szCs w:val="19"/>
        </w:rPr>
        <w:t xml:space="preserve">Darvishi, A., Khosravi, H., Sadiq, S., </w:t>
      </w:r>
      <w:proofErr w:type="spellStart"/>
      <w:r>
        <w:rPr>
          <w:color w:val="333333"/>
          <w:sz w:val="19"/>
          <w:szCs w:val="19"/>
        </w:rPr>
        <w:t>Gašević</w:t>
      </w:r>
      <w:proofErr w:type="spellEnd"/>
      <w:r>
        <w:rPr>
          <w:color w:val="333333"/>
          <w:sz w:val="19"/>
          <w:szCs w:val="19"/>
        </w:rPr>
        <w:t xml:space="preserve">, D. &amp; Siemens, G. (2024) Impact of AI assistance on student agency. </w:t>
      </w:r>
      <w:r>
        <w:rPr>
          <w:i/>
          <w:iCs/>
          <w:color w:val="333333"/>
          <w:sz w:val="19"/>
          <w:szCs w:val="19"/>
        </w:rPr>
        <w:t>Computers &amp; Education</w:t>
      </w:r>
      <w:r>
        <w:rPr>
          <w:color w:val="333333"/>
          <w:sz w:val="19"/>
          <w:szCs w:val="19"/>
        </w:rPr>
        <w:t>, 210, 104967.</w:t>
      </w:r>
    </w:p>
    <w:p w14:paraId="5755AD5E"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0CE8E2D7" w14:textId="77777777" w:rsidR="00D16027" w:rsidRDefault="00000000">
      <w:pPr>
        <w:pStyle w:val="ListParagraph"/>
        <w:numPr>
          <w:ilvl w:val="0"/>
          <w:numId w:val="3"/>
        </w:numPr>
        <w:spacing w:before="30" w:after="50"/>
      </w:pPr>
      <w:r>
        <w:rPr>
          <w:color w:val="333333"/>
          <w:sz w:val="19"/>
          <w:szCs w:val="19"/>
        </w:rPr>
        <w:t xml:space="preserve">Digital Education Council (2024) </w:t>
      </w:r>
      <w:r>
        <w:rPr>
          <w:i/>
          <w:iCs/>
          <w:color w:val="333333"/>
          <w:sz w:val="19"/>
          <w:szCs w:val="19"/>
        </w:rPr>
        <w:t>Global AI Student Survey 2024</w:t>
      </w:r>
      <w:r>
        <w:rPr>
          <w:color w:val="333333"/>
          <w:sz w:val="19"/>
          <w:szCs w:val="19"/>
        </w:rPr>
        <w:t>. Digital Education Council.</w:t>
      </w:r>
    </w:p>
    <w:p w14:paraId="5D5316F7" w14:textId="77777777" w:rsidR="00D16027" w:rsidRDefault="00000000">
      <w:pPr>
        <w:pStyle w:val="ListParagraph"/>
        <w:numPr>
          <w:ilvl w:val="0"/>
          <w:numId w:val="3"/>
        </w:numPr>
        <w:spacing w:before="30" w:after="50"/>
      </w:pPr>
      <w:r>
        <w:rPr>
          <w:color w:val="333333"/>
          <w:sz w:val="19"/>
          <w:szCs w:val="19"/>
        </w:rPr>
        <w:t xml:space="preserve">Eaton, S.E. (2023) </w:t>
      </w:r>
      <w:proofErr w:type="spellStart"/>
      <w:r>
        <w:rPr>
          <w:color w:val="333333"/>
          <w:sz w:val="19"/>
          <w:szCs w:val="19"/>
        </w:rPr>
        <w:t>Postplagiarism</w:t>
      </w:r>
      <w:proofErr w:type="spellEnd"/>
      <w:r>
        <w:rPr>
          <w:color w:val="333333"/>
          <w:sz w:val="19"/>
          <w:szCs w:val="19"/>
        </w:rPr>
        <w:t xml:space="preserve">: transdisciplinary ethics and integrity in the age of artificial intelligence and neurotechnology. </w:t>
      </w:r>
      <w:r>
        <w:rPr>
          <w:i/>
          <w:iCs/>
          <w:color w:val="333333"/>
          <w:sz w:val="19"/>
          <w:szCs w:val="19"/>
        </w:rPr>
        <w:t>International Journal for Educational Integrity</w:t>
      </w:r>
      <w:r>
        <w:rPr>
          <w:color w:val="333333"/>
          <w:sz w:val="19"/>
          <w:szCs w:val="19"/>
        </w:rPr>
        <w:t>, 19, 23.</w:t>
      </w:r>
    </w:p>
    <w:p w14:paraId="57A4D8CC" w14:textId="77777777" w:rsidR="00D16027" w:rsidRDefault="00000000">
      <w:pPr>
        <w:pStyle w:val="ListParagraph"/>
        <w:numPr>
          <w:ilvl w:val="0"/>
          <w:numId w:val="3"/>
        </w:numPr>
        <w:spacing w:before="30" w:after="50"/>
      </w:pPr>
      <w:r>
        <w:rPr>
          <w:color w:val="333333"/>
          <w:sz w:val="19"/>
          <w:szCs w:val="19"/>
        </w:rPr>
        <w:t xml:space="preserve">Fan, Y., Tang, L., Le, H., Shen, K., Tan, S., Zhao, Y., Shen, Y., Li, X. &amp; </w:t>
      </w:r>
      <w:proofErr w:type="spellStart"/>
      <w:r>
        <w:rPr>
          <w:color w:val="333333"/>
          <w:sz w:val="19"/>
          <w:szCs w:val="19"/>
        </w:rPr>
        <w:t>Gašević</w:t>
      </w:r>
      <w:proofErr w:type="spellEnd"/>
      <w:r>
        <w:rPr>
          <w:color w:val="333333"/>
          <w:sz w:val="19"/>
          <w:szCs w:val="19"/>
        </w:rPr>
        <w:t xml:space="preserve">, D. (2025) Beware of metacognitive laziness: effects of generative artificial intelligence on learning motivation, processes, and performance. </w:t>
      </w:r>
      <w:r>
        <w:rPr>
          <w:i/>
          <w:iCs/>
          <w:color w:val="333333"/>
          <w:sz w:val="19"/>
          <w:szCs w:val="19"/>
        </w:rPr>
        <w:t>British Journal of Educational Technology</w:t>
      </w:r>
      <w:r>
        <w:rPr>
          <w:color w:val="333333"/>
          <w:sz w:val="19"/>
          <w:szCs w:val="19"/>
        </w:rPr>
        <w:t>, 56(2), 489–530.</w:t>
      </w:r>
    </w:p>
    <w:p w14:paraId="6A1DE67E" w14:textId="77777777" w:rsidR="00D16027" w:rsidRDefault="00000000">
      <w:pPr>
        <w:pStyle w:val="ListParagraph"/>
        <w:numPr>
          <w:ilvl w:val="0"/>
          <w:numId w:val="3"/>
        </w:numPr>
        <w:spacing w:before="30" w:after="50"/>
      </w:pPr>
      <w:r>
        <w:rPr>
          <w:color w:val="333333"/>
          <w:sz w:val="19"/>
          <w:szCs w:val="19"/>
        </w:rPr>
        <w:t xml:space="preserve">Freeman, J. (2024) </w:t>
      </w:r>
      <w:r>
        <w:rPr>
          <w:i/>
          <w:iCs/>
          <w:color w:val="333333"/>
          <w:sz w:val="19"/>
          <w:szCs w:val="19"/>
        </w:rPr>
        <w:t>Provide or Punish? Students' Views on Generative AI in Higher Education</w:t>
      </w:r>
      <w:r>
        <w:rPr>
          <w:color w:val="333333"/>
          <w:sz w:val="19"/>
          <w:szCs w:val="19"/>
        </w:rPr>
        <w:t>. HEPI Policy Note 51. Oxford: Higher Education Policy Institute.</w:t>
      </w:r>
    </w:p>
    <w:p w14:paraId="18206E8E" w14:textId="77777777" w:rsidR="00D16027" w:rsidRDefault="00000000">
      <w:pPr>
        <w:pStyle w:val="ListParagraph"/>
        <w:numPr>
          <w:ilvl w:val="0"/>
          <w:numId w:val="3"/>
        </w:numPr>
        <w:spacing w:before="30" w:after="50"/>
      </w:pPr>
      <w:r>
        <w:rPr>
          <w:color w:val="333333"/>
          <w:sz w:val="19"/>
          <w:szCs w:val="19"/>
        </w:rPr>
        <w:t xml:space="preserve">Freeman, J. (2025) </w:t>
      </w:r>
      <w:r>
        <w:rPr>
          <w:i/>
          <w:iCs/>
          <w:color w:val="333333"/>
          <w:sz w:val="19"/>
          <w:szCs w:val="19"/>
        </w:rPr>
        <w:t>Student Generative AI Survey 2025</w:t>
      </w:r>
      <w:r>
        <w:rPr>
          <w:color w:val="333333"/>
          <w:sz w:val="19"/>
          <w:szCs w:val="19"/>
        </w:rPr>
        <w:t xml:space="preserve">. HEPI Policy Note 61. Oxford: Higher Education Policy Institute / </w:t>
      </w:r>
      <w:proofErr w:type="spellStart"/>
      <w:r>
        <w:rPr>
          <w:color w:val="333333"/>
          <w:sz w:val="19"/>
          <w:szCs w:val="19"/>
        </w:rPr>
        <w:t>Kortext</w:t>
      </w:r>
      <w:proofErr w:type="spellEnd"/>
      <w:r>
        <w:rPr>
          <w:color w:val="333333"/>
          <w:sz w:val="19"/>
          <w:szCs w:val="19"/>
        </w:rPr>
        <w:t>.</w:t>
      </w:r>
    </w:p>
    <w:p w14:paraId="2F3DFDF3" w14:textId="77777777" w:rsidR="00D16027" w:rsidRDefault="00000000">
      <w:pPr>
        <w:pStyle w:val="ListParagraph"/>
        <w:numPr>
          <w:ilvl w:val="0"/>
          <w:numId w:val="3"/>
        </w:numPr>
        <w:spacing w:before="30" w:after="50"/>
      </w:pPr>
      <w:r>
        <w:rPr>
          <w:color w:val="333333"/>
          <w:sz w:val="19"/>
          <w:szCs w:val="19"/>
        </w:rPr>
        <w:t xml:space="preserve">Holmes, W. &amp; </w:t>
      </w:r>
      <w:proofErr w:type="spellStart"/>
      <w:r>
        <w:rPr>
          <w:color w:val="333333"/>
          <w:sz w:val="19"/>
          <w:szCs w:val="19"/>
        </w:rPr>
        <w:t>Porayska-Pomsta</w:t>
      </w:r>
      <w:proofErr w:type="spellEnd"/>
      <w:r>
        <w:rPr>
          <w:color w:val="333333"/>
          <w:sz w:val="19"/>
          <w:szCs w:val="19"/>
        </w:rPr>
        <w:t xml:space="preserve">, K. (eds.) (2022) </w:t>
      </w:r>
      <w:r>
        <w:rPr>
          <w:i/>
          <w:iCs/>
          <w:color w:val="333333"/>
          <w:sz w:val="19"/>
          <w:szCs w:val="19"/>
        </w:rPr>
        <w:t>The Ethics of Artificial Intelligence in Education: Practices, Challenges, and Debates</w:t>
      </w:r>
      <w:r>
        <w:rPr>
          <w:color w:val="333333"/>
          <w:sz w:val="19"/>
          <w:szCs w:val="19"/>
        </w:rPr>
        <w:t>. London: Routledge.</w:t>
      </w:r>
    </w:p>
    <w:p w14:paraId="78442E3D" w14:textId="77777777" w:rsidR="00D16027" w:rsidRDefault="00000000">
      <w:pPr>
        <w:pStyle w:val="ListParagraph"/>
        <w:numPr>
          <w:ilvl w:val="0"/>
          <w:numId w:val="3"/>
        </w:numPr>
        <w:spacing w:before="30" w:after="50"/>
      </w:pPr>
      <w:r>
        <w:rPr>
          <w:color w:val="333333"/>
          <w:sz w:val="19"/>
          <w:szCs w:val="19"/>
        </w:rPr>
        <w:t>Inoshita, K., Omura, M., Yamanaka, T., Maeda, G. &amp; Tsuji, K. (2026) Does AI homogenize student thinking? A multi-dimensional analysis of structural convergence in AI-augmented essays. arXiv:2603.21228 (preprint).</w:t>
      </w:r>
    </w:p>
    <w:p w14:paraId="6AAEC7A1" w14:textId="77777777" w:rsidR="00D16027" w:rsidRDefault="00000000">
      <w:pPr>
        <w:pStyle w:val="ListParagraph"/>
        <w:numPr>
          <w:ilvl w:val="0"/>
          <w:numId w:val="3"/>
        </w:numPr>
        <w:spacing w:before="30" w:after="50"/>
      </w:pPr>
      <w:proofErr w:type="spellStart"/>
      <w:r>
        <w:rPr>
          <w:color w:val="333333"/>
          <w:sz w:val="19"/>
          <w:szCs w:val="19"/>
        </w:rPr>
        <w:t>Kasneci</w:t>
      </w:r>
      <w:proofErr w:type="spellEnd"/>
      <w:r>
        <w:rPr>
          <w:color w:val="333333"/>
          <w:sz w:val="19"/>
          <w:szCs w:val="19"/>
        </w:rPr>
        <w:t xml:space="preserve">, E. et al. (2023) ChatGPT for good? On opportunities and challenges of large language models for education. </w:t>
      </w:r>
      <w:r>
        <w:rPr>
          <w:i/>
          <w:iCs/>
          <w:color w:val="333333"/>
          <w:sz w:val="19"/>
          <w:szCs w:val="19"/>
        </w:rPr>
        <w:t>Learning and Individual Differences</w:t>
      </w:r>
      <w:r>
        <w:rPr>
          <w:color w:val="333333"/>
          <w:sz w:val="19"/>
          <w:szCs w:val="19"/>
        </w:rPr>
        <w:t>, 103, 102274.</w:t>
      </w:r>
    </w:p>
    <w:p w14:paraId="4E2D53DD"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3BF72019" w14:textId="77777777" w:rsidR="00D16027" w:rsidRDefault="00000000">
      <w:pPr>
        <w:pStyle w:val="ListParagraph"/>
        <w:numPr>
          <w:ilvl w:val="0"/>
          <w:numId w:val="3"/>
        </w:numPr>
        <w:spacing w:before="30" w:after="50"/>
      </w:pPr>
      <w:r>
        <w:rPr>
          <w:color w:val="333333"/>
          <w:sz w:val="19"/>
          <w:szCs w:val="19"/>
        </w:rPr>
        <w:t xml:space="preserve">Liu, D. &amp; Bridgeman, A. (2023) What to do about assessments if we can't out-design or out-run AI? </w:t>
      </w:r>
      <w:proofErr w:type="spellStart"/>
      <w:r>
        <w:rPr>
          <w:i/>
          <w:iCs/>
          <w:color w:val="333333"/>
          <w:sz w:val="19"/>
          <w:szCs w:val="19"/>
        </w:rPr>
        <w:t>Teaching@Sydney</w:t>
      </w:r>
      <w:proofErr w:type="spellEnd"/>
      <w:r>
        <w:rPr>
          <w:color w:val="333333"/>
          <w:sz w:val="19"/>
          <w:szCs w:val="19"/>
        </w:rPr>
        <w:t>, University of Sydney.</w:t>
      </w:r>
    </w:p>
    <w:p w14:paraId="12973E9E"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4F49FD94" w14:textId="77777777" w:rsidR="00D16027" w:rsidRDefault="00000000">
      <w:pPr>
        <w:pStyle w:val="ListParagraph"/>
        <w:numPr>
          <w:ilvl w:val="0"/>
          <w:numId w:val="3"/>
        </w:numPr>
        <w:spacing w:before="30" w:after="50"/>
      </w:pPr>
      <w:r>
        <w:rPr>
          <w:color w:val="333333"/>
          <w:sz w:val="19"/>
          <w:szCs w:val="19"/>
        </w:rPr>
        <w:t xml:space="preserve">Long, D. &amp; </w:t>
      </w:r>
      <w:proofErr w:type="spellStart"/>
      <w:r>
        <w:rPr>
          <w:color w:val="333333"/>
          <w:sz w:val="19"/>
          <w:szCs w:val="19"/>
        </w:rPr>
        <w:t>Magerko</w:t>
      </w:r>
      <w:proofErr w:type="spellEnd"/>
      <w:r>
        <w:rPr>
          <w:color w:val="333333"/>
          <w:sz w:val="19"/>
          <w:szCs w:val="19"/>
        </w:rPr>
        <w:t xml:space="preserve">, B. (2020) What is AI literacy? Competencies and design considerations. </w:t>
      </w:r>
      <w:r>
        <w:rPr>
          <w:i/>
          <w:iCs/>
          <w:color w:val="333333"/>
          <w:sz w:val="19"/>
          <w:szCs w:val="19"/>
        </w:rPr>
        <w:t>Proceedings of the 2020 CHI Conference on Human Factors in Computing Systems</w:t>
      </w:r>
      <w:r>
        <w:rPr>
          <w:color w:val="333333"/>
          <w:sz w:val="19"/>
          <w:szCs w:val="19"/>
        </w:rPr>
        <w:t>, 1–16.</w:t>
      </w:r>
    </w:p>
    <w:p w14:paraId="6491E9DC" w14:textId="77777777" w:rsidR="00D16027" w:rsidRDefault="00000000">
      <w:pPr>
        <w:pStyle w:val="ListParagraph"/>
        <w:numPr>
          <w:ilvl w:val="0"/>
          <w:numId w:val="3"/>
        </w:numPr>
        <w:spacing w:before="30" w:after="50"/>
      </w:pPr>
      <w:r>
        <w:rPr>
          <w:color w:val="333333"/>
          <w:sz w:val="19"/>
          <w:szCs w:val="19"/>
        </w:rPr>
        <w:t xml:space="preserve">Ng, D.T.K., Leung, J.K.L., Chu, S.K.W. &amp; Qiao, M.S. (2021) Conceptualizing AI literacy: an exploratory review. </w:t>
      </w:r>
      <w:r>
        <w:rPr>
          <w:i/>
          <w:iCs/>
          <w:color w:val="333333"/>
          <w:sz w:val="19"/>
          <w:szCs w:val="19"/>
        </w:rPr>
        <w:t>Computers and Education: Artificial Intelligence</w:t>
      </w:r>
      <w:r>
        <w:rPr>
          <w:color w:val="333333"/>
          <w:sz w:val="19"/>
          <w:szCs w:val="19"/>
        </w:rPr>
        <w:t>, 2, 100041.</w:t>
      </w:r>
    </w:p>
    <w:p w14:paraId="4CC5879F" w14:textId="77777777" w:rsidR="00D16027" w:rsidRDefault="00000000">
      <w:pPr>
        <w:pStyle w:val="ListParagraph"/>
        <w:numPr>
          <w:ilvl w:val="0"/>
          <w:numId w:val="3"/>
        </w:numPr>
        <w:spacing w:before="30" w:after="50"/>
      </w:pPr>
      <w:r>
        <w:rPr>
          <w:color w:val="333333"/>
          <w:sz w:val="19"/>
          <w:szCs w:val="19"/>
        </w:rPr>
        <w:t xml:space="preserve">Perkins, M. (2023) Academic integrity considerations of AI large language models in the post-pandemic era: ChatGPT and beyond. </w:t>
      </w:r>
      <w:r>
        <w:rPr>
          <w:i/>
          <w:iCs/>
          <w:color w:val="333333"/>
          <w:sz w:val="19"/>
          <w:szCs w:val="19"/>
        </w:rPr>
        <w:t>Journal of University Teaching and Learning Practice</w:t>
      </w:r>
      <w:r>
        <w:rPr>
          <w:color w:val="333333"/>
          <w:sz w:val="19"/>
          <w:szCs w:val="19"/>
        </w:rPr>
        <w:t>, 20(2).</w:t>
      </w:r>
    </w:p>
    <w:p w14:paraId="50F0AB6A" w14:textId="77777777" w:rsidR="00D16027" w:rsidRDefault="00000000">
      <w:pPr>
        <w:pStyle w:val="ListParagraph"/>
        <w:numPr>
          <w:ilvl w:val="0"/>
          <w:numId w:val="3"/>
        </w:numPr>
        <w:spacing w:before="30" w:after="50"/>
      </w:pPr>
      <w:r>
        <w:rPr>
          <w:color w:val="333333"/>
          <w:sz w:val="19"/>
          <w:szCs w:val="19"/>
        </w:rPr>
        <w:t xml:space="preserve">Perkins, M., Furze, L., Roe, J. &amp; </w:t>
      </w:r>
      <w:proofErr w:type="spellStart"/>
      <w:r>
        <w:rPr>
          <w:color w:val="333333"/>
          <w:sz w:val="19"/>
          <w:szCs w:val="19"/>
        </w:rPr>
        <w:t>MacVaugh</w:t>
      </w:r>
      <w:proofErr w:type="spellEnd"/>
      <w:r>
        <w:rPr>
          <w:color w:val="333333"/>
          <w:sz w:val="19"/>
          <w:szCs w:val="19"/>
        </w:rPr>
        <w:t xml:space="preserve">, J. (2024) The Artificial Intelligence Assessment Scale (AIAS): a framework for ethical integration of generative AI in educational assessment. </w:t>
      </w:r>
      <w:r>
        <w:rPr>
          <w:i/>
          <w:iCs/>
          <w:color w:val="333333"/>
          <w:sz w:val="19"/>
          <w:szCs w:val="19"/>
        </w:rPr>
        <w:t>Journal of University Teaching and Learning Practice</w:t>
      </w:r>
      <w:r>
        <w:rPr>
          <w:color w:val="333333"/>
          <w:sz w:val="19"/>
          <w:szCs w:val="19"/>
        </w:rPr>
        <w:t>, 21(6).</w:t>
      </w:r>
    </w:p>
    <w:p w14:paraId="3BECD461" w14:textId="77777777" w:rsidR="00D16027" w:rsidRDefault="00000000">
      <w:pPr>
        <w:pStyle w:val="ListParagraph"/>
        <w:numPr>
          <w:ilvl w:val="0"/>
          <w:numId w:val="3"/>
        </w:numPr>
        <w:spacing w:before="30" w:after="50"/>
      </w:pPr>
      <w:r>
        <w:rPr>
          <w:color w:val="333333"/>
          <w:sz w:val="19"/>
          <w:szCs w:val="19"/>
        </w:rPr>
        <w:t xml:space="preserve">Russell Group (2023) </w:t>
      </w:r>
      <w:r>
        <w:rPr>
          <w:i/>
          <w:iCs/>
          <w:color w:val="333333"/>
          <w:sz w:val="19"/>
          <w:szCs w:val="19"/>
        </w:rPr>
        <w:t>Russell Group Principles on the Use of Generative AI Tools in Education</w:t>
      </w:r>
      <w:r>
        <w:rPr>
          <w:color w:val="333333"/>
          <w:sz w:val="19"/>
          <w:szCs w:val="19"/>
        </w:rPr>
        <w:t>. London: Russell Group.</w:t>
      </w:r>
    </w:p>
    <w:p w14:paraId="079C6309" w14:textId="77777777" w:rsidR="00D16027" w:rsidRDefault="00000000">
      <w:pPr>
        <w:pStyle w:val="ListParagraph"/>
        <w:numPr>
          <w:ilvl w:val="0"/>
          <w:numId w:val="3"/>
        </w:numPr>
        <w:spacing w:before="30" w:after="50"/>
      </w:pPr>
      <w:proofErr w:type="spellStart"/>
      <w:r>
        <w:rPr>
          <w:color w:val="333333"/>
          <w:sz w:val="19"/>
          <w:szCs w:val="19"/>
        </w:rPr>
        <w:t>Steiss</w:t>
      </w:r>
      <w:proofErr w:type="spellEnd"/>
      <w:r>
        <w:rPr>
          <w:color w:val="333333"/>
          <w:sz w:val="19"/>
          <w:szCs w:val="19"/>
        </w:rPr>
        <w:t xml:space="preserve">, J., Tate, T., Graham, S., Cruz, J., Hebert, M., Wang, J., Moon, Y., Tseng, W., Warschauer, M. &amp; Olson, C.B. (2024) Comparing the quality of human and ChatGPT feedback of students' writing. </w:t>
      </w:r>
      <w:r>
        <w:rPr>
          <w:i/>
          <w:iCs/>
          <w:color w:val="333333"/>
          <w:sz w:val="19"/>
          <w:szCs w:val="19"/>
        </w:rPr>
        <w:t>Learning and Instruction</w:t>
      </w:r>
      <w:r>
        <w:rPr>
          <w:color w:val="333333"/>
          <w:sz w:val="19"/>
          <w:szCs w:val="19"/>
        </w:rPr>
        <w:t>, 91, 101894.</w:t>
      </w:r>
    </w:p>
    <w:p w14:paraId="159002ED"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Boud, D., Dawson, P. &amp; Panadero, E. (2018) Developing evaluative judgement: enabling students to make decisions about the quality of work. </w:t>
      </w:r>
      <w:r>
        <w:rPr>
          <w:i/>
          <w:iCs/>
          <w:color w:val="333333"/>
          <w:sz w:val="19"/>
          <w:szCs w:val="19"/>
        </w:rPr>
        <w:t>Higher Education</w:t>
      </w:r>
      <w:r>
        <w:rPr>
          <w:color w:val="333333"/>
          <w:sz w:val="19"/>
          <w:szCs w:val="19"/>
        </w:rPr>
        <w:t>, 76(3), 467–481.</w:t>
      </w:r>
    </w:p>
    <w:p w14:paraId="50CCE97B" w14:textId="77777777" w:rsidR="00D16027" w:rsidRDefault="00000000">
      <w:pPr>
        <w:pStyle w:val="ListParagraph"/>
        <w:numPr>
          <w:ilvl w:val="0"/>
          <w:numId w:val="3"/>
        </w:numPr>
        <w:spacing w:before="30" w:after="50"/>
      </w:pPr>
      <w:r>
        <w:rPr>
          <w:color w:val="333333"/>
          <w:sz w:val="19"/>
          <w:szCs w:val="19"/>
        </w:rPr>
        <w:t xml:space="preserve">UNESCO (Miao, F. &amp; Holmes, W.) (2023) </w:t>
      </w:r>
      <w:r>
        <w:rPr>
          <w:i/>
          <w:iCs/>
          <w:color w:val="333333"/>
          <w:sz w:val="19"/>
          <w:szCs w:val="19"/>
        </w:rPr>
        <w:t>Guidance for Generative AI in Education and Research</w:t>
      </w:r>
      <w:r>
        <w:rPr>
          <w:color w:val="333333"/>
          <w:sz w:val="19"/>
          <w:szCs w:val="19"/>
        </w:rPr>
        <w:t>. Paris: UNESCO.</w:t>
      </w:r>
    </w:p>
    <w:p w14:paraId="6025F40A" w14:textId="77777777" w:rsidR="00D16027" w:rsidRDefault="00000000">
      <w:pPr>
        <w:pStyle w:val="ListParagraph"/>
        <w:numPr>
          <w:ilvl w:val="0"/>
          <w:numId w:val="3"/>
        </w:numPr>
        <w:spacing w:before="30" w:after="50"/>
      </w:pPr>
      <w:r>
        <w:rPr>
          <w:color w:val="333333"/>
          <w:sz w:val="19"/>
          <w:szCs w:val="19"/>
        </w:rPr>
        <w:t xml:space="preserve">US Department of Education, Office of Educational Technology (2023) </w:t>
      </w:r>
      <w:r>
        <w:rPr>
          <w:i/>
          <w:iCs/>
          <w:color w:val="333333"/>
          <w:sz w:val="19"/>
          <w:szCs w:val="19"/>
        </w:rPr>
        <w:t>Artificial Intelligence and the Future of Teaching and Learning: Insights and Recommendations</w:t>
      </w:r>
      <w:r>
        <w:rPr>
          <w:color w:val="333333"/>
          <w:sz w:val="19"/>
          <w:szCs w:val="19"/>
        </w:rPr>
        <w:t>. Washington, DC.</w:t>
      </w:r>
    </w:p>
    <w:p w14:paraId="2B10141A" w14:textId="77777777" w:rsidR="00D16027" w:rsidRDefault="00000000">
      <w:pPr>
        <w:pStyle w:val="ListParagraph"/>
        <w:numPr>
          <w:ilvl w:val="0"/>
          <w:numId w:val="3"/>
        </w:numPr>
        <w:spacing w:before="30" w:after="50"/>
      </w:pPr>
      <w:r>
        <w:rPr>
          <w:color w:val="333333"/>
          <w:sz w:val="19"/>
          <w:szCs w:val="19"/>
        </w:rPr>
        <w:lastRenderedPageBreak/>
        <w:t xml:space="preserve">Weber-Wulff, D. et al. (2023) Testing of detection tools for AI-generated text. </w:t>
      </w:r>
      <w:r>
        <w:rPr>
          <w:i/>
          <w:iCs/>
          <w:color w:val="333333"/>
          <w:sz w:val="19"/>
          <w:szCs w:val="19"/>
        </w:rPr>
        <w:t>International Journal for Educational Integrity</w:t>
      </w:r>
      <w:r>
        <w:rPr>
          <w:color w:val="333333"/>
          <w:sz w:val="19"/>
          <w:szCs w:val="19"/>
        </w:rPr>
        <w:t>, 19, 26.</w:t>
      </w:r>
    </w:p>
    <w:p w14:paraId="22DFF593" w14:textId="77777777" w:rsidR="00D16027" w:rsidRDefault="00000000">
      <w:pPr>
        <w:pStyle w:val="ListParagraph"/>
        <w:numPr>
          <w:ilvl w:val="0"/>
          <w:numId w:val="3"/>
        </w:numPr>
        <w:spacing w:before="30" w:after="50"/>
      </w:pPr>
      <w:r>
        <w:rPr>
          <w:color w:val="333333"/>
          <w:sz w:val="19"/>
          <w:szCs w:val="19"/>
        </w:rPr>
        <w:t xml:space="preserve">Yan, L., Greiff, S., Teuber, Z. &amp; </w:t>
      </w:r>
      <w:proofErr w:type="spellStart"/>
      <w:r>
        <w:rPr>
          <w:color w:val="333333"/>
          <w:sz w:val="19"/>
          <w:szCs w:val="19"/>
        </w:rPr>
        <w:t>Gašević</w:t>
      </w:r>
      <w:proofErr w:type="spellEnd"/>
      <w:r>
        <w:rPr>
          <w:color w:val="333333"/>
          <w:sz w:val="19"/>
          <w:szCs w:val="19"/>
        </w:rPr>
        <w:t xml:space="preserve">, D. (2024) Promises and challenges of generative artificial intelligence for human learning. </w:t>
      </w:r>
      <w:r>
        <w:rPr>
          <w:i/>
          <w:iCs/>
          <w:color w:val="333333"/>
          <w:sz w:val="19"/>
          <w:szCs w:val="19"/>
        </w:rPr>
        <w:t>Nature Human Behaviour</w:t>
      </w:r>
      <w:r>
        <w:rPr>
          <w:color w:val="333333"/>
          <w:sz w:val="19"/>
          <w:szCs w:val="19"/>
        </w:rPr>
        <w:t>, 8(10), 1839–1850.</w:t>
      </w:r>
    </w:p>
    <w:p w14:paraId="04DCD0DD" w14:textId="77777777" w:rsidR="00D16027" w:rsidRDefault="00000000">
      <w:r>
        <w:br w:type="page"/>
      </w:r>
    </w:p>
    <w:p w14:paraId="26455433" w14:textId="77777777" w:rsidR="00D16027" w:rsidRDefault="00D16027">
      <w:pPr>
        <w:spacing w:after="800"/>
      </w:pPr>
    </w:p>
    <w:p w14:paraId="4CBBFEEB" w14:textId="77777777" w:rsidR="00D16027" w:rsidRDefault="00000000">
      <w:pPr>
        <w:spacing w:after="60"/>
      </w:pPr>
      <w:r>
        <w:rPr>
          <w:b/>
          <w:bCs/>
          <w:vanish/>
          <w:color w:val="2E75B6"/>
          <w:sz w:val="30"/>
          <w:szCs w:val="30"/>
        </w:rPr>
        <w:t>PART II</w:t>
      </w:r>
    </w:p>
    <w:p w14:paraId="632F67C4" w14:textId="77777777" w:rsidR="00D16027" w:rsidRDefault="00000000">
      <w:pPr>
        <w:pStyle w:val="Heading1"/>
        <w:keepNext/>
        <w:pBdr>
          <w:bottom w:val="single" w:sz="12" w:space="6" w:color="2E75B6"/>
        </w:pBdr>
        <w:spacing w:after="200"/>
      </w:pPr>
      <w:r>
        <w:rPr>
          <w:sz w:val="48"/>
          <w:szCs w:val="48"/>
        </w:rPr>
        <w:t>Part II: Foundations for AI-Informed Assessment Design</w:t>
      </w:r>
    </w:p>
    <w:p w14:paraId="2CACC7B6" w14:textId="77777777" w:rsidR="00D16027" w:rsidRDefault="00000000">
      <w:pPr>
        <w:spacing w:before="200" w:after="120"/>
      </w:pPr>
      <w:r>
        <w:rPr>
          <w:i/>
          <w:iCs/>
          <w:color w:val="555555"/>
          <w:sz w:val="23"/>
          <w:szCs w:val="23"/>
        </w:rPr>
        <w:t>Outcomes, validity and the spectrum from AI-excluded to AI-integrated assessment: the three foundations on which every redesign decision in this book rests.</w:t>
      </w:r>
    </w:p>
    <w:p w14:paraId="7B764E1B" w14:textId="77777777" w:rsidR="00D16027" w:rsidRDefault="00000000">
      <w:r>
        <w:br w:type="page"/>
      </w:r>
    </w:p>
    <w:p w14:paraId="049F5C78" w14:textId="77777777" w:rsidR="00D16027" w:rsidRDefault="00000000">
      <w:pPr>
        <w:keepNext/>
        <w:spacing w:after="40"/>
      </w:pPr>
      <w:r>
        <w:rPr>
          <w:b/>
          <w:bCs/>
          <w:caps/>
          <w:color w:val="2E75B6"/>
          <w:sz w:val="22"/>
          <w:szCs w:val="22"/>
        </w:rPr>
        <w:lastRenderedPageBreak/>
        <w:t>CHAPTER 4</w:t>
      </w:r>
    </w:p>
    <w:p w14:paraId="70AB2867" w14:textId="77777777" w:rsidR="00D16027" w:rsidRDefault="00000000">
      <w:pPr>
        <w:pStyle w:val="Heading1"/>
        <w:keepNext/>
      </w:pPr>
      <w:r>
        <w:t>Starting with Learning: Outcomes First</w:t>
      </w:r>
    </w:p>
    <w:p w14:paraId="7139FC30" w14:textId="77777777" w:rsidR="00D16027" w:rsidRDefault="00000000">
      <w:pPr>
        <w:pBdr>
          <w:left w:val="single" w:sz="14" w:space="10" w:color="2E75B6"/>
        </w:pBdr>
        <w:shd w:val="clear" w:color="auto" w:fill="EAF3FB"/>
        <w:spacing w:after="200"/>
      </w:pPr>
      <w:r>
        <w:rPr>
          <w:i/>
          <w:iCs/>
          <w:color w:val="333333"/>
        </w:rPr>
        <w:t>The most powerful antidote to AI-driven assessment anxiety is rigorous clarity about what learning we are actually trying to assess. This chapter returns to first principles and argues that generative AI makes outcome-focused design more important than ever, not less.</w:t>
      </w:r>
    </w:p>
    <w:p w14:paraId="588CB88B"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2990971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Diagnose drift between learning outcomes and the tasks that claim to assess them</w:t>
      </w:r>
    </w:p>
    <w:p w14:paraId="2B0245F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outcomes that specify what a student must personally demonstrate, and under what conditions</w:t>
      </w:r>
    </w:p>
    <w:p w14:paraId="11422BE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a cognitive taxonomy to audit the level and AI exposure of an assessment portfolio without over-trusting it</w:t>
      </w:r>
    </w:p>
    <w:p w14:paraId="329B38B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Apply backward design to build an evidence map for a module or programme</w:t>
      </w:r>
    </w:p>
    <w:p w14:paraId="07DB0791" w14:textId="77777777" w:rsidR="00D16027" w:rsidRDefault="00000000">
      <w:pPr>
        <w:pStyle w:val="Heading2"/>
        <w:keepNext/>
      </w:pPr>
      <w:r>
        <w:t>4.1 Why outcomes drift</w:t>
      </w:r>
    </w:p>
    <w:p w14:paraId="78BE05A9" w14:textId="77777777" w:rsidR="00D16027" w:rsidRDefault="00000000">
      <w:pPr>
        <w:spacing w:after="140"/>
      </w:pPr>
      <w:r>
        <w:t>Learning outcomes were meant to be the anchor of assessment design. In practice they are often written for validation panels rather than for teaching, approved once, and left untouched while the tasks beneath them change with each new module leader. Hussey and Smith (2002, 2003) documented the problem two decades ago: outcomes phrased in verbs so vague ("understand", "be aware of", "appreciate") that almost any task could be said to assess them, and outcomes so numerous that no assessment could plausibly cover them all. The result is a familiar mismatch. The module handbook promises that students will "critically evaluate competing theoretical perspectives"; the assessment is a 2,000-word essay that rewards a well-organised summary of the textbook.</w:t>
      </w:r>
    </w:p>
    <w:p w14:paraId="2CEC293E" w14:textId="77777777" w:rsidR="00D16027" w:rsidRDefault="00000000">
      <w:pPr>
        <w:spacing w:after="140"/>
      </w:pPr>
      <w:r>
        <w:t>Biggs and Tang (2011) call the remedy constructive alignment, and the principle is simple: the assessment task must require students to do what the outcome describes. Before generative AI, misalignment was a quality problem that could be lived with, because the summary essay at least demonstrated reading and writing. It is now a validity problem, because summary and organisation are exactly what a language model produces best. Every gap between an outcome's verb and a task's real demand is a gap through which AI substitution can pass unnoticed.</w:t>
      </w:r>
    </w:p>
    <w:p w14:paraId="7AF70B4F" w14:textId="77777777" w:rsidR="00D16027" w:rsidRDefault="00000000">
      <w:pPr>
        <w:pStyle w:val="Heading2"/>
        <w:keepNext/>
      </w:pPr>
      <w:r>
        <w:t>4.2 What AI changes about outcomes</w:t>
      </w:r>
    </w:p>
    <w:p w14:paraId="7279C317" w14:textId="77777777" w:rsidR="00D16027" w:rsidRDefault="00000000">
      <w:pPr>
        <w:spacing w:after="140"/>
      </w:pPr>
      <w:r>
        <w:t xml:space="preserve">Two changes follow. The first is that outcomes must say what a student must </w:t>
      </w:r>
      <w:r>
        <w:rPr>
          <w:i/>
          <w:iCs/>
        </w:rPr>
        <w:t>personally</w:t>
      </w:r>
      <w:r>
        <w:t xml:space="preserve"> demonstrate. An outcome that describes a product ("produce a marketing report") tells us nothing about who or what produced it. An outcome that describes an enacted capability in a specified context ("develop and defend a marketing strategy for a named client, drawing on data the student has gathered") does. Mager's (1962) old formula for objectives, performance plus conditions plus criterion, has acquired new force: the </w:t>
      </w:r>
      <w:r>
        <w:rPr>
          <w:i/>
          <w:iCs/>
        </w:rPr>
        <w:t>conditions</w:t>
      </w:r>
      <w:r>
        <w:t xml:space="preserve"> element now has to state whether the demonstration is supervised, unsupervised, dialogic, and with or without AI.</w:t>
      </w:r>
    </w:p>
    <w:p w14:paraId="443E510D" w14:textId="77777777" w:rsidR="00D16027" w:rsidRDefault="00000000">
      <w:pPr>
        <w:spacing w:after="140"/>
      </w:pPr>
      <w:r>
        <w:t xml:space="preserve">The second change is that some outcomes should now include AI. The first of the two principles in the Australian regulator's expert report is that assessment should equip students to participate ethically and actively in a society pervaded by AI (Lodge et al. 2023). Frameworks for AI literacy (Long &amp; </w:t>
      </w:r>
      <w:proofErr w:type="spellStart"/>
      <w:r>
        <w:t>Magerko</w:t>
      </w:r>
      <w:proofErr w:type="spellEnd"/>
      <w:r>
        <w:t xml:space="preserve"> 2020; Ng et al. 2021) identify capabilities that belong in many programmes: using AI tools appropriately, evaluating their output against disciplinary standards, and understanding their limitations and ethics. Bearman, Tai, Dawson, Boud and </w:t>
      </w:r>
      <w:proofErr w:type="spellStart"/>
      <w:r>
        <w:t>Ajjawi</w:t>
      </w:r>
      <w:proofErr w:type="spellEnd"/>
      <w:r>
        <w:t xml:space="preserve"> (2024) argue that evaluative judgement, the ability to decide whether work (including AI-generated work) is good and why, is the graduate capability that matters most. Where these capabilities are intended, they should be written as outcomes and assessed, not left to chance.</w:t>
      </w:r>
    </w:p>
    <w:p w14:paraId="25B837C4" w14:textId="77777777" w:rsidR="00D16027" w:rsidRDefault="00000000">
      <w:pPr>
        <w:pBdr>
          <w:left w:val="single" w:sz="14" w:space="10" w:color="2E75B6"/>
        </w:pBdr>
        <w:shd w:val="clear" w:color="auto" w:fill="EAF3FB"/>
        <w:spacing w:before="80" w:after="160"/>
      </w:pPr>
      <w:r>
        <w:rPr>
          <w:b/>
          <w:bCs/>
          <w:color w:val="333333"/>
        </w:rPr>
        <w:t>Two kinds of outcome, both explicit.</w:t>
      </w:r>
      <w:r>
        <w:rPr>
          <w:color w:val="333333"/>
        </w:rPr>
        <w:t xml:space="preserve"> Outcomes whose demonstration must be human and student-specific (clinical skill, situated judgement, original inquiry), and outcomes that involve working with AI (using, evaluating, correcting, declaring). A programme needs to know which is which, because they are assessed in different zones (Chapter 6).</w:t>
      </w:r>
    </w:p>
    <w:p w14:paraId="27401E17" w14:textId="77777777" w:rsidR="00D16027" w:rsidRDefault="00000000">
      <w:pPr>
        <w:pStyle w:val="Heading2"/>
        <w:keepNext/>
      </w:pPr>
      <w:r>
        <w:lastRenderedPageBreak/>
        <w:t>4.3 A taxonomy audit, and its limits</w:t>
      </w:r>
    </w:p>
    <w:p w14:paraId="61CF218F" w14:textId="77777777" w:rsidR="00D16027" w:rsidRDefault="00000000">
      <w:pPr>
        <w:spacing w:after="140"/>
      </w:pPr>
      <w:r>
        <w:t xml:space="preserve">Cognitive taxonomies give a shared vocabulary for the level of demand an outcome makes. The revised Bloom's taxonomy (Anderson &amp; Krathwohl 2001) distinguishes six processes (remember, understand, apply, analyse, evaluate, create) crossed with four kinds of knowledge (factual, conceptual, procedural, metacognitive). The SOLO taxonomy (Biggs &amp; Collis 1982) describes the structure of a response from </w:t>
      </w:r>
      <w:proofErr w:type="spellStart"/>
      <w:r>
        <w:t>prestructural</w:t>
      </w:r>
      <w:proofErr w:type="spellEnd"/>
      <w:r>
        <w:t xml:space="preserve"> through </w:t>
      </w:r>
      <w:proofErr w:type="spellStart"/>
      <w:r>
        <w:t>multistructural</w:t>
      </w:r>
      <w:proofErr w:type="spellEnd"/>
      <w:r>
        <w:t xml:space="preserve"> to relational and extended abstract. Either can be used to audit a portfolio: list every summative task, code its real demand rather than its stated demand, and look at the distribution.</w:t>
      </w:r>
    </w:p>
    <w:p w14:paraId="6247568B" w14:textId="77777777" w:rsidR="00D16027" w:rsidRDefault="00000000">
      <w:pPr>
        <w:spacing w:after="140"/>
      </w:pPr>
      <w:r>
        <w:t xml:space="preserve">The audit is valuable, but one caution is essential. It is tempting to conclude that lower-order tasks are AI-exposed and higher-order tasks are safe. That was roughly true in 2022 and is not true now. Nikolic et al. (2023) found AI producing acceptable analysis and evaluation in engineering; Katz et al. (2024) found it passing the essay and performance components of the bar examination. Level alone no longer protects. What protects is level </w:t>
      </w:r>
      <w:r>
        <w:rPr>
          <w:i/>
          <w:iCs/>
        </w:rPr>
        <w:t>in combination with</w:t>
      </w:r>
      <w:r>
        <w:t xml:space="preserve"> specificity of context and visibility of process. An outcome at the "create" level assessed through an unsupervised generic product is more exposed than an outcome at the "apply" level assessed through a supervised performance.</w:t>
      </w:r>
    </w:p>
    <w:p w14:paraId="65D00C67" w14:textId="77777777" w:rsidR="00D16027" w:rsidRDefault="00000000">
      <w:pPr>
        <w:keepNext/>
        <w:spacing w:before="160" w:after="80"/>
      </w:pPr>
      <w:r>
        <w:rPr>
          <w:b/>
          <w:bCs/>
          <w:color w:val="1A4F7A"/>
          <w:sz w:val="20"/>
          <w:szCs w:val="20"/>
        </w:rPr>
        <w:t>Table 4.1  Cognitive level and AI exposure: level helps, but context and process protect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700"/>
        <w:gridCol w:w="2786"/>
      </w:tblGrid>
      <w:tr w:rsidR="00D16027" w14:paraId="421B2E78"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7978B98F" w14:textId="77777777" w:rsidR="00D16027" w:rsidRDefault="00000000">
            <w:r>
              <w:rPr>
                <w:b/>
                <w:bCs/>
                <w:color w:val="FFFFFF"/>
                <w:sz w:val="19"/>
                <w:szCs w:val="19"/>
              </w:rPr>
              <w:t>Process level (Anderson &amp; Krathwohl 2001)</w:t>
            </w:r>
          </w:p>
        </w:tc>
        <w:tc>
          <w:tcPr>
            <w:tcW w:w="1900" w:type="dxa"/>
            <w:shd w:val="clear" w:color="auto" w:fill="2E75B6"/>
            <w:tcMar>
              <w:top w:w="70" w:type="dxa"/>
              <w:left w:w="100" w:type="dxa"/>
              <w:bottom w:w="70" w:type="dxa"/>
              <w:right w:w="100" w:type="dxa"/>
            </w:tcMar>
          </w:tcPr>
          <w:p w14:paraId="2773A39A" w14:textId="77777777" w:rsidR="00D16027" w:rsidRDefault="00000000">
            <w:r>
              <w:rPr>
                <w:b/>
                <w:bCs/>
                <w:color w:val="FFFFFF"/>
                <w:sz w:val="19"/>
                <w:szCs w:val="19"/>
              </w:rPr>
              <w:t>Typical verbs</w:t>
            </w:r>
          </w:p>
        </w:tc>
        <w:tc>
          <w:tcPr>
            <w:tcW w:w="2700" w:type="dxa"/>
            <w:shd w:val="clear" w:color="auto" w:fill="2E75B6"/>
            <w:tcMar>
              <w:top w:w="70" w:type="dxa"/>
              <w:left w:w="100" w:type="dxa"/>
              <w:bottom w:w="70" w:type="dxa"/>
              <w:right w:w="100" w:type="dxa"/>
            </w:tcMar>
          </w:tcPr>
          <w:p w14:paraId="1A582024" w14:textId="77777777" w:rsidR="00D16027" w:rsidRDefault="00000000">
            <w:r>
              <w:rPr>
                <w:b/>
                <w:bCs/>
                <w:color w:val="FFFFFF"/>
                <w:sz w:val="19"/>
                <w:szCs w:val="19"/>
              </w:rPr>
              <w:t>AI exposure when unsupervised and generic</w:t>
            </w:r>
          </w:p>
        </w:tc>
        <w:tc>
          <w:tcPr>
            <w:tcW w:w="2786" w:type="dxa"/>
            <w:shd w:val="clear" w:color="auto" w:fill="2E75B6"/>
            <w:tcMar>
              <w:top w:w="70" w:type="dxa"/>
              <w:left w:w="100" w:type="dxa"/>
              <w:bottom w:w="70" w:type="dxa"/>
              <w:right w:w="100" w:type="dxa"/>
            </w:tcMar>
          </w:tcPr>
          <w:p w14:paraId="41D5CCB6" w14:textId="77777777" w:rsidR="00D16027" w:rsidRDefault="00000000">
            <w:r>
              <w:rPr>
                <w:b/>
                <w:bCs/>
                <w:color w:val="FFFFFF"/>
                <w:sz w:val="19"/>
                <w:szCs w:val="19"/>
              </w:rPr>
              <w:t>What reduces exposure</w:t>
            </w:r>
          </w:p>
        </w:tc>
      </w:tr>
      <w:tr w:rsidR="00D16027" w14:paraId="1E3957BD" w14:textId="77777777">
        <w:tblPrEx>
          <w:tblCellMar>
            <w:top w:w="0" w:type="dxa"/>
            <w:bottom w:w="0" w:type="dxa"/>
          </w:tblCellMar>
        </w:tblPrEx>
        <w:trPr>
          <w:cantSplit/>
        </w:trPr>
        <w:tc>
          <w:tcPr>
            <w:tcW w:w="2000" w:type="dxa"/>
            <w:tcMar>
              <w:top w:w="70" w:type="dxa"/>
              <w:left w:w="100" w:type="dxa"/>
              <w:bottom w:w="70" w:type="dxa"/>
              <w:right w:w="100" w:type="dxa"/>
            </w:tcMar>
          </w:tcPr>
          <w:p w14:paraId="27D28EF5" w14:textId="77777777" w:rsidR="00D16027" w:rsidRDefault="00000000">
            <w:r>
              <w:rPr>
                <w:sz w:val="19"/>
                <w:szCs w:val="19"/>
              </w:rPr>
              <w:t>Remember / understand</w:t>
            </w:r>
          </w:p>
        </w:tc>
        <w:tc>
          <w:tcPr>
            <w:tcW w:w="1900" w:type="dxa"/>
            <w:tcMar>
              <w:top w:w="70" w:type="dxa"/>
              <w:left w:w="100" w:type="dxa"/>
              <w:bottom w:w="70" w:type="dxa"/>
              <w:right w:w="100" w:type="dxa"/>
            </w:tcMar>
          </w:tcPr>
          <w:p w14:paraId="53C30CEB" w14:textId="77777777" w:rsidR="00D16027" w:rsidRDefault="00000000">
            <w:r>
              <w:rPr>
                <w:sz w:val="19"/>
                <w:szCs w:val="19"/>
              </w:rPr>
              <w:t>define, describe, summarise, explain</w:t>
            </w:r>
          </w:p>
        </w:tc>
        <w:tc>
          <w:tcPr>
            <w:tcW w:w="2700" w:type="dxa"/>
            <w:tcMar>
              <w:top w:w="70" w:type="dxa"/>
              <w:left w:w="100" w:type="dxa"/>
              <w:bottom w:w="70" w:type="dxa"/>
              <w:right w:w="100" w:type="dxa"/>
            </w:tcMar>
          </w:tcPr>
          <w:p w14:paraId="7CD36AE2" w14:textId="77777777" w:rsidR="00D16027" w:rsidRDefault="00000000">
            <w:r>
              <w:rPr>
                <w:sz w:val="19"/>
                <w:szCs w:val="19"/>
              </w:rPr>
              <w:t>Very high: this is what LLMs do best</w:t>
            </w:r>
          </w:p>
        </w:tc>
        <w:tc>
          <w:tcPr>
            <w:tcW w:w="2786" w:type="dxa"/>
            <w:tcMar>
              <w:top w:w="70" w:type="dxa"/>
              <w:left w:w="100" w:type="dxa"/>
              <w:bottom w:w="70" w:type="dxa"/>
              <w:right w:w="100" w:type="dxa"/>
            </w:tcMar>
          </w:tcPr>
          <w:p w14:paraId="55B8664C" w14:textId="77777777" w:rsidR="00D16027" w:rsidRDefault="00000000">
            <w:r>
              <w:rPr>
                <w:sz w:val="19"/>
                <w:szCs w:val="19"/>
              </w:rPr>
              <w:t>Supervised conditions; or accept the task as formative only</w:t>
            </w:r>
          </w:p>
        </w:tc>
      </w:tr>
      <w:tr w:rsidR="00D16027" w14:paraId="487C1F20" w14:textId="77777777">
        <w:tblPrEx>
          <w:tblCellMar>
            <w:top w:w="0" w:type="dxa"/>
            <w:bottom w:w="0" w:type="dxa"/>
          </w:tblCellMar>
        </w:tblPrEx>
        <w:trPr>
          <w:cantSplit/>
        </w:trPr>
        <w:tc>
          <w:tcPr>
            <w:tcW w:w="2000" w:type="dxa"/>
            <w:tcMar>
              <w:top w:w="70" w:type="dxa"/>
              <w:left w:w="100" w:type="dxa"/>
              <w:bottom w:w="70" w:type="dxa"/>
              <w:right w:w="100" w:type="dxa"/>
            </w:tcMar>
          </w:tcPr>
          <w:p w14:paraId="18E7B73E" w14:textId="77777777" w:rsidR="00D16027" w:rsidRDefault="00000000">
            <w:r>
              <w:rPr>
                <w:sz w:val="19"/>
                <w:szCs w:val="19"/>
              </w:rPr>
              <w:t>Apply</w:t>
            </w:r>
          </w:p>
        </w:tc>
        <w:tc>
          <w:tcPr>
            <w:tcW w:w="1900" w:type="dxa"/>
            <w:tcMar>
              <w:top w:w="70" w:type="dxa"/>
              <w:left w:w="100" w:type="dxa"/>
              <w:bottom w:w="70" w:type="dxa"/>
              <w:right w:w="100" w:type="dxa"/>
            </w:tcMar>
          </w:tcPr>
          <w:p w14:paraId="0C6D873D" w14:textId="77777777" w:rsidR="00D16027" w:rsidRDefault="00000000">
            <w:r>
              <w:rPr>
                <w:sz w:val="19"/>
                <w:szCs w:val="19"/>
              </w:rPr>
              <w:t>calculate, implement, demonstrate, solve</w:t>
            </w:r>
          </w:p>
        </w:tc>
        <w:tc>
          <w:tcPr>
            <w:tcW w:w="2700" w:type="dxa"/>
            <w:tcMar>
              <w:top w:w="70" w:type="dxa"/>
              <w:left w:w="100" w:type="dxa"/>
              <w:bottom w:w="70" w:type="dxa"/>
              <w:right w:w="100" w:type="dxa"/>
            </w:tcMar>
          </w:tcPr>
          <w:p w14:paraId="60E9EE19" w14:textId="77777777" w:rsidR="00D16027" w:rsidRDefault="00000000">
            <w:r>
              <w:rPr>
                <w:sz w:val="19"/>
                <w:szCs w:val="19"/>
              </w:rPr>
              <w:t>High for text and code; lower for physical or embodied application</w:t>
            </w:r>
          </w:p>
        </w:tc>
        <w:tc>
          <w:tcPr>
            <w:tcW w:w="2786" w:type="dxa"/>
            <w:tcMar>
              <w:top w:w="70" w:type="dxa"/>
              <w:left w:w="100" w:type="dxa"/>
              <w:bottom w:w="70" w:type="dxa"/>
              <w:right w:w="100" w:type="dxa"/>
            </w:tcMar>
          </w:tcPr>
          <w:p w14:paraId="0960251A" w14:textId="77777777" w:rsidR="00D16027" w:rsidRDefault="00000000">
            <w:r>
              <w:rPr>
                <w:sz w:val="19"/>
                <w:szCs w:val="19"/>
              </w:rPr>
              <w:t>Live demonstration; local data; problems with novel parameters</w:t>
            </w:r>
          </w:p>
        </w:tc>
      </w:tr>
      <w:tr w:rsidR="00D16027" w14:paraId="42EE6B03" w14:textId="77777777">
        <w:tblPrEx>
          <w:tblCellMar>
            <w:top w:w="0" w:type="dxa"/>
            <w:bottom w:w="0" w:type="dxa"/>
          </w:tblCellMar>
        </w:tblPrEx>
        <w:trPr>
          <w:cantSplit/>
        </w:trPr>
        <w:tc>
          <w:tcPr>
            <w:tcW w:w="2000" w:type="dxa"/>
            <w:tcMar>
              <w:top w:w="70" w:type="dxa"/>
              <w:left w:w="100" w:type="dxa"/>
              <w:bottom w:w="70" w:type="dxa"/>
              <w:right w:w="100" w:type="dxa"/>
            </w:tcMar>
          </w:tcPr>
          <w:p w14:paraId="5CC2EFCE" w14:textId="77777777" w:rsidR="00D16027" w:rsidRDefault="00000000">
            <w:r>
              <w:rPr>
                <w:sz w:val="19"/>
                <w:szCs w:val="19"/>
              </w:rPr>
              <w:t>Analyse</w:t>
            </w:r>
          </w:p>
        </w:tc>
        <w:tc>
          <w:tcPr>
            <w:tcW w:w="1900" w:type="dxa"/>
            <w:tcMar>
              <w:top w:w="70" w:type="dxa"/>
              <w:left w:w="100" w:type="dxa"/>
              <w:bottom w:w="70" w:type="dxa"/>
              <w:right w:w="100" w:type="dxa"/>
            </w:tcMar>
          </w:tcPr>
          <w:p w14:paraId="3D76A23B" w14:textId="77777777" w:rsidR="00D16027" w:rsidRDefault="00000000">
            <w:r>
              <w:rPr>
                <w:sz w:val="19"/>
                <w:szCs w:val="19"/>
              </w:rPr>
              <w:t>compare, differentiate, examine, deconstruct</w:t>
            </w:r>
          </w:p>
        </w:tc>
        <w:tc>
          <w:tcPr>
            <w:tcW w:w="2700" w:type="dxa"/>
            <w:tcMar>
              <w:top w:w="70" w:type="dxa"/>
              <w:left w:w="100" w:type="dxa"/>
              <w:bottom w:w="70" w:type="dxa"/>
              <w:right w:w="100" w:type="dxa"/>
            </w:tcMar>
          </w:tcPr>
          <w:p w14:paraId="0B3A7699" w14:textId="77777777" w:rsidR="00D16027" w:rsidRDefault="00000000">
            <w:r>
              <w:rPr>
                <w:sz w:val="19"/>
                <w:szCs w:val="19"/>
              </w:rPr>
              <w:t>High when the object of analysis is in the training data or supplied digitally</w:t>
            </w:r>
          </w:p>
        </w:tc>
        <w:tc>
          <w:tcPr>
            <w:tcW w:w="2786" w:type="dxa"/>
            <w:tcMar>
              <w:top w:w="70" w:type="dxa"/>
              <w:left w:w="100" w:type="dxa"/>
              <w:bottom w:w="70" w:type="dxa"/>
              <w:right w:w="100" w:type="dxa"/>
            </w:tcMar>
          </w:tcPr>
          <w:p w14:paraId="5CE471CB" w14:textId="77777777" w:rsidR="00D16027" w:rsidRDefault="00000000">
            <w:r>
              <w:rPr>
                <w:sz w:val="19"/>
                <w:szCs w:val="19"/>
              </w:rPr>
              <w:t>Student-gathered data; local cases; analysis defended orally</w:t>
            </w:r>
          </w:p>
        </w:tc>
      </w:tr>
      <w:tr w:rsidR="00D16027" w14:paraId="42D1C55F" w14:textId="77777777">
        <w:tblPrEx>
          <w:tblCellMar>
            <w:top w:w="0" w:type="dxa"/>
            <w:bottom w:w="0" w:type="dxa"/>
          </w:tblCellMar>
        </w:tblPrEx>
        <w:trPr>
          <w:cantSplit/>
        </w:trPr>
        <w:tc>
          <w:tcPr>
            <w:tcW w:w="2000" w:type="dxa"/>
            <w:tcMar>
              <w:top w:w="70" w:type="dxa"/>
              <w:left w:w="100" w:type="dxa"/>
              <w:bottom w:w="70" w:type="dxa"/>
              <w:right w:w="100" w:type="dxa"/>
            </w:tcMar>
          </w:tcPr>
          <w:p w14:paraId="4F8C2C01" w14:textId="77777777" w:rsidR="00D16027" w:rsidRDefault="00000000">
            <w:r>
              <w:rPr>
                <w:sz w:val="19"/>
                <w:szCs w:val="19"/>
              </w:rPr>
              <w:t>Evaluate</w:t>
            </w:r>
          </w:p>
        </w:tc>
        <w:tc>
          <w:tcPr>
            <w:tcW w:w="1900" w:type="dxa"/>
            <w:tcMar>
              <w:top w:w="70" w:type="dxa"/>
              <w:left w:w="100" w:type="dxa"/>
              <w:bottom w:w="70" w:type="dxa"/>
              <w:right w:w="100" w:type="dxa"/>
            </w:tcMar>
          </w:tcPr>
          <w:p w14:paraId="4F80FB01" w14:textId="77777777" w:rsidR="00D16027" w:rsidRDefault="00000000">
            <w:r>
              <w:rPr>
                <w:sz w:val="19"/>
                <w:szCs w:val="19"/>
              </w:rPr>
              <w:t>critique, judge, justify, appraise</w:t>
            </w:r>
          </w:p>
        </w:tc>
        <w:tc>
          <w:tcPr>
            <w:tcW w:w="2700" w:type="dxa"/>
            <w:tcMar>
              <w:top w:w="70" w:type="dxa"/>
              <w:left w:w="100" w:type="dxa"/>
              <w:bottom w:w="70" w:type="dxa"/>
              <w:right w:w="100" w:type="dxa"/>
            </w:tcMar>
          </w:tcPr>
          <w:p w14:paraId="222A2AA2" w14:textId="77777777" w:rsidR="00D16027" w:rsidRDefault="00000000">
            <w:r>
              <w:rPr>
                <w:sz w:val="19"/>
                <w:szCs w:val="19"/>
              </w:rPr>
              <w:t>Moderate to high in the abstract; lower when criteria are specific and contested</w:t>
            </w:r>
          </w:p>
        </w:tc>
        <w:tc>
          <w:tcPr>
            <w:tcW w:w="2786" w:type="dxa"/>
            <w:tcMar>
              <w:top w:w="70" w:type="dxa"/>
              <w:left w:w="100" w:type="dxa"/>
              <w:bottom w:w="70" w:type="dxa"/>
              <w:right w:w="100" w:type="dxa"/>
            </w:tcMar>
          </w:tcPr>
          <w:p w14:paraId="46B25774" w14:textId="77777777" w:rsidR="00D16027" w:rsidRDefault="00000000">
            <w:r>
              <w:rPr>
                <w:sz w:val="19"/>
                <w:szCs w:val="19"/>
              </w:rPr>
              <w:t>Evaluation of the student's own prior work or of AI output; dialogue</w:t>
            </w:r>
          </w:p>
        </w:tc>
      </w:tr>
      <w:tr w:rsidR="00D16027" w14:paraId="373AE45E" w14:textId="77777777">
        <w:tblPrEx>
          <w:tblCellMar>
            <w:top w:w="0" w:type="dxa"/>
            <w:bottom w:w="0" w:type="dxa"/>
          </w:tblCellMar>
        </w:tblPrEx>
        <w:trPr>
          <w:cantSplit/>
        </w:trPr>
        <w:tc>
          <w:tcPr>
            <w:tcW w:w="2000" w:type="dxa"/>
            <w:tcMar>
              <w:top w:w="70" w:type="dxa"/>
              <w:left w:w="100" w:type="dxa"/>
              <w:bottom w:w="70" w:type="dxa"/>
              <w:right w:w="100" w:type="dxa"/>
            </w:tcMar>
          </w:tcPr>
          <w:p w14:paraId="048DAB40" w14:textId="77777777" w:rsidR="00D16027" w:rsidRDefault="00000000">
            <w:r>
              <w:rPr>
                <w:sz w:val="19"/>
                <w:szCs w:val="19"/>
              </w:rPr>
              <w:t>Create</w:t>
            </w:r>
          </w:p>
        </w:tc>
        <w:tc>
          <w:tcPr>
            <w:tcW w:w="1900" w:type="dxa"/>
            <w:tcMar>
              <w:top w:w="70" w:type="dxa"/>
              <w:left w:w="100" w:type="dxa"/>
              <w:bottom w:w="70" w:type="dxa"/>
              <w:right w:w="100" w:type="dxa"/>
            </w:tcMar>
          </w:tcPr>
          <w:p w14:paraId="49EF72A4" w14:textId="77777777" w:rsidR="00D16027" w:rsidRDefault="00000000">
            <w:r>
              <w:rPr>
                <w:sz w:val="19"/>
                <w:szCs w:val="19"/>
              </w:rPr>
              <w:t>design, compose, construct, produce</w:t>
            </w:r>
          </w:p>
        </w:tc>
        <w:tc>
          <w:tcPr>
            <w:tcW w:w="2700" w:type="dxa"/>
            <w:tcMar>
              <w:top w:w="70" w:type="dxa"/>
              <w:left w:w="100" w:type="dxa"/>
              <w:bottom w:w="70" w:type="dxa"/>
              <w:right w:w="100" w:type="dxa"/>
            </w:tcMar>
          </w:tcPr>
          <w:p w14:paraId="020DE6DB" w14:textId="77777777" w:rsidR="00D16027" w:rsidRDefault="00000000">
            <w:r>
              <w:rPr>
                <w:sz w:val="19"/>
                <w:szCs w:val="19"/>
              </w:rPr>
              <w:t>High for text, image and code products</w:t>
            </w:r>
          </w:p>
        </w:tc>
        <w:tc>
          <w:tcPr>
            <w:tcW w:w="2786" w:type="dxa"/>
            <w:tcMar>
              <w:top w:w="70" w:type="dxa"/>
              <w:left w:w="100" w:type="dxa"/>
              <w:bottom w:w="70" w:type="dxa"/>
              <w:right w:w="100" w:type="dxa"/>
            </w:tcMar>
          </w:tcPr>
          <w:p w14:paraId="6A5E1AE6" w14:textId="77777777" w:rsidR="00D16027" w:rsidRDefault="00000000">
            <w:r>
              <w:rPr>
                <w:sz w:val="19"/>
                <w:szCs w:val="19"/>
              </w:rPr>
              <w:t>Process evidence; iteration; performance; client constraints</w:t>
            </w:r>
          </w:p>
        </w:tc>
      </w:tr>
      <w:tr w:rsidR="00D16027" w14:paraId="7C8C4A9F" w14:textId="77777777">
        <w:tblPrEx>
          <w:tblCellMar>
            <w:top w:w="0" w:type="dxa"/>
            <w:bottom w:w="0" w:type="dxa"/>
          </w:tblCellMar>
        </w:tblPrEx>
        <w:trPr>
          <w:cantSplit/>
        </w:trPr>
        <w:tc>
          <w:tcPr>
            <w:tcW w:w="2000" w:type="dxa"/>
            <w:tcMar>
              <w:top w:w="70" w:type="dxa"/>
              <w:left w:w="100" w:type="dxa"/>
              <w:bottom w:w="70" w:type="dxa"/>
              <w:right w:w="100" w:type="dxa"/>
            </w:tcMar>
          </w:tcPr>
          <w:p w14:paraId="6957A976" w14:textId="77777777" w:rsidR="00D16027" w:rsidRDefault="00000000">
            <w:r>
              <w:rPr>
                <w:sz w:val="19"/>
                <w:szCs w:val="19"/>
              </w:rPr>
              <w:t>Metacognitive knowledge</w:t>
            </w:r>
          </w:p>
        </w:tc>
        <w:tc>
          <w:tcPr>
            <w:tcW w:w="1900" w:type="dxa"/>
            <w:tcMar>
              <w:top w:w="70" w:type="dxa"/>
              <w:left w:w="100" w:type="dxa"/>
              <w:bottom w:w="70" w:type="dxa"/>
              <w:right w:w="100" w:type="dxa"/>
            </w:tcMar>
          </w:tcPr>
          <w:p w14:paraId="630D005D" w14:textId="77777777" w:rsidR="00D16027" w:rsidRDefault="00000000">
            <w:r>
              <w:rPr>
                <w:sz w:val="19"/>
                <w:szCs w:val="19"/>
              </w:rPr>
              <w:t>reflect on, plan, monitor own learning</w:t>
            </w:r>
          </w:p>
        </w:tc>
        <w:tc>
          <w:tcPr>
            <w:tcW w:w="2700" w:type="dxa"/>
            <w:tcMar>
              <w:top w:w="70" w:type="dxa"/>
              <w:left w:w="100" w:type="dxa"/>
              <w:bottom w:w="70" w:type="dxa"/>
              <w:right w:w="100" w:type="dxa"/>
            </w:tcMar>
          </w:tcPr>
          <w:p w14:paraId="04D3CA3A" w14:textId="77777777" w:rsidR="00D16027" w:rsidRDefault="00000000">
            <w:r>
              <w:rPr>
                <w:sz w:val="19"/>
                <w:szCs w:val="19"/>
              </w:rPr>
              <w:t>The content is personal but the format is substitutable</w:t>
            </w:r>
          </w:p>
        </w:tc>
        <w:tc>
          <w:tcPr>
            <w:tcW w:w="2786" w:type="dxa"/>
            <w:tcMar>
              <w:top w:w="70" w:type="dxa"/>
              <w:left w:w="100" w:type="dxa"/>
              <w:bottom w:w="70" w:type="dxa"/>
              <w:right w:w="100" w:type="dxa"/>
            </w:tcMar>
          </w:tcPr>
          <w:p w14:paraId="4C01CFC3" w14:textId="77777777" w:rsidR="00D16027" w:rsidRDefault="00000000">
            <w:r>
              <w:rPr>
                <w:sz w:val="19"/>
                <w:szCs w:val="19"/>
              </w:rPr>
              <w:t>Contemporaneous evidence; conversation; specific incidents (Chapter 8)</w:t>
            </w:r>
          </w:p>
        </w:tc>
      </w:tr>
    </w:tbl>
    <w:p w14:paraId="2D17AD59" w14:textId="77777777" w:rsidR="00D16027" w:rsidRDefault="00D16027">
      <w:pPr>
        <w:spacing w:after="120"/>
      </w:pPr>
    </w:p>
    <w:p w14:paraId="00620547" w14:textId="77777777" w:rsidR="00D16027" w:rsidRDefault="00000000">
      <w:pPr>
        <w:pStyle w:val="Heading2"/>
        <w:keepNext/>
      </w:pPr>
      <w:r>
        <w:t>4.4 Writing outcomes that are assessable and AI-aware</w:t>
      </w:r>
    </w:p>
    <w:p w14:paraId="4B713561" w14:textId="77777777" w:rsidR="00D16027" w:rsidRDefault="00000000">
      <w:pPr>
        <w:spacing w:after="140"/>
      </w:pPr>
      <w:r>
        <w:t>A usable outcome has four parts: an observable verb, an object, the conditions under which the capability is demonstrated, and an indication of standard. The conditions clause does most of the AI-era work. The examples below show typical inherited outcomes and revisions that specify what the student must do, where, and with what.</w:t>
      </w:r>
    </w:p>
    <w:p w14:paraId="5119BA1B" w14:textId="77777777" w:rsidR="00D16027" w:rsidRDefault="00000000">
      <w:pPr>
        <w:keepNext/>
        <w:spacing w:before="160" w:after="80"/>
      </w:pPr>
      <w:r>
        <w:rPr>
          <w:b/>
          <w:bCs/>
          <w:color w:val="1A4F7A"/>
          <w:sz w:val="20"/>
          <w:szCs w:val="20"/>
        </w:rPr>
        <w:t>Table 4.2  From inherited to AI-aware outcomes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4986"/>
      </w:tblGrid>
      <w:tr w:rsidR="00D16027" w14:paraId="29BACC72" w14:textId="77777777">
        <w:tblPrEx>
          <w:tblCellMar>
            <w:top w:w="0" w:type="dxa"/>
            <w:bottom w:w="0" w:type="dxa"/>
          </w:tblCellMar>
        </w:tblPrEx>
        <w:trPr>
          <w:cantSplit/>
          <w:tblHeader/>
        </w:trPr>
        <w:tc>
          <w:tcPr>
            <w:tcW w:w="1500" w:type="dxa"/>
            <w:shd w:val="clear" w:color="auto" w:fill="2E75B6"/>
            <w:tcMar>
              <w:top w:w="70" w:type="dxa"/>
              <w:left w:w="100" w:type="dxa"/>
              <w:bottom w:w="70" w:type="dxa"/>
              <w:right w:w="100" w:type="dxa"/>
            </w:tcMar>
          </w:tcPr>
          <w:p w14:paraId="63058D4D" w14:textId="77777777" w:rsidR="00D16027" w:rsidRDefault="00000000">
            <w:r>
              <w:rPr>
                <w:b/>
                <w:bCs/>
                <w:color w:val="FFFFFF"/>
                <w:sz w:val="19"/>
                <w:szCs w:val="19"/>
              </w:rPr>
              <w:t>Discipline</w:t>
            </w:r>
          </w:p>
        </w:tc>
        <w:tc>
          <w:tcPr>
            <w:tcW w:w="2900" w:type="dxa"/>
            <w:shd w:val="clear" w:color="auto" w:fill="2E75B6"/>
            <w:tcMar>
              <w:top w:w="70" w:type="dxa"/>
              <w:left w:w="100" w:type="dxa"/>
              <w:bottom w:w="70" w:type="dxa"/>
              <w:right w:w="100" w:type="dxa"/>
            </w:tcMar>
          </w:tcPr>
          <w:p w14:paraId="670AA799" w14:textId="77777777" w:rsidR="00D16027" w:rsidRDefault="00000000">
            <w:r>
              <w:rPr>
                <w:b/>
                <w:bCs/>
                <w:color w:val="FFFFFF"/>
                <w:sz w:val="19"/>
                <w:szCs w:val="19"/>
              </w:rPr>
              <w:t>Inherited outcome</w:t>
            </w:r>
          </w:p>
        </w:tc>
        <w:tc>
          <w:tcPr>
            <w:tcW w:w="4986" w:type="dxa"/>
            <w:shd w:val="clear" w:color="auto" w:fill="2E75B6"/>
            <w:tcMar>
              <w:top w:w="70" w:type="dxa"/>
              <w:left w:w="100" w:type="dxa"/>
              <w:bottom w:w="70" w:type="dxa"/>
              <w:right w:w="100" w:type="dxa"/>
            </w:tcMar>
          </w:tcPr>
          <w:p w14:paraId="1ECC969D" w14:textId="77777777" w:rsidR="00D16027" w:rsidRDefault="00000000">
            <w:r>
              <w:rPr>
                <w:b/>
                <w:bCs/>
                <w:color w:val="FFFFFF"/>
                <w:sz w:val="19"/>
                <w:szCs w:val="19"/>
              </w:rPr>
              <w:t>Revised outcome</w:t>
            </w:r>
          </w:p>
        </w:tc>
      </w:tr>
      <w:tr w:rsidR="00D16027" w14:paraId="4F044EAC" w14:textId="77777777">
        <w:tblPrEx>
          <w:tblCellMar>
            <w:top w:w="0" w:type="dxa"/>
            <w:bottom w:w="0" w:type="dxa"/>
          </w:tblCellMar>
        </w:tblPrEx>
        <w:trPr>
          <w:cantSplit/>
        </w:trPr>
        <w:tc>
          <w:tcPr>
            <w:tcW w:w="1500" w:type="dxa"/>
            <w:tcMar>
              <w:top w:w="70" w:type="dxa"/>
              <w:left w:w="100" w:type="dxa"/>
              <w:bottom w:w="70" w:type="dxa"/>
              <w:right w:w="100" w:type="dxa"/>
            </w:tcMar>
          </w:tcPr>
          <w:p w14:paraId="7E41E8DC" w14:textId="77777777" w:rsidR="00D16027" w:rsidRDefault="00000000">
            <w:r>
              <w:rPr>
                <w:sz w:val="19"/>
                <w:szCs w:val="19"/>
              </w:rPr>
              <w:t>Business</w:t>
            </w:r>
          </w:p>
        </w:tc>
        <w:tc>
          <w:tcPr>
            <w:tcW w:w="2900" w:type="dxa"/>
            <w:tcMar>
              <w:top w:w="70" w:type="dxa"/>
              <w:left w:w="100" w:type="dxa"/>
              <w:bottom w:w="70" w:type="dxa"/>
              <w:right w:w="100" w:type="dxa"/>
            </w:tcMar>
          </w:tcPr>
          <w:p w14:paraId="418F29A5" w14:textId="77777777" w:rsidR="00D16027" w:rsidRDefault="00000000">
            <w:r>
              <w:rPr>
                <w:sz w:val="19"/>
                <w:szCs w:val="19"/>
              </w:rPr>
              <w:t>Understand the principles of marketing strategy</w:t>
            </w:r>
          </w:p>
        </w:tc>
        <w:tc>
          <w:tcPr>
            <w:tcW w:w="4986" w:type="dxa"/>
            <w:tcMar>
              <w:top w:w="70" w:type="dxa"/>
              <w:left w:w="100" w:type="dxa"/>
              <w:bottom w:w="70" w:type="dxa"/>
              <w:right w:w="100" w:type="dxa"/>
            </w:tcMar>
          </w:tcPr>
          <w:p w14:paraId="2C3D842C" w14:textId="77777777" w:rsidR="00D16027" w:rsidRDefault="00000000">
            <w:r>
              <w:rPr>
                <w:sz w:val="19"/>
                <w:szCs w:val="19"/>
              </w:rPr>
              <w:t>Develop and justify a marketing strategy for a named local organisation, drawing on primary data gathered by the student, and defend the key decisions in a fifteen-minute client-style conversation</w:t>
            </w:r>
          </w:p>
        </w:tc>
      </w:tr>
      <w:tr w:rsidR="00D16027" w14:paraId="539F5FF0" w14:textId="77777777">
        <w:tblPrEx>
          <w:tblCellMar>
            <w:top w:w="0" w:type="dxa"/>
            <w:bottom w:w="0" w:type="dxa"/>
          </w:tblCellMar>
        </w:tblPrEx>
        <w:trPr>
          <w:cantSplit/>
        </w:trPr>
        <w:tc>
          <w:tcPr>
            <w:tcW w:w="1500" w:type="dxa"/>
            <w:tcMar>
              <w:top w:w="70" w:type="dxa"/>
              <w:left w:w="100" w:type="dxa"/>
              <w:bottom w:w="70" w:type="dxa"/>
              <w:right w:w="100" w:type="dxa"/>
            </w:tcMar>
          </w:tcPr>
          <w:p w14:paraId="734AE948" w14:textId="77777777" w:rsidR="00D16027" w:rsidRDefault="00000000">
            <w:r>
              <w:rPr>
                <w:sz w:val="19"/>
                <w:szCs w:val="19"/>
              </w:rPr>
              <w:lastRenderedPageBreak/>
              <w:t>Biosciences</w:t>
            </w:r>
          </w:p>
        </w:tc>
        <w:tc>
          <w:tcPr>
            <w:tcW w:w="2900" w:type="dxa"/>
            <w:tcMar>
              <w:top w:w="70" w:type="dxa"/>
              <w:left w:w="100" w:type="dxa"/>
              <w:bottom w:w="70" w:type="dxa"/>
              <w:right w:w="100" w:type="dxa"/>
            </w:tcMar>
          </w:tcPr>
          <w:p w14:paraId="1BE47654" w14:textId="77777777" w:rsidR="00D16027" w:rsidRDefault="00000000">
            <w:r>
              <w:rPr>
                <w:sz w:val="19"/>
                <w:szCs w:val="19"/>
              </w:rPr>
              <w:t>Describe experimental methods in molecular biology</w:t>
            </w:r>
          </w:p>
        </w:tc>
        <w:tc>
          <w:tcPr>
            <w:tcW w:w="4986" w:type="dxa"/>
            <w:tcMar>
              <w:top w:w="70" w:type="dxa"/>
              <w:left w:w="100" w:type="dxa"/>
              <w:bottom w:w="70" w:type="dxa"/>
              <w:right w:w="100" w:type="dxa"/>
            </w:tcMar>
          </w:tcPr>
          <w:p w14:paraId="269C4211" w14:textId="77777777" w:rsidR="00D16027" w:rsidRDefault="00000000">
            <w:r>
              <w:rPr>
                <w:sz w:val="19"/>
                <w:szCs w:val="19"/>
              </w:rPr>
              <w:t>Carry out a PCR protocol, record and troubleshoot the procedure in a contemporaneous laboratory notebook, and interpret the results actually obtained</w:t>
            </w:r>
          </w:p>
        </w:tc>
      </w:tr>
      <w:tr w:rsidR="00D16027" w14:paraId="60F276AB" w14:textId="77777777">
        <w:tblPrEx>
          <w:tblCellMar>
            <w:top w:w="0" w:type="dxa"/>
            <w:bottom w:w="0" w:type="dxa"/>
          </w:tblCellMar>
        </w:tblPrEx>
        <w:trPr>
          <w:cantSplit/>
        </w:trPr>
        <w:tc>
          <w:tcPr>
            <w:tcW w:w="1500" w:type="dxa"/>
            <w:tcMar>
              <w:top w:w="70" w:type="dxa"/>
              <w:left w:w="100" w:type="dxa"/>
              <w:bottom w:w="70" w:type="dxa"/>
              <w:right w:w="100" w:type="dxa"/>
            </w:tcMar>
          </w:tcPr>
          <w:p w14:paraId="24306B42" w14:textId="77777777" w:rsidR="00D16027" w:rsidRDefault="00000000">
            <w:r>
              <w:rPr>
                <w:sz w:val="19"/>
                <w:szCs w:val="19"/>
              </w:rPr>
              <w:t>Law</w:t>
            </w:r>
          </w:p>
        </w:tc>
        <w:tc>
          <w:tcPr>
            <w:tcW w:w="2900" w:type="dxa"/>
            <w:tcMar>
              <w:top w:w="70" w:type="dxa"/>
              <w:left w:w="100" w:type="dxa"/>
              <w:bottom w:w="70" w:type="dxa"/>
              <w:right w:w="100" w:type="dxa"/>
            </w:tcMar>
          </w:tcPr>
          <w:p w14:paraId="708F7A1F" w14:textId="77777777" w:rsidR="00D16027" w:rsidRDefault="00000000">
            <w:r>
              <w:rPr>
                <w:sz w:val="19"/>
                <w:szCs w:val="19"/>
              </w:rPr>
              <w:t>Know the law of negligence</w:t>
            </w:r>
          </w:p>
        </w:tc>
        <w:tc>
          <w:tcPr>
            <w:tcW w:w="4986" w:type="dxa"/>
            <w:tcMar>
              <w:top w:w="70" w:type="dxa"/>
              <w:left w:w="100" w:type="dxa"/>
              <w:bottom w:w="70" w:type="dxa"/>
              <w:right w:w="100" w:type="dxa"/>
            </w:tcMar>
          </w:tcPr>
          <w:p w14:paraId="4B4CEB7A" w14:textId="77777777" w:rsidR="00D16027" w:rsidRDefault="00000000">
            <w:r>
              <w:rPr>
                <w:sz w:val="19"/>
                <w:szCs w:val="19"/>
              </w:rPr>
              <w:t>Apply the law of negligence to an unfamiliar fact pattern under supervised conditions, identifying the issues and justifying conclusions with authority</w:t>
            </w:r>
          </w:p>
        </w:tc>
      </w:tr>
      <w:tr w:rsidR="00D16027" w14:paraId="49F17883" w14:textId="77777777">
        <w:tblPrEx>
          <w:tblCellMar>
            <w:top w:w="0" w:type="dxa"/>
            <w:bottom w:w="0" w:type="dxa"/>
          </w:tblCellMar>
        </w:tblPrEx>
        <w:trPr>
          <w:cantSplit/>
        </w:trPr>
        <w:tc>
          <w:tcPr>
            <w:tcW w:w="1500" w:type="dxa"/>
            <w:tcMar>
              <w:top w:w="70" w:type="dxa"/>
              <w:left w:w="100" w:type="dxa"/>
              <w:bottom w:w="70" w:type="dxa"/>
              <w:right w:w="100" w:type="dxa"/>
            </w:tcMar>
          </w:tcPr>
          <w:p w14:paraId="50BF65AC" w14:textId="77777777" w:rsidR="00D16027" w:rsidRDefault="00000000">
            <w:r>
              <w:rPr>
                <w:sz w:val="19"/>
                <w:szCs w:val="19"/>
              </w:rPr>
              <w:t>Social work</w:t>
            </w:r>
          </w:p>
        </w:tc>
        <w:tc>
          <w:tcPr>
            <w:tcW w:w="2900" w:type="dxa"/>
            <w:tcMar>
              <w:top w:w="70" w:type="dxa"/>
              <w:left w:w="100" w:type="dxa"/>
              <w:bottom w:w="70" w:type="dxa"/>
              <w:right w:w="100" w:type="dxa"/>
            </w:tcMar>
          </w:tcPr>
          <w:p w14:paraId="59AC525F" w14:textId="77777777" w:rsidR="00D16027" w:rsidRDefault="00000000">
            <w:r>
              <w:rPr>
                <w:sz w:val="19"/>
                <w:szCs w:val="19"/>
              </w:rPr>
              <w:t>Understand reflective practice</w:t>
            </w:r>
          </w:p>
        </w:tc>
        <w:tc>
          <w:tcPr>
            <w:tcW w:w="4986" w:type="dxa"/>
            <w:tcMar>
              <w:top w:w="70" w:type="dxa"/>
              <w:left w:w="100" w:type="dxa"/>
              <w:bottom w:w="70" w:type="dxa"/>
              <w:right w:w="100" w:type="dxa"/>
            </w:tcMar>
          </w:tcPr>
          <w:p w14:paraId="42E0ED04" w14:textId="77777777" w:rsidR="00D16027" w:rsidRDefault="00000000">
            <w:r>
              <w:rPr>
                <w:sz w:val="19"/>
                <w:szCs w:val="19"/>
              </w:rPr>
              <w:t>Reflect critically on a specific interaction from placement, evidenced by contemporaneous notes, and explore it in dialogue with a practice educator</w:t>
            </w:r>
          </w:p>
        </w:tc>
      </w:tr>
      <w:tr w:rsidR="00D16027" w14:paraId="0EFBEB84" w14:textId="77777777">
        <w:tblPrEx>
          <w:tblCellMar>
            <w:top w:w="0" w:type="dxa"/>
            <w:bottom w:w="0" w:type="dxa"/>
          </w:tblCellMar>
        </w:tblPrEx>
        <w:trPr>
          <w:cantSplit/>
        </w:trPr>
        <w:tc>
          <w:tcPr>
            <w:tcW w:w="1500" w:type="dxa"/>
            <w:tcMar>
              <w:top w:w="70" w:type="dxa"/>
              <w:left w:w="100" w:type="dxa"/>
              <w:bottom w:w="70" w:type="dxa"/>
              <w:right w:w="100" w:type="dxa"/>
            </w:tcMar>
          </w:tcPr>
          <w:p w14:paraId="4FA90D0F" w14:textId="77777777" w:rsidR="00D16027" w:rsidRDefault="00000000">
            <w:r>
              <w:rPr>
                <w:sz w:val="19"/>
                <w:szCs w:val="19"/>
              </w:rPr>
              <w:t>Computer science</w:t>
            </w:r>
          </w:p>
        </w:tc>
        <w:tc>
          <w:tcPr>
            <w:tcW w:w="2900" w:type="dxa"/>
            <w:tcMar>
              <w:top w:w="70" w:type="dxa"/>
              <w:left w:w="100" w:type="dxa"/>
              <w:bottom w:w="70" w:type="dxa"/>
              <w:right w:w="100" w:type="dxa"/>
            </w:tcMar>
          </w:tcPr>
          <w:p w14:paraId="2366DFA1" w14:textId="77777777" w:rsidR="00D16027" w:rsidRDefault="00000000">
            <w:r>
              <w:rPr>
                <w:sz w:val="19"/>
                <w:szCs w:val="19"/>
              </w:rPr>
              <w:t>Write programs in Python</w:t>
            </w:r>
          </w:p>
        </w:tc>
        <w:tc>
          <w:tcPr>
            <w:tcW w:w="4986" w:type="dxa"/>
            <w:tcMar>
              <w:top w:w="70" w:type="dxa"/>
              <w:left w:w="100" w:type="dxa"/>
              <w:bottom w:w="70" w:type="dxa"/>
              <w:right w:w="100" w:type="dxa"/>
            </w:tcMar>
          </w:tcPr>
          <w:p w14:paraId="3C9DDB89" w14:textId="77777777" w:rsidR="00D16027" w:rsidRDefault="00000000">
            <w:r>
              <w:rPr>
                <w:sz w:val="19"/>
                <w:szCs w:val="19"/>
              </w:rPr>
              <w:t>Explain, modify and debug code, including AI-generated code, and justify design decisions in a live code review</w:t>
            </w:r>
          </w:p>
        </w:tc>
      </w:tr>
      <w:tr w:rsidR="00D16027" w14:paraId="789C2CD5" w14:textId="77777777">
        <w:tblPrEx>
          <w:tblCellMar>
            <w:top w:w="0" w:type="dxa"/>
            <w:bottom w:w="0" w:type="dxa"/>
          </w:tblCellMar>
        </w:tblPrEx>
        <w:trPr>
          <w:cantSplit/>
        </w:trPr>
        <w:tc>
          <w:tcPr>
            <w:tcW w:w="1500" w:type="dxa"/>
            <w:tcMar>
              <w:top w:w="70" w:type="dxa"/>
              <w:left w:w="100" w:type="dxa"/>
              <w:bottom w:w="70" w:type="dxa"/>
              <w:right w:w="100" w:type="dxa"/>
            </w:tcMar>
          </w:tcPr>
          <w:p w14:paraId="7186EB23" w14:textId="77777777" w:rsidR="00D16027" w:rsidRDefault="00000000">
            <w:r>
              <w:rPr>
                <w:sz w:val="19"/>
                <w:szCs w:val="19"/>
              </w:rPr>
              <w:t>Any discipline (AI literacy)</w:t>
            </w:r>
          </w:p>
        </w:tc>
        <w:tc>
          <w:tcPr>
            <w:tcW w:w="2900" w:type="dxa"/>
            <w:tcMar>
              <w:top w:w="70" w:type="dxa"/>
              <w:left w:w="100" w:type="dxa"/>
              <w:bottom w:w="70" w:type="dxa"/>
              <w:right w:w="100" w:type="dxa"/>
            </w:tcMar>
          </w:tcPr>
          <w:p w14:paraId="5FF782CB" w14:textId="77777777" w:rsidR="00D16027" w:rsidRDefault="00000000">
            <w:r>
              <w:rPr>
                <w:sz w:val="19"/>
                <w:szCs w:val="19"/>
              </w:rPr>
              <w:t>Be aware of the role of AI in the field</w:t>
            </w:r>
          </w:p>
        </w:tc>
        <w:tc>
          <w:tcPr>
            <w:tcW w:w="4986" w:type="dxa"/>
            <w:tcMar>
              <w:top w:w="70" w:type="dxa"/>
              <w:left w:w="100" w:type="dxa"/>
              <w:bottom w:w="70" w:type="dxa"/>
              <w:right w:w="100" w:type="dxa"/>
            </w:tcMar>
          </w:tcPr>
          <w:p w14:paraId="356180EF" w14:textId="77777777" w:rsidR="00D16027" w:rsidRDefault="00000000">
            <w:r>
              <w:rPr>
                <w:sz w:val="19"/>
                <w:szCs w:val="19"/>
              </w:rPr>
              <w:t>Critically evaluate AI-generated output against disciplinary standards, identifying errors, omissions and limitations, and document the process of verification</w:t>
            </w:r>
          </w:p>
        </w:tc>
      </w:tr>
    </w:tbl>
    <w:p w14:paraId="1A70E9AF" w14:textId="77777777" w:rsidR="00D16027" w:rsidRDefault="00D16027">
      <w:pPr>
        <w:spacing w:after="120"/>
      </w:pPr>
    </w:p>
    <w:p w14:paraId="78C18D40" w14:textId="77777777" w:rsidR="00D16027" w:rsidRDefault="00000000">
      <w:pPr>
        <w:spacing w:after="140"/>
      </w:pPr>
      <w:r>
        <w:t xml:space="preserve">Notice what the revisions do. They name a context that is specific to the student or the cohort (a named client, the results actually obtained, a placement interaction). They specify conditions (supervised, contemporaneous, live). They shift the object of assessment from a product to a demonstrated capability. And in the final row they make AI use itself an object of assessment. None of the revisions lowers the standard; each makes the standard </w:t>
      </w:r>
      <w:proofErr w:type="spellStart"/>
      <w:r>
        <w:t>evidenceable</w:t>
      </w:r>
      <w:proofErr w:type="spellEnd"/>
      <w:r>
        <w:t>.</w:t>
      </w:r>
    </w:p>
    <w:p w14:paraId="3454D6AC" w14:textId="77777777" w:rsidR="00D16027" w:rsidRDefault="00000000">
      <w:pPr>
        <w:pStyle w:val="Heading2"/>
        <w:keepNext/>
      </w:pPr>
      <w:r>
        <w:t>4.5 Backward design for the AI era</w:t>
      </w:r>
    </w:p>
    <w:p w14:paraId="35BC593B" w14:textId="77777777" w:rsidR="00D16027" w:rsidRDefault="00000000">
      <w:pPr>
        <w:spacing w:after="140"/>
      </w:pPr>
      <w:r>
        <w:t>Wiggins and McTighe (2005) describe design in three stages: identify desired results, determine acceptable evidence, and only then plan learning experiences. Stage two is where AI-era redesign happens. For each outcome, the designer now asks three questions rather than one: what would count as evidence of this capability; what part of that evidence could only have come from this student; and under what conditions must the evidence be produced for the inference to hold? The answers populate an evidence map, which becomes the design document for the module.</w:t>
      </w:r>
    </w:p>
    <w:p w14:paraId="15B7F09F" w14:textId="77777777" w:rsidR="00D16027" w:rsidRDefault="00000000">
      <w:pPr>
        <w:keepNext/>
        <w:spacing w:before="160" w:after="80"/>
      </w:pPr>
      <w:r>
        <w:rPr>
          <w:b/>
          <w:bCs/>
          <w:color w:val="1A4F7A"/>
          <w:sz w:val="20"/>
          <w:szCs w:val="20"/>
        </w:rPr>
        <w:t>Table 4.3  An evidence map for a second-year research methods module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200"/>
        <w:gridCol w:w="1800"/>
        <w:gridCol w:w="1486"/>
      </w:tblGrid>
      <w:tr w:rsidR="00D16027" w14:paraId="67D59871"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4C96C27A" w14:textId="77777777" w:rsidR="00D16027" w:rsidRDefault="00000000">
            <w:r>
              <w:rPr>
                <w:b/>
                <w:bCs/>
                <w:color w:val="FFFFFF"/>
                <w:sz w:val="19"/>
                <w:szCs w:val="19"/>
              </w:rPr>
              <w:t>Outcome</w:t>
            </w:r>
          </w:p>
        </w:tc>
        <w:tc>
          <w:tcPr>
            <w:tcW w:w="1900" w:type="dxa"/>
            <w:shd w:val="clear" w:color="auto" w:fill="2E75B6"/>
            <w:tcMar>
              <w:top w:w="70" w:type="dxa"/>
              <w:left w:w="100" w:type="dxa"/>
              <w:bottom w:w="70" w:type="dxa"/>
              <w:right w:w="100" w:type="dxa"/>
            </w:tcMar>
          </w:tcPr>
          <w:p w14:paraId="4EAF9D6F" w14:textId="77777777" w:rsidR="00D16027" w:rsidRDefault="00000000">
            <w:r>
              <w:rPr>
                <w:b/>
                <w:bCs/>
                <w:color w:val="FFFFFF"/>
                <w:sz w:val="19"/>
                <w:szCs w:val="19"/>
              </w:rPr>
              <w:t>Evidence</w:t>
            </w:r>
          </w:p>
        </w:tc>
        <w:tc>
          <w:tcPr>
            <w:tcW w:w="2200" w:type="dxa"/>
            <w:shd w:val="clear" w:color="auto" w:fill="2E75B6"/>
            <w:tcMar>
              <w:top w:w="70" w:type="dxa"/>
              <w:left w:w="100" w:type="dxa"/>
              <w:bottom w:w="70" w:type="dxa"/>
              <w:right w:w="100" w:type="dxa"/>
            </w:tcMar>
          </w:tcPr>
          <w:p w14:paraId="4237805E" w14:textId="77777777" w:rsidR="00D16027" w:rsidRDefault="00000000">
            <w:r>
              <w:rPr>
                <w:b/>
                <w:bCs/>
                <w:color w:val="FFFFFF"/>
                <w:sz w:val="19"/>
                <w:szCs w:val="19"/>
              </w:rPr>
              <w:t>Student-specific element</w:t>
            </w:r>
          </w:p>
        </w:tc>
        <w:tc>
          <w:tcPr>
            <w:tcW w:w="1800" w:type="dxa"/>
            <w:shd w:val="clear" w:color="auto" w:fill="2E75B6"/>
            <w:tcMar>
              <w:top w:w="70" w:type="dxa"/>
              <w:left w:w="100" w:type="dxa"/>
              <w:bottom w:w="70" w:type="dxa"/>
              <w:right w:w="100" w:type="dxa"/>
            </w:tcMar>
          </w:tcPr>
          <w:p w14:paraId="66447634" w14:textId="77777777" w:rsidR="00D16027" w:rsidRDefault="00000000">
            <w:r>
              <w:rPr>
                <w:b/>
                <w:bCs/>
                <w:color w:val="FFFFFF"/>
                <w:sz w:val="19"/>
                <w:szCs w:val="19"/>
              </w:rPr>
              <w:t>Conditions</w:t>
            </w:r>
          </w:p>
        </w:tc>
        <w:tc>
          <w:tcPr>
            <w:tcW w:w="1486" w:type="dxa"/>
            <w:shd w:val="clear" w:color="auto" w:fill="2E75B6"/>
            <w:tcMar>
              <w:top w:w="70" w:type="dxa"/>
              <w:left w:w="100" w:type="dxa"/>
              <w:bottom w:w="70" w:type="dxa"/>
              <w:right w:w="100" w:type="dxa"/>
            </w:tcMar>
          </w:tcPr>
          <w:p w14:paraId="6B77A3D8" w14:textId="77777777" w:rsidR="00D16027" w:rsidRDefault="00000000">
            <w:r>
              <w:rPr>
                <w:b/>
                <w:bCs/>
                <w:color w:val="FFFFFF"/>
                <w:sz w:val="19"/>
                <w:szCs w:val="19"/>
              </w:rPr>
              <w:t>AI permission</w:t>
            </w:r>
          </w:p>
        </w:tc>
      </w:tr>
      <w:tr w:rsidR="00D16027" w14:paraId="75A62BD4" w14:textId="77777777">
        <w:tblPrEx>
          <w:tblCellMar>
            <w:top w:w="0" w:type="dxa"/>
            <w:bottom w:w="0" w:type="dxa"/>
          </w:tblCellMar>
        </w:tblPrEx>
        <w:trPr>
          <w:cantSplit/>
        </w:trPr>
        <w:tc>
          <w:tcPr>
            <w:tcW w:w="2000" w:type="dxa"/>
            <w:tcMar>
              <w:top w:w="70" w:type="dxa"/>
              <w:left w:w="100" w:type="dxa"/>
              <w:bottom w:w="70" w:type="dxa"/>
              <w:right w:w="100" w:type="dxa"/>
            </w:tcMar>
          </w:tcPr>
          <w:p w14:paraId="08461460" w14:textId="77777777" w:rsidR="00D16027" w:rsidRDefault="00000000">
            <w:r>
              <w:rPr>
                <w:sz w:val="19"/>
                <w:szCs w:val="19"/>
              </w:rPr>
              <w:t>Apply statistical methods to a research question</w:t>
            </w:r>
          </w:p>
        </w:tc>
        <w:tc>
          <w:tcPr>
            <w:tcW w:w="1900" w:type="dxa"/>
            <w:tcMar>
              <w:top w:w="70" w:type="dxa"/>
              <w:left w:w="100" w:type="dxa"/>
              <w:bottom w:w="70" w:type="dxa"/>
              <w:right w:w="100" w:type="dxa"/>
            </w:tcMar>
          </w:tcPr>
          <w:p w14:paraId="03885AE1" w14:textId="77777777" w:rsidR="00D16027" w:rsidRDefault="00000000">
            <w:r>
              <w:rPr>
                <w:sz w:val="19"/>
                <w:szCs w:val="19"/>
              </w:rPr>
              <w:t>Analysis of a dataset with interpretation</w:t>
            </w:r>
          </w:p>
        </w:tc>
        <w:tc>
          <w:tcPr>
            <w:tcW w:w="2200" w:type="dxa"/>
            <w:tcMar>
              <w:top w:w="70" w:type="dxa"/>
              <w:left w:w="100" w:type="dxa"/>
              <w:bottom w:w="70" w:type="dxa"/>
              <w:right w:w="100" w:type="dxa"/>
            </w:tcMar>
          </w:tcPr>
          <w:p w14:paraId="21131F77" w14:textId="77777777" w:rsidR="00D16027" w:rsidRDefault="00000000">
            <w:r>
              <w:rPr>
                <w:sz w:val="19"/>
                <w:szCs w:val="19"/>
              </w:rPr>
              <w:t>Dataset collected by the student's field group; interpretation of their own anomalies</w:t>
            </w:r>
          </w:p>
        </w:tc>
        <w:tc>
          <w:tcPr>
            <w:tcW w:w="1800" w:type="dxa"/>
            <w:tcMar>
              <w:top w:w="70" w:type="dxa"/>
              <w:left w:w="100" w:type="dxa"/>
              <w:bottom w:w="70" w:type="dxa"/>
              <w:right w:w="100" w:type="dxa"/>
            </w:tcMar>
          </w:tcPr>
          <w:p w14:paraId="75AAD4C5" w14:textId="77777777" w:rsidR="00D16027" w:rsidRDefault="00000000">
            <w:r>
              <w:rPr>
                <w:sz w:val="19"/>
                <w:szCs w:val="19"/>
              </w:rPr>
              <w:t>Unsupervised, with a short analysis walkthrough in tutorial</w:t>
            </w:r>
          </w:p>
        </w:tc>
        <w:tc>
          <w:tcPr>
            <w:tcW w:w="1486" w:type="dxa"/>
            <w:tcMar>
              <w:top w:w="70" w:type="dxa"/>
              <w:left w:w="100" w:type="dxa"/>
              <w:bottom w:w="70" w:type="dxa"/>
              <w:right w:w="100" w:type="dxa"/>
            </w:tcMar>
          </w:tcPr>
          <w:p w14:paraId="35B180C7" w14:textId="77777777" w:rsidR="00D16027" w:rsidRDefault="00000000">
            <w:r>
              <w:rPr>
                <w:sz w:val="19"/>
                <w:szCs w:val="19"/>
              </w:rPr>
              <w:t>Permitted with declaration</w:t>
            </w:r>
          </w:p>
        </w:tc>
      </w:tr>
      <w:tr w:rsidR="00D16027" w14:paraId="11F2A21F" w14:textId="77777777">
        <w:tblPrEx>
          <w:tblCellMar>
            <w:top w:w="0" w:type="dxa"/>
            <w:bottom w:w="0" w:type="dxa"/>
          </w:tblCellMar>
        </w:tblPrEx>
        <w:trPr>
          <w:cantSplit/>
        </w:trPr>
        <w:tc>
          <w:tcPr>
            <w:tcW w:w="2000" w:type="dxa"/>
            <w:tcMar>
              <w:top w:w="70" w:type="dxa"/>
              <w:left w:w="100" w:type="dxa"/>
              <w:bottom w:w="70" w:type="dxa"/>
              <w:right w:w="100" w:type="dxa"/>
            </w:tcMar>
          </w:tcPr>
          <w:p w14:paraId="02EC668B" w14:textId="77777777" w:rsidR="00D16027" w:rsidRDefault="00000000">
            <w:r>
              <w:rPr>
                <w:sz w:val="19"/>
                <w:szCs w:val="19"/>
              </w:rPr>
              <w:t>Critically evaluate published research</w:t>
            </w:r>
          </w:p>
        </w:tc>
        <w:tc>
          <w:tcPr>
            <w:tcW w:w="1900" w:type="dxa"/>
            <w:tcMar>
              <w:top w:w="70" w:type="dxa"/>
              <w:left w:w="100" w:type="dxa"/>
              <w:bottom w:w="70" w:type="dxa"/>
              <w:right w:w="100" w:type="dxa"/>
            </w:tcMar>
          </w:tcPr>
          <w:p w14:paraId="4226A628" w14:textId="77777777" w:rsidR="00D16027" w:rsidRDefault="00000000">
            <w:r>
              <w:rPr>
                <w:sz w:val="19"/>
                <w:szCs w:val="19"/>
              </w:rPr>
              <w:t>Structured critique of two papers</w:t>
            </w:r>
          </w:p>
        </w:tc>
        <w:tc>
          <w:tcPr>
            <w:tcW w:w="2200" w:type="dxa"/>
            <w:tcMar>
              <w:top w:w="70" w:type="dxa"/>
              <w:left w:w="100" w:type="dxa"/>
              <w:bottom w:w="70" w:type="dxa"/>
              <w:right w:w="100" w:type="dxa"/>
            </w:tcMar>
          </w:tcPr>
          <w:p w14:paraId="5FC12732" w14:textId="77777777" w:rsidR="00D16027" w:rsidRDefault="00000000">
            <w:r>
              <w:rPr>
                <w:sz w:val="19"/>
                <w:szCs w:val="19"/>
              </w:rPr>
              <w:t>Papers chosen from a rotating list; critique compared with peers' in class</w:t>
            </w:r>
          </w:p>
        </w:tc>
        <w:tc>
          <w:tcPr>
            <w:tcW w:w="1800" w:type="dxa"/>
            <w:tcMar>
              <w:top w:w="70" w:type="dxa"/>
              <w:left w:w="100" w:type="dxa"/>
              <w:bottom w:w="70" w:type="dxa"/>
              <w:right w:w="100" w:type="dxa"/>
            </w:tcMar>
          </w:tcPr>
          <w:p w14:paraId="100991C4" w14:textId="77777777" w:rsidR="00D16027" w:rsidRDefault="00000000">
            <w:r>
              <w:rPr>
                <w:sz w:val="19"/>
                <w:szCs w:val="19"/>
              </w:rPr>
              <w:t>In-class, 50 minutes, notes permitted</w:t>
            </w:r>
          </w:p>
        </w:tc>
        <w:tc>
          <w:tcPr>
            <w:tcW w:w="1486" w:type="dxa"/>
            <w:tcMar>
              <w:top w:w="70" w:type="dxa"/>
              <w:left w:w="100" w:type="dxa"/>
              <w:bottom w:w="70" w:type="dxa"/>
              <w:right w:w="100" w:type="dxa"/>
            </w:tcMar>
          </w:tcPr>
          <w:p w14:paraId="5A29D58F" w14:textId="77777777" w:rsidR="00D16027" w:rsidRDefault="00000000">
            <w:r>
              <w:rPr>
                <w:sz w:val="19"/>
                <w:szCs w:val="19"/>
              </w:rPr>
              <w:t>Not permitted (secured)</w:t>
            </w:r>
          </w:p>
        </w:tc>
      </w:tr>
      <w:tr w:rsidR="00D16027" w14:paraId="7464D639" w14:textId="77777777">
        <w:tblPrEx>
          <w:tblCellMar>
            <w:top w:w="0" w:type="dxa"/>
            <w:bottom w:w="0" w:type="dxa"/>
          </w:tblCellMar>
        </w:tblPrEx>
        <w:trPr>
          <w:cantSplit/>
        </w:trPr>
        <w:tc>
          <w:tcPr>
            <w:tcW w:w="2000" w:type="dxa"/>
            <w:tcMar>
              <w:top w:w="70" w:type="dxa"/>
              <w:left w:w="100" w:type="dxa"/>
              <w:bottom w:w="70" w:type="dxa"/>
              <w:right w:w="100" w:type="dxa"/>
            </w:tcMar>
          </w:tcPr>
          <w:p w14:paraId="24424A91" w14:textId="77777777" w:rsidR="00D16027" w:rsidRDefault="00000000">
            <w:r>
              <w:rPr>
                <w:sz w:val="19"/>
                <w:szCs w:val="19"/>
              </w:rPr>
              <w:t>Communicate findings to a non-specialist audience</w:t>
            </w:r>
          </w:p>
        </w:tc>
        <w:tc>
          <w:tcPr>
            <w:tcW w:w="1900" w:type="dxa"/>
            <w:tcMar>
              <w:top w:w="70" w:type="dxa"/>
              <w:left w:w="100" w:type="dxa"/>
              <w:bottom w:w="70" w:type="dxa"/>
              <w:right w:w="100" w:type="dxa"/>
            </w:tcMar>
          </w:tcPr>
          <w:p w14:paraId="1E336535" w14:textId="77777777" w:rsidR="00D16027" w:rsidRDefault="00000000">
            <w:r>
              <w:rPr>
                <w:sz w:val="19"/>
                <w:szCs w:val="19"/>
              </w:rPr>
              <w:t>Poster and three-minute talk</w:t>
            </w:r>
          </w:p>
        </w:tc>
        <w:tc>
          <w:tcPr>
            <w:tcW w:w="2200" w:type="dxa"/>
            <w:tcMar>
              <w:top w:w="70" w:type="dxa"/>
              <w:left w:w="100" w:type="dxa"/>
              <w:bottom w:w="70" w:type="dxa"/>
              <w:right w:w="100" w:type="dxa"/>
            </w:tcMar>
          </w:tcPr>
          <w:p w14:paraId="34BE7580" w14:textId="77777777" w:rsidR="00D16027" w:rsidRDefault="00000000">
            <w:r>
              <w:rPr>
                <w:sz w:val="19"/>
                <w:szCs w:val="19"/>
              </w:rPr>
              <w:t>Q&amp;A on their own poster</w:t>
            </w:r>
          </w:p>
        </w:tc>
        <w:tc>
          <w:tcPr>
            <w:tcW w:w="1800" w:type="dxa"/>
            <w:tcMar>
              <w:top w:w="70" w:type="dxa"/>
              <w:left w:w="100" w:type="dxa"/>
              <w:bottom w:w="70" w:type="dxa"/>
              <w:right w:w="100" w:type="dxa"/>
            </w:tcMar>
          </w:tcPr>
          <w:p w14:paraId="09AE81C6" w14:textId="77777777" w:rsidR="00D16027" w:rsidRDefault="00000000">
            <w:r>
              <w:rPr>
                <w:sz w:val="19"/>
                <w:szCs w:val="19"/>
              </w:rPr>
              <w:t>Live, assessed by two staff</w:t>
            </w:r>
          </w:p>
        </w:tc>
        <w:tc>
          <w:tcPr>
            <w:tcW w:w="1486" w:type="dxa"/>
            <w:tcMar>
              <w:top w:w="70" w:type="dxa"/>
              <w:left w:w="100" w:type="dxa"/>
              <w:bottom w:w="70" w:type="dxa"/>
              <w:right w:w="100" w:type="dxa"/>
            </w:tcMar>
          </w:tcPr>
          <w:p w14:paraId="06B54D58" w14:textId="77777777" w:rsidR="00D16027" w:rsidRDefault="00000000">
            <w:r>
              <w:rPr>
                <w:sz w:val="19"/>
                <w:szCs w:val="19"/>
              </w:rPr>
              <w:t>Permitted for drafting; declared</w:t>
            </w:r>
          </w:p>
        </w:tc>
      </w:tr>
      <w:tr w:rsidR="00D16027" w14:paraId="7AE9B9ED" w14:textId="77777777">
        <w:tblPrEx>
          <w:tblCellMar>
            <w:top w:w="0" w:type="dxa"/>
            <w:bottom w:w="0" w:type="dxa"/>
          </w:tblCellMar>
        </w:tblPrEx>
        <w:trPr>
          <w:cantSplit/>
        </w:trPr>
        <w:tc>
          <w:tcPr>
            <w:tcW w:w="2000" w:type="dxa"/>
            <w:tcMar>
              <w:top w:w="70" w:type="dxa"/>
              <w:left w:w="100" w:type="dxa"/>
              <w:bottom w:w="70" w:type="dxa"/>
              <w:right w:w="100" w:type="dxa"/>
            </w:tcMar>
          </w:tcPr>
          <w:p w14:paraId="5B7B3DD2" w14:textId="77777777" w:rsidR="00D16027" w:rsidRDefault="00000000">
            <w:r>
              <w:rPr>
                <w:sz w:val="19"/>
                <w:szCs w:val="19"/>
              </w:rPr>
              <w:t>Evaluate AI-generated research summaries</w:t>
            </w:r>
          </w:p>
        </w:tc>
        <w:tc>
          <w:tcPr>
            <w:tcW w:w="1900" w:type="dxa"/>
            <w:tcMar>
              <w:top w:w="70" w:type="dxa"/>
              <w:left w:w="100" w:type="dxa"/>
              <w:bottom w:w="70" w:type="dxa"/>
              <w:right w:w="100" w:type="dxa"/>
            </w:tcMar>
          </w:tcPr>
          <w:p w14:paraId="21FF7789" w14:textId="77777777" w:rsidR="00D16027" w:rsidRDefault="00000000">
            <w:r>
              <w:rPr>
                <w:sz w:val="19"/>
                <w:szCs w:val="19"/>
              </w:rPr>
              <w:t>Annotated AI output with corrections and verification log</w:t>
            </w:r>
          </w:p>
        </w:tc>
        <w:tc>
          <w:tcPr>
            <w:tcW w:w="2200" w:type="dxa"/>
            <w:tcMar>
              <w:top w:w="70" w:type="dxa"/>
              <w:left w:w="100" w:type="dxa"/>
              <w:bottom w:w="70" w:type="dxa"/>
              <w:right w:w="100" w:type="dxa"/>
            </w:tcMar>
          </w:tcPr>
          <w:p w14:paraId="609978DE" w14:textId="77777777" w:rsidR="00D16027" w:rsidRDefault="00000000">
            <w:r>
              <w:rPr>
                <w:sz w:val="19"/>
                <w:szCs w:val="19"/>
              </w:rPr>
              <w:t>Their own verification process and reasoning</w:t>
            </w:r>
          </w:p>
        </w:tc>
        <w:tc>
          <w:tcPr>
            <w:tcW w:w="1800" w:type="dxa"/>
            <w:tcMar>
              <w:top w:w="70" w:type="dxa"/>
              <w:left w:w="100" w:type="dxa"/>
              <w:bottom w:w="70" w:type="dxa"/>
              <w:right w:w="100" w:type="dxa"/>
            </w:tcMar>
          </w:tcPr>
          <w:p w14:paraId="7ABEBC07" w14:textId="77777777" w:rsidR="00D16027" w:rsidRDefault="00000000">
            <w:r>
              <w:rPr>
                <w:sz w:val="19"/>
                <w:szCs w:val="19"/>
              </w:rPr>
              <w:t>Unsupervised</w:t>
            </w:r>
          </w:p>
        </w:tc>
        <w:tc>
          <w:tcPr>
            <w:tcW w:w="1486" w:type="dxa"/>
            <w:tcMar>
              <w:top w:w="70" w:type="dxa"/>
              <w:left w:w="100" w:type="dxa"/>
              <w:bottom w:w="70" w:type="dxa"/>
              <w:right w:w="100" w:type="dxa"/>
            </w:tcMar>
          </w:tcPr>
          <w:p w14:paraId="02406184" w14:textId="77777777" w:rsidR="00D16027" w:rsidRDefault="00000000">
            <w:r>
              <w:rPr>
                <w:sz w:val="19"/>
                <w:szCs w:val="19"/>
              </w:rPr>
              <w:t>Required</w:t>
            </w:r>
          </w:p>
        </w:tc>
      </w:tr>
    </w:tbl>
    <w:p w14:paraId="738EA30C" w14:textId="77777777" w:rsidR="00D16027" w:rsidRDefault="00D16027">
      <w:pPr>
        <w:spacing w:after="120"/>
      </w:pPr>
    </w:p>
    <w:p w14:paraId="4211EE22" w14:textId="77777777" w:rsidR="00D16027" w:rsidRDefault="00000000">
      <w:pPr>
        <w:spacing w:after="140"/>
      </w:pPr>
      <w:r>
        <w:t xml:space="preserve">At programme level the same logic scales. Programmatic assessment (van der Vleuten &amp; Schuwirth 2005; van der Vleuten et al. 2012) treats decisions about competence as resting on many data points rather than on any single task. Applied to AI, this means that no outcome should be assured only by an unsupervised written product, and that every programme needs a small number of points at which </w:t>
      </w:r>
      <w:r>
        <w:lastRenderedPageBreak/>
        <w:t>the evidence is secured. The University of Sydney's programme-level assessment plans (Bridgeman, Liu &amp; Weeks 2024) are an institutional expression of the same idea, and Chapter 6 develops it as the spectrum.</w:t>
      </w:r>
    </w:p>
    <w:p w14:paraId="44E9620C" w14:textId="77777777" w:rsidR="00D16027" w:rsidRDefault="00000000">
      <w:pPr>
        <w:pStyle w:val="Heading2"/>
        <w:keepNext/>
      </w:pPr>
      <w:r>
        <w:t>4.6 Outcome clarity as an equity tool</w:t>
      </w:r>
    </w:p>
    <w:p w14:paraId="48633C14" w14:textId="77777777" w:rsidR="00D16027" w:rsidRDefault="00000000">
      <w:pPr>
        <w:spacing w:after="140"/>
      </w:pPr>
      <w:r>
        <w:t>Transparent outcomes are not only a design virtue; they are a fairness mechanism. Sadler (2009) showed how indeterminate criteria advantage students who already possess the tacit knowledge of what the tutor wants, a form of cultural capital unevenly distributed across a cohort. Nieminen (2022) argues that inclusive assessment begins with making the rules of the game explicit. The same applies to AI. The HEPI/</w:t>
      </w:r>
      <w:proofErr w:type="spellStart"/>
      <w:r>
        <w:t>Kortext</w:t>
      </w:r>
      <w:proofErr w:type="spellEnd"/>
      <w:r>
        <w:t xml:space="preserve"> survey found that 80% of UK students believed their institution had a clear AI policy, yet 88% were using AI for assessed work while many modules nominally prohibited it (Freeman 2025); Chan (2023) found academics themselves unsure what they were permitted to allow. An outcome that states its conditions, together with a task brief that states its AI permission level, tells every student the same thing at the same time. Students who ask are not the only ones who deserve to know.</w:t>
      </w:r>
    </w:p>
    <w:p w14:paraId="22049D50"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Rewriting one module's outcomes: second-year human geography</w:t>
      </w:r>
    </w:p>
    <w:p w14:paraId="2613DBEF" w14:textId="77777777" w:rsidR="00D16027" w:rsidRDefault="00000000">
      <w:pPr>
        <w:pBdr>
          <w:left w:val="single" w:sz="14" w:space="10" w:color="4E8A5E"/>
        </w:pBdr>
        <w:shd w:val="clear" w:color="auto" w:fill="EEF6EF"/>
        <w:spacing w:after="60"/>
      </w:pPr>
      <w:r>
        <w:rPr>
          <w:b/>
          <w:bCs/>
          <w:color w:val="333333"/>
          <w:sz w:val="20"/>
          <w:szCs w:val="20"/>
        </w:rPr>
        <w:t>Before.</w:t>
      </w:r>
      <w:r>
        <w:rPr>
          <w:color w:val="333333"/>
          <w:sz w:val="20"/>
          <w:szCs w:val="20"/>
        </w:rPr>
        <w:t xml:space="preserve"> Four outcomes: understand theories of urban change; be aware of qualitative methods; analyse a case study; communicate effectively. One assessment: a 3,000-word essay on urban regeneration, unsupervised, AI nominally prohibited. Vulnerability score (Chapter 5): high.</w:t>
      </w:r>
    </w:p>
    <w:p w14:paraId="62E91971" w14:textId="77777777" w:rsidR="00D16027" w:rsidRDefault="00000000">
      <w:pPr>
        <w:pBdr>
          <w:left w:val="single" w:sz="14" w:space="10" w:color="4E8A5E"/>
        </w:pBdr>
        <w:shd w:val="clear" w:color="auto" w:fill="EEF6EF"/>
        <w:spacing w:after="60"/>
      </w:pPr>
      <w:r>
        <w:rPr>
          <w:b/>
          <w:bCs/>
          <w:color w:val="333333"/>
          <w:sz w:val="20"/>
          <w:szCs w:val="20"/>
        </w:rPr>
        <w:t>After.</w:t>
      </w:r>
      <w:r>
        <w:rPr>
          <w:color w:val="333333"/>
          <w:sz w:val="20"/>
          <w:szCs w:val="20"/>
        </w:rPr>
        <w:t xml:space="preserve"> Four revised outcomes: (1) apply a named theory of urban change to a neighbourhood the student has walked and documented; (2) conduct and record two short field interviews using an approved protocol; (3) analyse the student's own field data in relation to published accounts, and defend the analysis in a ten-minute conversation; (4) evaluate an AI-generated account of the neighbourhood against the student's own observations, documenting errors.</w:t>
      </w:r>
    </w:p>
    <w:p w14:paraId="2381F80B" w14:textId="77777777" w:rsidR="00D16027" w:rsidRDefault="00000000">
      <w:pPr>
        <w:pBdr>
          <w:left w:val="single" w:sz="14" w:space="10" w:color="4E8A5E"/>
        </w:pBdr>
        <w:shd w:val="clear" w:color="auto" w:fill="EEF6EF"/>
        <w:spacing w:after="200"/>
      </w:pPr>
      <w:r>
        <w:rPr>
          <w:b/>
          <w:bCs/>
          <w:color w:val="333333"/>
          <w:sz w:val="20"/>
          <w:szCs w:val="20"/>
        </w:rPr>
        <w:t>Assessment.</w:t>
      </w:r>
      <w:r>
        <w:rPr>
          <w:color w:val="333333"/>
          <w:sz w:val="20"/>
          <w:szCs w:val="20"/>
        </w:rPr>
        <w:t xml:space="preserve"> A field notebook with dated photographs and interview notes (process evidence, AI permitted for transcription and declared); a 2,000-word analysis (AI permitted with declaration); a sampled ten-minute conversation about the analysis (secured); a one-page AI critique (AI required). Same total workload for the student; marking time similar once the essay is shorter and conversations are sampled at one in three.</w:t>
      </w:r>
    </w:p>
    <w:p w14:paraId="4C15785D"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The outcome stress test</w:t>
      </w:r>
    </w:p>
    <w:p w14:paraId="6EB774BA"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Take each outcome and underline the verb. If it is "understand", "know" or "be aware of", rewrite it with an observable verb.</w:t>
      </w:r>
    </w:p>
    <w:p w14:paraId="0F0607D2"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Ask: could a current AI system perform this verb on this object, in the abstract, to a passing standard? If yes, the outcome needs a conditions clause or a context clause, or both.</w:t>
      </w:r>
    </w:p>
    <w:p w14:paraId="7566CDB1"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the conditions: supervised, unsupervised, dialogic, live; AI excluded, permitted, required.</w:t>
      </w:r>
    </w:p>
    <w:p w14:paraId="03EDE74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the student-specific element: which data, case, client, incident or prior work must the evidence draw on that only this student has?</w:t>
      </w:r>
    </w:p>
    <w:p w14:paraId="58CF534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Check the task: does the assessment actually require the student to do what the revised outcome says? If not, redesign the task, not the outcome.</w:t>
      </w:r>
    </w:p>
    <w:p w14:paraId="24BBCB7A"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Check the programme: is this outcome assured somewhere under secured or dialogic conditions, at least once?</w:t>
      </w:r>
    </w:p>
    <w:p w14:paraId="5379CFA0" w14:textId="77777777" w:rsidR="00D16027" w:rsidRDefault="00000000">
      <w:pPr>
        <w:pStyle w:val="Heading2"/>
        <w:keepNext/>
      </w:pPr>
      <w:r>
        <w:t>What this means for you</w:t>
      </w:r>
    </w:p>
    <w:p w14:paraId="031F11D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59FBD0A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Rewrite the outcomes of one module using the four-part structure. Most misalignment becomes obvious the moment conditions are stated.</w:t>
      </w:r>
    </w:p>
    <w:p w14:paraId="2C8059F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an evidence map before you touch the task. If you cannot name the student-specific element for an outcome, the task will be vulnerable however cleverly it is worded.</w:t>
      </w:r>
    </w:p>
    <w:p w14:paraId="5307DAD4"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Where your discipline expects graduates to use AI, write that as an outcome and assess it. Do not leave AI literacy as an aspiration in the handbook.</w:t>
      </w:r>
    </w:p>
    <w:p w14:paraId="6F62D426"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lastRenderedPageBreak/>
        <w:t>For programme leaders</w:t>
      </w:r>
    </w:p>
    <w:p w14:paraId="3D71AD8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a taxonomy audit across the programme, coding real demand rather than stated demand. Look at the distribution by year and by zone (Chapter 6).</w:t>
      </w:r>
    </w:p>
    <w:p w14:paraId="4D1B6B2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Ensure every programme outcome is assured at least once under secured or dialogic conditions, and that AI-related outcomes are sequenced across years rather than dumped into a single module.</w:t>
      </w:r>
    </w:p>
    <w:p w14:paraId="2FEAF08B"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Use validation and periodic review as the moment to require conditions clauses in outcomes; the paperwork already exists, so the marginal cost is small.</w:t>
      </w:r>
    </w:p>
    <w:p w14:paraId="631AC68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153E440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Update institutional templates for module and programme specifications so that outcomes include conditions and AI permission by default.</w:t>
      </w:r>
    </w:p>
    <w:p w14:paraId="10C5132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outcome transparency as an equity requirement and audit for it, alongside the usual checks on reading lists and accessibility.</w:t>
      </w:r>
    </w:p>
    <w:p w14:paraId="737D22C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Align quality processes with the regulator's principles: assessment should both equip students for an AI world and produce trustworthy judgements (Lodge et al. 2023).</w:t>
      </w:r>
    </w:p>
    <w:p w14:paraId="22ACE592" w14:textId="77777777" w:rsidR="00D16027" w:rsidRDefault="00000000">
      <w:pPr>
        <w:pStyle w:val="Heading2"/>
        <w:keepNext/>
      </w:pPr>
      <w:r>
        <w:t>Key references for this chapter</w:t>
      </w:r>
    </w:p>
    <w:p w14:paraId="5DEFD672" w14:textId="77777777" w:rsidR="00D16027" w:rsidRDefault="00000000">
      <w:pPr>
        <w:pStyle w:val="ListParagraph"/>
        <w:numPr>
          <w:ilvl w:val="0"/>
          <w:numId w:val="3"/>
        </w:numPr>
        <w:spacing w:before="30" w:after="50"/>
      </w:pPr>
      <w:r>
        <w:rPr>
          <w:color w:val="333333"/>
          <w:sz w:val="19"/>
          <w:szCs w:val="19"/>
        </w:rPr>
        <w:t xml:space="preserve">Anderson, L.W. &amp; Krathwohl, D.R. (eds.) (2001) </w:t>
      </w:r>
      <w:r>
        <w:rPr>
          <w:i/>
          <w:iCs/>
          <w:color w:val="333333"/>
          <w:sz w:val="19"/>
          <w:szCs w:val="19"/>
        </w:rPr>
        <w:t>A Taxonomy for Learning, Teaching, and Assessing</w:t>
      </w:r>
      <w:r>
        <w:rPr>
          <w:color w:val="333333"/>
          <w:sz w:val="19"/>
          <w:szCs w:val="19"/>
        </w:rPr>
        <w:t>. New York: Longman.</w:t>
      </w:r>
    </w:p>
    <w:p w14:paraId="5502CD65" w14:textId="77777777" w:rsidR="00D16027" w:rsidRDefault="00000000">
      <w:pPr>
        <w:pStyle w:val="ListParagraph"/>
        <w:numPr>
          <w:ilvl w:val="0"/>
          <w:numId w:val="3"/>
        </w:numPr>
        <w:spacing w:before="30" w:after="50"/>
      </w:pPr>
      <w:r>
        <w:rPr>
          <w:color w:val="333333"/>
          <w:sz w:val="19"/>
          <w:szCs w:val="19"/>
        </w:rPr>
        <w:t xml:space="preserve">Bearman, M., Tai, J., Dawson, P., Boud, D. &amp; </w:t>
      </w:r>
      <w:proofErr w:type="spellStart"/>
      <w:r>
        <w:rPr>
          <w:color w:val="333333"/>
          <w:sz w:val="19"/>
          <w:szCs w:val="19"/>
        </w:rPr>
        <w:t>Ajjawi</w:t>
      </w:r>
      <w:proofErr w:type="spellEnd"/>
      <w:r>
        <w:rPr>
          <w:color w:val="333333"/>
          <w:sz w:val="19"/>
          <w:szCs w:val="19"/>
        </w:rPr>
        <w:t xml:space="preserve">, R. (2024) Developing evaluative judgement for a time of generative artificial intelligence. </w:t>
      </w:r>
      <w:r>
        <w:rPr>
          <w:i/>
          <w:iCs/>
          <w:color w:val="333333"/>
          <w:sz w:val="19"/>
          <w:szCs w:val="19"/>
        </w:rPr>
        <w:t>Assessment &amp; Evaluation in Higher Education</w:t>
      </w:r>
      <w:r>
        <w:rPr>
          <w:color w:val="333333"/>
          <w:sz w:val="19"/>
          <w:szCs w:val="19"/>
        </w:rPr>
        <w:t>, 49(6), 893–905.</w:t>
      </w:r>
    </w:p>
    <w:p w14:paraId="678E90CD" w14:textId="77777777" w:rsidR="00D16027" w:rsidRDefault="00000000">
      <w:pPr>
        <w:pStyle w:val="ListParagraph"/>
        <w:numPr>
          <w:ilvl w:val="0"/>
          <w:numId w:val="3"/>
        </w:numPr>
        <w:spacing w:before="30" w:after="50"/>
      </w:pPr>
      <w:r>
        <w:rPr>
          <w:color w:val="333333"/>
          <w:sz w:val="19"/>
          <w:szCs w:val="19"/>
        </w:rPr>
        <w:t xml:space="preserve">Biggs, J. &amp; Tang, C. (2011) </w:t>
      </w:r>
      <w:r>
        <w:rPr>
          <w:i/>
          <w:iCs/>
          <w:color w:val="333333"/>
          <w:sz w:val="19"/>
          <w:szCs w:val="19"/>
        </w:rPr>
        <w:t>Teaching for Quality Learning at University</w:t>
      </w:r>
      <w:r>
        <w:rPr>
          <w:color w:val="333333"/>
          <w:sz w:val="19"/>
          <w:szCs w:val="19"/>
        </w:rPr>
        <w:t xml:space="preserve"> (4th ed.). Maidenhead: Open University Press.</w:t>
      </w:r>
    </w:p>
    <w:p w14:paraId="63560500" w14:textId="77777777" w:rsidR="00D16027" w:rsidRDefault="00000000">
      <w:pPr>
        <w:pStyle w:val="ListParagraph"/>
        <w:numPr>
          <w:ilvl w:val="0"/>
          <w:numId w:val="3"/>
        </w:numPr>
        <w:spacing w:before="30" w:after="50"/>
      </w:pPr>
      <w:r>
        <w:rPr>
          <w:color w:val="333333"/>
          <w:sz w:val="19"/>
          <w:szCs w:val="19"/>
        </w:rPr>
        <w:t xml:space="preserve">Biggs, J.B. &amp; Collis, K.F. (1982) </w:t>
      </w:r>
      <w:r>
        <w:rPr>
          <w:i/>
          <w:iCs/>
          <w:color w:val="333333"/>
          <w:sz w:val="19"/>
          <w:szCs w:val="19"/>
        </w:rPr>
        <w:t>Evaluating the Quality of Learning: The SOLO Taxonomy</w:t>
      </w:r>
      <w:r>
        <w:rPr>
          <w:color w:val="333333"/>
          <w:sz w:val="19"/>
          <w:szCs w:val="19"/>
        </w:rPr>
        <w:t>. New York: Academic Press.</w:t>
      </w:r>
    </w:p>
    <w:p w14:paraId="760ACCDA" w14:textId="77777777" w:rsidR="00D16027" w:rsidRDefault="00000000">
      <w:pPr>
        <w:pStyle w:val="ListParagraph"/>
        <w:numPr>
          <w:ilvl w:val="0"/>
          <w:numId w:val="3"/>
        </w:numPr>
        <w:spacing w:before="30" w:after="50"/>
      </w:pPr>
      <w:r>
        <w:rPr>
          <w:color w:val="333333"/>
          <w:sz w:val="19"/>
          <w:szCs w:val="19"/>
        </w:rPr>
        <w:t xml:space="preserve">Bridgeman, A., Liu, D. &amp; Weeks, R. (2024) Programme-level assessment design and the two-lane approach. </w:t>
      </w:r>
      <w:proofErr w:type="spellStart"/>
      <w:r>
        <w:rPr>
          <w:i/>
          <w:iCs/>
          <w:color w:val="333333"/>
          <w:sz w:val="19"/>
          <w:szCs w:val="19"/>
        </w:rPr>
        <w:t>Teaching@Sydney</w:t>
      </w:r>
      <w:proofErr w:type="spellEnd"/>
      <w:r>
        <w:rPr>
          <w:color w:val="333333"/>
          <w:sz w:val="19"/>
          <w:szCs w:val="19"/>
        </w:rPr>
        <w:t>, University of Sydney.</w:t>
      </w:r>
    </w:p>
    <w:p w14:paraId="1761D111"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1E9E350C" w14:textId="77777777" w:rsidR="00D16027" w:rsidRDefault="00000000">
      <w:pPr>
        <w:pStyle w:val="ListParagraph"/>
        <w:numPr>
          <w:ilvl w:val="0"/>
          <w:numId w:val="3"/>
        </w:numPr>
        <w:spacing w:before="30" w:after="50"/>
      </w:pPr>
      <w:r>
        <w:rPr>
          <w:color w:val="333333"/>
          <w:sz w:val="19"/>
          <w:szCs w:val="19"/>
        </w:rPr>
        <w:t xml:space="preserve">Freeman, J. (2025) </w:t>
      </w:r>
      <w:r>
        <w:rPr>
          <w:i/>
          <w:iCs/>
          <w:color w:val="333333"/>
          <w:sz w:val="19"/>
          <w:szCs w:val="19"/>
        </w:rPr>
        <w:t>Student Generative AI Survey 2025</w:t>
      </w:r>
      <w:r>
        <w:rPr>
          <w:color w:val="333333"/>
          <w:sz w:val="19"/>
          <w:szCs w:val="19"/>
        </w:rPr>
        <w:t xml:space="preserve">. HEPI Policy Note 61. Oxford: Higher Education Policy Institute / </w:t>
      </w:r>
      <w:proofErr w:type="spellStart"/>
      <w:r>
        <w:rPr>
          <w:color w:val="333333"/>
          <w:sz w:val="19"/>
          <w:szCs w:val="19"/>
        </w:rPr>
        <w:t>Kortext</w:t>
      </w:r>
      <w:proofErr w:type="spellEnd"/>
      <w:r>
        <w:rPr>
          <w:color w:val="333333"/>
          <w:sz w:val="19"/>
          <w:szCs w:val="19"/>
        </w:rPr>
        <w:t>.</w:t>
      </w:r>
    </w:p>
    <w:p w14:paraId="3665C5DB" w14:textId="77777777" w:rsidR="00D16027" w:rsidRDefault="00000000">
      <w:pPr>
        <w:pStyle w:val="ListParagraph"/>
        <w:numPr>
          <w:ilvl w:val="0"/>
          <w:numId w:val="3"/>
        </w:numPr>
        <w:spacing w:before="30" w:after="50"/>
      </w:pPr>
      <w:r>
        <w:rPr>
          <w:color w:val="333333"/>
          <w:sz w:val="19"/>
          <w:szCs w:val="19"/>
        </w:rPr>
        <w:t xml:space="preserve">Hussey, T. &amp; Smith, P. (2002) The trouble with learning outcomes. </w:t>
      </w:r>
      <w:r>
        <w:rPr>
          <w:i/>
          <w:iCs/>
          <w:color w:val="333333"/>
          <w:sz w:val="19"/>
          <w:szCs w:val="19"/>
        </w:rPr>
        <w:t>Active Learning in Higher Education</w:t>
      </w:r>
      <w:r>
        <w:rPr>
          <w:color w:val="333333"/>
          <w:sz w:val="19"/>
          <w:szCs w:val="19"/>
        </w:rPr>
        <w:t>, 3(3), 220–233.</w:t>
      </w:r>
    </w:p>
    <w:p w14:paraId="79643ABF" w14:textId="77777777" w:rsidR="00D16027" w:rsidRDefault="00000000">
      <w:pPr>
        <w:pStyle w:val="ListParagraph"/>
        <w:numPr>
          <w:ilvl w:val="0"/>
          <w:numId w:val="3"/>
        </w:numPr>
        <w:spacing w:before="30" w:after="50"/>
      </w:pPr>
      <w:r>
        <w:rPr>
          <w:color w:val="333333"/>
          <w:sz w:val="19"/>
          <w:szCs w:val="19"/>
        </w:rPr>
        <w:t xml:space="preserve">Hussey, T. &amp; Smith, P. (2003) The uses of learning outcomes. </w:t>
      </w:r>
      <w:r>
        <w:rPr>
          <w:i/>
          <w:iCs/>
          <w:color w:val="333333"/>
          <w:sz w:val="19"/>
          <w:szCs w:val="19"/>
        </w:rPr>
        <w:t>Teaching in Higher Education</w:t>
      </w:r>
      <w:r>
        <w:rPr>
          <w:color w:val="333333"/>
          <w:sz w:val="19"/>
          <w:szCs w:val="19"/>
        </w:rPr>
        <w:t>, 8(3), 357–368.</w:t>
      </w:r>
    </w:p>
    <w:p w14:paraId="152EA993" w14:textId="77777777" w:rsidR="00D16027" w:rsidRDefault="00000000">
      <w:pPr>
        <w:pStyle w:val="ListParagraph"/>
        <w:numPr>
          <w:ilvl w:val="0"/>
          <w:numId w:val="3"/>
        </w:numPr>
        <w:spacing w:before="30" w:after="50"/>
      </w:pPr>
      <w:r>
        <w:rPr>
          <w:color w:val="333333"/>
          <w:sz w:val="19"/>
          <w:szCs w:val="19"/>
        </w:rPr>
        <w:t xml:space="preserve">Katz, D.M., Bommarito, M.J., Gao, S. &amp; Arredondo, P. (2024) GPT-4 passes the bar exam. </w:t>
      </w:r>
      <w:r>
        <w:rPr>
          <w:i/>
          <w:iCs/>
          <w:color w:val="333333"/>
          <w:sz w:val="19"/>
          <w:szCs w:val="19"/>
        </w:rPr>
        <w:t>Philosophical Transactions of the Royal Society A</w:t>
      </w:r>
      <w:r>
        <w:rPr>
          <w:color w:val="333333"/>
          <w:sz w:val="19"/>
          <w:szCs w:val="19"/>
        </w:rPr>
        <w:t>, 382(2270), 20230254.</w:t>
      </w:r>
    </w:p>
    <w:p w14:paraId="3A2C2D5E"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4BD53522" w14:textId="77777777" w:rsidR="00D16027" w:rsidRDefault="00000000">
      <w:pPr>
        <w:pStyle w:val="ListParagraph"/>
        <w:numPr>
          <w:ilvl w:val="0"/>
          <w:numId w:val="3"/>
        </w:numPr>
        <w:spacing w:before="30" w:after="50"/>
      </w:pPr>
      <w:r>
        <w:rPr>
          <w:color w:val="333333"/>
          <w:sz w:val="19"/>
          <w:szCs w:val="19"/>
        </w:rPr>
        <w:t xml:space="preserve">Long, D. &amp; </w:t>
      </w:r>
      <w:proofErr w:type="spellStart"/>
      <w:r>
        <w:rPr>
          <w:color w:val="333333"/>
          <w:sz w:val="19"/>
          <w:szCs w:val="19"/>
        </w:rPr>
        <w:t>Magerko</w:t>
      </w:r>
      <w:proofErr w:type="spellEnd"/>
      <w:r>
        <w:rPr>
          <w:color w:val="333333"/>
          <w:sz w:val="19"/>
          <w:szCs w:val="19"/>
        </w:rPr>
        <w:t xml:space="preserve">, B. (2020) What is AI literacy? Competencies and design considerations. </w:t>
      </w:r>
      <w:r>
        <w:rPr>
          <w:i/>
          <w:iCs/>
          <w:color w:val="333333"/>
          <w:sz w:val="19"/>
          <w:szCs w:val="19"/>
        </w:rPr>
        <w:t>Proceedings of CHI 2020</w:t>
      </w:r>
      <w:r>
        <w:rPr>
          <w:color w:val="333333"/>
          <w:sz w:val="19"/>
          <w:szCs w:val="19"/>
        </w:rPr>
        <w:t>, 1–16.</w:t>
      </w:r>
    </w:p>
    <w:p w14:paraId="4D6425DA" w14:textId="77777777" w:rsidR="00D16027" w:rsidRDefault="00000000">
      <w:pPr>
        <w:pStyle w:val="ListParagraph"/>
        <w:numPr>
          <w:ilvl w:val="0"/>
          <w:numId w:val="3"/>
        </w:numPr>
        <w:spacing w:before="30" w:after="50"/>
      </w:pPr>
      <w:r>
        <w:rPr>
          <w:color w:val="333333"/>
          <w:sz w:val="19"/>
          <w:szCs w:val="19"/>
        </w:rPr>
        <w:t xml:space="preserve">Mager, R.F. (1962) </w:t>
      </w:r>
      <w:r>
        <w:rPr>
          <w:i/>
          <w:iCs/>
          <w:color w:val="333333"/>
          <w:sz w:val="19"/>
          <w:szCs w:val="19"/>
        </w:rPr>
        <w:t>Preparing Instructional Objectives</w:t>
      </w:r>
      <w:r>
        <w:rPr>
          <w:color w:val="333333"/>
          <w:sz w:val="19"/>
          <w:szCs w:val="19"/>
        </w:rPr>
        <w:t>. Palo Alto, CA: Fearon.</w:t>
      </w:r>
    </w:p>
    <w:p w14:paraId="160D077F" w14:textId="77777777" w:rsidR="00D16027" w:rsidRDefault="00000000">
      <w:pPr>
        <w:pStyle w:val="ListParagraph"/>
        <w:numPr>
          <w:ilvl w:val="0"/>
          <w:numId w:val="3"/>
        </w:numPr>
        <w:spacing w:before="30" w:after="50"/>
      </w:pPr>
      <w:r>
        <w:rPr>
          <w:color w:val="333333"/>
          <w:sz w:val="19"/>
          <w:szCs w:val="19"/>
        </w:rPr>
        <w:t xml:space="preserve">Ng, D.T.K., Leung, J.K.L., Chu, S.K.W. &amp; Qiao, M.S. (2021) Conceptualizing AI literacy: an exploratory review. </w:t>
      </w:r>
      <w:r>
        <w:rPr>
          <w:i/>
          <w:iCs/>
          <w:color w:val="333333"/>
          <w:sz w:val="19"/>
          <w:szCs w:val="19"/>
        </w:rPr>
        <w:t>Computers and Education: Artificial Intelligence</w:t>
      </w:r>
      <w:r>
        <w:rPr>
          <w:color w:val="333333"/>
          <w:sz w:val="19"/>
          <w:szCs w:val="19"/>
        </w:rPr>
        <w:t>, 2, 100041.</w:t>
      </w:r>
    </w:p>
    <w:p w14:paraId="0CE54AD0"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5373BF77"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1A851106" w14:textId="77777777" w:rsidR="00D16027" w:rsidRDefault="00000000">
      <w:pPr>
        <w:pStyle w:val="ListParagraph"/>
        <w:numPr>
          <w:ilvl w:val="0"/>
          <w:numId w:val="3"/>
        </w:numPr>
        <w:spacing w:before="30" w:after="50"/>
      </w:pPr>
      <w:r>
        <w:rPr>
          <w:color w:val="333333"/>
          <w:sz w:val="19"/>
          <w:szCs w:val="19"/>
        </w:rPr>
        <w:t xml:space="preserve">Sadler, D.R. (2009) Indeterminacy in the use of preset criteria for assessment and grading. </w:t>
      </w:r>
      <w:r>
        <w:rPr>
          <w:i/>
          <w:iCs/>
          <w:color w:val="333333"/>
          <w:sz w:val="19"/>
          <w:szCs w:val="19"/>
        </w:rPr>
        <w:t>Assessment &amp; Evaluation in Higher Education</w:t>
      </w:r>
      <w:r>
        <w:rPr>
          <w:color w:val="333333"/>
          <w:sz w:val="19"/>
          <w:szCs w:val="19"/>
        </w:rPr>
        <w:t>, 34(2), 159–179.</w:t>
      </w:r>
    </w:p>
    <w:p w14:paraId="7DEAD005" w14:textId="77777777" w:rsidR="00D16027" w:rsidRDefault="00000000">
      <w:pPr>
        <w:pStyle w:val="ListParagraph"/>
        <w:numPr>
          <w:ilvl w:val="0"/>
          <w:numId w:val="3"/>
        </w:numPr>
        <w:spacing w:before="30" w:after="50"/>
      </w:pPr>
      <w:r>
        <w:rPr>
          <w:color w:val="333333"/>
          <w:sz w:val="19"/>
          <w:szCs w:val="19"/>
        </w:rPr>
        <w:t xml:space="preserve">van der Vleuten, C.P.M. &amp; Schuwirth, L.W.T. (2005) Assessing professional competence: from methods to programmes. </w:t>
      </w:r>
      <w:r>
        <w:rPr>
          <w:i/>
          <w:iCs/>
          <w:color w:val="333333"/>
          <w:sz w:val="19"/>
          <w:szCs w:val="19"/>
        </w:rPr>
        <w:t>Medical Education</w:t>
      </w:r>
      <w:r>
        <w:rPr>
          <w:color w:val="333333"/>
          <w:sz w:val="19"/>
          <w:szCs w:val="19"/>
        </w:rPr>
        <w:t>, 39(3), 309–317.</w:t>
      </w:r>
    </w:p>
    <w:p w14:paraId="343B3C8A" w14:textId="77777777" w:rsidR="00D16027" w:rsidRDefault="00000000">
      <w:pPr>
        <w:pStyle w:val="ListParagraph"/>
        <w:numPr>
          <w:ilvl w:val="0"/>
          <w:numId w:val="3"/>
        </w:numPr>
        <w:spacing w:before="30" w:after="50"/>
      </w:pPr>
      <w:r>
        <w:rPr>
          <w:color w:val="333333"/>
          <w:sz w:val="19"/>
          <w:szCs w:val="19"/>
        </w:rPr>
        <w:t xml:space="preserve">van der Vleuten, C.P.M., Schuwirth, L.W.T., Driessen, E.W., Dijkstra, J., </w:t>
      </w:r>
      <w:proofErr w:type="spellStart"/>
      <w:r>
        <w:rPr>
          <w:color w:val="333333"/>
          <w:sz w:val="19"/>
          <w:szCs w:val="19"/>
        </w:rPr>
        <w:t>Tigelaar</w:t>
      </w:r>
      <w:proofErr w:type="spellEnd"/>
      <w:r>
        <w:rPr>
          <w:color w:val="333333"/>
          <w:sz w:val="19"/>
          <w:szCs w:val="19"/>
        </w:rPr>
        <w:t xml:space="preserve">, D., Baartman, L.K.J. &amp; van </w:t>
      </w:r>
      <w:proofErr w:type="spellStart"/>
      <w:r>
        <w:rPr>
          <w:color w:val="333333"/>
          <w:sz w:val="19"/>
          <w:szCs w:val="19"/>
        </w:rPr>
        <w:t>Tartwijk</w:t>
      </w:r>
      <w:proofErr w:type="spellEnd"/>
      <w:r>
        <w:rPr>
          <w:color w:val="333333"/>
          <w:sz w:val="19"/>
          <w:szCs w:val="19"/>
        </w:rPr>
        <w:t xml:space="preserve">, J. (2012) A model for programmatic assessment fit for purpose. </w:t>
      </w:r>
      <w:r>
        <w:rPr>
          <w:i/>
          <w:iCs/>
          <w:color w:val="333333"/>
          <w:sz w:val="19"/>
          <w:szCs w:val="19"/>
        </w:rPr>
        <w:t>Medical Teacher</w:t>
      </w:r>
      <w:r>
        <w:rPr>
          <w:color w:val="333333"/>
          <w:sz w:val="19"/>
          <w:szCs w:val="19"/>
        </w:rPr>
        <w:t>, 34(3), 205–214.</w:t>
      </w:r>
    </w:p>
    <w:p w14:paraId="5F8E4330" w14:textId="77777777" w:rsidR="00D16027" w:rsidRDefault="00000000">
      <w:pPr>
        <w:pStyle w:val="ListParagraph"/>
        <w:numPr>
          <w:ilvl w:val="0"/>
          <w:numId w:val="3"/>
        </w:numPr>
        <w:spacing w:before="30" w:after="50"/>
      </w:pPr>
      <w:r>
        <w:rPr>
          <w:color w:val="333333"/>
          <w:sz w:val="19"/>
          <w:szCs w:val="19"/>
        </w:rPr>
        <w:t xml:space="preserve">Wiggins, G. &amp; McTighe, J. (2005) </w:t>
      </w:r>
      <w:r>
        <w:rPr>
          <w:i/>
          <w:iCs/>
          <w:color w:val="333333"/>
          <w:sz w:val="19"/>
          <w:szCs w:val="19"/>
        </w:rPr>
        <w:t>Understanding by Design</w:t>
      </w:r>
      <w:r>
        <w:rPr>
          <w:color w:val="333333"/>
          <w:sz w:val="19"/>
          <w:szCs w:val="19"/>
        </w:rPr>
        <w:t xml:space="preserve"> (2nd ed.). Alexandria, VA: ASCD.</w:t>
      </w:r>
    </w:p>
    <w:p w14:paraId="6FB46618" w14:textId="77777777" w:rsidR="00D16027" w:rsidRDefault="00000000">
      <w:r>
        <w:lastRenderedPageBreak/>
        <w:br w:type="page"/>
      </w:r>
    </w:p>
    <w:p w14:paraId="76BDA8DE" w14:textId="77777777" w:rsidR="00D16027" w:rsidRDefault="00000000">
      <w:pPr>
        <w:keepNext/>
        <w:spacing w:after="40"/>
      </w:pPr>
      <w:r>
        <w:rPr>
          <w:b/>
          <w:bCs/>
          <w:caps/>
          <w:color w:val="2E75B6"/>
          <w:sz w:val="22"/>
          <w:szCs w:val="22"/>
        </w:rPr>
        <w:lastRenderedPageBreak/>
        <w:t>CHAPTER 5</w:t>
      </w:r>
    </w:p>
    <w:p w14:paraId="65043A1E" w14:textId="77777777" w:rsidR="00D16027" w:rsidRDefault="00000000">
      <w:pPr>
        <w:pStyle w:val="Heading1"/>
        <w:keepNext/>
      </w:pPr>
      <w:r>
        <w:t>Rethinking the Validity Question</w:t>
      </w:r>
    </w:p>
    <w:p w14:paraId="6E367945" w14:textId="77777777" w:rsidR="00D16027" w:rsidRDefault="00000000">
      <w:pPr>
        <w:pBdr>
          <w:left w:val="single" w:sz="14" w:space="10" w:color="2E75B6"/>
        </w:pBdr>
        <w:shd w:val="clear" w:color="auto" w:fill="EAF3FB"/>
        <w:spacing w:after="200"/>
      </w:pPr>
      <w:r>
        <w:rPr>
          <w:i/>
          <w:iCs/>
          <w:color w:val="333333"/>
        </w:rPr>
        <w:t>When a student submits work that AI could have generated, what does that submission actually tell us? This chapter confronts the validity challenge that generative AI poses to assessment and provides practical tools for auditing and addressing it, task by task.</w:t>
      </w:r>
    </w:p>
    <w:p w14:paraId="3AD74D3E"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70BB230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Explain construct validity and why AI breaks the inference from product to capability</w:t>
      </w:r>
    </w:p>
    <w:p w14:paraId="563CC0A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Distinguish the two classic validity threats, construct-irrelevant variance and construct under-representation, as they appear in the AI era</w:t>
      </w:r>
    </w:p>
    <w:p w14:paraId="73B6B3B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Choose validity by design over validity by detection, and know why</w:t>
      </w:r>
    </w:p>
    <w:p w14:paraId="431A0591"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Run an AI vulnerability audit that classifies any task as low, medium or high risk and prioritises redesign</w:t>
      </w:r>
    </w:p>
    <w:p w14:paraId="58547699" w14:textId="77777777" w:rsidR="00D16027" w:rsidRDefault="00000000">
      <w:pPr>
        <w:pStyle w:val="Heading2"/>
        <w:keepNext/>
      </w:pPr>
      <w:r>
        <w:t>5.1 Validity, briefly</w:t>
      </w:r>
    </w:p>
    <w:p w14:paraId="3B56AD24" w14:textId="77777777" w:rsidR="00D16027" w:rsidRDefault="00000000">
      <w:pPr>
        <w:spacing w:after="140"/>
      </w:pPr>
      <w:r>
        <w:t xml:space="preserve">Validity is the degree to which evidence and theory support the interpretations we place on assessment results (AERA, APA &amp; NCME 2014). It is not a property of a task but of the inference we draw from it: from a mark on an essay to a claim that a student can analyse; from a pass in an OSCE to a claim that a graduate can examine a patient safely. Messick (1989, 1995) unified the older varieties of validity into a single concept with several aspects, and insisted that the </w:t>
      </w:r>
      <w:r>
        <w:rPr>
          <w:i/>
          <w:iCs/>
        </w:rPr>
        <w:t>consequences</w:t>
      </w:r>
      <w:r>
        <w:t xml:space="preserve"> of using an assessment are part of its validity. Kane (2013) reframed validation as building and defending an argument: each link in the chain from observed performance to intended claim must be justified. Pellegrino, </w:t>
      </w:r>
      <w:proofErr w:type="spellStart"/>
      <w:r>
        <w:t>Chudowsky</w:t>
      </w:r>
      <w:proofErr w:type="spellEnd"/>
      <w:r>
        <w:t xml:space="preserve"> and Glaser (2001) picture the same idea as a triangle of cognition, observation and interpretation: we observe something, and we interpret it as evidence of something in the student's mind.</w:t>
      </w:r>
    </w:p>
    <w:p w14:paraId="073D0497" w14:textId="77777777" w:rsidR="00D16027" w:rsidRDefault="00000000">
      <w:pPr>
        <w:spacing w:after="140"/>
      </w:pPr>
      <w:r>
        <w:t xml:space="preserve">Messick identified two ways the chain fails. </w:t>
      </w:r>
      <w:r>
        <w:rPr>
          <w:i/>
          <w:iCs/>
        </w:rPr>
        <w:t>Construct-irrelevant variance</w:t>
      </w:r>
      <w:r>
        <w:t xml:space="preserve"> occurs when scores reflect something other than the intended capability: test anxiety, reading speed, or, now, access to a premium AI subscription and skill in prompting it. </w:t>
      </w:r>
      <w:r>
        <w:rPr>
          <w:i/>
          <w:iCs/>
        </w:rPr>
        <w:t>Construct under-representation</w:t>
      </w:r>
      <w:r>
        <w:t xml:space="preserve"> occurs when the task samples only part of the capability: an essay that captures organisation and fluency but not the analytic judgement the outcome names. Both threats existed before AI. AI has made both routine.</w:t>
      </w:r>
    </w:p>
    <w:p w14:paraId="4AE5C569" w14:textId="77777777" w:rsidR="00D16027" w:rsidRDefault="00000000">
      <w:pPr>
        <w:keepNext/>
        <w:spacing w:before="160" w:after="60"/>
        <w:jc w:val="center"/>
      </w:pPr>
      <w:r>
        <w:rPr>
          <w:noProof/>
        </w:rPr>
        <w:drawing>
          <wp:inline distT="0" distB="0" distL="0" distR="0" wp14:anchorId="0A3CA185" wp14:editId="530D344C">
            <wp:extent cx="4752975"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2990850"/>
                    </a:xfrm>
                    <a:prstGeom prst="rect">
                      <a:avLst/>
                    </a:prstGeom>
                  </pic:spPr>
                </pic:pic>
              </a:graphicData>
            </a:graphic>
          </wp:inline>
        </w:drawing>
      </w:r>
    </w:p>
    <w:p w14:paraId="6BD31B98" w14:textId="77777777" w:rsidR="00D16027" w:rsidRDefault="00000000">
      <w:pPr>
        <w:spacing w:after="200"/>
        <w:jc w:val="center"/>
      </w:pPr>
      <w:r>
        <w:rPr>
          <w:i/>
          <w:iCs/>
          <w:color w:val="1A4F7A"/>
          <w:sz w:val="19"/>
          <w:szCs w:val="19"/>
        </w:rPr>
        <w:t>Figure 5.1  The assessment triangle and where generative AI breaks it</w:t>
      </w:r>
    </w:p>
    <w:p w14:paraId="1CD676E1" w14:textId="77777777" w:rsidR="00D16027" w:rsidRDefault="00000000">
      <w:pPr>
        <w:pStyle w:val="Heading2"/>
        <w:keepNext/>
      </w:pPr>
      <w:r>
        <w:lastRenderedPageBreak/>
        <w:t>5.2 How AI breaks the chain</w:t>
      </w:r>
    </w:p>
    <w:p w14:paraId="6A9B5580" w14:textId="77777777" w:rsidR="00D16027" w:rsidRDefault="00000000">
      <w:pPr>
        <w:spacing w:after="140"/>
      </w:pPr>
      <w:r>
        <w:t>Consider a standard inference: this student submitted a well-argued 2,500-word essay, therefore this student can construct a well-argued case. Before 2022 the main threat to that inference was contract cheating, and Dawson (2021) showed that assessment security had always been a validity issue rather than merely a disciplinary one. Since 2022 the observation (a fluent product) no longer indicates the cognition (the student's own reasoning) with any confidence, because the product can be obtained without the cognition. The inference is not merely weakened; for unsupervised written work it is, in Kane's terms, unsupported.</w:t>
      </w:r>
    </w:p>
    <w:p w14:paraId="642BFF71" w14:textId="77777777" w:rsidR="00D16027" w:rsidRDefault="00000000">
      <w:pPr>
        <w:spacing w:after="140"/>
      </w:pPr>
      <w:r>
        <w:t xml:space="preserve">Corbin, Dawson and Liu (2025) draw a distinction that every institution should adopt. </w:t>
      </w:r>
      <w:r>
        <w:rPr>
          <w:i/>
          <w:iCs/>
        </w:rPr>
        <w:t>Discursive</w:t>
      </w:r>
      <w:r>
        <w:t xml:space="preserve"> responses to AI (policies, syllabus statements, honour codes, warnings) change what we say about a task without changing what the task can evidence. </w:t>
      </w:r>
      <w:r>
        <w:rPr>
          <w:i/>
          <w:iCs/>
        </w:rPr>
        <w:t>Structural</w:t>
      </w:r>
      <w:r>
        <w:t xml:space="preserve"> responses change the task itself: its conditions, its evidence, its relationship to the student. Only structural changes restore validity. Their title, "Talk is cheap", captures the point: an unsupervised essay with a paragraph prohibiting AI is exactly as vulnerable as one without.</w:t>
      </w:r>
    </w:p>
    <w:p w14:paraId="06F37A21" w14:textId="77777777" w:rsidR="00D16027" w:rsidRDefault="00000000">
      <w:pPr>
        <w:pBdr>
          <w:left w:val="single" w:sz="14" w:space="10" w:color="2E75B6"/>
        </w:pBdr>
        <w:shd w:val="clear" w:color="auto" w:fill="EAF3FB"/>
        <w:spacing w:before="80" w:after="160"/>
      </w:pPr>
      <w:r>
        <w:rPr>
          <w:b/>
          <w:bCs/>
          <w:color w:val="333333"/>
        </w:rPr>
        <w:t>Two validity threats, restated for AI.</w:t>
      </w:r>
      <w:r>
        <w:rPr>
          <w:color w:val="333333"/>
        </w:rPr>
        <w:t xml:space="preserve"> Construct-irrelevant variance: the grade reflects AI access and prompting skill. Construct under-representation: the task no longer samples the judgement, process or context that the outcome names. Redesign must address both, and detection addresses neither.</w:t>
      </w:r>
    </w:p>
    <w:p w14:paraId="45A102EE" w14:textId="77777777" w:rsidR="00D16027" w:rsidRDefault="00000000">
      <w:pPr>
        <w:pStyle w:val="Heading2"/>
        <w:keepNext/>
      </w:pPr>
      <w:r>
        <w:t>5.3 Validity by design, not by detection</w:t>
      </w:r>
    </w:p>
    <w:p w14:paraId="4CFA2E1D" w14:textId="77777777" w:rsidR="00D16027" w:rsidRDefault="00000000">
      <w:pPr>
        <w:spacing w:after="140"/>
      </w:pPr>
      <w:r>
        <w:t>There are two ways to restore the inference. The first tries to establish, after the fact, that the product was in fact produced by the student: detection software, stylometric comparison, forensic interviews. Chapter 15 reviews this evidence in full; here it is enough to note that detection is inaccurate, easily evaded and biased against non-native English writers (Weber-Wulff et al. 2023; Liang et al. 2023). Even if detection worked, it would restore validity only for the students it caught, at the price of the consequential harms Messick warned about: false accusations, adversarial relationships, and the exclusion of exactly the students inclusive assessment is meant to serve (Dawson, Bearman, Dollinger &amp; Boud 2024).</w:t>
      </w:r>
    </w:p>
    <w:p w14:paraId="34C7FD94" w14:textId="77777777" w:rsidR="00D16027" w:rsidRDefault="00000000">
      <w:pPr>
        <w:spacing w:after="140"/>
      </w:pPr>
      <w:r>
        <w:t>The second approach builds tasks whose evidence could only have come from the student, so that the inference holds by construction. This is validity by design, and it has three main forms, developed in Part III. Secured conditions place the observation where AI cannot reach: the exam hall, the laboratory, the clinic, the live conversation. Process evidence makes the cognition visible over time: drafts, notebooks, version histories, checkpoints. Context specificity ties the product to something only the student possesses: their own data, their client, their placement, their prior work. Lodge et al. (2023) summarise the aim as forming trustworthy judgements through multiple, inclusive and contextualised approaches. Detection is a tool of last resort for suspected misconduct; it is not a validity strategy.</w:t>
      </w:r>
    </w:p>
    <w:p w14:paraId="7757F7F2" w14:textId="77777777" w:rsidR="00D16027" w:rsidRDefault="00000000">
      <w:pPr>
        <w:pStyle w:val="Heading2"/>
        <w:keepNext/>
      </w:pPr>
      <w:r>
        <w:t>5.4 Authenticity as a validity dimension, and its limits</w:t>
      </w:r>
    </w:p>
    <w:p w14:paraId="04CFEF4F" w14:textId="77777777" w:rsidR="00D16027" w:rsidRDefault="00000000">
      <w:pPr>
        <w:spacing w:after="140"/>
      </w:pPr>
      <w:r>
        <w:t xml:space="preserve">Authentic assessment has long been argued to improve validity by making the task resemble the real use of the capability. Gulikers, </w:t>
      </w:r>
      <w:proofErr w:type="spellStart"/>
      <w:r>
        <w:t>Bastiaens</w:t>
      </w:r>
      <w:proofErr w:type="spellEnd"/>
      <w:r>
        <w:t xml:space="preserve"> and Kirschner (2004) describe authenticity across five dimensions: the task, the physical context, the social context, the result or form, and the criteria. Ashford-Rowe, Herrington and Brown (2014) identify eight critical elements, including challenge, a performance or product, transfer of knowledge, metacognition, fidelity of environment and tools, and opportunity for discussion and feedback. Villarroel et al. (2018) distil these to realism, cognitive challenge and evaluative judgement. </w:t>
      </w:r>
      <w:proofErr w:type="spellStart"/>
      <w:r>
        <w:t>Sotiriadou</w:t>
      </w:r>
      <w:proofErr w:type="spellEnd"/>
      <w:r>
        <w:t>, Logan, Daly and Guest (2020) found that authentic assessment built around interactive oral conversations improved both integrity and employability skills.</w:t>
      </w:r>
    </w:p>
    <w:p w14:paraId="381C6EDC" w14:textId="77777777" w:rsidR="00D16027" w:rsidRDefault="00000000">
      <w:pPr>
        <w:spacing w:after="140"/>
      </w:pPr>
      <w:r>
        <w:t xml:space="preserve">Two cautions are needed. First, authenticity and AI resilience are not the same thing. Fawns et al. (2024) observe that in most workplaces the authentic practice now </w:t>
      </w:r>
      <w:r>
        <w:rPr>
          <w:i/>
          <w:iCs/>
        </w:rPr>
        <w:t>includes</w:t>
      </w:r>
      <w:r>
        <w:t xml:space="preserve"> using AI, so an authentic task may be one in which AI use is expected, not excluded. McArthur (2023) adds that authenticity should be judged by social value and not only by resemblance to current work practices. Second, </w:t>
      </w:r>
      <w:proofErr w:type="spellStart"/>
      <w:r>
        <w:t>Sotiriadou</w:t>
      </w:r>
      <w:proofErr w:type="spellEnd"/>
      <w:r>
        <w:t xml:space="preserve"> et al.'s integrity benefit came largely from the interactive oral component, not from realism as such. Realistic briefs are easy for AI to answer; realistic </w:t>
      </w:r>
      <w:r>
        <w:rPr>
          <w:i/>
          <w:iCs/>
        </w:rPr>
        <w:t>conditions</w:t>
      </w:r>
      <w:r>
        <w:t xml:space="preserve"> (a client in the room, data </w:t>
      </w:r>
      <w:r>
        <w:lastRenderedPageBreak/>
        <w:t>gathered by the student, a conversation with an assessor) are not. Authenticity contributes to validity when it locates the evidence in the student's own engagement with a specific context.</w:t>
      </w:r>
    </w:p>
    <w:p w14:paraId="35D5BA80" w14:textId="77777777" w:rsidR="00D16027" w:rsidRDefault="00000000">
      <w:pPr>
        <w:pStyle w:val="Heading2"/>
        <w:keepNext/>
      </w:pPr>
      <w:r>
        <w:t>5.5 The AI vulnerability audit</w:t>
      </w:r>
    </w:p>
    <w:p w14:paraId="63608C67" w14:textId="77777777" w:rsidR="00D16027" w:rsidRDefault="00000000">
      <w:pPr>
        <w:spacing w:after="140"/>
      </w:pPr>
      <w:r>
        <w:t>The audit below turns these principles into a scoring tool. Each task is rated on six dimensions from 0 (protective) to 2 (exposed); the sum places it in a risk band. The tool is a heuristic, not a measurement instrument; its purpose is to make vulnerability visible and comparable across a portfolio, and to be used alongside the empirical protocol in Chapter 2 (run the task through current tools and mark the result).</w:t>
      </w:r>
    </w:p>
    <w:p w14:paraId="09F72556" w14:textId="77777777" w:rsidR="00D16027" w:rsidRDefault="00000000">
      <w:pPr>
        <w:keepNext/>
        <w:spacing w:before="160" w:after="80"/>
      </w:pPr>
      <w:r>
        <w:rPr>
          <w:b/>
          <w:bCs/>
          <w:color w:val="1A4F7A"/>
          <w:sz w:val="20"/>
          <w:szCs w:val="20"/>
        </w:rPr>
        <w:t>Table 5.1  The AI vulnerability audit: six dimensions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400"/>
        <w:gridCol w:w="2386"/>
      </w:tblGrid>
      <w:tr w:rsidR="00D16027" w14:paraId="73C82E03" w14:textId="77777777">
        <w:tblPrEx>
          <w:tblCellMar>
            <w:top w:w="0" w:type="dxa"/>
            <w:bottom w:w="0" w:type="dxa"/>
          </w:tblCellMar>
        </w:tblPrEx>
        <w:trPr>
          <w:cantSplit/>
          <w:tblHeader/>
        </w:trPr>
        <w:tc>
          <w:tcPr>
            <w:tcW w:w="2100" w:type="dxa"/>
            <w:shd w:val="clear" w:color="auto" w:fill="2E75B6"/>
            <w:tcMar>
              <w:top w:w="70" w:type="dxa"/>
              <w:left w:w="100" w:type="dxa"/>
              <w:bottom w:w="70" w:type="dxa"/>
              <w:right w:w="100" w:type="dxa"/>
            </w:tcMar>
          </w:tcPr>
          <w:p w14:paraId="69600684" w14:textId="77777777" w:rsidR="00D16027" w:rsidRDefault="00000000">
            <w:r>
              <w:rPr>
                <w:b/>
                <w:bCs/>
                <w:color w:val="FFFFFF"/>
                <w:sz w:val="19"/>
                <w:szCs w:val="19"/>
              </w:rPr>
              <w:t>Dimension</w:t>
            </w:r>
          </w:p>
        </w:tc>
        <w:tc>
          <w:tcPr>
            <w:tcW w:w="2500" w:type="dxa"/>
            <w:shd w:val="clear" w:color="auto" w:fill="2E75B6"/>
            <w:tcMar>
              <w:top w:w="70" w:type="dxa"/>
              <w:left w:w="100" w:type="dxa"/>
              <w:bottom w:w="70" w:type="dxa"/>
              <w:right w:w="100" w:type="dxa"/>
            </w:tcMar>
          </w:tcPr>
          <w:p w14:paraId="23E6F196" w14:textId="77777777" w:rsidR="00D16027" w:rsidRDefault="00000000">
            <w:r>
              <w:rPr>
                <w:b/>
                <w:bCs/>
                <w:color w:val="FFFFFF"/>
                <w:sz w:val="19"/>
                <w:szCs w:val="19"/>
              </w:rPr>
              <w:t>0 (protective)</w:t>
            </w:r>
          </w:p>
        </w:tc>
        <w:tc>
          <w:tcPr>
            <w:tcW w:w="2400" w:type="dxa"/>
            <w:shd w:val="clear" w:color="auto" w:fill="2E75B6"/>
            <w:tcMar>
              <w:top w:w="70" w:type="dxa"/>
              <w:left w:w="100" w:type="dxa"/>
              <w:bottom w:w="70" w:type="dxa"/>
              <w:right w:w="100" w:type="dxa"/>
            </w:tcMar>
          </w:tcPr>
          <w:p w14:paraId="6DCED617" w14:textId="77777777" w:rsidR="00D16027" w:rsidRDefault="00000000">
            <w:r>
              <w:rPr>
                <w:b/>
                <w:bCs/>
                <w:color w:val="FFFFFF"/>
                <w:sz w:val="19"/>
                <w:szCs w:val="19"/>
              </w:rPr>
              <w:t>1</w:t>
            </w:r>
          </w:p>
        </w:tc>
        <w:tc>
          <w:tcPr>
            <w:tcW w:w="2386" w:type="dxa"/>
            <w:shd w:val="clear" w:color="auto" w:fill="2E75B6"/>
            <w:tcMar>
              <w:top w:w="70" w:type="dxa"/>
              <w:left w:w="100" w:type="dxa"/>
              <w:bottom w:w="70" w:type="dxa"/>
              <w:right w:w="100" w:type="dxa"/>
            </w:tcMar>
          </w:tcPr>
          <w:p w14:paraId="32F81EF3" w14:textId="77777777" w:rsidR="00D16027" w:rsidRDefault="00000000">
            <w:r>
              <w:rPr>
                <w:b/>
                <w:bCs/>
                <w:color w:val="FFFFFF"/>
                <w:sz w:val="19"/>
                <w:szCs w:val="19"/>
              </w:rPr>
              <w:t>2 (exposed)</w:t>
            </w:r>
          </w:p>
        </w:tc>
      </w:tr>
      <w:tr w:rsidR="00D16027" w14:paraId="0660F210" w14:textId="77777777">
        <w:tblPrEx>
          <w:tblCellMar>
            <w:top w:w="0" w:type="dxa"/>
            <w:bottom w:w="0" w:type="dxa"/>
          </w:tblCellMar>
        </w:tblPrEx>
        <w:trPr>
          <w:cantSplit/>
        </w:trPr>
        <w:tc>
          <w:tcPr>
            <w:tcW w:w="2100" w:type="dxa"/>
            <w:tcMar>
              <w:top w:w="70" w:type="dxa"/>
              <w:left w:w="100" w:type="dxa"/>
              <w:bottom w:w="70" w:type="dxa"/>
              <w:right w:w="100" w:type="dxa"/>
            </w:tcMar>
          </w:tcPr>
          <w:p w14:paraId="619A0BD8" w14:textId="77777777" w:rsidR="00D16027" w:rsidRDefault="00000000">
            <w:r>
              <w:rPr>
                <w:sz w:val="19"/>
                <w:szCs w:val="19"/>
              </w:rPr>
              <w:t>Conditions of production</w:t>
            </w:r>
          </w:p>
        </w:tc>
        <w:tc>
          <w:tcPr>
            <w:tcW w:w="2500" w:type="dxa"/>
            <w:tcMar>
              <w:top w:w="70" w:type="dxa"/>
              <w:left w:w="100" w:type="dxa"/>
              <w:bottom w:w="70" w:type="dxa"/>
              <w:right w:w="100" w:type="dxa"/>
            </w:tcMar>
          </w:tcPr>
          <w:p w14:paraId="6DC546E4" w14:textId="77777777" w:rsidR="00D16027" w:rsidRDefault="00000000">
            <w:r>
              <w:rPr>
                <w:sz w:val="19"/>
                <w:szCs w:val="19"/>
              </w:rPr>
              <w:t>Supervised or live (exam, practical, oral)</w:t>
            </w:r>
          </w:p>
        </w:tc>
        <w:tc>
          <w:tcPr>
            <w:tcW w:w="2400" w:type="dxa"/>
            <w:tcMar>
              <w:top w:w="70" w:type="dxa"/>
              <w:left w:w="100" w:type="dxa"/>
              <w:bottom w:w="70" w:type="dxa"/>
              <w:right w:w="100" w:type="dxa"/>
            </w:tcMar>
          </w:tcPr>
          <w:p w14:paraId="443D8879" w14:textId="77777777" w:rsidR="00D16027" w:rsidRDefault="00000000">
            <w:r>
              <w:rPr>
                <w:sz w:val="19"/>
                <w:szCs w:val="19"/>
              </w:rPr>
              <w:t>Partly supervised (in-class start, checkpoint)</w:t>
            </w:r>
          </w:p>
        </w:tc>
        <w:tc>
          <w:tcPr>
            <w:tcW w:w="2386" w:type="dxa"/>
            <w:tcMar>
              <w:top w:w="70" w:type="dxa"/>
              <w:left w:w="100" w:type="dxa"/>
              <w:bottom w:w="70" w:type="dxa"/>
              <w:right w:w="100" w:type="dxa"/>
            </w:tcMar>
          </w:tcPr>
          <w:p w14:paraId="07A95650" w14:textId="77777777" w:rsidR="00D16027" w:rsidRDefault="00000000">
            <w:r>
              <w:rPr>
                <w:sz w:val="19"/>
                <w:szCs w:val="19"/>
              </w:rPr>
              <w:t>Unsupervised, no verification</w:t>
            </w:r>
          </w:p>
        </w:tc>
      </w:tr>
      <w:tr w:rsidR="00D16027" w14:paraId="6AD86B5D" w14:textId="77777777">
        <w:tblPrEx>
          <w:tblCellMar>
            <w:top w:w="0" w:type="dxa"/>
            <w:bottom w:w="0" w:type="dxa"/>
          </w:tblCellMar>
        </w:tblPrEx>
        <w:trPr>
          <w:cantSplit/>
        </w:trPr>
        <w:tc>
          <w:tcPr>
            <w:tcW w:w="2100" w:type="dxa"/>
            <w:tcMar>
              <w:top w:w="70" w:type="dxa"/>
              <w:left w:w="100" w:type="dxa"/>
              <w:bottom w:w="70" w:type="dxa"/>
              <w:right w:w="100" w:type="dxa"/>
            </w:tcMar>
          </w:tcPr>
          <w:p w14:paraId="50330FBA" w14:textId="77777777" w:rsidR="00D16027" w:rsidRDefault="00000000">
            <w:r>
              <w:rPr>
                <w:sz w:val="19"/>
                <w:szCs w:val="19"/>
              </w:rPr>
              <w:t>Type of evidence</w:t>
            </w:r>
          </w:p>
        </w:tc>
        <w:tc>
          <w:tcPr>
            <w:tcW w:w="2500" w:type="dxa"/>
            <w:tcMar>
              <w:top w:w="70" w:type="dxa"/>
              <w:left w:w="100" w:type="dxa"/>
              <w:bottom w:w="70" w:type="dxa"/>
              <w:right w:w="100" w:type="dxa"/>
            </w:tcMar>
          </w:tcPr>
          <w:p w14:paraId="51EF2A16" w14:textId="77777777" w:rsidR="00D16027" w:rsidRDefault="00000000">
            <w:r>
              <w:rPr>
                <w:sz w:val="19"/>
                <w:szCs w:val="19"/>
              </w:rPr>
              <w:t>Performance or dialogue</w:t>
            </w:r>
          </w:p>
        </w:tc>
        <w:tc>
          <w:tcPr>
            <w:tcW w:w="2400" w:type="dxa"/>
            <w:tcMar>
              <w:top w:w="70" w:type="dxa"/>
              <w:left w:w="100" w:type="dxa"/>
              <w:bottom w:w="70" w:type="dxa"/>
              <w:right w:w="100" w:type="dxa"/>
            </w:tcMar>
          </w:tcPr>
          <w:p w14:paraId="5F2E6DD3" w14:textId="77777777" w:rsidR="00D16027" w:rsidRDefault="00000000">
            <w:r>
              <w:rPr>
                <w:sz w:val="19"/>
                <w:szCs w:val="19"/>
              </w:rPr>
              <w:t>Product plus process artefacts (drafts, notebook, repository)</w:t>
            </w:r>
          </w:p>
        </w:tc>
        <w:tc>
          <w:tcPr>
            <w:tcW w:w="2386" w:type="dxa"/>
            <w:tcMar>
              <w:top w:w="70" w:type="dxa"/>
              <w:left w:w="100" w:type="dxa"/>
              <w:bottom w:w="70" w:type="dxa"/>
              <w:right w:w="100" w:type="dxa"/>
            </w:tcMar>
          </w:tcPr>
          <w:p w14:paraId="13381DB5" w14:textId="77777777" w:rsidR="00D16027" w:rsidRDefault="00000000">
            <w:r>
              <w:rPr>
                <w:sz w:val="19"/>
                <w:szCs w:val="19"/>
              </w:rPr>
              <w:t>Final product only</w:t>
            </w:r>
          </w:p>
        </w:tc>
      </w:tr>
      <w:tr w:rsidR="00D16027" w14:paraId="77353677" w14:textId="77777777">
        <w:tblPrEx>
          <w:tblCellMar>
            <w:top w:w="0" w:type="dxa"/>
            <w:bottom w:w="0" w:type="dxa"/>
          </w:tblCellMar>
        </w:tblPrEx>
        <w:trPr>
          <w:cantSplit/>
        </w:trPr>
        <w:tc>
          <w:tcPr>
            <w:tcW w:w="2100" w:type="dxa"/>
            <w:tcMar>
              <w:top w:w="70" w:type="dxa"/>
              <w:left w:w="100" w:type="dxa"/>
              <w:bottom w:w="70" w:type="dxa"/>
              <w:right w:w="100" w:type="dxa"/>
            </w:tcMar>
          </w:tcPr>
          <w:p w14:paraId="0B9BBAFC" w14:textId="77777777" w:rsidR="00D16027" w:rsidRDefault="00000000">
            <w:r>
              <w:rPr>
                <w:sz w:val="19"/>
                <w:szCs w:val="19"/>
              </w:rPr>
              <w:t>Context specificity</w:t>
            </w:r>
          </w:p>
        </w:tc>
        <w:tc>
          <w:tcPr>
            <w:tcW w:w="2500" w:type="dxa"/>
            <w:tcMar>
              <w:top w:w="70" w:type="dxa"/>
              <w:left w:w="100" w:type="dxa"/>
              <w:bottom w:w="70" w:type="dxa"/>
              <w:right w:w="100" w:type="dxa"/>
            </w:tcMar>
          </w:tcPr>
          <w:p w14:paraId="7061141C" w14:textId="77777777" w:rsidR="00D16027" w:rsidRDefault="00000000">
            <w:r>
              <w:rPr>
                <w:sz w:val="19"/>
                <w:szCs w:val="19"/>
              </w:rPr>
              <w:t>Student-specific, local or embodied (own data, client, placement)</w:t>
            </w:r>
          </w:p>
        </w:tc>
        <w:tc>
          <w:tcPr>
            <w:tcW w:w="2400" w:type="dxa"/>
            <w:tcMar>
              <w:top w:w="70" w:type="dxa"/>
              <w:left w:w="100" w:type="dxa"/>
              <w:bottom w:w="70" w:type="dxa"/>
              <w:right w:w="100" w:type="dxa"/>
            </w:tcMar>
          </w:tcPr>
          <w:p w14:paraId="574D69B6" w14:textId="77777777" w:rsidR="00D16027" w:rsidRDefault="00000000">
            <w:r>
              <w:rPr>
                <w:sz w:val="19"/>
                <w:szCs w:val="19"/>
              </w:rPr>
              <w:t>Course-specific materials that exist digitally</w:t>
            </w:r>
          </w:p>
        </w:tc>
        <w:tc>
          <w:tcPr>
            <w:tcW w:w="2386" w:type="dxa"/>
            <w:tcMar>
              <w:top w:w="70" w:type="dxa"/>
              <w:left w:w="100" w:type="dxa"/>
              <w:bottom w:w="70" w:type="dxa"/>
              <w:right w:w="100" w:type="dxa"/>
            </w:tcMar>
          </w:tcPr>
          <w:p w14:paraId="4FDD488D" w14:textId="77777777" w:rsidR="00D16027" w:rsidRDefault="00000000">
            <w:r>
              <w:rPr>
                <w:sz w:val="19"/>
                <w:szCs w:val="19"/>
              </w:rPr>
              <w:t>Generic topic available in training data</w:t>
            </w:r>
          </w:p>
        </w:tc>
      </w:tr>
      <w:tr w:rsidR="00D16027" w14:paraId="66EF2BC9" w14:textId="77777777">
        <w:tblPrEx>
          <w:tblCellMar>
            <w:top w:w="0" w:type="dxa"/>
            <w:bottom w:w="0" w:type="dxa"/>
          </w:tblCellMar>
        </w:tblPrEx>
        <w:trPr>
          <w:cantSplit/>
        </w:trPr>
        <w:tc>
          <w:tcPr>
            <w:tcW w:w="2100" w:type="dxa"/>
            <w:tcMar>
              <w:top w:w="70" w:type="dxa"/>
              <w:left w:w="100" w:type="dxa"/>
              <w:bottom w:w="70" w:type="dxa"/>
              <w:right w:w="100" w:type="dxa"/>
            </w:tcMar>
          </w:tcPr>
          <w:p w14:paraId="4F776CFD" w14:textId="77777777" w:rsidR="00D16027" w:rsidRDefault="00000000">
            <w:r>
              <w:rPr>
                <w:sz w:val="19"/>
                <w:szCs w:val="19"/>
              </w:rPr>
              <w:t>Cognitive demand in context</w:t>
            </w:r>
          </w:p>
        </w:tc>
        <w:tc>
          <w:tcPr>
            <w:tcW w:w="2500" w:type="dxa"/>
            <w:tcMar>
              <w:top w:w="70" w:type="dxa"/>
              <w:left w:w="100" w:type="dxa"/>
              <w:bottom w:w="70" w:type="dxa"/>
              <w:right w:w="100" w:type="dxa"/>
            </w:tcMar>
          </w:tcPr>
          <w:p w14:paraId="339D0632" w14:textId="77777777" w:rsidR="00D16027" w:rsidRDefault="00000000">
            <w:r>
              <w:rPr>
                <w:sz w:val="19"/>
                <w:szCs w:val="19"/>
              </w:rPr>
              <w:t>Judgement on novel or personal material</w:t>
            </w:r>
          </w:p>
        </w:tc>
        <w:tc>
          <w:tcPr>
            <w:tcW w:w="2400" w:type="dxa"/>
            <w:tcMar>
              <w:top w:w="70" w:type="dxa"/>
              <w:left w:w="100" w:type="dxa"/>
              <w:bottom w:w="70" w:type="dxa"/>
              <w:right w:w="100" w:type="dxa"/>
            </w:tcMar>
          </w:tcPr>
          <w:p w14:paraId="2A036F4D" w14:textId="77777777" w:rsidR="00D16027" w:rsidRDefault="00000000">
            <w:r>
              <w:rPr>
                <w:sz w:val="19"/>
                <w:szCs w:val="19"/>
              </w:rPr>
              <w:t>Application to familiar material</w:t>
            </w:r>
          </w:p>
        </w:tc>
        <w:tc>
          <w:tcPr>
            <w:tcW w:w="2386" w:type="dxa"/>
            <w:tcMar>
              <w:top w:w="70" w:type="dxa"/>
              <w:left w:w="100" w:type="dxa"/>
              <w:bottom w:w="70" w:type="dxa"/>
              <w:right w:w="100" w:type="dxa"/>
            </w:tcMar>
          </w:tcPr>
          <w:p w14:paraId="60D1AD38" w14:textId="77777777" w:rsidR="00D16027" w:rsidRDefault="00000000">
            <w:r>
              <w:rPr>
                <w:sz w:val="19"/>
                <w:szCs w:val="19"/>
              </w:rPr>
              <w:t>Reproduction, summary or generic argument</w:t>
            </w:r>
          </w:p>
        </w:tc>
      </w:tr>
      <w:tr w:rsidR="00D16027" w14:paraId="363E9B14" w14:textId="77777777">
        <w:tblPrEx>
          <w:tblCellMar>
            <w:top w:w="0" w:type="dxa"/>
            <w:bottom w:w="0" w:type="dxa"/>
          </w:tblCellMar>
        </w:tblPrEx>
        <w:trPr>
          <w:cantSplit/>
        </w:trPr>
        <w:tc>
          <w:tcPr>
            <w:tcW w:w="2100" w:type="dxa"/>
            <w:tcMar>
              <w:top w:w="70" w:type="dxa"/>
              <w:left w:w="100" w:type="dxa"/>
              <w:bottom w:w="70" w:type="dxa"/>
              <w:right w:w="100" w:type="dxa"/>
            </w:tcMar>
          </w:tcPr>
          <w:p w14:paraId="006FB430" w14:textId="77777777" w:rsidR="00D16027" w:rsidRDefault="00000000">
            <w:r>
              <w:rPr>
                <w:sz w:val="19"/>
                <w:szCs w:val="19"/>
              </w:rPr>
              <w:t>Stakes</w:t>
            </w:r>
          </w:p>
        </w:tc>
        <w:tc>
          <w:tcPr>
            <w:tcW w:w="2500" w:type="dxa"/>
            <w:tcMar>
              <w:top w:w="70" w:type="dxa"/>
              <w:left w:w="100" w:type="dxa"/>
              <w:bottom w:w="70" w:type="dxa"/>
              <w:right w:w="100" w:type="dxa"/>
            </w:tcMar>
          </w:tcPr>
          <w:p w14:paraId="586033B5" w14:textId="77777777" w:rsidR="00D16027" w:rsidRDefault="00000000">
            <w:r>
              <w:rPr>
                <w:sz w:val="19"/>
                <w:szCs w:val="19"/>
              </w:rPr>
              <w:t>Formative or low weighting</w:t>
            </w:r>
          </w:p>
        </w:tc>
        <w:tc>
          <w:tcPr>
            <w:tcW w:w="2400" w:type="dxa"/>
            <w:tcMar>
              <w:top w:w="70" w:type="dxa"/>
              <w:left w:w="100" w:type="dxa"/>
              <w:bottom w:w="70" w:type="dxa"/>
              <w:right w:w="100" w:type="dxa"/>
            </w:tcMar>
          </w:tcPr>
          <w:p w14:paraId="7DAC8F47" w14:textId="77777777" w:rsidR="00D16027" w:rsidRDefault="00000000">
            <w:r>
              <w:rPr>
                <w:sz w:val="19"/>
                <w:szCs w:val="19"/>
              </w:rPr>
              <w:t>Moderate weighting</w:t>
            </w:r>
          </w:p>
        </w:tc>
        <w:tc>
          <w:tcPr>
            <w:tcW w:w="2386" w:type="dxa"/>
            <w:tcMar>
              <w:top w:w="70" w:type="dxa"/>
              <w:left w:w="100" w:type="dxa"/>
              <w:bottom w:w="70" w:type="dxa"/>
              <w:right w:w="100" w:type="dxa"/>
            </w:tcMar>
          </w:tcPr>
          <w:p w14:paraId="60018B01" w14:textId="77777777" w:rsidR="00D16027" w:rsidRDefault="00000000">
            <w:r>
              <w:rPr>
                <w:sz w:val="19"/>
                <w:szCs w:val="19"/>
              </w:rPr>
              <w:t>High weighting, gateway or capstone</w:t>
            </w:r>
          </w:p>
        </w:tc>
      </w:tr>
      <w:tr w:rsidR="00D16027" w14:paraId="58932157" w14:textId="77777777">
        <w:tblPrEx>
          <w:tblCellMar>
            <w:top w:w="0" w:type="dxa"/>
            <w:bottom w:w="0" w:type="dxa"/>
          </w:tblCellMar>
        </w:tblPrEx>
        <w:trPr>
          <w:cantSplit/>
        </w:trPr>
        <w:tc>
          <w:tcPr>
            <w:tcW w:w="2100" w:type="dxa"/>
            <w:tcMar>
              <w:top w:w="70" w:type="dxa"/>
              <w:left w:w="100" w:type="dxa"/>
              <w:bottom w:w="70" w:type="dxa"/>
              <w:right w:w="100" w:type="dxa"/>
            </w:tcMar>
          </w:tcPr>
          <w:p w14:paraId="1AD00F75" w14:textId="77777777" w:rsidR="00D16027" w:rsidRDefault="00000000">
            <w:r>
              <w:rPr>
                <w:sz w:val="19"/>
                <w:szCs w:val="19"/>
              </w:rPr>
              <w:t>Verification</w:t>
            </w:r>
          </w:p>
        </w:tc>
        <w:tc>
          <w:tcPr>
            <w:tcW w:w="2500" w:type="dxa"/>
            <w:tcMar>
              <w:top w:w="70" w:type="dxa"/>
              <w:left w:w="100" w:type="dxa"/>
              <w:bottom w:w="70" w:type="dxa"/>
              <w:right w:w="100" w:type="dxa"/>
            </w:tcMar>
          </w:tcPr>
          <w:p w14:paraId="3AEDB007" w14:textId="77777777" w:rsidR="00D16027" w:rsidRDefault="00000000">
            <w:r>
              <w:rPr>
                <w:sz w:val="19"/>
                <w:szCs w:val="19"/>
              </w:rPr>
              <w:t>Routine (every student discusses or demonstrates)</w:t>
            </w:r>
          </w:p>
        </w:tc>
        <w:tc>
          <w:tcPr>
            <w:tcW w:w="2400" w:type="dxa"/>
            <w:tcMar>
              <w:top w:w="70" w:type="dxa"/>
              <w:left w:w="100" w:type="dxa"/>
              <w:bottom w:w="70" w:type="dxa"/>
              <w:right w:w="100" w:type="dxa"/>
            </w:tcMar>
          </w:tcPr>
          <w:p w14:paraId="4B86E30B" w14:textId="77777777" w:rsidR="00D16027" w:rsidRDefault="00000000">
            <w:r>
              <w:rPr>
                <w:sz w:val="19"/>
                <w:szCs w:val="19"/>
              </w:rPr>
              <w:t>Sampled (a proportion are questioned)</w:t>
            </w:r>
          </w:p>
        </w:tc>
        <w:tc>
          <w:tcPr>
            <w:tcW w:w="2386" w:type="dxa"/>
            <w:tcMar>
              <w:top w:w="70" w:type="dxa"/>
              <w:left w:w="100" w:type="dxa"/>
              <w:bottom w:w="70" w:type="dxa"/>
              <w:right w:w="100" w:type="dxa"/>
            </w:tcMar>
          </w:tcPr>
          <w:p w14:paraId="10C1096C" w14:textId="77777777" w:rsidR="00D16027" w:rsidRDefault="00000000">
            <w:r>
              <w:rPr>
                <w:sz w:val="19"/>
                <w:szCs w:val="19"/>
              </w:rPr>
              <w:t>None</w:t>
            </w:r>
          </w:p>
        </w:tc>
      </w:tr>
    </w:tbl>
    <w:p w14:paraId="1F72EDC9" w14:textId="77777777" w:rsidR="00D16027" w:rsidRDefault="00D16027">
      <w:pPr>
        <w:spacing w:after="120"/>
      </w:pPr>
    </w:p>
    <w:p w14:paraId="1718F012" w14:textId="77777777" w:rsidR="00D16027" w:rsidRDefault="00000000">
      <w:pPr>
        <w:spacing w:after="140"/>
      </w:pPr>
      <w:r>
        <w:t>Scores of 0 to 3 indicate low vulnerability; 4 to 7 medium; 8 to 12 high (Figure 5.2). Stakes should then be read against vulnerability: a high-vulnerability task with low stakes may be left alone as formative practice, while a high-vulnerability task with high stakes is the first priority for redesign. Two further rules improve the audit. First, the empirical test overrides the score: if AI produces a passing answer to a task rated "medium", treat it as high. Second, audit the programme, not only the module: a task that scores 9 may be acceptable if the same outcome is assured elsewhere at 2 (Chapter 6).</w:t>
      </w:r>
    </w:p>
    <w:p w14:paraId="32BE90EC" w14:textId="77777777" w:rsidR="00D16027" w:rsidRDefault="00000000">
      <w:pPr>
        <w:keepNext/>
        <w:spacing w:before="160" w:after="60"/>
        <w:jc w:val="center"/>
      </w:pPr>
      <w:r>
        <w:rPr>
          <w:noProof/>
        </w:rPr>
        <w:lastRenderedPageBreak/>
        <w:drawing>
          <wp:inline distT="0" distB="0" distL="0" distR="0" wp14:anchorId="3C9C1E4D" wp14:editId="4C434FE1">
            <wp:extent cx="4752975" cy="3124200"/>
            <wp:effectExtent l="0" t="0" r="0" b="0"/>
            <wp:docPr id="1933537369" name="Picture 193353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3124200"/>
                    </a:xfrm>
                    <a:prstGeom prst="rect">
                      <a:avLst/>
                    </a:prstGeom>
                  </pic:spPr>
                </pic:pic>
              </a:graphicData>
            </a:graphic>
          </wp:inline>
        </w:drawing>
      </w:r>
    </w:p>
    <w:p w14:paraId="53CA71EB" w14:textId="77777777" w:rsidR="00D16027" w:rsidRDefault="00000000">
      <w:pPr>
        <w:spacing w:after="200"/>
        <w:jc w:val="center"/>
      </w:pPr>
      <w:r>
        <w:rPr>
          <w:i/>
          <w:iCs/>
          <w:color w:val="1A4F7A"/>
          <w:sz w:val="19"/>
          <w:szCs w:val="19"/>
        </w:rPr>
        <w:t>Figure 5.2  Vulnerability against stakes: where to start</w:t>
      </w:r>
    </w:p>
    <w:p w14:paraId="18812974"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Four tasks scored</w:t>
      </w:r>
    </w:p>
    <w:p w14:paraId="2E1FFBE4" w14:textId="77777777" w:rsidR="00D16027" w:rsidRDefault="00000000">
      <w:pPr>
        <w:pBdr>
          <w:left w:val="single" w:sz="14" w:space="10" w:color="4E8A5E"/>
        </w:pBdr>
        <w:shd w:val="clear" w:color="auto" w:fill="EEF6EF"/>
        <w:spacing w:after="60"/>
      </w:pPr>
      <w:r>
        <w:rPr>
          <w:b/>
          <w:bCs/>
          <w:color w:val="333333"/>
          <w:sz w:val="20"/>
          <w:szCs w:val="20"/>
        </w:rPr>
        <w:t>Second-year economics take-home essay</w:t>
      </w:r>
      <w:r>
        <w:rPr>
          <w:color w:val="333333"/>
          <w:sz w:val="20"/>
          <w:szCs w:val="20"/>
        </w:rPr>
        <w:t xml:space="preserve"> (2,500 words, 60% of module, generic title on inflation targeting, no viva). Conditions 2, evidence 2, context 2, demand 1, stakes 2, verification 2: </w:t>
      </w:r>
      <w:r>
        <w:rPr>
          <w:b/>
          <w:bCs/>
          <w:color w:val="333333"/>
          <w:sz w:val="20"/>
          <w:szCs w:val="20"/>
        </w:rPr>
        <w:t>score 11, high.</w:t>
      </w:r>
      <w:r>
        <w:rPr>
          <w:color w:val="333333"/>
          <w:sz w:val="20"/>
          <w:szCs w:val="20"/>
        </w:rPr>
        <w:t xml:space="preserve"> Redesign priority: immediate. Options: move the summative weight to a supervised written task; or keep the essay, add staged drafts and a sampled ten-minute conversation, and require the argument to engage with a dataset released to the cohort only in week eight.</w:t>
      </w:r>
    </w:p>
    <w:p w14:paraId="1C0F2EE0" w14:textId="77777777" w:rsidR="00D16027" w:rsidRDefault="00000000">
      <w:pPr>
        <w:pBdr>
          <w:left w:val="single" w:sz="14" w:space="10" w:color="4E8A5E"/>
        </w:pBdr>
        <w:shd w:val="clear" w:color="auto" w:fill="EEF6EF"/>
        <w:spacing w:after="60"/>
      </w:pPr>
      <w:r>
        <w:rPr>
          <w:b/>
          <w:bCs/>
          <w:color w:val="333333"/>
          <w:sz w:val="20"/>
          <w:szCs w:val="20"/>
        </w:rPr>
        <w:t>Medicine OSCE</w:t>
      </w:r>
      <w:r>
        <w:rPr>
          <w:color w:val="333333"/>
          <w:sz w:val="20"/>
          <w:szCs w:val="20"/>
        </w:rPr>
        <w:t xml:space="preserve"> (eight stations, gateway to clinical placement). Conditions 0, evidence 0, context 0, demand 0, stakes 2, verification 0: </w:t>
      </w:r>
      <w:r>
        <w:rPr>
          <w:b/>
          <w:bCs/>
          <w:color w:val="333333"/>
          <w:sz w:val="20"/>
          <w:szCs w:val="20"/>
        </w:rPr>
        <w:t>score 2, low.</w:t>
      </w:r>
      <w:r>
        <w:rPr>
          <w:color w:val="333333"/>
          <w:sz w:val="20"/>
          <w:szCs w:val="20"/>
        </w:rPr>
        <w:t xml:space="preserve"> The high stakes are matched by secured, embodied evidence. No change needed on AI grounds.</w:t>
      </w:r>
    </w:p>
    <w:p w14:paraId="0D860113" w14:textId="77777777" w:rsidR="00D16027" w:rsidRDefault="00000000">
      <w:pPr>
        <w:pBdr>
          <w:left w:val="single" w:sz="14" w:space="10" w:color="4E8A5E"/>
        </w:pBdr>
        <w:shd w:val="clear" w:color="auto" w:fill="EEF6EF"/>
        <w:spacing w:after="60"/>
      </w:pPr>
      <w:r>
        <w:rPr>
          <w:b/>
          <w:bCs/>
          <w:color w:val="333333"/>
          <w:sz w:val="20"/>
          <w:szCs w:val="20"/>
        </w:rPr>
        <w:t>Third-year computing group project</w:t>
      </w:r>
      <w:r>
        <w:rPr>
          <w:color w:val="333333"/>
          <w:sz w:val="20"/>
          <w:szCs w:val="20"/>
        </w:rPr>
        <w:t xml:space="preserve"> (repository, report, group demo; 40%). Conditions 2, evidence 1, context 1, demand 0, stakes 2, verification 1: </w:t>
      </w:r>
      <w:r>
        <w:rPr>
          <w:b/>
          <w:bCs/>
          <w:color w:val="333333"/>
          <w:sz w:val="20"/>
          <w:szCs w:val="20"/>
        </w:rPr>
        <w:t>score 7, medium.</w:t>
      </w:r>
      <w:r>
        <w:rPr>
          <w:color w:val="333333"/>
          <w:sz w:val="20"/>
          <w:szCs w:val="20"/>
        </w:rPr>
        <w:t xml:space="preserve"> The group demo verifies the group but not the individual. Adding a fifteen-minute individual code walkthrough, in which each student explains and modifies a section chosen by the assessor, moves verification to 0 and the score to 6, and more importantly restores the individual inference.</w:t>
      </w:r>
    </w:p>
    <w:p w14:paraId="68E3E422" w14:textId="77777777" w:rsidR="00D16027" w:rsidRDefault="00000000">
      <w:pPr>
        <w:pBdr>
          <w:left w:val="single" w:sz="14" w:space="10" w:color="4E8A5E"/>
        </w:pBdr>
        <w:shd w:val="clear" w:color="auto" w:fill="EEF6EF"/>
        <w:spacing w:after="200"/>
      </w:pPr>
      <w:r>
        <w:rPr>
          <w:b/>
          <w:bCs/>
          <w:color w:val="333333"/>
          <w:sz w:val="20"/>
          <w:szCs w:val="20"/>
        </w:rPr>
        <w:t>Fine art portfolio with crit</w:t>
      </w:r>
      <w:r>
        <w:rPr>
          <w:color w:val="333333"/>
          <w:sz w:val="20"/>
          <w:szCs w:val="20"/>
        </w:rPr>
        <w:t xml:space="preserve"> (year-long, 100%). Conditions 1, evidence 1, context 0, demand 0, stakes 2, verification 0: </w:t>
      </w:r>
      <w:r>
        <w:rPr>
          <w:b/>
          <w:bCs/>
          <w:color w:val="333333"/>
          <w:sz w:val="20"/>
          <w:szCs w:val="20"/>
        </w:rPr>
        <w:t>score 4, medium-low.</w:t>
      </w:r>
      <w:r>
        <w:rPr>
          <w:color w:val="333333"/>
          <w:sz w:val="20"/>
          <w:szCs w:val="20"/>
        </w:rPr>
        <w:t xml:space="preserve"> The crit and the studio presence already secure the inference. Declared AI use in ideation can be integrated (Chapter 11) without affecting validity.</w:t>
      </w:r>
    </w:p>
    <w:p w14:paraId="09B3C8F7" w14:textId="77777777" w:rsidR="00D16027" w:rsidRDefault="00000000">
      <w:pPr>
        <w:pStyle w:val="Heading2"/>
        <w:keepNext/>
      </w:pPr>
      <w:r>
        <w:t>5.6 Reliability, and the trade-offs redesign introduces</w:t>
      </w:r>
    </w:p>
    <w:p w14:paraId="513172B0" w14:textId="77777777" w:rsidR="00D16027" w:rsidRDefault="00000000">
      <w:pPr>
        <w:spacing w:after="140"/>
      </w:pPr>
      <w:r>
        <w:t>Validity does not stand alone. Reliability, the consistency of judgements across markers, occasions and tasks, is a precondition for valid interpretation, and some AI-era redesigns lower it. Oral and interactive formats are more dependent on individual assessors than a marking scheme applied to a script; Bloxham, Boyd and Orr (2011) showed how variable marker judgement already is even with criteria in hand. The remedy is not to avoid these formats but to design for reliability within them: structured question banks, shared rubrics, assessor training, double marking of samples and moderation (Chapter 10). Programmatic assessment (van der Vleuten et al. 2012) offers the deeper solution: many lower-stakes data points, aggregated, are both more reliable and more valid than any single high-stakes task.</w:t>
      </w:r>
    </w:p>
    <w:p w14:paraId="7109A44C" w14:textId="77777777" w:rsidR="00D16027" w:rsidRDefault="00000000">
      <w:pPr>
        <w:spacing w:after="140"/>
      </w:pPr>
      <w:r>
        <w:t xml:space="preserve">The converse trade-off also deserves naming. Automated scoring can be highly reliable and weakly valid: Mizumoto and Eguchi (2023) found an LLM scoring essays consistently but not always in agreement with expert raters, and Chapter 13 examines the equity consequences. Reliability without validity is precision about the wrong thing. Finally, remember Messick's consequential dimension. Dawson et al. (2024) note that a wholesale return to invigilated examination can raise security while lowering overall validity, because it excludes students for whom timed writing is a poor sample of </w:t>
      </w:r>
      <w:r>
        <w:lastRenderedPageBreak/>
        <w:t>capability and narrows the constructs the programme can assess. Every redesign should be asked what it does to inclusion as well as to security.</w:t>
      </w:r>
    </w:p>
    <w:p w14:paraId="19F0FA10"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Run the audit on one module</w:t>
      </w:r>
    </w:p>
    <w:p w14:paraId="4CB5F46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List every summative task with its weighting and its stated outcome.</w:t>
      </w:r>
    </w:p>
    <w:p w14:paraId="7B6EF7C6"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Score each on the six dimensions in Table 5.1. Do it with a colleague; disagreements are informative.</w:t>
      </w:r>
    </w:p>
    <w:p w14:paraId="6B2462A2"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Run the highest-scoring task through two current AI tools (Chapter 2 protocol) and mark the output. Adjust the band if the empirical result is worse than the score.</w:t>
      </w:r>
    </w:p>
    <w:p w14:paraId="6DE8DCDB"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Plot tasks on a two-by-two grid: vulnerability against stakes. Anything in the high-high quadrant is a priority.</w:t>
      </w:r>
    </w:p>
    <w:p w14:paraId="196DAF14"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For each priority task, identify which of the three design levers (secured conditions, process evidence, context specificity) is feasible within your resources, and which validity threat it addresses.</w:t>
      </w:r>
    </w:p>
    <w:p w14:paraId="1FE24CF0"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Record the audit and the decision. Documented rationale supports moderation, external examining and institutional quality review.</w:t>
      </w:r>
    </w:p>
    <w:p w14:paraId="47AE4F48" w14:textId="77777777" w:rsidR="00D16027" w:rsidRDefault="00000000">
      <w:pPr>
        <w:pStyle w:val="Heading2"/>
        <w:keepNext/>
      </w:pPr>
      <w:r>
        <w:t>What this means for you</w:t>
      </w:r>
    </w:p>
    <w:p w14:paraId="05244A9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5C4D1BC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Ask of every task: what inference am I drawing from this, and does the evidence still support it? Write the answer down.</w:t>
      </w:r>
    </w:p>
    <w:p w14:paraId="152F743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Prefer structural changes to discursive ones. A sentence in the brief prohibiting AI changes nothing about what the task evidences.</w:t>
      </w:r>
    </w:p>
    <w:p w14:paraId="588B24E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Use the audit to decide where to spend redesign effort; do not try to fix everything at once.</w:t>
      </w:r>
    </w:p>
    <w:p w14:paraId="6D1446A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3DE6609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the audit across the whole programme and read it alongside the evidence map from Chapter 4. Where does the programme's claim to have assured each outcome actually rest?</w:t>
      </w:r>
    </w:p>
    <w:p w14:paraId="4A151D8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Balance validity against reliability and inclusion deliberately. Record where the programme has accepted a trade-off and why.</w:t>
      </w:r>
    </w:p>
    <w:p w14:paraId="2719E017"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Build the audit into annual monitoring so that vulnerability is reviewed as AI capability changes.</w:t>
      </w:r>
    </w:p>
    <w:p w14:paraId="26B6A05C"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4732A04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validity, not detection, as the organising principle of assessment policy, and say so explicitly in regulations and in guidance to academic misconduct panels.</w:t>
      </w:r>
    </w:p>
    <w:p w14:paraId="7C3B4F6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Require a vulnerability audit as part of programme approval and periodic review, with the empirical test as a component.</w:t>
      </w:r>
    </w:p>
    <w:p w14:paraId="0A62288B"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that quality frameworks recognise consequential validity: a secure assessment regime that excludes students has not solved the problem.</w:t>
      </w:r>
    </w:p>
    <w:p w14:paraId="72BA155D" w14:textId="77777777" w:rsidR="00D16027" w:rsidRDefault="00000000">
      <w:pPr>
        <w:pStyle w:val="Heading2"/>
        <w:keepNext/>
      </w:pPr>
      <w:r>
        <w:t>Key references for this chapter</w:t>
      </w:r>
    </w:p>
    <w:p w14:paraId="67D28BD1" w14:textId="77777777" w:rsidR="00D16027" w:rsidRDefault="00000000">
      <w:pPr>
        <w:pStyle w:val="ListParagraph"/>
        <w:numPr>
          <w:ilvl w:val="0"/>
          <w:numId w:val="3"/>
        </w:numPr>
        <w:spacing w:before="30" w:after="50"/>
      </w:pPr>
      <w:r>
        <w:rPr>
          <w:color w:val="333333"/>
          <w:sz w:val="19"/>
          <w:szCs w:val="19"/>
        </w:rPr>
        <w:t xml:space="preserve">AERA, APA &amp; NCME (2014) </w:t>
      </w:r>
      <w:r>
        <w:rPr>
          <w:i/>
          <w:iCs/>
          <w:color w:val="333333"/>
          <w:sz w:val="19"/>
          <w:szCs w:val="19"/>
        </w:rPr>
        <w:t>Standards for Educational and Psychological Testing</w:t>
      </w:r>
      <w:r>
        <w:rPr>
          <w:color w:val="333333"/>
          <w:sz w:val="19"/>
          <w:szCs w:val="19"/>
        </w:rPr>
        <w:t>. Washington, DC: American Educational Research Association.</w:t>
      </w:r>
    </w:p>
    <w:p w14:paraId="134AB4A9" w14:textId="77777777" w:rsidR="00D16027" w:rsidRDefault="00000000">
      <w:pPr>
        <w:pStyle w:val="ListParagraph"/>
        <w:numPr>
          <w:ilvl w:val="0"/>
          <w:numId w:val="3"/>
        </w:numPr>
        <w:spacing w:before="30" w:after="50"/>
      </w:pPr>
      <w:r>
        <w:rPr>
          <w:color w:val="333333"/>
          <w:sz w:val="19"/>
          <w:szCs w:val="19"/>
        </w:rPr>
        <w:t xml:space="preserve">Ashford-Rowe, K., Herrington, J. &amp; Brown, C. (2014) Establishing the critical elements that determine authentic assessment. </w:t>
      </w:r>
      <w:r>
        <w:rPr>
          <w:i/>
          <w:iCs/>
          <w:color w:val="333333"/>
          <w:sz w:val="19"/>
          <w:szCs w:val="19"/>
        </w:rPr>
        <w:t>Assessment &amp; Evaluation in Higher Education</w:t>
      </w:r>
      <w:r>
        <w:rPr>
          <w:color w:val="333333"/>
          <w:sz w:val="19"/>
          <w:szCs w:val="19"/>
        </w:rPr>
        <w:t>, 39(2), 205–222.</w:t>
      </w:r>
    </w:p>
    <w:p w14:paraId="340161CE" w14:textId="77777777" w:rsidR="00D16027" w:rsidRDefault="00000000">
      <w:pPr>
        <w:pStyle w:val="ListParagraph"/>
        <w:numPr>
          <w:ilvl w:val="0"/>
          <w:numId w:val="3"/>
        </w:numPr>
        <w:spacing w:before="30" w:after="50"/>
      </w:pPr>
      <w:r>
        <w:rPr>
          <w:color w:val="333333"/>
          <w:sz w:val="19"/>
          <w:szCs w:val="19"/>
        </w:rPr>
        <w:t xml:space="preserve">Bloxham, S., Boyd, P. &amp; Orr, S. (2011) Mark my words: the role of assessment criteria in UK higher education grading practices. </w:t>
      </w:r>
      <w:r>
        <w:rPr>
          <w:i/>
          <w:iCs/>
          <w:color w:val="333333"/>
          <w:sz w:val="19"/>
          <w:szCs w:val="19"/>
        </w:rPr>
        <w:t>Studies in Higher Education</w:t>
      </w:r>
      <w:r>
        <w:rPr>
          <w:color w:val="333333"/>
          <w:sz w:val="19"/>
          <w:szCs w:val="19"/>
        </w:rPr>
        <w:t>, 36(6), 655–670.</w:t>
      </w:r>
    </w:p>
    <w:p w14:paraId="3411EE55"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2EF10C32" w14:textId="77777777" w:rsidR="00D16027" w:rsidRDefault="00000000">
      <w:pPr>
        <w:pStyle w:val="ListParagraph"/>
        <w:numPr>
          <w:ilvl w:val="0"/>
          <w:numId w:val="3"/>
        </w:numPr>
        <w:spacing w:before="30" w:after="50"/>
      </w:pPr>
      <w:r>
        <w:rPr>
          <w:color w:val="333333"/>
          <w:sz w:val="19"/>
          <w:szCs w:val="19"/>
        </w:rPr>
        <w:t xml:space="preserve">Dawson, P. (2021) </w:t>
      </w:r>
      <w:r>
        <w:rPr>
          <w:i/>
          <w:iCs/>
          <w:color w:val="333333"/>
          <w:sz w:val="19"/>
          <w:szCs w:val="19"/>
        </w:rPr>
        <w:t>Defending Assessment Security in a Digital World: Preventing E-Cheating and Supporting Academic Integrity in Higher Education</w:t>
      </w:r>
      <w:r>
        <w:rPr>
          <w:color w:val="333333"/>
          <w:sz w:val="19"/>
          <w:szCs w:val="19"/>
        </w:rPr>
        <w:t>. London: Routledge.</w:t>
      </w:r>
    </w:p>
    <w:p w14:paraId="706DA16B"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38D67C1C" w14:textId="77777777" w:rsidR="00D16027" w:rsidRDefault="00000000">
      <w:pPr>
        <w:pStyle w:val="ListParagraph"/>
        <w:numPr>
          <w:ilvl w:val="0"/>
          <w:numId w:val="3"/>
        </w:numPr>
        <w:spacing w:before="30" w:after="50"/>
      </w:pPr>
      <w:r>
        <w:rPr>
          <w:color w:val="333333"/>
          <w:sz w:val="19"/>
          <w:szCs w:val="19"/>
        </w:rPr>
        <w:lastRenderedPageBreak/>
        <w:t xml:space="preserve">Fawns, T., Bearman, M., Dawson, P., Nieminen, J.H., Ashford-Rowe, K., Willey, K., Jensen, L.X., </w:t>
      </w:r>
      <w:proofErr w:type="spellStart"/>
      <w:r>
        <w:rPr>
          <w:color w:val="333333"/>
          <w:sz w:val="19"/>
          <w:szCs w:val="19"/>
        </w:rPr>
        <w:t>Damşa</w:t>
      </w:r>
      <w:proofErr w:type="spellEnd"/>
      <w:r>
        <w:rPr>
          <w:color w:val="333333"/>
          <w:sz w:val="19"/>
          <w:szCs w:val="19"/>
        </w:rPr>
        <w:t xml:space="preserve">, C. &amp; Press, N. (2024) Authentic assessment: from panacea to criticality. </w:t>
      </w:r>
      <w:r>
        <w:rPr>
          <w:i/>
          <w:iCs/>
          <w:color w:val="333333"/>
          <w:sz w:val="19"/>
          <w:szCs w:val="19"/>
        </w:rPr>
        <w:t>Assessment &amp; Evaluation in Higher Education</w:t>
      </w:r>
      <w:r>
        <w:rPr>
          <w:color w:val="333333"/>
          <w:sz w:val="19"/>
          <w:szCs w:val="19"/>
        </w:rPr>
        <w:t xml:space="preserve"> (advance online). https://doi.org/10.1080/02602938.2024.2404634</w:t>
      </w:r>
    </w:p>
    <w:p w14:paraId="176409ED" w14:textId="77777777" w:rsidR="00D16027" w:rsidRDefault="00000000">
      <w:pPr>
        <w:pStyle w:val="ListParagraph"/>
        <w:numPr>
          <w:ilvl w:val="0"/>
          <w:numId w:val="3"/>
        </w:numPr>
        <w:spacing w:before="30" w:after="50"/>
      </w:pPr>
      <w:r>
        <w:rPr>
          <w:color w:val="333333"/>
          <w:sz w:val="19"/>
          <w:szCs w:val="19"/>
        </w:rPr>
        <w:t xml:space="preserve">Gulikers, J.T.M., </w:t>
      </w:r>
      <w:proofErr w:type="spellStart"/>
      <w:r>
        <w:rPr>
          <w:color w:val="333333"/>
          <w:sz w:val="19"/>
          <w:szCs w:val="19"/>
        </w:rPr>
        <w:t>Bastiaens</w:t>
      </w:r>
      <w:proofErr w:type="spellEnd"/>
      <w:r>
        <w:rPr>
          <w:color w:val="333333"/>
          <w:sz w:val="19"/>
          <w:szCs w:val="19"/>
        </w:rPr>
        <w:t xml:space="preserve">, T.J. &amp; Kirschner, P.A. (2004) A five-dimensional framework for authentic assessment. </w:t>
      </w:r>
      <w:r>
        <w:rPr>
          <w:i/>
          <w:iCs/>
          <w:color w:val="333333"/>
          <w:sz w:val="19"/>
          <w:szCs w:val="19"/>
        </w:rPr>
        <w:t>Educational Technology Research and Development</w:t>
      </w:r>
      <w:r>
        <w:rPr>
          <w:color w:val="333333"/>
          <w:sz w:val="19"/>
          <w:szCs w:val="19"/>
        </w:rPr>
        <w:t>, 52(3), 67–86.</w:t>
      </w:r>
    </w:p>
    <w:p w14:paraId="73DD9512" w14:textId="77777777" w:rsidR="00D16027" w:rsidRDefault="00000000">
      <w:pPr>
        <w:pStyle w:val="ListParagraph"/>
        <w:numPr>
          <w:ilvl w:val="0"/>
          <w:numId w:val="3"/>
        </w:numPr>
        <w:spacing w:before="30" w:after="50"/>
      </w:pPr>
      <w:r>
        <w:rPr>
          <w:color w:val="333333"/>
          <w:sz w:val="19"/>
          <w:szCs w:val="19"/>
        </w:rPr>
        <w:t xml:space="preserve">Kane, M.T. (2013) Validating the interpretations and uses of test scores. </w:t>
      </w:r>
      <w:r>
        <w:rPr>
          <w:i/>
          <w:iCs/>
          <w:color w:val="333333"/>
          <w:sz w:val="19"/>
          <w:szCs w:val="19"/>
        </w:rPr>
        <w:t>Journal of Educational Measurement</w:t>
      </w:r>
      <w:r>
        <w:rPr>
          <w:color w:val="333333"/>
          <w:sz w:val="19"/>
          <w:szCs w:val="19"/>
        </w:rPr>
        <w:t>, 50(1), 1–73.</w:t>
      </w:r>
    </w:p>
    <w:p w14:paraId="16ACDACA"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0052259E"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6A79D4A5" w14:textId="77777777" w:rsidR="00D16027" w:rsidRDefault="00000000">
      <w:pPr>
        <w:pStyle w:val="ListParagraph"/>
        <w:numPr>
          <w:ilvl w:val="0"/>
          <w:numId w:val="3"/>
        </w:numPr>
        <w:spacing w:before="30" w:after="50"/>
      </w:pPr>
      <w:r>
        <w:rPr>
          <w:color w:val="333333"/>
          <w:sz w:val="19"/>
          <w:szCs w:val="19"/>
        </w:rPr>
        <w:t xml:space="preserve">McArthur, J. (2023) Rethinking authentic assessment: work, well-being, and society. </w:t>
      </w:r>
      <w:r>
        <w:rPr>
          <w:i/>
          <w:iCs/>
          <w:color w:val="333333"/>
          <w:sz w:val="19"/>
          <w:szCs w:val="19"/>
        </w:rPr>
        <w:t>Higher Education</w:t>
      </w:r>
      <w:r>
        <w:rPr>
          <w:color w:val="333333"/>
          <w:sz w:val="19"/>
          <w:szCs w:val="19"/>
        </w:rPr>
        <w:t>, 85(1), 85–101.</w:t>
      </w:r>
    </w:p>
    <w:p w14:paraId="5EDFAB43" w14:textId="77777777" w:rsidR="00D16027" w:rsidRDefault="00000000">
      <w:pPr>
        <w:pStyle w:val="ListParagraph"/>
        <w:numPr>
          <w:ilvl w:val="0"/>
          <w:numId w:val="3"/>
        </w:numPr>
        <w:spacing w:before="30" w:after="50"/>
      </w:pPr>
      <w:r>
        <w:rPr>
          <w:color w:val="333333"/>
          <w:sz w:val="19"/>
          <w:szCs w:val="19"/>
        </w:rPr>
        <w:t xml:space="preserve">Messick, S. (1989) Validity. In R.L. Linn (ed.) </w:t>
      </w:r>
      <w:r>
        <w:rPr>
          <w:i/>
          <w:iCs/>
          <w:color w:val="333333"/>
          <w:sz w:val="19"/>
          <w:szCs w:val="19"/>
        </w:rPr>
        <w:t>Educational Measurement</w:t>
      </w:r>
      <w:r>
        <w:rPr>
          <w:color w:val="333333"/>
          <w:sz w:val="19"/>
          <w:szCs w:val="19"/>
        </w:rPr>
        <w:t xml:space="preserve"> (3rd ed., pp. 13–103). New York: Macmillan.</w:t>
      </w:r>
    </w:p>
    <w:p w14:paraId="45BA1217" w14:textId="77777777" w:rsidR="00D16027" w:rsidRDefault="00000000">
      <w:pPr>
        <w:pStyle w:val="ListParagraph"/>
        <w:numPr>
          <w:ilvl w:val="0"/>
          <w:numId w:val="3"/>
        </w:numPr>
        <w:spacing w:before="30" w:after="50"/>
      </w:pPr>
      <w:r>
        <w:rPr>
          <w:color w:val="333333"/>
          <w:sz w:val="19"/>
          <w:szCs w:val="19"/>
        </w:rPr>
        <w:t xml:space="preserve">Messick, S. (1995) Validity of psychological assessment: validation of inferences from persons' responses and performances as scientific inquiry into score meaning. </w:t>
      </w:r>
      <w:r>
        <w:rPr>
          <w:i/>
          <w:iCs/>
          <w:color w:val="333333"/>
          <w:sz w:val="19"/>
          <w:szCs w:val="19"/>
        </w:rPr>
        <w:t>American Psychologist</w:t>
      </w:r>
      <w:r>
        <w:rPr>
          <w:color w:val="333333"/>
          <w:sz w:val="19"/>
          <w:szCs w:val="19"/>
        </w:rPr>
        <w:t>, 50(9), 741–749.</w:t>
      </w:r>
    </w:p>
    <w:p w14:paraId="0E54D3A6" w14:textId="77777777" w:rsidR="00D16027" w:rsidRDefault="00000000">
      <w:pPr>
        <w:pStyle w:val="ListParagraph"/>
        <w:numPr>
          <w:ilvl w:val="0"/>
          <w:numId w:val="3"/>
        </w:numPr>
        <w:spacing w:before="30" w:after="50"/>
      </w:pPr>
      <w:r>
        <w:rPr>
          <w:color w:val="333333"/>
          <w:sz w:val="19"/>
          <w:szCs w:val="19"/>
        </w:rPr>
        <w:t xml:space="preserve">Mizumoto, A. &amp; Eguchi, M. (2023) Exploring the potential of using an AI language model for automated essay scoring. </w:t>
      </w:r>
      <w:r>
        <w:rPr>
          <w:i/>
          <w:iCs/>
          <w:color w:val="333333"/>
          <w:sz w:val="19"/>
          <w:szCs w:val="19"/>
        </w:rPr>
        <w:t>Research Methods in Applied Linguistics</w:t>
      </w:r>
      <w:r>
        <w:rPr>
          <w:color w:val="333333"/>
          <w:sz w:val="19"/>
          <w:szCs w:val="19"/>
        </w:rPr>
        <w:t>, 2(2), 100050.</w:t>
      </w:r>
    </w:p>
    <w:p w14:paraId="6748523B" w14:textId="77777777" w:rsidR="00D16027" w:rsidRDefault="00000000">
      <w:pPr>
        <w:pStyle w:val="ListParagraph"/>
        <w:numPr>
          <w:ilvl w:val="0"/>
          <w:numId w:val="3"/>
        </w:numPr>
        <w:spacing w:before="30" w:after="50"/>
      </w:pPr>
      <w:r>
        <w:rPr>
          <w:color w:val="333333"/>
          <w:sz w:val="19"/>
          <w:szCs w:val="19"/>
        </w:rPr>
        <w:t xml:space="preserve">Pellegrino, J.W., Chudowsky, N. &amp; Glaser, R. (eds.) (2001) </w:t>
      </w:r>
      <w:r>
        <w:rPr>
          <w:i/>
          <w:iCs/>
          <w:color w:val="333333"/>
          <w:sz w:val="19"/>
          <w:szCs w:val="19"/>
        </w:rPr>
        <w:t>Knowing What Students Know</w:t>
      </w:r>
      <w:r>
        <w:rPr>
          <w:color w:val="333333"/>
          <w:sz w:val="19"/>
          <w:szCs w:val="19"/>
        </w:rPr>
        <w:t>. Washington, DC: National Academies Press.</w:t>
      </w:r>
    </w:p>
    <w:p w14:paraId="5C8793D9" w14:textId="77777777" w:rsidR="00D16027" w:rsidRDefault="00000000">
      <w:pPr>
        <w:pStyle w:val="ListParagraph"/>
        <w:numPr>
          <w:ilvl w:val="0"/>
          <w:numId w:val="3"/>
        </w:numPr>
        <w:spacing w:before="30" w:after="50"/>
      </w:pPr>
      <w:proofErr w:type="spellStart"/>
      <w:r>
        <w:rPr>
          <w:color w:val="333333"/>
          <w:sz w:val="19"/>
          <w:szCs w:val="19"/>
        </w:rPr>
        <w:t>Sotiriadou</w:t>
      </w:r>
      <w:proofErr w:type="spellEnd"/>
      <w:r>
        <w:rPr>
          <w:color w:val="333333"/>
          <w:sz w:val="19"/>
          <w:szCs w:val="19"/>
        </w:rPr>
        <w:t xml:space="preserve">, P., Logan, D., Daly, A. &amp; Guest, R. (2020) The role of authentic assessment to preserve academic integrity and promote skill development and employability. </w:t>
      </w:r>
      <w:r>
        <w:rPr>
          <w:i/>
          <w:iCs/>
          <w:color w:val="333333"/>
          <w:sz w:val="19"/>
          <w:szCs w:val="19"/>
        </w:rPr>
        <w:t>Studies in Higher Education</w:t>
      </w:r>
      <w:r>
        <w:rPr>
          <w:color w:val="333333"/>
          <w:sz w:val="19"/>
          <w:szCs w:val="19"/>
        </w:rPr>
        <w:t>, 45(11), 2132–2148.</w:t>
      </w:r>
    </w:p>
    <w:p w14:paraId="583FD3AE" w14:textId="77777777" w:rsidR="00D16027" w:rsidRDefault="00000000">
      <w:pPr>
        <w:pStyle w:val="ListParagraph"/>
        <w:numPr>
          <w:ilvl w:val="0"/>
          <w:numId w:val="3"/>
        </w:numPr>
        <w:spacing w:before="30" w:after="50"/>
      </w:pPr>
      <w:r>
        <w:rPr>
          <w:color w:val="333333"/>
          <w:sz w:val="19"/>
          <w:szCs w:val="19"/>
        </w:rPr>
        <w:t xml:space="preserve">van der Vleuten, C.P.M. et al. (2012) A model for programmatic assessment fit for purpose. </w:t>
      </w:r>
      <w:r>
        <w:rPr>
          <w:i/>
          <w:iCs/>
          <w:color w:val="333333"/>
          <w:sz w:val="19"/>
          <w:szCs w:val="19"/>
        </w:rPr>
        <w:t>Medical Teacher</w:t>
      </w:r>
      <w:r>
        <w:rPr>
          <w:color w:val="333333"/>
          <w:sz w:val="19"/>
          <w:szCs w:val="19"/>
        </w:rPr>
        <w:t>, 34(3), 205–214.</w:t>
      </w:r>
    </w:p>
    <w:p w14:paraId="23A8B0F9" w14:textId="77777777" w:rsidR="00D16027" w:rsidRDefault="00000000">
      <w:pPr>
        <w:pStyle w:val="ListParagraph"/>
        <w:numPr>
          <w:ilvl w:val="0"/>
          <w:numId w:val="3"/>
        </w:numPr>
        <w:spacing w:before="30" w:after="50"/>
      </w:pPr>
      <w:r>
        <w:rPr>
          <w:color w:val="333333"/>
          <w:sz w:val="19"/>
          <w:szCs w:val="19"/>
        </w:rPr>
        <w:t xml:space="preserve">Villarroel, V., Bloxham, S., Bruna, D., Bruna, C. &amp; Herrera-Seda, C. (2018) Authentic assessment: creating a blueprint for course design. </w:t>
      </w:r>
      <w:r>
        <w:rPr>
          <w:i/>
          <w:iCs/>
          <w:color w:val="333333"/>
          <w:sz w:val="19"/>
          <w:szCs w:val="19"/>
        </w:rPr>
        <w:t>Assessment &amp; Evaluation in Higher Education</w:t>
      </w:r>
      <w:r>
        <w:rPr>
          <w:color w:val="333333"/>
          <w:sz w:val="19"/>
          <w:szCs w:val="19"/>
        </w:rPr>
        <w:t>, 43(5), 840–854.</w:t>
      </w:r>
    </w:p>
    <w:p w14:paraId="199A167A" w14:textId="77777777" w:rsidR="00D16027" w:rsidRDefault="00000000">
      <w:pPr>
        <w:pStyle w:val="ListParagraph"/>
        <w:numPr>
          <w:ilvl w:val="0"/>
          <w:numId w:val="3"/>
        </w:numPr>
        <w:spacing w:before="30" w:after="50"/>
      </w:pPr>
      <w:r>
        <w:rPr>
          <w:color w:val="333333"/>
          <w:sz w:val="19"/>
          <w:szCs w:val="19"/>
        </w:rPr>
        <w:t xml:space="preserve">Weber-Wulff, D. et al. (2023) Testing of detection tools for AI-generated text. </w:t>
      </w:r>
      <w:r>
        <w:rPr>
          <w:i/>
          <w:iCs/>
          <w:color w:val="333333"/>
          <w:sz w:val="19"/>
          <w:szCs w:val="19"/>
        </w:rPr>
        <w:t>International Journal for Educational Integrity</w:t>
      </w:r>
      <w:r>
        <w:rPr>
          <w:color w:val="333333"/>
          <w:sz w:val="19"/>
          <w:szCs w:val="19"/>
        </w:rPr>
        <w:t>, 19, 26.</w:t>
      </w:r>
    </w:p>
    <w:p w14:paraId="475D0DE0" w14:textId="77777777" w:rsidR="00D16027" w:rsidRDefault="00000000">
      <w:r>
        <w:br w:type="page"/>
      </w:r>
    </w:p>
    <w:p w14:paraId="57EA361F" w14:textId="77777777" w:rsidR="00D16027" w:rsidRDefault="00000000">
      <w:pPr>
        <w:keepNext/>
        <w:spacing w:after="40"/>
      </w:pPr>
      <w:r>
        <w:rPr>
          <w:b/>
          <w:bCs/>
          <w:caps/>
          <w:color w:val="2E75B6"/>
          <w:sz w:val="22"/>
          <w:szCs w:val="22"/>
        </w:rPr>
        <w:lastRenderedPageBreak/>
        <w:t>CHAPTER 6</w:t>
      </w:r>
    </w:p>
    <w:p w14:paraId="4F2B24BE" w14:textId="77777777" w:rsidR="00D16027" w:rsidRDefault="00000000">
      <w:pPr>
        <w:pStyle w:val="Heading1"/>
        <w:keepNext/>
      </w:pPr>
      <w:r>
        <w:t>The Spectrum of Assessment: From AI-Excluded to AI-Integrated</w:t>
      </w:r>
    </w:p>
    <w:p w14:paraId="452D72ED" w14:textId="77777777" w:rsidR="00D16027" w:rsidRDefault="00000000">
      <w:pPr>
        <w:pBdr>
          <w:left w:val="single" w:sz="14" w:space="10" w:color="2E75B6"/>
        </w:pBdr>
        <w:shd w:val="clear" w:color="auto" w:fill="EAF3FB"/>
        <w:spacing w:after="200"/>
      </w:pPr>
      <w:r>
        <w:rPr>
          <w:i/>
          <w:iCs/>
          <w:color w:val="333333"/>
        </w:rPr>
        <w:t>Not all assessments need the same response to AI. This chapter introduces the book's organising framework: a spectrum from assessments that exclude AI by their conditions, through those that are resilient to AI by design, to those that integrate AI as part of what is assessed. Educators learn to position tasks on it and to make principled choices about where each should sit.</w:t>
      </w:r>
    </w:p>
    <w:p w14:paraId="7B9EC92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159711C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Describe the three zones of the spectrum and map them to the two-lane model and the AI Assessment Scale</w:t>
      </w:r>
    </w:p>
    <w:p w14:paraId="5F9256B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Recognise the fourth, unintended position that most inherited coursework now occupies</w:t>
      </w:r>
    </w:p>
    <w:p w14:paraId="0C15664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Position any task using a two-question diagnostic and choose its zone using six factors</w:t>
      </w:r>
    </w:p>
    <w:p w14:paraId="2C016352"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Use the spectrum as a programme-level portfolio tool and as a communication tool for students</w:t>
      </w:r>
    </w:p>
    <w:p w14:paraId="4C4C1D1A" w14:textId="77777777" w:rsidR="00D16027" w:rsidRDefault="00000000">
      <w:pPr>
        <w:pStyle w:val="Heading2"/>
        <w:keepNext/>
      </w:pPr>
      <w:r>
        <w:t>6.1 Three zones</w:t>
      </w:r>
    </w:p>
    <w:p w14:paraId="1F053FE5" w14:textId="77777777" w:rsidR="00D16027" w:rsidRDefault="00000000">
      <w:pPr>
        <w:spacing w:after="140"/>
      </w:pPr>
      <w:r>
        <w:t>The spectrum has three zones, distinguished by where the evidence of learning sits and what role AI plays.</w:t>
      </w:r>
    </w:p>
    <w:p w14:paraId="2770F8AD" w14:textId="77777777" w:rsidR="00D16027" w:rsidRDefault="00000000">
      <w:pPr>
        <w:spacing w:after="140"/>
      </w:pPr>
      <w:r>
        <w:rPr>
          <w:b/>
          <w:bCs/>
        </w:rPr>
        <w:t>AI-excluded.</w:t>
      </w:r>
      <w:r>
        <w:t xml:space="preserve"> The conditions of production make AI use impossible or immediately visible: invigilated examinations, in-class writing, laboratory practicals, clinical examinations, live performance, </w:t>
      </w:r>
      <w:proofErr w:type="spellStart"/>
      <w:r>
        <w:t>vivas</w:t>
      </w:r>
      <w:proofErr w:type="spellEnd"/>
      <w:r>
        <w:t xml:space="preserve"> and interactive orals. The exclusion is achieved by conditions, not by prohibition. Nothing needs to be detected because nothing can be substituted.</w:t>
      </w:r>
    </w:p>
    <w:p w14:paraId="3400DF70" w14:textId="77777777" w:rsidR="00D16027" w:rsidRDefault="00000000">
      <w:pPr>
        <w:spacing w:after="140"/>
      </w:pPr>
      <w:r>
        <w:rPr>
          <w:b/>
          <w:bCs/>
        </w:rPr>
        <w:t>AI-resilient.</w:t>
      </w:r>
      <w:r>
        <w:t xml:space="preserve"> The work is produced without supervision and AI may well be used, but the task is designed so that AI cannot substitute for the construct. The evidence is student-specific (own data, own client, own placement), process-based (drafts, notebooks, version histories, checkpoints) or dialogic (a conversation about the work). AI use may be permitted at some levels and declared; its presence does not undermine the inference.</w:t>
      </w:r>
    </w:p>
    <w:p w14:paraId="20889651" w14:textId="77777777" w:rsidR="00D16027" w:rsidRDefault="00000000">
      <w:pPr>
        <w:spacing w:after="140"/>
      </w:pPr>
      <w:r>
        <w:rPr>
          <w:b/>
          <w:bCs/>
        </w:rPr>
        <w:t>AI-integrated.</w:t>
      </w:r>
      <w:r>
        <w:t xml:space="preserve"> AI use is expected, and engaging with it is part of what is assessed: critiquing and correcting AI output, documenting a prompt-and-refine process, co-producing work with AI under stated rules and reflecting on the collaboration. The evidence is the student's judgement about the AI's contribution and their own.</w:t>
      </w:r>
    </w:p>
    <w:p w14:paraId="32FB77F8" w14:textId="77777777" w:rsidR="00D16027" w:rsidRDefault="00000000">
      <w:pPr>
        <w:spacing w:after="140"/>
      </w:pPr>
      <w:r>
        <w:t xml:space="preserve">Two frameworks in wide use map directly onto these zones. The University of Sydney's two-lane approach (Liu &amp; Bridgeman 2023; Bridgeman, Liu &amp; Weeks 2024) places secured </w:t>
      </w:r>
      <w:r>
        <w:rPr>
          <w:i/>
          <w:iCs/>
        </w:rPr>
        <w:t>assessment of learning</w:t>
      </w:r>
      <w:r>
        <w:t xml:space="preserve"> in Lane 1 and open </w:t>
      </w:r>
      <w:r>
        <w:rPr>
          <w:i/>
          <w:iCs/>
        </w:rPr>
        <w:t>assessment for learning</w:t>
      </w:r>
      <w:r>
        <w:t xml:space="preserve"> in Lane 2; the AI-excluded zone is Lane 1, and the resilient and integrated zones together make up Lane 2. The AI Assessment Scale (Perkins, Furze, Roe &amp; </w:t>
      </w:r>
      <w:proofErr w:type="spellStart"/>
      <w:r>
        <w:t>MacVaugh</w:t>
      </w:r>
      <w:proofErr w:type="spellEnd"/>
      <w:r>
        <w:t xml:space="preserve"> 2024; revised in Perkins, Roe &amp; Furze 2025) gives five levels of permitted use, from no AI at Level 1 to AI exploration at Level 5, and in the 2025 revision the authors stress that the levels are not a ladder of merit but a menu of stated conditions. This book uses the 2025 version and its level names throughout: 1 No AI; 2 AI Planning; 3 AI Collaboration; 4 Full AI; 5 AI Exploration. Level 1 corresponds to the excluded zone; Levels 2 and 3, in which AI supports planning or is used and then edited and evaluated, sit in the resilient zone when the task's evidence is student-specific; Levels 4 and 5 are the integrated zone. Furze et al. (2024) report a pilot of the scale in which the clarity of per-task labelling was the most valued feature for staff and students alike. The scale's adoption in several hundred institutions is evidence of its usefulness as a shared vocabulary rather than of measured effects on learning or integrity, which remain to be established.</w:t>
      </w:r>
    </w:p>
    <w:p w14:paraId="74363710" w14:textId="77777777" w:rsidR="00D16027" w:rsidRDefault="00000000">
      <w:pPr>
        <w:keepNext/>
        <w:spacing w:before="160" w:after="60"/>
        <w:jc w:val="center"/>
      </w:pPr>
      <w:r>
        <w:rPr>
          <w:noProof/>
        </w:rPr>
        <w:lastRenderedPageBreak/>
        <w:drawing>
          <wp:inline distT="0" distB="0" distL="0" distR="0" wp14:anchorId="4D5C57C2" wp14:editId="6A9F9254">
            <wp:extent cx="4752975" cy="2886075"/>
            <wp:effectExtent l="0" t="0" r="0" b="0"/>
            <wp:docPr id="7125077" name="Picture 712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886075"/>
                    </a:xfrm>
                    <a:prstGeom prst="rect">
                      <a:avLst/>
                    </a:prstGeom>
                  </pic:spPr>
                </pic:pic>
              </a:graphicData>
            </a:graphic>
          </wp:inline>
        </w:drawing>
      </w:r>
    </w:p>
    <w:p w14:paraId="5EEB5613" w14:textId="77777777" w:rsidR="00D16027" w:rsidRDefault="00000000">
      <w:pPr>
        <w:spacing w:after="200"/>
        <w:jc w:val="center"/>
      </w:pPr>
      <w:r>
        <w:rPr>
          <w:i/>
          <w:iCs/>
          <w:color w:val="1A4F7A"/>
          <w:sz w:val="19"/>
          <w:szCs w:val="19"/>
        </w:rPr>
        <w:t>Figure 6.1  The spectrum of assessment</w:t>
      </w:r>
    </w:p>
    <w:p w14:paraId="0551FB16" w14:textId="77777777" w:rsidR="00D16027" w:rsidRDefault="00000000">
      <w:pPr>
        <w:keepNext/>
        <w:spacing w:before="160" w:after="80"/>
      </w:pPr>
      <w:r>
        <w:rPr>
          <w:b/>
          <w:bCs/>
          <w:color w:val="1A4F7A"/>
          <w:sz w:val="20"/>
          <w:szCs w:val="20"/>
        </w:rPr>
        <w:t>Table 6.1  The three zones and their equivalents in the two-lane model and the AI Assessment Scale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186"/>
        <w:gridCol w:w="1000"/>
        <w:gridCol w:w="1200"/>
      </w:tblGrid>
      <w:tr w:rsidR="00D16027" w14:paraId="1853801E" w14:textId="77777777">
        <w:tblPrEx>
          <w:tblCellMar>
            <w:top w:w="0" w:type="dxa"/>
            <w:bottom w:w="0" w:type="dxa"/>
          </w:tblCellMar>
        </w:tblPrEx>
        <w:trPr>
          <w:cantSplit/>
          <w:tblHeader/>
        </w:trPr>
        <w:tc>
          <w:tcPr>
            <w:tcW w:w="1500" w:type="dxa"/>
            <w:shd w:val="clear" w:color="auto" w:fill="2E75B6"/>
            <w:tcMar>
              <w:top w:w="70" w:type="dxa"/>
              <w:left w:w="100" w:type="dxa"/>
              <w:bottom w:w="70" w:type="dxa"/>
              <w:right w:w="100" w:type="dxa"/>
            </w:tcMar>
          </w:tcPr>
          <w:p w14:paraId="351A28D9" w14:textId="77777777" w:rsidR="00D16027" w:rsidRDefault="00000000">
            <w:r>
              <w:rPr>
                <w:b/>
                <w:bCs/>
                <w:color w:val="FFFFFF"/>
                <w:sz w:val="19"/>
                <w:szCs w:val="19"/>
              </w:rPr>
              <w:t>Zone</w:t>
            </w:r>
          </w:p>
        </w:tc>
        <w:tc>
          <w:tcPr>
            <w:tcW w:w="2500" w:type="dxa"/>
            <w:shd w:val="clear" w:color="auto" w:fill="2E75B6"/>
            <w:tcMar>
              <w:top w:w="70" w:type="dxa"/>
              <w:left w:w="100" w:type="dxa"/>
              <w:bottom w:w="70" w:type="dxa"/>
              <w:right w:w="100" w:type="dxa"/>
            </w:tcMar>
          </w:tcPr>
          <w:p w14:paraId="479DECF7" w14:textId="77777777" w:rsidR="00D16027" w:rsidRDefault="00000000">
            <w:r>
              <w:rPr>
                <w:b/>
                <w:bCs/>
                <w:color w:val="FFFFFF"/>
                <w:sz w:val="19"/>
                <w:szCs w:val="19"/>
              </w:rPr>
              <w:t>Where the evidence sits</w:t>
            </w:r>
          </w:p>
        </w:tc>
        <w:tc>
          <w:tcPr>
            <w:tcW w:w="3186" w:type="dxa"/>
            <w:shd w:val="clear" w:color="auto" w:fill="2E75B6"/>
            <w:tcMar>
              <w:top w:w="70" w:type="dxa"/>
              <w:left w:w="100" w:type="dxa"/>
              <w:bottom w:w="70" w:type="dxa"/>
              <w:right w:w="100" w:type="dxa"/>
            </w:tcMar>
          </w:tcPr>
          <w:p w14:paraId="10989B4C" w14:textId="77777777" w:rsidR="00D16027" w:rsidRDefault="00000000">
            <w:r>
              <w:rPr>
                <w:b/>
                <w:bCs/>
                <w:color w:val="FFFFFF"/>
                <w:sz w:val="19"/>
                <w:szCs w:val="19"/>
              </w:rPr>
              <w:t>Typical formats</w:t>
            </w:r>
          </w:p>
        </w:tc>
        <w:tc>
          <w:tcPr>
            <w:tcW w:w="1000" w:type="dxa"/>
            <w:shd w:val="clear" w:color="auto" w:fill="2E75B6"/>
            <w:tcMar>
              <w:top w:w="70" w:type="dxa"/>
              <w:left w:w="100" w:type="dxa"/>
              <w:bottom w:w="70" w:type="dxa"/>
              <w:right w:w="100" w:type="dxa"/>
            </w:tcMar>
          </w:tcPr>
          <w:p w14:paraId="498A64BC" w14:textId="77777777" w:rsidR="00D16027" w:rsidRDefault="00000000">
            <w:r>
              <w:rPr>
                <w:b/>
                <w:bCs/>
                <w:color w:val="FFFFFF"/>
                <w:sz w:val="19"/>
                <w:szCs w:val="19"/>
              </w:rPr>
              <w:t>AIAS level</w:t>
            </w:r>
          </w:p>
        </w:tc>
        <w:tc>
          <w:tcPr>
            <w:tcW w:w="1200" w:type="dxa"/>
            <w:shd w:val="clear" w:color="auto" w:fill="2E75B6"/>
            <w:tcMar>
              <w:top w:w="70" w:type="dxa"/>
              <w:left w:w="100" w:type="dxa"/>
              <w:bottom w:w="70" w:type="dxa"/>
              <w:right w:w="100" w:type="dxa"/>
            </w:tcMar>
          </w:tcPr>
          <w:p w14:paraId="5D476DFE" w14:textId="77777777" w:rsidR="00D16027" w:rsidRDefault="00000000">
            <w:r>
              <w:rPr>
                <w:b/>
                <w:bCs/>
                <w:color w:val="FFFFFF"/>
                <w:sz w:val="19"/>
                <w:szCs w:val="19"/>
              </w:rPr>
              <w:t>Sydney lane</w:t>
            </w:r>
          </w:p>
        </w:tc>
      </w:tr>
      <w:tr w:rsidR="00D16027" w14:paraId="65583FC5" w14:textId="77777777">
        <w:tblPrEx>
          <w:tblCellMar>
            <w:top w:w="0" w:type="dxa"/>
            <w:bottom w:w="0" w:type="dxa"/>
          </w:tblCellMar>
        </w:tblPrEx>
        <w:trPr>
          <w:cantSplit/>
        </w:trPr>
        <w:tc>
          <w:tcPr>
            <w:tcW w:w="1500" w:type="dxa"/>
            <w:tcMar>
              <w:top w:w="70" w:type="dxa"/>
              <w:left w:w="100" w:type="dxa"/>
              <w:bottom w:w="70" w:type="dxa"/>
              <w:right w:w="100" w:type="dxa"/>
            </w:tcMar>
          </w:tcPr>
          <w:p w14:paraId="5666C661" w14:textId="77777777" w:rsidR="00D16027" w:rsidRDefault="00000000">
            <w:r>
              <w:rPr>
                <w:sz w:val="19"/>
                <w:szCs w:val="19"/>
              </w:rPr>
              <w:t>AI-excluded</w:t>
            </w:r>
          </w:p>
        </w:tc>
        <w:tc>
          <w:tcPr>
            <w:tcW w:w="2500" w:type="dxa"/>
            <w:tcMar>
              <w:top w:w="70" w:type="dxa"/>
              <w:left w:w="100" w:type="dxa"/>
              <w:bottom w:w="70" w:type="dxa"/>
              <w:right w:w="100" w:type="dxa"/>
            </w:tcMar>
          </w:tcPr>
          <w:p w14:paraId="3FD55C04" w14:textId="77777777" w:rsidR="00D16027" w:rsidRDefault="00000000">
            <w:r>
              <w:rPr>
                <w:sz w:val="19"/>
                <w:szCs w:val="19"/>
              </w:rPr>
              <w:t>In secured conditions: the room, the bench, the clinic, the conversation</w:t>
            </w:r>
          </w:p>
        </w:tc>
        <w:tc>
          <w:tcPr>
            <w:tcW w:w="3186" w:type="dxa"/>
            <w:tcMar>
              <w:top w:w="70" w:type="dxa"/>
              <w:left w:w="100" w:type="dxa"/>
              <w:bottom w:w="70" w:type="dxa"/>
              <w:right w:w="100" w:type="dxa"/>
            </w:tcMar>
          </w:tcPr>
          <w:p w14:paraId="7737EB0E" w14:textId="77777777" w:rsidR="00D16027" w:rsidRDefault="00000000">
            <w:r>
              <w:rPr>
                <w:sz w:val="19"/>
                <w:szCs w:val="19"/>
              </w:rPr>
              <w:t>Invigilated exam; in-class writing; practical; OSCE; performance; viva; interactive oral</w:t>
            </w:r>
          </w:p>
        </w:tc>
        <w:tc>
          <w:tcPr>
            <w:tcW w:w="1000" w:type="dxa"/>
            <w:tcMar>
              <w:top w:w="70" w:type="dxa"/>
              <w:left w:w="100" w:type="dxa"/>
              <w:bottom w:w="70" w:type="dxa"/>
              <w:right w:w="100" w:type="dxa"/>
            </w:tcMar>
          </w:tcPr>
          <w:p w14:paraId="37415D9D" w14:textId="77777777" w:rsidR="00D16027" w:rsidRDefault="00000000">
            <w:r>
              <w:rPr>
                <w:sz w:val="19"/>
                <w:szCs w:val="19"/>
              </w:rPr>
              <w:t>1</w:t>
            </w:r>
          </w:p>
        </w:tc>
        <w:tc>
          <w:tcPr>
            <w:tcW w:w="1200" w:type="dxa"/>
            <w:tcMar>
              <w:top w:w="70" w:type="dxa"/>
              <w:left w:w="100" w:type="dxa"/>
              <w:bottom w:w="70" w:type="dxa"/>
              <w:right w:w="100" w:type="dxa"/>
            </w:tcMar>
          </w:tcPr>
          <w:p w14:paraId="61B12EAB" w14:textId="77777777" w:rsidR="00D16027" w:rsidRDefault="00000000">
            <w:r>
              <w:rPr>
                <w:sz w:val="19"/>
                <w:szCs w:val="19"/>
              </w:rPr>
              <w:t>Lane 1</w:t>
            </w:r>
          </w:p>
        </w:tc>
      </w:tr>
      <w:tr w:rsidR="00D16027" w14:paraId="0B9941A0" w14:textId="77777777">
        <w:tblPrEx>
          <w:tblCellMar>
            <w:top w:w="0" w:type="dxa"/>
            <w:bottom w:w="0" w:type="dxa"/>
          </w:tblCellMar>
        </w:tblPrEx>
        <w:trPr>
          <w:cantSplit/>
        </w:trPr>
        <w:tc>
          <w:tcPr>
            <w:tcW w:w="1500" w:type="dxa"/>
            <w:tcMar>
              <w:top w:w="70" w:type="dxa"/>
              <w:left w:w="100" w:type="dxa"/>
              <w:bottom w:w="70" w:type="dxa"/>
              <w:right w:w="100" w:type="dxa"/>
            </w:tcMar>
          </w:tcPr>
          <w:p w14:paraId="059346C1" w14:textId="77777777" w:rsidR="00D16027" w:rsidRDefault="00000000">
            <w:r>
              <w:rPr>
                <w:sz w:val="19"/>
                <w:szCs w:val="19"/>
              </w:rPr>
              <w:t>AI-resilient</w:t>
            </w:r>
          </w:p>
        </w:tc>
        <w:tc>
          <w:tcPr>
            <w:tcW w:w="2500" w:type="dxa"/>
            <w:tcMar>
              <w:top w:w="70" w:type="dxa"/>
              <w:left w:w="100" w:type="dxa"/>
              <w:bottom w:w="70" w:type="dxa"/>
              <w:right w:w="100" w:type="dxa"/>
            </w:tcMar>
          </w:tcPr>
          <w:p w14:paraId="7E0E19F3" w14:textId="77777777" w:rsidR="00D16027" w:rsidRDefault="00000000">
            <w:r>
              <w:rPr>
                <w:sz w:val="19"/>
                <w:szCs w:val="19"/>
              </w:rPr>
              <w:t>In the student-specific context, the process, or the dialogue about the product</w:t>
            </w:r>
          </w:p>
        </w:tc>
        <w:tc>
          <w:tcPr>
            <w:tcW w:w="3186" w:type="dxa"/>
            <w:tcMar>
              <w:top w:w="70" w:type="dxa"/>
              <w:left w:w="100" w:type="dxa"/>
              <w:bottom w:w="70" w:type="dxa"/>
              <w:right w:w="100" w:type="dxa"/>
            </w:tcMar>
          </w:tcPr>
          <w:p w14:paraId="7E06762F" w14:textId="77777777" w:rsidR="00D16027" w:rsidRDefault="00000000">
            <w:r>
              <w:rPr>
                <w:sz w:val="19"/>
                <w:szCs w:val="19"/>
              </w:rPr>
              <w:t>Fieldwork with own data; client project; staged portfolio with sampled conversation; placement evidence; code walkthrough</w:t>
            </w:r>
          </w:p>
        </w:tc>
        <w:tc>
          <w:tcPr>
            <w:tcW w:w="1000" w:type="dxa"/>
            <w:tcMar>
              <w:top w:w="70" w:type="dxa"/>
              <w:left w:w="100" w:type="dxa"/>
              <w:bottom w:w="70" w:type="dxa"/>
              <w:right w:w="100" w:type="dxa"/>
            </w:tcMar>
          </w:tcPr>
          <w:p w14:paraId="58F0F377" w14:textId="77777777" w:rsidR="00D16027" w:rsidRDefault="00000000">
            <w:r>
              <w:rPr>
                <w:sz w:val="19"/>
                <w:szCs w:val="19"/>
              </w:rPr>
              <w:t>2–3</w:t>
            </w:r>
          </w:p>
        </w:tc>
        <w:tc>
          <w:tcPr>
            <w:tcW w:w="1200" w:type="dxa"/>
            <w:tcMar>
              <w:top w:w="70" w:type="dxa"/>
              <w:left w:w="100" w:type="dxa"/>
              <w:bottom w:w="70" w:type="dxa"/>
              <w:right w:w="100" w:type="dxa"/>
            </w:tcMar>
          </w:tcPr>
          <w:p w14:paraId="2EB908F4" w14:textId="77777777" w:rsidR="00D16027" w:rsidRDefault="00000000">
            <w:r>
              <w:rPr>
                <w:sz w:val="19"/>
                <w:szCs w:val="19"/>
              </w:rPr>
              <w:t>Lane 2</w:t>
            </w:r>
          </w:p>
        </w:tc>
      </w:tr>
      <w:tr w:rsidR="00D16027" w14:paraId="117A2382" w14:textId="77777777">
        <w:tblPrEx>
          <w:tblCellMar>
            <w:top w:w="0" w:type="dxa"/>
            <w:bottom w:w="0" w:type="dxa"/>
          </w:tblCellMar>
        </w:tblPrEx>
        <w:trPr>
          <w:cantSplit/>
        </w:trPr>
        <w:tc>
          <w:tcPr>
            <w:tcW w:w="1500" w:type="dxa"/>
            <w:tcMar>
              <w:top w:w="70" w:type="dxa"/>
              <w:left w:w="100" w:type="dxa"/>
              <w:bottom w:w="70" w:type="dxa"/>
              <w:right w:w="100" w:type="dxa"/>
            </w:tcMar>
          </w:tcPr>
          <w:p w14:paraId="11774775" w14:textId="77777777" w:rsidR="00D16027" w:rsidRDefault="00000000">
            <w:r>
              <w:rPr>
                <w:sz w:val="19"/>
                <w:szCs w:val="19"/>
              </w:rPr>
              <w:t>AI-integrated</w:t>
            </w:r>
          </w:p>
        </w:tc>
        <w:tc>
          <w:tcPr>
            <w:tcW w:w="2500" w:type="dxa"/>
            <w:tcMar>
              <w:top w:w="70" w:type="dxa"/>
              <w:left w:w="100" w:type="dxa"/>
              <w:bottom w:w="70" w:type="dxa"/>
              <w:right w:w="100" w:type="dxa"/>
            </w:tcMar>
          </w:tcPr>
          <w:p w14:paraId="27FD0D0D" w14:textId="77777777" w:rsidR="00D16027" w:rsidRDefault="00000000">
            <w:r>
              <w:rPr>
                <w:sz w:val="19"/>
                <w:szCs w:val="19"/>
              </w:rPr>
              <w:t>In the student's judgement about AI output and their own contribution</w:t>
            </w:r>
          </w:p>
        </w:tc>
        <w:tc>
          <w:tcPr>
            <w:tcW w:w="3186" w:type="dxa"/>
            <w:tcMar>
              <w:top w:w="70" w:type="dxa"/>
              <w:left w:w="100" w:type="dxa"/>
              <w:bottom w:w="70" w:type="dxa"/>
              <w:right w:w="100" w:type="dxa"/>
            </w:tcMar>
          </w:tcPr>
          <w:p w14:paraId="31EA7262" w14:textId="77777777" w:rsidR="00D16027" w:rsidRDefault="00000000">
            <w:r>
              <w:rPr>
                <w:sz w:val="19"/>
                <w:szCs w:val="19"/>
              </w:rPr>
              <w:t>AI critique; prompt log with reflection; co-authored artefact with declaration; AI-assisted design with defended decisions</w:t>
            </w:r>
          </w:p>
        </w:tc>
        <w:tc>
          <w:tcPr>
            <w:tcW w:w="1000" w:type="dxa"/>
            <w:tcMar>
              <w:top w:w="70" w:type="dxa"/>
              <w:left w:w="100" w:type="dxa"/>
              <w:bottom w:w="70" w:type="dxa"/>
              <w:right w:w="100" w:type="dxa"/>
            </w:tcMar>
          </w:tcPr>
          <w:p w14:paraId="0A32D818" w14:textId="77777777" w:rsidR="00D16027" w:rsidRDefault="00000000">
            <w:r>
              <w:rPr>
                <w:sz w:val="19"/>
                <w:szCs w:val="19"/>
              </w:rPr>
              <w:t>4–5</w:t>
            </w:r>
          </w:p>
        </w:tc>
        <w:tc>
          <w:tcPr>
            <w:tcW w:w="1200" w:type="dxa"/>
            <w:tcMar>
              <w:top w:w="70" w:type="dxa"/>
              <w:left w:w="100" w:type="dxa"/>
              <w:bottom w:w="70" w:type="dxa"/>
              <w:right w:w="100" w:type="dxa"/>
            </w:tcMar>
          </w:tcPr>
          <w:p w14:paraId="5B98D6ED" w14:textId="77777777" w:rsidR="00D16027" w:rsidRDefault="00000000">
            <w:r>
              <w:rPr>
                <w:sz w:val="19"/>
                <w:szCs w:val="19"/>
              </w:rPr>
              <w:t>Lane 2</w:t>
            </w:r>
          </w:p>
        </w:tc>
      </w:tr>
    </w:tbl>
    <w:p w14:paraId="15B0EACD" w14:textId="77777777" w:rsidR="00D16027" w:rsidRDefault="00D16027">
      <w:pPr>
        <w:spacing w:after="120"/>
      </w:pPr>
    </w:p>
    <w:p w14:paraId="3F2C7345" w14:textId="77777777" w:rsidR="00D16027" w:rsidRDefault="00000000">
      <w:pPr>
        <w:pStyle w:val="Heading2"/>
        <w:keepNext/>
      </w:pPr>
      <w:r>
        <w:t>6.2 Why both ends are legitimate, and why the middle is neglected</w:t>
      </w:r>
    </w:p>
    <w:p w14:paraId="274EEBC5" w14:textId="77777777" w:rsidR="00D16027" w:rsidRDefault="00000000">
      <w:pPr>
        <w:spacing w:after="140"/>
      </w:pPr>
      <w:r>
        <w:t>Each end of the spectrum has critics, and each is nonetheless necessary. The excluded zone is where assurance of learning and professional accreditation ultimately rest; the General Medical Council, the Solicitors Regulation Authority and the Engineering Council all require secured evidence of specified competences, and no institution can certify a graduate on unsupervised products alone. The risk at this end is over-reliance: a wholesale return to the examination hall narrows what can be assessed, disadvantages many disabled students and students for whom timed writing is a poor sample of capability, and can lower overall validity even as it raises security (Nieminen 2022; Dawson, Bearman, Dollinger &amp; Boud 2024).</w:t>
      </w:r>
    </w:p>
    <w:p w14:paraId="19B7A5E8" w14:textId="77777777" w:rsidR="00D16027" w:rsidRDefault="00000000">
      <w:pPr>
        <w:spacing w:after="140"/>
      </w:pPr>
      <w:r>
        <w:t>The integrated zone is where the first of the regulator's two principles is met: equipping students to work ethically and effectively with AI (Lodge et al. 2023). The risk here is learning offloading. Darvishi et al. (2024) found students relying on AI assistance rather than learning from it, and Bastani et al. (2024) found unrestricted access reducing subsequent unassisted performance. Integrated tasks therefore need guardrails and scaffolding, and they need to be complemented by secured evidence elsewhere.</w:t>
      </w:r>
    </w:p>
    <w:p w14:paraId="356477BE" w14:textId="77777777" w:rsidR="00D16027" w:rsidRDefault="00000000">
      <w:pPr>
        <w:spacing w:after="140"/>
      </w:pPr>
      <w:r>
        <w:t xml:space="preserve">The middle zone, AI-resilient design, is where most coursework should sit and where the least attention has been paid. It is neglected because it requires the most design skill: resilience comes </w:t>
      </w:r>
      <w:r>
        <w:lastRenderedPageBreak/>
        <w:t>from the structure of the task, not from a rule. Corbin, Dawson and Liu (2025) show that institutions have tended to respond discursively (policies, statements, warnings) rather than structurally, which leaves tasks nominally in the middle zone while their evidence remains fully substitutable. Part III of this book is devoted to the structural repertoire that makes the middle zone real.</w:t>
      </w:r>
    </w:p>
    <w:p w14:paraId="6A529248" w14:textId="77777777" w:rsidR="00D16027" w:rsidRDefault="00000000">
      <w:pPr>
        <w:pStyle w:val="Heading2"/>
        <w:keepNext/>
      </w:pPr>
      <w:r>
        <w:t>6.3 The unintended position</w:t>
      </w:r>
    </w:p>
    <w:p w14:paraId="7CC2C153" w14:textId="77777777" w:rsidR="00D16027" w:rsidRDefault="00000000">
      <w:pPr>
        <w:spacing w:after="140"/>
      </w:pPr>
      <w:r>
        <w:t xml:space="preserve">There is a fourth position that is not on the spectrum at all, and it is where, on the evidence of the student-use surveys and of the benchmark studies, a large share of inherited coursework now sits. The task was designed for a world without generative AI; it is produced without supervision; its evidence is a generic product; and the only thing standing between it and substitution is a sentence in the brief saying AI is not permitted. Call it </w:t>
      </w:r>
      <w:r>
        <w:rPr>
          <w:i/>
          <w:iCs/>
        </w:rPr>
        <w:t>AI-prohibited but unsecured</w:t>
      </w:r>
      <w:r>
        <w:t>. The HEPI/</w:t>
      </w:r>
      <w:proofErr w:type="spellStart"/>
      <w:r>
        <w:t>Kortext</w:t>
      </w:r>
      <w:proofErr w:type="spellEnd"/>
      <w:r>
        <w:t xml:space="preserve"> finding that 88% of UK students use AI for assessed work, while most modules still nominally forbid it, is a measure of how much assessment occupies this position (Freeman 2025). Prohibition without conditions is a fiction that students recognise and staff cannot enforce. The first job of any audit (Chapter 5) is to find these tasks and move them somewhere on the spectrum: into secured conditions, into resilient design, or into honest integration.</w:t>
      </w:r>
    </w:p>
    <w:p w14:paraId="567F7FF1" w14:textId="77777777" w:rsidR="00D16027" w:rsidRDefault="00000000">
      <w:pPr>
        <w:pBdr>
          <w:left w:val="single" w:sz="14" w:space="10" w:color="2E75B6"/>
        </w:pBdr>
        <w:shd w:val="clear" w:color="auto" w:fill="EAF3FB"/>
        <w:spacing w:before="80" w:after="160"/>
      </w:pPr>
      <w:r>
        <w:rPr>
          <w:b/>
          <w:bCs/>
          <w:color w:val="333333"/>
        </w:rPr>
        <w:t>The worst position</w:t>
      </w:r>
      <w:r>
        <w:rPr>
          <w:color w:val="333333"/>
        </w:rPr>
        <w:t xml:space="preserve"> is not the excluded end or the integrated end. It is the unsupervised generic task with a prohibition attached, because it combines full vulnerability with an integrity rule that cannot be upheld, and so damages both validity and trust.</w:t>
      </w:r>
    </w:p>
    <w:p w14:paraId="745C24E0" w14:textId="77777777" w:rsidR="00D16027" w:rsidRDefault="00000000">
      <w:pPr>
        <w:pStyle w:val="Heading2"/>
        <w:keepNext/>
      </w:pPr>
      <w:r>
        <w:t>6.4 Positioning a task: a two-question diagnostic</w:t>
      </w:r>
    </w:p>
    <w:p w14:paraId="0DFFADE6" w14:textId="77777777" w:rsidR="00D16027" w:rsidRDefault="00000000">
      <w:pPr>
        <w:spacing w:after="140"/>
      </w:pPr>
      <w:r>
        <w:t xml:space="preserve">Two questions locate any task. First: </w:t>
      </w:r>
      <w:r>
        <w:rPr>
          <w:i/>
          <w:iCs/>
        </w:rPr>
        <w:t>under what conditions is the work produced?</w:t>
      </w:r>
      <w:r>
        <w:t xml:space="preserve"> If it is produced under supervision or live, the task is in the excluded zone regardless of what the brief says about AI. Second, for unsupervised work: </w:t>
      </w:r>
      <w:r>
        <w:rPr>
          <w:i/>
          <w:iCs/>
        </w:rPr>
        <w:t>is engaging with AI part of what is assessed?</w:t>
      </w:r>
      <w:r>
        <w:t xml:space="preserve"> If yes, the task is integrated. If no, run the vulnerability audit from Chapter 5: a score of 7 or below with the empirical test passed places the task in the resilient zone; a higher score, or an AI output that earns a passing mark, places it in the unintended position.</w:t>
      </w:r>
    </w:p>
    <w:p w14:paraId="24BF023C" w14:textId="77777777" w:rsidR="00D16027" w:rsidRDefault="00000000">
      <w:pPr>
        <w:keepNext/>
        <w:spacing w:before="160" w:after="80"/>
      </w:pPr>
      <w:r>
        <w:rPr>
          <w:b/>
          <w:bCs/>
          <w:color w:val="1A4F7A"/>
          <w:sz w:val="20"/>
          <w:szCs w:val="20"/>
        </w:rPr>
        <w:t>Table 6.2  Positioning diagnostic</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86"/>
      </w:tblGrid>
      <w:tr w:rsidR="00D16027" w14:paraId="20D1A060" w14:textId="77777777">
        <w:tblPrEx>
          <w:tblCellMar>
            <w:top w:w="0" w:type="dxa"/>
            <w:bottom w:w="0" w:type="dxa"/>
          </w:tblCellMar>
        </w:tblPrEx>
        <w:trPr>
          <w:cantSplit/>
          <w:tblHeader/>
        </w:trPr>
        <w:tc>
          <w:tcPr>
            <w:tcW w:w="3800" w:type="dxa"/>
            <w:shd w:val="clear" w:color="auto" w:fill="2E75B6"/>
            <w:tcMar>
              <w:top w:w="70" w:type="dxa"/>
              <w:left w:w="100" w:type="dxa"/>
              <w:bottom w:w="70" w:type="dxa"/>
              <w:right w:w="100" w:type="dxa"/>
            </w:tcMar>
          </w:tcPr>
          <w:p w14:paraId="4EC57BAE" w14:textId="77777777" w:rsidR="00D16027" w:rsidRDefault="00000000">
            <w:r>
              <w:rPr>
                <w:b/>
                <w:bCs/>
                <w:color w:val="FFFFFF"/>
                <w:sz w:val="19"/>
                <w:szCs w:val="19"/>
              </w:rPr>
              <w:t>Question</w:t>
            </w:r>
          </w:p>
        </w:tc>
        <w:tc>
          <w:tcPr>
            <w:tcW w:w="2800" w:type="dxa"/>
            <w:shd w:val="clear" w:color="auto" w:fill="2E75B6"/>
            <w:tcMar>
              <w:top w:w="70" w:type="dxa"/>
              <w:left w:w="100" w:type="dxa"/>
              <w:bottom w:w="70" w:type="dxa"/>
              <w:right w:w="100" w:type="dxa"/>
            </w:tcMar>
          </w:tcPr>
          <w:p w14:paraId="0926B1C8" w14:textId="77777777" w:rsidR="00D16027" w:rsidRDefault="00000000">
            <w:r>
              <w:rPr>
                <w:b/>
                <w:bCs/>
                <w:color w:val="FFFFFF"/>
                <w:sz w:val="19"/>
                <w:szCs w:val="19"/>
              </w:rPr>
              <w:t>Answer</w:t>
            </w:r>
          </w:p>
        </w:tc>
        <w:tc>
          <w:tcPr>
            <w:tcW w:w="2786" w:type="dxa"/>
            <w:shd w:val="clear" w:color="auto" w:fill="2E75B6"/>
            <w:tcMar>
              <w:top w:w="70" w:type="dxa"/>
              <w:left w:w="100" w:type="dxa"/>
              <w:bottom w:w="70" w:type="dxa"/>
              <w:right w:w="100" w:type="dxa"/>
            </w:tcMar>
          </w:tcPr>
          <w:p w14:paraId="2C7F0AE4" w14:textId="77777777" w:rsidR="00D16027" w:rsidRDefault="00000000">
            <w:r>
              <w:rPr>
                <w:b/>
                <w:bCs/>
                <w:color w:val="FFFFFF"/>
                <w:sz w:val="19"/>
                <w:szCs w:val="19"/>
              </w:rPr>
              <w:t>Position</w:t>
            </w:r>
          </w:p>
        </w:tc>
      </w:tr>
      <w:tr w:rsidR="00D16027" w14:paraId="4BA5824F" w14:textId="77777777">
        <w:tblPrEx>
          <w:tblCellMar>
            <w:top w:w="0" w:type="dxa"/>
            <w:bottom w:w="0" w:type="dxa"/>
          </w:tblCellMar>
        </w:tblPrEx>
        <w:trPr>
          <w:cantSplit/>
        </w:trPr>
        <w:tc>
          <w:tcPr>
            <w:tcW w:w="3800" w:type="dxa"/>
            <w:tcMar>
              <w:top w:w="70" w:type="dxa"/>
              <w:left w:w="100" w:type="dxa"/>
              <w:bottom w:w="70" w:type="dxa"/>
              <w:right w:w="100" w:type="dxa"/>
            </w:tcMar>
          </w:tcPr>
          <w:p w14:paraId="25024AA9" w14:textId="77777777" w:rsidR="00D16027" w:rsidRDefault="00000000">
            <w:r>
              <w:rPr>
                <w:sz w:val="19"/>
                <w:szCs w:val="19"/>
              </w:rPr>
              <w:t>Is the work produced under supervision or live?</w:t>
            </w:r>
          </w:p>
        </w:tc>
        <w:tc>
          <w:tcPr>
            <w:tcW w:w="2800" w:type="dxa"/>
            <w:tcMar>
              <w:top w:w="70" w:type="dxa"/>
              <w:left w:w="100" w:type="dxa"/>
              <w:bottom w:w="70" w:type="dxa"/>
              <w:right w:w="100" w:type="dxa"/>
            </w:tcMar>
          </w:tcPr>
          <w:p w14:paraId="63F6E951" w14:textId="77777777" w:rsidR="00D16027" w:rsidRDefault="00000000">
            <w:r>
              <w:rPr>
                <w:sz w:val="19"/>
                <w:szCs w:val="19"/>
              </w:rPr>
              <w:t>Yes</w:t>
            </w:r>
          </w:p>
        </w:tc>
        <w:tc>
          <w:tcPr>
            <w:tcW w:w="2786" w:type="dxa"/>
            <w:tcMar>
              <w:top w:w="70" w:type="dxa"/>
              <w:left w:w="100" w:type="dxa"/>
              <w:bottom w:w="70" w:type="dxa"/>
              <w:right w:w="100" w:type="dxa"/>
            </w:tcMar>
          </w:tcPr>
          <w:p w14:paraId="1261C3E9" w14:textId="77777777" w:rsidR="00D16027" w:rsidRDefault="00000000">
            <w:r>
              <w:rPr>
                <w:sz w:val="19"/>
                <w:szCs w:val="19"/>
              </w:rPr>
              <w:t>AI-excluded (Lane 1, AIAS 1)</w:t>
            </w:r>
          </w:p>
        </w:tc>
      </w:tr>
      <w:tr w:rsidR="00D16027" w14:paraId="1E7C76F4" w14:textId="77777777">
        <w:tblPrEx>
          <w:tblCellMar>
            <w:top w:w="0" w:type="dxa"/>
            <w:bottom w:w="0" w:type="dxa"/>
          </w:tblCellMar>
        </w:tblPrEx>
        <w:trPr>
          <w:cantSplit/>
        </w:trPr>
        <w:tc>
          <w:tcPr>
            <w:tcW w:w="3800" w:type="dxa"/>
            <w:tcMar>
              <w:top w:w="70" w:type="dxa"/>
              <w:left w:w="100" w:type="dxa"/>
              <w:bottom w:w="70" w:type="dxa"/>
              <w:right w:w="100" w:type="dxa"/>
            </w:tcMar>
          </w:tcPr>
          <w:p w14:paraId="2784E12D" w14:textId="77777777" w:rsidR="00D16027" w:rsidRDefault="00D16027"/>
        </w:tc>
        <w:tc>
          <w:tcPr>
            <w:tcW w:w="2800" w:type="dxa"/>
            <w:tcMar>
              <w:top w:w="70" w:type="dxa"/>
              <w:left w:w="100" w:type="dxa"/>
              <w:bottom w:w="70" w:type="dxa"/>
              <w:right w:w="100" w:type="dxa"/>
            </w:tcMar>
          </w:tcPr>
          <w:p w14:paraId="2FBF31F9" w14:textId="77777777" w:rsidR="00D16027" w:rsidRDefault="00000000">
            <w:r>
              <w:rPr>
                <w:sz w:val="19"/>
                <w:szCs w:val="19"/>
              </w:rPr>
              <w:t>No: go to next question</w:t>
            </w:r>
          </w:p>
        </w:tc>
        <w:tc>
          <w:tcPr>
            <w:tcW w:w="2786" w:type="dxa"/>
            <w:tcMar>
              <w:top w:w="70" w:type="dxa"/>
              <w:left w:w="100" w:type="dxa"/>
              <w:bottom w:w="70" w:type="dxa"/>
              <w:right w:w="100" w:type="dxa"/>
            </w:tcMar>
          </w:tcPr>
          <w:p w14:paraId="54ECE0E4" w14:textId="77777777" w:rsidR="00D16027" w:rsidRDefault="00D16027"/>
        </w:tc>
      </w:tr>
      <w:tr w:rsidR="00D16027" w14:paraId="54909156" w14:textId="77777777">
        <w:tblPrEx>
          <w:tblCellMar>
            <w:top w:w="0" w:type="dxa"/>
            <w:bottom w:w="0" w:type="dxa"/>
          </w:tblCellMar>
        </w:tblPrEx>
        <w:trPr>
          <w:cantSplit/>
        </w:trPr>
        <w:tc>
          <w:tcPr>
            <w:tcW w:w="3800" w:type="dxa"/>
            <w:tcMar>
              <w:top w:w="70" w:type="dxa"/>
              <w:left w:w="100" w:type="dxa"/>
              <w:bottom w:w="70" w:type="dxa"/>
              <w:right w:w="100" w:type="dxa"/>
            </w:tcMar>
          </w:tcPr>
          <w:p w14:paraId="27EC263D" w14:textId="77777777" w:rsidR="00D16027" w:rsidRDefault="00000000">
            <w:r>
              <w:rPr>
                <w:sz w:val="19"/>
                <w:szCs w:val="19"/>
              </w:rPr>
              <w:t>Is engaging with AI part of what is assessed?</w:t>
            </w:r>
          </w:p>
        </w:tc>
        <w:tc>
          <w:tcPr>
            <w:tcW w:w="2800" w:type="dxa"/>
            <w:tcMar>
              <w:top w:w="70" w:type="dxa"/>
              <w:left w:w="100" w:type="dxa"/>
              <w:bottom w:w="70" w:type="dxa"/>
              <w:right w:w="100" w:type="dxa"/>
            </w:tcMar>
          </w:tcPr>
          <w:p w14:paraId="2983C376" w14:textId="77777777" w:rsidR="00D16027" w:rsidRDefault="00000000">
            <w:r>
              <w:rPr>
                <w:sz w:val="19"/>
                <w:szCs w:val="19"/>
              </w:rPr>
              <w:t>Yes</w:t>
            </w:r>
          </w:p>
        </w:tc>
        <w:tc>
          <w:tcPr>
            <w:tcW w:w="2786" w:type="dxa"/>
            <w:tcMar>
              <w:top w:w="70" w:type="dxa"/>
              <w:left w:w="100" w:type="dxa"/>
              <w:bottom w:w="70" w:type="dxa"/>
              <w:right w:w="100" w:type="dxa"/>
            </w:tcMar>
          </w:tcPr>
          <w:p w14:paraId="3EEE3C6A" w14:textId="77777777" w:rsidR="00D16027" w:rsidRDefault="00000000">
            <w:r>
              <w:rPr>
                <w:sz w:val="19"/>
                <w:szCs w:val="19"/>
              </w:rPr>
              <w:t>AI-integrated (Lane 2, AIAS 4–5)</w:t>
            </w:r>
          </w:p>
        </w:tc>
      </w:tr>
      <w:tr w:rsidR="00D16027" w14:paraId="7C3462A2" w14:textId="77777777">
        <w:tblPrEx>
          <w:tblCellMar>
            <w:top w:w="0" w:type="dxa"/>
            <w:bottom w:w="0" w:type="dxa"/>
          </w:tblCellMar>
        </w:tblPrEx>
        <w:trPr>
          <w:cantSplit/>
        </w:trPr>
        <w:tc>
          <w:tcPr>
            <w:tcW w:w="3800" w:type="dxa"/>
            <w:tcMar>
              <w:top w:w="70" w:type="dxa"/>
              <w:left w:w="100" w:type="dxa"/>
              <w:bottom w:w="70" w:type="dxa"/>
              <w:right w:w="100" w:type="dxa"/>
            </w:tcMar>
          </w:tcPr>
          <w:p w14:paraId="4924807C" w14:textId="77777777" w:rsidR="00D16027" w:rsidRDefault="00D16027"/>
        </w:tc>
        <w:tc>
          <w:tcPr>
            <w:tcW w:w="2800" w:type="dxa"/>
            <w:tcMar>
              <w:top w:w="70" w:type="dxa"/>
              <w:left w:w="100" w:type="dxa"/>
              <w:bottom w:w="70" w:type="dxa"/>
              <w:right w:w="100" w:type="dxa"/>
            </w:tcMar>
          </w:tcPr>
          <w:p w14:paraId="1861F2A3" w14:textId="77777777" w:rsidR="00D16027" w:rsidRDefault="00000000">
            <w:r>
              <w:rPr>
                <w:sz w:val="19"/>
                <w:szCs w:val="19"/>
              </w:rPr>
              <w:t>No: go to next question</w:t>
            </w:r>
          </w:p>
        </w:tc>
        <w:tc>
          <w:tcPr>
            <w:tcW w:w="2786" w:type="dxa"/>
            <w:tcMar>
              <w:top w:w="70" w:type="dxa"/>
              <w:left w:w="100" w:type="dxa"/>
              <w:bottom w:w="70" w:type="dxa"/>
              <w:right w:w="100" w:type="dxa"/>
            </w:tcMar>
          </w:tcPr>
          <w:p w14:paraId="00A605AD" w14:textId="77777777" w:rsidR="00D16027" w:rsidRDefault="00D16027"/>
        </w:tc>
      </w:tr>
      <w:tr w:rsidR="00D16027" w14:paraId="7FD412C2" w14:textId="77777777">
        <w:tblPrEx>
          <w:tblCellMar>
            <w:top w:w="0" w:type="dxa"/>
            <w:bottom w:w="0" w:type="dxa"/>
          </w:tblCellMar>
        </w:tblPrEx>
        <w:trPr>
          <w:cantSplit/>
        </w:trPr>
        <w:tc>
          <w:tcPr>
            <w:tcW w:w="3800" w:type="dxa"/>
            <w:tcMar>
              <w:top w:w="70" w:type="dxa"/>
              <w:left w:w="100" w:type="dxa"/>
              <w:bottom w:w="70" w:type="dxa"/>
              <w:right w:w="100" w:type="dxa"/>
            </w:tcMar>
          </w:tcPr>
          <w:p w14:paraId="00B8E82D" w14:textId="77777777" w:rsidR="00D16027" w:rsidRDefault="00000000">
            <w:r>
              <w:rPr>
                <w:sz w:val="19"/>
                <w:szCs w:val="19"/>
              </w:rPr>
              <w:t>Vulnerability audit score, and does AI output earn a pass?</w:t>
            </w:r>
          </w:p>
        </w:tc>
        <w:tc>
          <w:tcPr>
            <w:tcW w:w="2800" w:type="dxa"/>
            <w:tcMar>
              <w:top w:w="70" w:type="dxa"/>
              <w:left w:w="100" w:type="dxa"/>
              <w:bottom w:w="70" w:type="dxa"/>
              <w:right w:w="100" w:type="dxa"/>
            </w:tcMar>
          </w:tcPr>
          <w:p w14:paraId="50AFC703" w14:textId="77777777" w:rsidR="00D16027" w:rsidRDefault="00000000">
            <w:r>
              <w:rPr>
                <w:sz w:val="19"/>
                <w:szCs w:val="19"/>
              </w:rPr>
              <w:t>Score ≤ 7 and AI output fails</w:t>
            </w:r>
          </w:p>
        </w:tc>
        <w:tc>
          <w:tcPr>
            <w:tcW w:w="2786" w:type="dxa"/>
            <w:tcMar>
              <w:top w:w="70" w:type="dxa"/>
              <w:left w:w="100" w:type="dxa"/>
              <w:bottom w:w="70" w:type="dxa"/>
              <w:right w:w="100" w:type="dxa"/>
            </w:tcMar>
          </w:tcPr>
          <w:p w14:paraId="02728E91" w14:textId="77777777" w:rsidR="00D16027" w:rsidRDefault="00000000">
            <w:r>
              <w:rPr>
                <w:sz w:val="19"/>
                <w:szCs w:val="19"/>
              </w:rPr>
              <w:t>AI-resilient (Lane 2, AIAS 2–3)</w:t>
            </w:r>
          </w:p>
        </w:tc>
      </w:tr>
      <w:tr w:rsidR="00D16027" w14:paraId="556C6CED" w14:textId="77777777">
        <w:tblPrEx>
          <w:tblCellMar>
            <w:top w:w="0" w:type="dxa"/>
            <w:bottom w:w="0" w:type="dxa"/>
          </w:tblCellMar>
        </w:tblPrEx>
        <w:trPr>
          <w:cantSplit/>
        </w:trPr>
        <w:tc>
          <w:tcPr>
            <w:tcW w:w="3800" w:type="dxa"/>
            <w:tcMar>
              <w:top w:w="70" w:type="dxa"/>
              <w:left w:w="100" w:type="dxa"/>
              <w:bottom w:w="70" w:type="dxa"/>
              <w:right w:w="100" w:type="dxa"/>
            </w:tcMar>
          </w:tcPr>
          <w:p w14:paraId="05E0A4A1" w14:textId="77777777" w:rsidR="00D16027" w:rsidRDefault="00D16027"/>
        </w:tc>
        <w:tc>
          <w:tcPr>
            <w:tcW w:w="2800" w:type="dxa"/>
            <w:tcMar>
              <w:top w:w="70" w:type="dxa"/>
              <w:left w:w="100" w:type="dxa"/>
              <w:bottom w:w="70" w:type="dxa"/>
              <w:right w:w="100" w:type="dxa"/>
            </w:tcMar>
          </w:tcPr>
          <w:p w14:paraId="16185A2E" w14:textId="77777777" w:rsidR="00D16027" w:rsidRDefault="00000000">
            <w:r>
              <w:rPr>
                <w:sz w:val="19"/>
                <w:szCs w:val="19"/>
              </w:rPr>
              <w:t>Score ≥ 8, or AI output passes</w:t>
            </w:r>
          </w:p>
        </w:tc>
        <w:tc>
          <w:tcPr>
            <w:tcW w:w="2786" w:type="dxa"/>
            <w:tcMar>
              <w:top w:w="70" w:type="dxa"/>
              <w:left w:w="100" w:type="dxa"/>
              <w:bottom w:w="70" w:type="dxa"/>
              <w:right w:w="100" w:type="dxa"/>
            </w:tcMar>
          </w:tcPr>
          <w:p w14:paraId="3F485833" w14:textId="77777777" w:rsidR="00D16027" w:rsidRDefault="00000000">
            <w:r>
              <w:rPr>
                <w:sz w:val="19"/>
                <w:szCs w:val="19"/>
              </w:rPr>
              <w:t>Unintended: prohibited but unsecured. Redesign required</w:t>
            </w:r>
          </w:p>
        </w:tc>
      </w:tr>
    </w:tbl>
    <w:p w14:paraId="3B9B961E" w14:textId="77777777" w:rsidR="00D16027" w:rsidRDefault="00D16027">
      <w:pPr>
        <w:spacing w:after="120"/>
      </w:pPr>
    </w:p>
    <w:p w14:paraId="5ADAC474" w14:textId="77777777" w:rsidR="00D16027" w:rsidRDefault="00000000">
      <w:pPr>
        <w:pStyle w:val="Heading2"/>
        <w:keepNext/>
      </w:pPr>
      <w:r>
        <w:t>6.5 Choosing the right zone: six factors</w:t>
      </w:r>
    </w:p>
    <w:p w14:paraId="15AF81E4" w14:textId="77777777" w:rsidR="00D16027" w:rsidRDefault="00000000">
      <w:pPr>
        <w:spacing w:after="140"/>
      </w:pPr>
      <w:r>
        <w:t>Positioning describes where a task is; choosing describes where it should be. Six factors guide the choice.</w:t>
      </w:r>
    </w:p>
    <w:p w14:paraId="0916C2F3" w14:textId="77777777" w:rsidR="00D16027" w:rsidRDefault="00000000">
      <w:pPr>
        <w:pStyle w:val="ListParagraph"/>
        <w:numPr>
          <w:ilvl w:val="0"/>
          <w:numId w:val="2"/>
        </w:numPr>
        <w:spacing w:before="40" w:after="40"/>
      </w:pPr>
      <w:r>
        <w:rPr>
          <w:b/>
          <w:bCs/>
        </w:rPr>
        <w:t>Purpose.</w:t>
      </w:r>
      <w:r>
        <w:t xml:space="preserve"> Tasks that certify need secured or resilient evidence; tasks that primarily support learning can be integrated or resilient, and can tolerate higher vulnerability if their stakes are low (Chapter 1).</w:t>
      </w:r>
    </w:p>
    <w:p w14:paraId="4941A3D1" w14:textId="77777777" w:rsidR="00D16027" w:rsidRDefault="00000000">
      <w:pPr>
        <w:pStyle w:val="ListParagraph"/>
        <w:numPr>
          <w:ilvl w:val="0"/>
          <w:numId w:val="2"/>
        </w:numPr>
        <w:spacing w:before="40" w:after="40"/>
      </w:pPr>
      <w:r>
        <w:rPr>
          <w:b/>
          <w:bCs/>
        </w:rPr>
        <w:t>Outcome type.</w:t>
      </w:r>
      <w:r>
        <w:t xml:space="preserve"> Outcomes that describe human-only capabilities (clinical skill, situated judgement, original inquiry) belong in the excluded or resilient zones. Outcomes that describe working with AI belong in the integrated zone (Chapter 4).</w:t>
      </w:r>
    </w:p>
    <w:p w14:paraId="763663F6" w14:textId="77777777" w:rsidR="00D16027" w:rsidRDefault="00000000">
      <w:pPr>
        <w:pStyle w:val="ListParagraph"/>
        <w:numPr>
          <w:ilvl w:val="0"/>
          <w:numId w:val="2"/>
        </w:numPr>
        <w:spacing w:before="40" w:after="40"/>
      </w:pPr>
      <w:r>
        <w:rPr>
          <w:b/>
          <w:bCs/>
        </w:rPr>
        <w:lastRenderedPageBreak/>
        <w:t>Stakes.</w:t>
      </w:r>
      <w:r>
        <w:t xml:space="preserve"> The higher the weighting or the more the task functions as a gateway, the stronger the case for secured or routinely verified evidence.</w:t>
      </w:r>
    </w:p>
    <w:p w14:paraId="1FA5C8CF" w14:textId="77777777" w:rsidR="00D16027" w:rsidRDefault="00000000">
      <w:pPr>
        <w:pStyle w:val="ListParagraph"/>
        <w:numPr>
          <w:ilvl w:val="0"/>
          <w:numId w:val="2"/>
        </w:numPr>
        <w:spacing w:before="40" w:after="40"/>
      </w:pPr>
      <w:r>
        <w:rPr>
          <w:b/>
          <w:bCs/>
        </w:rPr>
        <w:t>Cohort size and resources.</w:t>
      </w:r>
      <w:r>
        <w:t xml:space="preserve"> Vivas for 900 first-year students are not feasible; sampled conversations, in-class tasks and structured interactive orals in groups are. Choose the zone you can actually staff (Chapter 10).</w:t>
      </w:r>
    </w:p>
    <w:p w14:paraId="36156B2A" w14:textId="77777777" w:rsidR="00D16027" w:rsidRDefault="00000000">
      <w:pPr>
        <w:pStyle w:val="ListParagraph"/>
        <w:numPr>
          <w:ilvl w:val="0"/>
          <w:numId w:val="2"/>
        </w:numPr>
        <w:spacing w:before="40" w:after="40"/>
      </w:pPr>
      <w:r>
        <w:rPr>
          <w:b/>
          <w:bCs/>
        </w:rPr>
        <w:t>Accreditation.</w:t>
      </w:r>
      <w:r>
        <w:t xml:space="preserve"> Professional bodies specify what must be secured. Meet those requirements in the excluded zone and use the freedom elsewhere.</w:t>
      </w:r>
    </w:p>
    <w:p w14:paraId="6EBD0C69" w14:textId="77777777" w:rsidR="00D16027" w:rsidRDefault="00000000">
      <w:pPr>
        <w:pStyle w:val="ListParagraph"/>
        <w:numPr>
          <w:ilvl w:val="0"/>
          <w:numId w:val="2"/>
        </w:numPr>
        <w:spacing w:before="40" w:after="40"/>
      </w:pPr>
      <w:r>
        <w:rPr>
          <w:b/>
          <w:bCs/>
        </w:rPr>
        <w:t>Authenticity to future practice.</w:t>
      </w:r>
      <w:r>
        <w:t xml:space="preserve"> Ask whether a competent practitioner would use AI for this task. If they would, an integrated or resilient design with declared AI use is more authentic than exclusion (Fawns et al. 2024; McArthur 2023). If they would not, or could not, exclusion is authentic.</w:t>
      </w:r>
    </w:p>
    <w:p w14:paraId="65921666" w14:textId="77777777" w:rsidR="00D16027" w:rsidRDefault="00000000">
      <w:pPr>
        <w:pStyle w:val="Heading2"/>
        <w:keepNext/>
      </w:pPr>
      <w:r>
        <w:t>6.6 Objections, and two gaps</w:t>
      </w:r>
    </w:p>
    <w:p w14:paraId="30722371" w14:textId="77777777" w:rsidR="00D16027" w:rsidRDefault="00000000">
      <w:pPr>
        <w:spacing w:after="140"/>
      </w:pPr>
      <w:r>
        <w:rPr>
          <w:b/>
          <w:bCs/>
        </w:rPr>
        <w:t>The case for the examination hall.</w:t>
      </w:r>
      <w:r>
        <w:t xml:space="preserve"> Critics of this chapter's caution about invigilated examination will point out that exams are reliable, comparable across years and cohorts, cheap to secure, and, in several student surveys, preferred by a substantial minority of students to coursework whose rules are unclear. Bengtsson's (2019) systematic review of take-home versus invigilated examinations found the evidence on learning outcomes mixed and the integrity advantage of invigilation clear. The point is well taken, and it is why Lane 1 exists. The book's argument is not against examinations but against making them the whole answer: the constructs they can sample are limited, and the inclusion costs are documented (Nieminen 2022). Better secured written assessment is also possible. Open-book and open-AI examinations in class, where students bring or are given AI output and must critique it under supervision; two-stage examinations in which an individual paper is followed by a collaborative one (Gilley &amp; Clarkston 2014); and short in-class critical responses to material released on the day, all secure the conditions while widening what can be assessed.</w:t>
      </w:r>
    </w:p>
    <w:p w14:paraId="25C67E78" w14:textId="77777777" w:rsidR="00D16027" w:rsidRDefault="00000000">
      <w:pPr>
        <w:spacing w:after="140"/>
      </w:pPr>
      <w:r>
        <w:rPr>
          <w:b/>
          <w:bCs/>
        </w:rPr>
        <w:t>Remote and online programmes.</w:t>
      </w:r>
      <w:r>
        <w:t xml:space="preserve"> Where students are never on campus, Lane 1 is hard to build. Remote proctoring technologies promise secured conditions at a distance, but their record is troubling: Coghlan, Miller and Paterson (2021) set out the ethical problems of surveillance, false flags and disproportionate impact on disabled and minority students, and Selwyn et al. (2023) document their contested rise in Australian universities. Online programmes should therefore lean on the dialogic end of the excluded zone (online </w:t>
      </w:r>
      <w:proofErr w:type="spellStart"/>
      <w:r>
        <w:t>vivas</w:t>
      </w:r>
      <w:proofErr w:type="spellEnd"/>
      <w:r>
        <w:t xml:space="preserve"> and interactive orals with identity verification), on process evidence with contemporaneous timestamps, and on local in-person assessment centres or partner institutions for a small number of gateway points, before reaching for proctoring software; where proctoring is used, its equity effects should be reviewed as Chapter 16 describes. Transnational and offshore delivery raises the same issue with added complexity: partner institutions, local regulators, time zones and language of instruction all bear on where secured points can sit. The same principles apply, and the programme's assessment plan should state where each Lane 1 point is delivered, by whom, and under what local conditions.</w:t>
      </w:r>
    </w:p>
    <w:p w14:paraId="4AEE81F5" w14:textId="77777777" w:rsidR="00D16027" w:rsidRDefault="00000000">
      <w:pPr>
        <w:pStyle w:val="Heading2"/>
        <w:keepNext/>
      </w:pPr>
      <w:r>
        <w:t>6.7 The spectrum as a portfolio tool</w:t>
      </w:r>
    </w:p>
    <w:p w14:paraId="3AFC6EF8" w14:textId="77777777" w:rsidR="00D16027" w:rsidRDefault="00000000">
      <w:pPr>
        <w:spacing w:after="140"/>
      </w:pPr>
      <w:r>
        <w:t>The spectrum's real power is at programme level. No individual task has to do everything; the portfolio does. Programmatic assessment (van der Vleuten et al. 2012) holds that judgements about competence should rest on many data points, and the same logic applies to AI resilience. Two rules suffice. First, every programme outcome must be assured at least once in the excluded or resilient zone, so that the programme's certification does not rest on substitutable evidence. Second, the AI-related outcomes must be assessed in the integrated zone, sequenced across years so that AI literacy develops rather than being examined once. Some institutions describe the resulting design as a Swiss cheese model, a phrase used for example in King's College London's published guidance: no single layer is impermeable, but the holes do not line up. The University of Sydney has required every degree to produce an assessment plan on this basis (Bridgeman, Liu &amp; Weeks 2024). Liu and Bridgeman (2023) are clear that Lane 1 need not be large: a few well-placed secured assessments, at points where the programme's key claims are made, do more than a blanket of examinations.</w:t>
      </w:r>
    </w:p>
    <w:p w14:paraId="0139E734" w14:textId="77777777" w:rsidR="00D16027" w:rsidRDefault="00000000">
      <w:pPr>
        <w:keepNext/>
        <w:spacing w:before="160" w:after="80"/>
      </w:pPr>
      <w:r>
        <w:rPr>
          <w:b/>
          <w:bCs/>
          <w:color w:val="1A4F7A"/>
          <w:sz w:val="20"/>
          <w:szCs w:val="20"/>
        </w:rPr>
        <w:lastRenderedPageBreak/>
        <w:t>Table 6.3  An illustrative programme map: BSc Psychology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800"/>
        <w:gridCol w:w="1500"/>
        <w:gridCol w:w="1086"/>
      </w:tblGrid>
      <w:tr w:rsidR="00D16027" w14:paraId="3AB81119" w14:textId="77777777">
        <w:tblPrEx>
          <w:tblCellMar>
            <w:top w:w="0" w:type="dxa"/>
            <w:bottom w:w="0" w:type="dxa"/>
          </w:tblCellMar>
        </w:tblPrEx>
        <w:trPr>
          <w:cantSplit/>
          <w:tblHeader/>
        </w:trPr>
        <w:tc>
          <w:tcPr>
            <w:tcW w:w="700" w:type="dxa"/>
            <w:shd w:val="clear" w:color="auto" w:fill="2E75B6"/>
            <w:tcMar>
              <w:top w:w="70" w:type="dxa"/>
              <w:left w:w="100" w:type="dxa"/>
              <w:bottom w:w="70" w:type="dxa"/>
              <w:right w:w="100" w:type="dxa"/>
            </w:tcMar>
          </w:tcPr>
          <w:p w14:paraId="256777D4" w14:textId="77777777" w:rsidR="00D16027" w:rsidRDefault="00000000">
            <w:r>
              <w:rPr>
                <w:b/>
                <w:bCs/>
                <w:color w:val="FFFFFF"/>
                <w:sz w:val="19"/>
                <w:szCs w:val="19"/>
              </w:rPr>
              <w:t>Year</w:t>
            </w:r>
          </w:p>
        </w:tc>
        <w:tc>
          <w:tcPr>
            <w:tcW w:w="2300" w:type="dxa"/>
            <w:shd w:val="clear" w:color="auto" w:fill="2E75B6"/>
            <w:tcMar>
              <w:top w:w="70" w:type="dxa"/>
              <w:left w:w="100" w:type="dxa"/>
              <w:bottom w:w="70" w:type="dxa"/>
              <w:right w:w="100" w:type="dxa"/>
            </w:tcMar>
          </w:tcPr>
          <w:p w14:paraId="0D6CD3DD" w14:textId="77777777" w:rsidR="00D16027" w:rsidRDefault="00000000">
            <w:r>
              <w:rPr>
                <w:b/>
                <w:bCs/>
                <w:color w:val="FFFFFF"/>
                <w:sz w:val="19"/>
                <w:szCs w:val="19"/>
              </w:rPr>
              <w:t>Module</w:t>
            </w:r>
          </w:p>
        </w:tc>
        <w:tc>
          <w:tcPr>
            <w:tcW w:w="3800" w:type="dxa"/>
            <w:shd w:val="clear" w:color="auto" w:fill="2E75B6"/>
            <w:tcMar>
              <w:top w:w="70" w:type="dxa"/>
              <w:left w:w="100" w:type="dxa"/>
              <w:bottom w:w="70" w:type="dxa"/>
              <w:right w:w="100" w:type="dxa"/>
            </w:tcMar>
          </w:tcPr>
          <w:p w14:paraId="23088E15" w14:textId="77777777" w:rsidR="00D16027" w:rsidRDefault="00000000">
            <w:r>
              <w:rPr>
                <w:b/>
                <w:bCs/>
                <w:color w:val="FFFFFF"/>
                <w:sz w:val="19"/>
                <w:szCs w:val="19"/>
              </w:rPr>
              <w:t>Task</w:t>
            </w:r>
          </w:p>
        </w:tc>
        <w:tc>
          <w:tcPr>
            <w:tcW w:w="1500" w:type="dxa"/>
            <w:shd w:val="clear" w:color="auto" w:fill="2E75B6"/>
            <w:tcMar>
              <w:top w:w="70" w:type="dxa"/>
              <w:left w:w="100" w:type="dxa"/>
              <w:bottom w:w="70" w:type="dxa"/>
              <w:right w:w="100" w:type="dxa"/>
            </w:tcMar>
          </w:tcPr>
          <w:p w14:paraId="1A3F6DB9" w14:textId="77777777" w:rsidR="00D16027" w:rsidRDefault="00000000">
            <w:r>
              <w:rPr>
                <w:b/>
                <w:bCs/>
                <w:color w:val="FFFFFF"/>
                <w:sz w:val="19"/>
                <w:szCs w:val="19"/>
              </w:rPr>
              <w:t>Zone</w:t>
            </w:r>
          </w:p>
        </w:tc>
        <w:tc>
          <w:tcPr>
            <w:tcW w:w="1086" w:type="dxa"/>
            <w:shd w:val="clear" w:color="auto" w:fill="2E75B6"/>
            <w:tcMar>
              <w:top w:w="70" w:type="dxa"/>
              <w:left w:w="100" w:type="dxa"/>
              <w:bottom w:w="70" w:type="dxa"/>
              <w:right w:w="100" w:type="dxa"/>
            </w:tcMar>
          </w:tcPr>
          <w:p w14:paraId="0E6102E0" w14:textId="77777777" w:rsidR="00D16027" w:rsidRDefault="00000000">
            <w:r>
              <w:rPr>
                <w:b/>
                <w:bCs/>
                <w:color w:val="FFFFFF"/>
                <w:sz w:val="19"/>
                <w:szCs w:val="19"/>
              </w:rPr>
              <w:t>AIAS</w:t>
            </w:r>
          </w:p>
        </w:tc>
      </w:tr>
      <w:tr w:rsidR="00D16027" w14:paraId="150A6577" w14:textId="77777777">
        <w:tblPrEx>
          <w:tblCellMar>
            <w:top w:w="0" w:type="dxa"/>
            <w:bottom w:w="0" w:type="dxa"/>
          </w:tblCellMar>
        </w:tblPrEx>
        <w:trPr>
          <w:cantSplit/>
        </w:trPr>
        <w:tc>
          <w:tcPr>
            <w:tcW w:w="700" w:type="dxa"/>
            <w:tcMar>
              <w:top w:w="70" w:type="dxa"/>
              <w:left w:w="100" w:type="dxa"/>
              <w:bottom w:w="70" w:type="dxa"/>
              <w:right w:w="100" w:type="dxa"/>
            </w:tcMar>
          </w:tcPr>
          <w:p w14:paraId="4274B360" w14:textId="77777777" w:rsidR="00D16027" w:rsidRDefault="00000000">
            <w:r>
              <w:rPr>
                <w:sz w:val="19"/>
                <w:szCs w:val="19"/>
              </w:rPr>
              <w:t>1</w:t>
            </w:r>
          </w:p>
        </w:tc>
        <w:tc>
          <w:tcPr>
            <w:tcW w:w="2300" w:type="dxa"/>
            <w:tcMar>
              <w:top w:w="70" w:type="dxa"/>
              <w:left w:w="100" w:type="dxa"/>
              <w:bottom w:w="70" w:type="dxa"/>
              <w:right w:w="100" w:type="dxa"/>
            </w:tcMar>
          </w:tcPr>
          <w:p w14:paraId="12125061" w14:textId="77777777" w:rsidR="00D16027" w:rsidRDefault="00000000">
            <w:r>
              <w:rPr>
                <w:sz w:val="19"/>
                <w:szCs w:val="19"/>
              </w:rPr>
              <w:t>Foundations of Psychology</w:t>
            </w:r>
          </w:p>
        </w:tc>
        <w:tc>
          <w:tcPr>
            <w:tcW w:w="3800" w:type="dxa"/>
            <w:tcMar>
              <w:top w:w="70" w:type="dxa"/>
              <w:left w:w="100" w:type="dxa"/>
              <w:bottom w:w="70" w:type="dxa"/>
              <w:right w:w="100" w:type="dxa"/>
            </w:tcMar>
          </w:tcPr>
          <w:p w14:paraId="63A25F4B" w14:textId="77777777" w:rsidR="00D16027" w:rsidRDefault="00000000">
            <w:r>
              <w:rPr>
                <w:sz w:val="19"/>
                <w:szCs w:val="19"/>
              </w:rPr>
              <w:t>In-class structured writing (2 × 50 min)</w:t>
            </w:r>
          </w:p>
        </w:tc>
        <w:tc>
          <w:tcPr>
            <w:tcW w:w="1500" w:type="dxa"/>
            <w:tcMar>
              <w:top w:w="70" w:type="dxa"/>
              <w:left w:w="100" w:type="dxa"/>
              <w:bottom w:w="70" w:type="dxa"/>
              <w:right w:w="100" w:type="dxa"/>
            </w:tcMar>
          </w:tcPr>
          <w:p w14:paraId="672EBA14" w14:textId="77777777" w:rsidR="00D16027" w:rsidRDefault="00000000">
            <w:r>
              <w:rPr>
                <w:sz w:val="19"/>
                <w:szCs w:val="19"/>
              </w:rPr>
              <w:t>Excluded</w:t>
            </w:r>
          </w:p>
        </w:tc>
        <w:tc>
          <w:tcPr>
            <w:tcW w:w="1086" w:type="dxa"/>
            <w:tcMar>
              <w:top w:w="70" w:type="dxa"/>
              <w:left w:w="100" w:type="dxa"/>
              <w:bottom w:w="70" w:type="dxa"/>
              <w:right w:w="100" w:type="dxa"/>
            </w:tcMar>
          </w:tcPr>
          <w:p w14:paraId="06A57872" w14:textId="77777777" w:rsidR="00D16027" w:rsidRDefault="00000000">
            <w:r>
              <w:rPr>
                <w:sz w:val="19"/>
                <w:szCs w:val="19"/>
              </w:rPr>
              <w:t>1</w:t>
            </w:r>
          </w:p>
        </w:tc>
      </w:tr>
      <w:tr w:rsidR="00D16027" w14:paraId="02F58803" w14:textId="77777777">
        <w:tblPrEx>
          <w:tblCellMar>
            <w:top w:w="0" w:type="dxa"/>
            <w:bottom w:w="0" w:type="dxa"/>
          </w:tblCellMar>
        </w:tblPrEx>
        <w:trPr>
          <w:cantSplit/>
        </w:trPr>
        <w:tc>
          <w:tcPr>
            <w:tcW w:w="700" w:type="dxa"/>
            <w:tcMar>
              <w:top w:w="70" w:type="dxa"/>
              <w:left w:w="100" w:type="dxa"/>
              <w:bottom w:w="70" w:type="dxa"/>
              <w:right w:w="100" w:type="dxa"/>
            </w:tcMar>
          </w:tcPr>
          <w:p w14:paraId="4AE3349C" w14:textId="77777777" w:rsidR="00D16027" w:rsidRDefault="00000000">
            <w:r>
              <w:rPr>
                <w:sz w:val="19"/>
                <w:szCs w:val="19"/>
              </w:rPr>
              <w:t>1</w:t>
            </w:r>
          </w:p>
        </w:tc>
        <w:tc>
          <w:tcPr>
            <w:tcW w:w="2300" w:type="dxa"/>
            <w:tcMar>
              <w:top w:w="70" w:type="dxa"/>
              <w:left w:w="100" w:type="dxa"/>
              <w:bottom w:w="70" w:type="dxa"/>
              <w:right w:w="100" w:type="dxa"/>
            </w:tcMar>
          </w:tcPr>
          <w:p w14:paraId="09662F39" w14:textId="77777777" w:rsidR="00D16027" w:rsidRDefault="00000000">
            <w:r>
              <w:rPr>
                <w:sz w:val="19"/>
                <w:szCs w:val="19"/>
              </w:rPr>
              <w:t>Research Methods 1</w:t>
            </w:r>
          </w:p>
        </w:tc>
        <w:tc>
          <w:tcPr>
            <w:tcW w:w="3800" w:type="dxa"/>
            <w:tcMar>
              <w:top w:w="70" w:type="dxa"/>
              <w:left w:w="100" w:type="dxa"/>
              <w:bottom w:w="70" w:type="dxa"/>
              <w:right w:w="100" w:type="dxa"/>
            </w:tcMar>
          </w:tcPr>
          <w:p w14:paraId="302E5C6C" w14:textId="77777777" w:rsidR="00D16027" w:rsidRDefault="00000000">
            <w:r>
              <w:rPr>
                <w:sz w:val="19"/>
                <w:szCs w:val="19"/>
              </w:rPr>
              <w:t>Lab report on own group's data + sampled 8-min conversation</w:t>
            </w:r>
          </w:p>
        </w:tc>
        <w:tc>
          <w:tcPr>
            <w:tcW w:w="1500" w:type="dxa"/>
            <w:tcMar>
              <w:top w:w="70" w:type="dxa"/>
              <w:left w:w="100" w:type="dxa"/>
              <w:bottom w:w="70" w:type="dxa"/>
              <w:right w:w="100" w:type="dxa"/>
            </w:tcMar>
          </w:tcPr>
          <w:p w14:paraId="7D9C7658" w14:textId="77777777" w:rsidR="00D16027" w:rsidRDefault="00000000">
            <w:r>
              <w:rPr>
                <w:sz w:val="19"/>
                <w:szCs w:val="19"/>
              </w:rPr>
              <w:t>Resilient</w:t>
            </w:r>
          </w:p>
        </w:tc>
        <w:tc>
          <w:tcPr>
            <w:tcW w:w="1086" w:type="dxa"/>
            <w:tcMar>
              <w:top w:w="70" w:type="dxa"/>
              <w:left w:w="100" w:type="dxa"/>
              <w:bottom w:w="70" w:type="dxa"/>
              <w:right w:w="100" w:type="dxa"/>
            </w:tcMar>
          </w:tcPr>
          <w:p w14:paraId="7675095F" w14:textId="77777777" w:rsidR="00D16027" w:rsidRDefault="00000000">
            <w:r>
              <w:rPr>
                <w:sz w:val="19"/>
                <w:szCs w:val="19"/>
              </w:rPr>
              <w:t>2</w:t>
            </w:r>
          </w:p>
        </w:tc>
      </w:tr>
      <w:tr w:rsidR="00D16027" w14:paraId="46FDE13F" w14:textId="77777777">
        <w:tblPrEx>
          <w:tblCellMar>
            <w:top w:w="0" w:type="dxa"/>
            <w:bottom w:w="0" w:type="dxa"/>
          </w:tblCellMar>
        </w:tblPrEx>
        <w:trPr>
          <w:cantSplit/>
        </w:trPr>
        <w:tc>
          <w:tcPr>
            <w:tcW w:w="700" w:type="dxa"/>
            <w:tcMar>
              <w:top w:w="70" w:type="dxa"/>
              <w:left w:w="100" w:type="dxa"/>
              <w:bottom w:w="70" w:type="dxa"/>
              <w:right w:w="100" w:type="dxa"/>
            </w:tcMar>
          </w:tcPr>
          <w:p w14:paraId="206F905E" w14:textId="77777777" w:rsidR="00D16027" w:rsidRDefault="00000000">
            <w:r>
              <w:rPr>
                <w:sz w:val="19"/>
                <w:szCs w:val="19"/>
              </w:rPr>
              <w:t>1</w:t>
            </w:r>
          </w:p>
        </w:tc>
        <w:tc>
          <w:tcPr>
            <w:tcW w:w="2300" w:type="dxa"/>
            <w:tcMar>
              <w:top w:w="70" w:type="dxa"/>
              <w:left w:w="100" w:type="dxa"/>
              <w:bottom w:w="70" w:type="dxa"/>
              <w:right w:w="100" w:type="dxa"/>
            </w:tcMar>
          </w:tcPr>
          <w:p w14:paraId="73021F3E" w14:textId="77777777" w:rsidR="00D16027" w:rsidRDefault="00000000">
            <w:r>
              <w:rPr>
                <w:sz w:val="19"/>
                <w:szCs w:val="19"/>
              </w:rPr>
              <w:t>Academic and AI Literacy</w:t>
            </w:r>
          </w:p>
        </w:tc>
        <w:tc>
          <w:tcPr>
            <w:tcW w:w="3800" w:type="dxa"/>
            <w:tcMar>
              <w:top w:w="70" w:type="dxa"/>
              <w:left w:w="100" w:type="dxa"/>
              <w:bottom w:w="70" w:type="dxa"/>
              <w:right w:w="100" w:type="dxa"/>
            </w:tcMar>
          </w:tcPr>
          <w:p w14:paraId="33758E1A" w14:textId="77777777" w:rsidR="00D16027" w:rsidRDefault="00000000">
            <w:r>
              <w:rPr>
                <w:sz w:val="19"/>
                <w:szCs w:val="19"/>
              </w:rPr>
              <w:t>Annotated AI summary with verification log</w:t>
            </w:r>
          </w:p>
        </w:tc>
        <w:tc>
          <w:tcPr>
            <w:tcW w:w="1500" w:type="dxa"/>
            <w:tcMar>
              <w:top w:w="70" w:type="dxa"/>
              <w:left w:w="100" w:type="dxa"/>
              <w:bottom w:w="70" w:type="dxa"/>
              <w:right w:w="100" w:type="dxa"/>
            </w:tcMar>
          </w:tcPr>
          <w:p w14:paraId="3FD94999" w14:textId="77777777" w:rsidR="00D16027" w:rsidRDefault="00000000">
            <w:r>
              <w:rPr>
                <w:sz w:val="19"/>
                <w:szCs w:val="19"/>
              </w:rPr>
              <w:t>Integrated</w:t>
            </w:r>
          </w:p>
        </w:tc>
        <w:tc>
          <w:tcPr>
            <w:tcW w:w="1086" w:type="dxa"/>
            <w:tcMar>
              <w:top w:w="70" w:type="dxa"/>
              <w:left w:w="100" w:type="dxa"/>
              <w:bottom w:w="70" w:type="dxa"/>
              <w:right w:w="100" w:type="dxa"/>
            </w:tcMar>
          </w:tcPr>
          <w:p w14:paraId="0DE9375F" w14:textId="77777777" w:rsidR="00D16027" w:rsidRDefault="00000000">
            <w:r>
              <w:rPr>
                <w:sz w:val="19"/>
                <w:szCs w:val="19"/>
              </w:rPr>
              <w:t>4</w:t>
            </w:r>
          </w:p>
        </w:tc>
      </w:tr>
      <w:tr w:rsidR="00D16027" w14:paraId="1A76D6D2" w14:textId="77777777">
        <w:tblPrEx>
          <w:tblCellMar>
            <w:top w:w="0" w:type="dxa"/>
            <w:bottom w:w="0" w:type="dxa"/>
          </w:tblCellMar>
        </w:tblPrEx>
        <w:trPr>
          <w:cantSplit/>
        </w:trPr>
        <w:tc>
          <w:tcPr>
            <w:tcW w:w="700" w:type="dxa"/>
            <w:tcMar>
              <w:top w:w="70" w:type="dxa"/>
              <w:left w:w="100" w:type="dxa"/>
              <w:bottom w:w="70" w:type="dxa"/>
              <w:right w:w="100" w:type="dxa"/>
            </w:tcMar>
          </w:tcPr>
          <w:p w14:paraId="14B70E66" w14:textId="77777777" w:rsidR="00D16027" w:rsidRDefault="00000000">
            <w:r>
              <w:rPr>
                <w:sz w:val="19"/>
                <w:szCs w:val="19"/>
              </w:rPr>
              <w:t>2</w:t>
            </w:r>
          </w:p>
        </w:tc>
        <w:tc>
          <w:tcPr>
            <w:tcW w:w="2300" w:type="dxa"/>
            <w:tcMar>
              <w:top w:w="70" w:type="dxa"/>
              <w:left w:w="100" w:type="dxa"/>
              <w:bottom w:w="70" w:type="dxa"/>
              <w:right w:w="100" w:type="dxa"/>
            </w:tcMar>
          </w:tcPr>
          <w:p w14:paraId="4DB010BB" w14:textId="77777777" w:rsidR="00D16027" w:rsidRDefault="00000000">
            <w:r>
              <w:rPr>
                <w:sz w:val="19"/>
                <w:szCs w:val="19"/>
              </w:rPr>
              <w:t>Cognitive Psychology</w:t>
            </w:r>
          </w:p>
        </w:tc>
        <w:tc>
          <w:tcPr>
            <w:tcW w:w="3800" w:type="dxa"/>
            <w:tcMar>
              <w:top w:w="70" w:type="dxa"/>
              <w:left w:w="100" w:type="dxa"/>
              <w:bottom w:w="70" w:type="dxa"/>
              <w:right w:w="100" w:type="dxa"/>
            </w:tcMar>
          </w:tcPr>
          <w:p w14:paraId="767EC02E" w14:textId="77777777" w:rsidR="00D16027" w:rsidRDefault="00000000">
            <w:r>
              <w:rPr>
                <w:sz w:val="19"/>
                <w:szCs w:val="19"/>
              </w:rPr>
              <w:t>Take-home essay with staged outline and draft; AI declared</w:t>
            </w:r>
          </w:p>
        </w:tc>
        <w:tc>
          <w:tcPr>
            <w:tcW w:w="1500" w:type="dxa"/>
            <w:tcMar>
              <w:top w:w="70" w:type="dxa"/>
              <w:left w:w="100" w:type="dxa"/>
              <w:bottom w:w="70" w:type="dxa"/>
              <w:right w:w="100" w:type="dxa"/>
            </w:tcMar>
          </w:tcPr>
          <w:p w14:paraId="779F9447" w14:textId="77777777" w:rsidR="00D16027" w:rsidRDefault="00000000">
            <w:r>
              <w:rPr>
                <w:sz w:val="19"/>
                <w:szCs w:val="19"/>
              </w:rPr>
              <w:t>Resilient</w:t>
            </w:r>
          </w:p>
        </w:tc>
        <w:tc>
          <w:tcPr>
            <w:tcW w:w="1086" w:type="dxa"/>
            <w:tcMar>
              <w:top w:w="70" w:type="dxa"/>
              <w:left w:w="100" w:type="dxa"/>
              <w:bottom w:w="70" w:type="dxa"/>
              <w:right w:w="100" w:type="dxa"/>
            </w:tcMar>
          </w:tcPr>
          <w:p w14:paraId="40085377" w14:textId="77777777" w:rsidR="00D16027" w:rsidRDefault="00000000">
            <w:r>
              <w:rPr>
                <w:sz w:val="19"/>
                <w:szCs w:val="19"/>
              </w:rPr>
              <w:t>3</w:t>
            </w:r>
          </w:p>
        </w:tc>
      </w:tr>
      <w:tr w:rsidR="00D16027" w14:paraId="2D86118D" w14:textId="77777777">
        <w:tblPrEx>
          <w:tblCellMar>
            <w:top w:w="0" w:type="dxa"/>
            <w:bottom w:w="0" w:type="dxa"/>
          </w:tblCellMar>
        </w:tblPrEx>
        <w:trPr>
          <w:cantSplit/>
        </w:trPr>
        <w:tc>
          <w:tcPr>
            <w:tcW w:w="700" w:type="dxa"/>
            <w:tcMar>
              <w:top w:w="70" w:type="dxa"/>
              <w:left w:w="100" w:type="dxa"/>
              <w:bottom w:w="70" w:type="dxa"/>
              <w:right w:w="100" w:type="dxa"/>
            </w:tcMar>
          </w:tcPr>
          <w:p w14:paraId="5C1C00EB" w14:textId="77777777" w:rsidR="00D16027" w:rsidRDefault="00000000">
            <w:r>
              <w:rPr>
                <w:sz w:val="19"/>
                <w:szCs w:val="19"/>
              </w:rPr>
              <w:t>2</w:t>
            </w:r>
          </w:p>
        </w:tc>
        <w:tc>
          <w:tcPr>
            <w:tcW w:w="2300" w:type="dxa"/>
            <w:tcMar>
              <w:top w:w="70" w:type="dxa"/>
              <w:left w:w="100" w:type="dxa"/>
              <w:bottom w:w="70" w:type="dxa"/>
              <w:right w:w="100" w:type="dxa"/>
            </w:tcMar>
          </w:tcPr>
          <w:p w14:paraId="395C0DEA" w14:textId="77777777" w:rsidR="00D16027" w:rsidRDefault="00000000">
            <w:r>
              <w:rPr>
                <w:sz w:val="19"/>
                <w:szCs w:val="19"/>
              </w:rPr>
              <w:t>Research Methods 2</w:t>
            </w:r>
          </w:p>
        </w:tc>
        <w:tc>
          <w:tcPr>
            <w:tcW w:w="3800" w:type="dxa"/>
            <w:tcMar>
              <w:top w:w="70" w:type="dxa"/>
              <w:left w:w="100" w:type="dxa"/>
              <w:bottom w:w="70" w:type="dxa"/>
              <w:right w:w="100" w:type="dxa"/>
            </w:tcMar>
          </w:tcPr>
          <w:p w14:paraId="1B8E9BFB" w14:textId="77777777" w:rsidR="00D16027" w:rsidRDefault="00000000">
            <w:r>
              <w:rPr>
                <w:sz w:val="19"/>
                <w:szCs w:val="19"/>
              </w:rPr>
              <w:t>Supervised data-analysis practical</w:t>
            </w:r>
          </w:p>
        </w:tc>
        <w:tc>
          <w:tcPr>
            <w:tcW w:w="1500" w:type="dxa"/>
            <w:tcMar>
              <w:top w:w="70" w:type="dxa"/>
              <w:left w:w="100" w:type="dxa"/>
              <w:bottom w:w="70" w:type="dxa"/>
              <w:right w:w="100" w:type="dxa"/>
            </w:tcMar>
          </w:tcPr>
          <w:p w14:paraId="4902BB15" w14:textId="77777777" w:rsidR="00D16027" w:rsidRDefault="00000000">
            <w:r>
              <w:rPr>
                <w:sz w:val="19"/>
                <w:szCs w:val="19"/>
              </w:rPr>
              <w:t>Excluded</w:t>
            </w:r>
          </w:p>
        </w:tc>
        <w:tc>
          <w:tcPr>
            <w:tcW w:w="1086" w:type="dxa"/>
            <w:tcMar>
              <w:top w:w="70" w:type="dxa"/>
              <w:left w:w="100" w:type="dxa"/>
              <w:bottom w:w="70" w:type="dxa"/>
              <w:right w:w="100" w:type="dxa"/>
            </w:tcMar>
          </w:tcPr>
          <w:p w14:paraId="08CFF8BD" w14:textId="77777777" w:rsidR="00D16027" w:rsidRDefault="00000000">
            <w:r>
              <w:rPr>
                <w:sz w:val="19"/>
                <w:szCs w:val="19"/>
              </w:rPr>
              <w:t>1</w:t>
            </w:r>
          </w:p>
        </w:tc>
      </w:tr>
      <w:tr w:rsidR="00D16027" w14:paraId="5CF94FB7" w14:textId="77777777">
        <w:tblPrEx>
          <w:tblCellMar>
            <w:top w:w="0" w:type="dxa"/>
            <w:bottom w:w="0" w:type="dxa"/>
          </w:tblCellMar>
        </w:tblPrEx>
        <w:trPr>
          <w:cantSplit/>
        </w:trPr>
        <w:tc>
          <w:tcPr>
            <w:tcW w:w="700" w:type="dxa"/>
            <w:tcMar>
              <w:top w:w="70" w:type="dxa"/>
              <w:left w:w="100" w:type="dxa"/>
              <w:bottom w:w="70" w:type="dxa"/>
              <w:right w:w="100" w:type="dxa"/>
            </w:tcMar>
          </w:tcPr>
          <w:p w14:paraId="0B5C0C1E" w14:textId="77777777" w:rsidR="00D16027" w:rsidRDefault="00000000">
            <w:r>
              <w:rPr>
                <w:sz w:val="19"/>
                <w:szCs w:val="19"/>
              </w:rPr>
              <w:t>2</w:t>
            </w:r>
          </w:p>
        </w:tc>
        <w:tc>
          <w:tcPr>
            <w:tcW w:w="2300" w:type="dxa"/>
            <w:tcMar>
              <w:top w:w="70" w:type="dxa"/>
              <w:left w:w="100" w:type="dxa"/>
              <w:bottom w:w="70" w:type="dxa"/>
              <w:right w:w="100" w:type="dxa"/>
            </w:tcMar>
          </w:tcPr>
          <w:p w14:paraId="65498FB9" w14:textId="77777777" w:rsidR="00D16027" w:rsidRDefault="00000000">
            <w:r>
              <w:rPr>
                <w:sz w:val="19"/>
                <w:szCs w:val="19"/>
              </w:rPr>
              <w:t>Applied Psychology</w:t>
            </w:r>
          </w:p>
        </w:tc>
        <w:tc>
          <w:tcPr>
            <w:tcW w:w="3800" w:type="dxa"/>
            <w:tcMar>
              <w:top w:w="70" w:type="dxa"/>
              <w:left w:w="100" w:type="dxa"/>
              <w:bottom w:w="70" w:type="dxa"/>
              <w:right w:w="100" w:type="dxa"/>
            </w:tcMar>
          </w:tcPr>
          <w:p w14:paraId="521B8838" w14:textId="77777777" w:rsidR="00D16027" w:rsidRDefault="00000000">
            <w:r>
              <w:rPr>
                <w:sz w:val="19"/>
                <w:szCs w:val="19"/>
              </w:rPr>
              <w:t>Client-brief report for a partner organisation; presentation to client</w:t>
            </w:r>
          </w:p>
        </w:tc>
        <w:tc>
          <w:tcPr>
            <w:tcW w:w="1500" w:type="dxa"/>
            <w:tcMar>
              <w:top w:w="70" w:type="dxa"/>
              <w:left w:w="100" w:type="dxa"/>
              <w:bottom w:w="70" w:type="dxa"/>
              <w:right w:w="100" w:type="dxa"/>
            </w:tcMar>
          </w:tcPr>
          <w:p w14:paraId="0545A849" w14:textId="77777777" w:rsidR="00D16027" w:rsidRDefault="00000000">
            <w:r>
              <w:rPr>
                <w:sz w:val="19"/>
                <w:szCs w:val="19"/>
              </w:rPr>
              <w:t>Resilient</w:t>
            </w:r>
          </w:p>
        </w:tc>
        <w:tc>
          <w:tcPr>
            <w:tcW w:w="1086" w:type="dxa"/>
            <w:tcMar>
              <w:top w:w="70" w:type="dxa"/>
              <w:left w:w="100" w:type="dxa"/>
              <w:bottom w:w="70" w:type="dxa"/>
              <w:right w:w="100" w:type="dxa"/>
            </w:tcMar>
          </w:tcPr>
          <w:p w14:paraId="5C55A720" w14:textId="77777777" w:rsidR="00D16027" w:rsidRDefault="00000000">
            <w:r>
              <w:rPr>
                <w:sz w:val="19"/>
                <w:szCs w:val="19"/>
              </w:rPr>
              <w:t>3</w:t>
            </w:r>
          </w:p>
        </w:tc>
      </w:tr>
      <w:tr w:rsidR="00D16027" w14:paraId="011CE61C" w14:textId="77777777">
        <w:tblPrEx>
          <w:tblCellMar>
            <w:top w:w="0" w:type="dxa"/>
            <w:bottom w:w="0" w:type="dxa"/>
          </w:tblCellMar>
        </w:tblPrEx>
        <w:trPr>
          <w:cantSplit/>
        </w:trPr>
        <w:tc>
          <w:tcPr>
            <w:tcW w:w="700" w:type="dxa"/>
            <w:tcMar>
              <w:top w:w="70" w:type="dxa"/>
              <w:left w:w="100" w:type="dxa"/>
              <w:bottom w:w="70" w:type="dxa"/>
              <w:right w:w="100" w:type="dxa"/>
            </w:tcMar>
          </w:tcPr>
          <w:p w14:paraId="6373F832" w14:textId="77777777" w:rsidR="00D16027" w:rsidRDefault="00000000">
            <w:r>
              <w:rPr>
                <w:sz w:val="19"/>
                <w:szCs w:val="19"/>
              </w:rPr>
              <w:t>3</w:t>
            </w:r>
          </w:p>
        </w:tc>
        <w:tc>
          <w:tcPr>
            <w:tcW w:w="2300" w:type="dxa"/>
            <w:tcMar>
              <w:top w:w="70" w:type="dxa"/>
              <w:left w:w="100" w:type="dxa"/>
              <w:bottom w:w="70" w:type="dxa"/>
              <w:right w:w="100" w:type="dxa"/>
            </w:tcMar>
          </w:tcPr>
          <w:p w14:paraId="73057266" w14:textId="77777777" w:rsidR="00D16027" w:rsidRDefault="00000000">
            <w:r>
              <w:rPr>
                <w:sz w:val="19"/>
                <w:szCs w:val="19"/>
              </w:rPr>
              <w:t>Dissertation</w:t>
            </w:r>
          </w:p>
        </w:tc>
        <w:tc>
          <w:tcPr>
            <w:tcW w:w="3800" w:type="dxa"/>
            <w:tcMar>
              <w:top w:w="70" w:type="dxa"/>
              <w:left w:w="100" w:type="dxa"/>
              <w:bottom w:w="70" w:type="dxa"/>
              <w:right w:w="100" w:type="dxa"/>
            </w:tcMar>
          </w:tcPr>
          <w:p w14:paraId="3302A3E6" w14:textId="77777777" w:rsidR="00D16027" w:rsidRDefault="00000000">
            <w:r>
              <w:rPr>
                <w:sz w:val="19"/>
                <w:szCs w:val="19"/>
              </w:rPr>
              <w:t>Own empirical study; supervision log; viva</w:t>
            </w:r>
          </w:p>
        </w:tc>
        <w:tc>
          <w:tcPr>
            <w:tcW w:w="1500" w:type="dxa"/>
            <w:tcMar>
              <w:top w:w="70" w:type="dxa"/>
              <w:left w:w="100" w:type="dxa"/>
              <w:bottom w:w="70" w:type="dxa"/>
              <w:right w:w="100" w:type="dxa"/>
            </w:tcMar>
          </w:tcPr>
          <w:p w14:paraId="07567750" w14:textId="77777777" w:rsidR="00D16027" w:rsidRDefault="00000000">
            <w:r>
              <w:rPr>
                <w:sz w:val="19"/>
                <w:szCs w:val="19"/>
              </w:rPr>
              <w:t>Resilient with secured viva</w:t>
            </w:r>
          </w:p>
        </w:tc>
        <w:tc>
          <w:tcPr>
            <w:tcW w:w="1086" w:type="dxa"/>
            <w:tcMar>
              <w:top w:w="70" w:type="dxa"/>
              <w:left w:w="100" w:type="dxa"/>
              <w:bottom w:w="70" w:type="dxa"/>
              <w:right w:w="100" w:type="dxa"/>
            </w:tcMar>
          </w:tcPr>
          <w:p w14:paraId="1B2BF9DA" w14:textId="77777777" w:rsidR="00D16027" w:rsidRDefault="00000000">
            <w:r>
              <w:rPr>
                <w:sz w:val="19"/>
                <w:szCs w:val="19"/>
              </w:rPr>
              <w:t>3</w:t>
            </w:r>
          </w:p>
        </w:tc>
      </w:tr>
      <w:tr w:rsidR="00D16027" w14:paraId="7A880922" w14:textId="77777777">
        <w:tblPrEx>
          <w:tblCellMar>
            <w:top w:w="0" w:type="dxa"/>
            <w:bottom w:w="0" w:type="dxa"/>
          </w:tblCellMar>
        </w:tblPrEx>
        <w:trPr>
          <w:cantSplit/>
        </w:trPr>
        <w:tc>
          <w:tcPr>
            <w:tcW w:w="700" w:type="dxa"/>
            <w:tcMar>
              <w:top w:w="70" w:type="dxa"/>
              <w:left w:w="100" w:type="dxa"/>
              <w:bottom w:w="70" w:type="dxa"/>
              <w:right w:w="100" w:type="dxa"/>
            </w:tcMar>
          </w:tcPr>
          <w:p w14:paraId="4CB45F57" w14:textId="77777777" w:rsidR="00D16027" w:rsidRDefault="00000000">
            <w:r>
              <w:rPr>
                <w:sz w:val="19"/>
                <w:szCs w:val="19"/>
              </w:rPr>
              <w:t>3</w:t>
            </w:r>
          </w:p>
        </w:tc>
        <w:tc>
          <w:tcPr>
            <w:tcW w:w="2300" w:type="dxa"/>
            <w:tcMar>
              <w:top w:w="70" w:type="dxa"/>
              <w:left w:w="100" w:type="dxa"/>
              <w:bottom w:w="70" w:type="dxa"/>
              <w:right w:w="100" w:type="dxa"/>
            </w:tcMar>
          </w:tcPr>
          <w:p w14:paraId="3EBA7C07" w14:textId="77777777" w:rsidR="00D16027" w:rsidRDefault="00000000">
            <w:r>
              <w:rPr>
                <w:sz w:val="19"/>
                <w:szCs w:val="19"/>
              </w:rPr>
              <w:t>Professional Issues</w:t>
            </w:r>
          </w:p>
        </w:tc>
        <w:tc>
          <w:tcPr>
            <w:tcW w:w="3800" w:type="dxa"/>
            <w:tcMar>
              <w:top w:w="70" w:type="dxa"/>
              <w:left w:w="100" w:type="dxa"/>
              <w:bottom w:w="70" w:type="dxa"/>
              <w:right w:w="100" w:type="dxa"/>
            </w:tcMar>
          </w:tcPr>
          <w:p w14:paraId="1334DB4F" w14:textId="77777777" w:rsidR="00D16027" w:rsidRDefault="00000000">
            <w:r>
              <w:rPr>
                <w:sz w:val="19"/>
                <w:szCs w:val="19"/>
              </w:rPr>
              <w:t>AI-assisted case analysis with critique of AI reasoning</w:t>
            </w:r>
          </w:p>
        </w:tc>
        <w:tc>
          <w:tcPr>
            <w:tcW w:w="1500" w:type="dxa"/>
            <w:tcMar>
              <w:top w:w="70" w:type="dxa"/>
              <w:left w:w="100" w:type="dxa"/>
              <w:bottom w:w="70" w:type="dxa"/>
              <w:right w:w="100" w:type="dxa"/>
            </w:tcMar>
          </w:tcPr>
          <w:p w14:paraId="6DCE131A" w14:textId="77777777" w:rsidR="00D16027" w:rsidRDefault="00000000">
            <w:r>
              <w:rPr>
                <w:sz w:val="19"/>
                <w:szCs w:val="19"/>
              </w:rPr>
              <w:t>Integrated</w:t>
            </w:r>
          </w:p>
        </w:tc>
        <w:tc>
          <w:tcPr>
            <w:tcW w:w="1086" w:type="dxa"/>
            <w:tcMar>
              <w:top w:w="70" w:type="dxa"/>
              <w:left w:w="100" w:type="dxa"/>
              <w:bottom w:w="70" w:type="dxa"/>
              <w:right w:w="100" w:type="dxa"/>
            </w:tcMar>
          </w:tcPr>
          <w:p w14:paraId="15BFCF7F" w14:textId="77777777" w:rsidR="00D16027" w:rsidRDefault="00000000">
            <w:r>
              <w:rPr>
                <w:sz w:val="19"/>
                <w:szCs w:val="19"/>
              </w:rPr>
              <w:t>5</w:t>
            </w:r>
          </w:p>
        </w:tc>
      </w:tr>
      <w:tr w:rsidR="00D16027" w14:paraId="37C8700A" w14:textId="77777777">
        <w:tblPrEx>
          <w:tblCellMar>
            <w:top w:w="0" w:type="dxa"/>
            <w:bottom w:w="0" w:type="dxa"/>
          </w:tblCellMar>
        </w:tblPrEx>
        <w:trPr>
          <w:cantSplit/>
        </w:trPr>
        <w:tc>
          <w:tcPr>
            <w:tcW w:w="700" w:type="dxa"/>
            <w:tcMar>
              <w:top w:w="70" w:type="dxa"/>
              <w:left w:w="100" w:type="dxa"/>
              <w:bottom w:w="70" w:type="dxa"/>
              <w:right w:w="100" w:type="dxa"/>
            </w:tcMar>
          </w:tcPr>
          <w:p w14:paraId="4FD360ED" w14:textId="77777777" w:rsidR="00D16027" w:rsidRDefault="00000000">
            <w:r>
              <w:rPr>
                <w:sz w:val="19"/>
                <w:szCs w:val="19"/>
              </w:rPr>
              <w:t>3</w:t>
            </w:r>
          </w:p>
        </w:tc>
        <w:tc>
          <w:tcPr>
            <w:tcW w:w="2300" w:type="dxa"/>
            <w:tcMar>
              <w:top w:w="70" w:type="dxa"/>
              <w:left w:w="100" w:type="dxa"/>
              <w:bottom w:w="70" w:type="dxa"/>
              <w:right w:w="100" w:type="dxa"/>
            </w:tcMar>
          </w:tcPr>
          <w:p w14:paraId="7B3A3C6F" w14:textId="77777777" w:rsidR="00D16027" w:rsidRDefault="00000000">
            <w:r>
              <w:rPr>
                <w:sz w:val="19"/>
                <w:szCs w:val="19"/>
              </w:rPr>
              <w:t>Advanced Topics</w:t>
            </w:r>
          </w:p>
        </w:tc>
        <w:tc>
          <w:tcPr>
            <w:tcW w:w="3800" w:type="dxa"/>
            <w:tcMar>
              <w:top w:w="70" w:type="dxa"/>
              <w:left w:w="100" w:type="dxa"/>
              <w:bottom w:w="70" w:type="dxa"/>
              <w:right w:w="100" w:type="dxa"/>
            </w:tcMar>
          </w:tcPr>
          <w:p w14:paraId="042D7473" w14:textId="77777777" w:rsidR="00D16027" w:rsidRDefault="00000000">
            <w:r>
              <w:rPr>
                <w:sz w:val="19"/>
                <w:szCs w:val="19"/>
              </w:rPr>
              <w:t>Interactive oral assessment in workplace scenario</w:t>
            </w:r>
          </w:p>
        </w:tc>
        <w:tc>
          <w:tcPr>
            <w:tcW w:w="1500" w:type="dxa"/>
            <w:tcMar>
              <w:top w:w="70" w:type="dxa"/>
              <w:left w:w="100" w:type="dxa"/>
              <w:bottom w:w="70" w:type="dxa"/>
              <w:right w:w="100" w:type="dxa"/>
            </w:tcMar>
          </w:tcPr>
          <w:p w14:paraId="5ED918A5" w14:textId="77777777" w:rsidR="00D16027" w:rsidRDefault="00000000">
            <w:r>
              <w:rPr>
                <w:sz w:val="19"/>
                <w:szCs w:val="19"/>
              </w:rPr>
              <w:t>Excluded</w:t>
            </w:r>
          </w:p>
        </w:tc>
        <w:tc>
          <w:tcPr>
            <w:tcW w:w="1086" w:type="dxa"/>
            <w:tcMar>
              <w:top w:w="70" w:type="dxa"/>
              <w:left w:w="100" w:type="dxa"/>
              <w:bottom w:w="70" w:type="dxa"/>
              <w:right w:w="100" w:type="dxa"/>
            </w:tcMar>
          </w:tcPr>
          <w:p w14:paraId="49936CF9" w14:textId="77777777" w:rsidR="00D16027" w:rsidRDefault="00000000">
            <w:r>
              <w:rPr>
                <w:sz w:val="19"/>
                <w:szCs w:val="19"/>
              </w:rPr>
              <w:t>1</w:t>
            </w:r>
          </w:p>
        </w:tc>
      </w:tr>
    </w:tbl>
    <w:p w14:paraId="1F7EF279" w14:textId="77777777" w:rsidR="00D16027" w:rsidRDefault="00D16027">
      <w:pPr>
        <w:spacing w:after="120"/>
      </w:pPr>
    </w:p>
    <w:p w14:paraId="6428C054" w14:textId="77777777" w:rsidR="00D16027" w:rsidRDefault="00000000">
      <w:pPr>
        <w:pStyle w:val="Heading2"/>
        <w:keepNext/>
      </w:pPr>
      <w:r>
        <w:t>6.8 The spectrum as a communication tool</w:t>
      </w:r>
    </w:p>
    <w:p w14:paraId="0A675573" w14:textId="77777777" w:rsidR="00D16027" w:rsidRDefault="00000000">
      <w:pPr>
        <w:spacing w:after="140"/>
      </w:pPr>
      <w:r>
        <w:t>Finally, the spectrum is how educators tell students what is expected. The AI Assessment Scale was designed partly as a labelling system: every brief carries its level, and the meaning of each level is the same across the institution (Perkins et al. 2024). This matters because confusion, not malice, drives much problematic AI use. Chan (2023) found students and staff alike unsure of the rules; Chan and Hu (2023) found students willing to accept restrictions when the reason was explained. A brief that says "AIAS Level 1: this task is completed in class without AI because the programme needs secured evidence that you can do this unaided" is fairer, clearer and more credible than a general prohibition. Consistency across a programme is part of the communication: a student who meets five different AI rules in five modules learns that the rules are arbitrary.</w:t>
      </w:r>
    </w:p>
    <w:p w14:paraId="3945C4B7"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One programme, three zones: LLB Law</w:t>
      </w:r>
    </w:p>
    <w:p w14:paraId="44987334" w14:textId="77777777" w:rsidR="00D16027" w:rsidRDefault="00000000">
      <w:pPr>
        <w:pBdr>
          <w:left w:val="single" w:sz="14" w:space="10" w:color="4E8A5E"/>
        </w:pBdr>
        <w:shd w:val="clear" w:color="auto" w:fill="EEF6EF"/>
        <w:spacing w:after="60"/>
      </w:pPr>
      <w:r>
        <w:rPr>
          <w:b/>
          <w:bCs/>
          <w:color w:val="333333"/>
          <w:sz w:val="20"/>
          <w:szCs w:val="20"/>
        </w:rPr>
        <w:t>Excluded.</w:t>
      </w:r>
      <w:r>
        <w:rPr>
          <w:color w:val="333333"/>
          <w:sz w:val="20"/>
          <w:szCs w:val="20"/>
        </w:rPr>
        <w:t xml:space="preserve"> A supervised problem-question examination in Contract, and a moot in Public Law assessed on oral advocacy and response to judicial questioning. These meet the Solicitors Regulation Authority's expectations for secured evidence of legal reasoning and provide the programme's Lane 1.</w:t>
      </w:r>
    </w:p>
    <w:p w14:paraId="278859C0" w14:textId="77777777" w:rsidR="00D16027" w:rsidRDefault="00000000">
      <w:pPr>
        <w:pBdr>
          <w:left w:val="single" w:sz="14" w:space="10" w:color="4E8A5E"/>
        </w:pBdr>
        <w:shd w:val="clear" w:color="auto" w:fill="EEF6EF"/>
        <w:spacing w:after="60"/>
      </w:pPr>
      <w:r>
        <w:rPr>
          <w:b/>
          <w:bCs/>
          <w:color w:val="333333"/>
          <w:sz w:val="20"/>
          <w:szCs w:val="20"/>
        </w:rPr>
        <w:t>Resilient.</w:t>
      </w:r>
      <w:r>
        <w:rPr>
          <w:color w:val="333333"/>
          <w:sz w:val="20"/>
          <w:szCs w:val="20"/>
        </w:rPr>
        <w:t xml:space="preserve"> The law clinic module: each student maintains a case file on a real client under supervision, with contemporaneous attendance notes, drafts and a fortnightly supervision record; assessed on the file and a twenty-minute case conference with the supervising solicitor. AI is permitted for research and drafting at AIAS Level 3 and must be declared and verified against primary sources.</w:t>
      </w:r>
    </w:p>
    <w:p w14:paraId="34E7D5A5" w14:textId="77777777" w:rsidR="00D16027" w:rsidRDefault="00000000">
      <w:pPr>
        <w:pBdr>
          <w:left w:val="single" w:sz="14" w:space="10" w:color="4E8A5E"/>
        </w:pBdr>
        <w:shd w:val="clear" w:color="auto" w:fill="EEF6EF"/>
        <w:spacing w:after="60"/>
      </w:pPr>
      <w:r>
        <w:rPr>
          <w:b/>
          <w:bCs/>
          <w:color w:val="333333"/>
          <w:sz w:val="20"/>
          <w:szCs w:val="20"/>
        </w:rPr>
        <w:t>Integrated.</w:t>
      </w:r>
      <w:r>
        <w:rPr>
          <w:color w:val="333333"/>
          <w:sz w:val="20"/>
          <w:szCs w:val="20"/>
        </w:rPr>
        <w:t xml:space="preserve"> In Commercial Law, students are given an AI-drafted contract clause and a client instruction, and must identify the clause's errors, risks and omissions, redraft it, and write a 600-word memo explaining what the AI got wrong and how they verified the corrections. AIAS Level 5; the object of assessment is legal judgement about AI output.</w:t>
      </w:r>
    </w:p>
    <w:p w14:paraId="3CFBEBF0" w14:textId="77777777" w:rsidR="00D16027" w:rsidRDefault="00000000">
      <w:pPr>
        <w:pBdr>
          <w:left w:val="single" w:sz="14" w:space="10" w:color="4E8A5E"/>
        </w:pBdr>
        <w:shd w:val="clear" w:color="auto" w:fill="EEF6EF"/>
        <w:spacing w:after="200"/>
      </w:pPr>
      <w:r>
        <w:rPr>
          <w:b/>
          <w:bCs/>
          <w:color w:val="333333"/>
          <w:sz w:val="20"/>
          <w:szCs w:val="20"/>
        </w:rPr>
        <w:t>The unintended position, removed.</w:t>
      </w:r>
      <w:r>
        <w:rPr>
          <w:color w:val="333333"/>
          <w:sz w:val="20"/>
          <w:szCs w:val="20"/>
        </w:rPr>
        <w:t xml:space="preserve"> The former 3,000-word unsupervised essay in Jurisprudence, nominally AI-free, is retained as a formative task at Level 3 and replaced </w:t>
      </w:r>
      <w:proofErr w:type="spellStart"/>
      <w:r>
        <w:rPr>
          <w:color w:val="333333"/>
          <w:sz w:val="20"/>
          <w:szCs w:val="20"/>
        </w:rPr>
        <w:t>summatively</w:t>
      </w:r>
      <w:proofErr w:type="spellEnd"/>
      <w:r>
        <w:rPr>
          <w:color w:val="333333"/>
          <w:sz w:val="20"/>
          <w:szCs w:val="20"/>
        </w:rPr>
        <w:t xml:space="preserve"> by an in-class critical response to a passage released on the day.</w:t>
      </w:r>
    </w:p>
    <w:p w14:paraId="27973D97"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Position and choose</w:t>
      </w:r>
    </w:p>
    <w:p w14:paraId="702296C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For each summative task in your module, answer the two diagnostic questions in Table 6.2 and record the position.</w:t>
      </w:r>
    </w:p>
    <w:p w14:paraId="7A004B94"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Identify any task in the unintended position. Decide, using the six factors, which zone it should move to.</w:t>
      </w:r>
    </w:p>
    <w:p w14:paraId="78605896"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lastRenderedPageBreak/>
        <w:t>Label every task with its AIAS level and write one sentence explaining to students why that level was chosen.</w:t>
      </w:r>
    </w:p>
    <w:p w14:paraId="23335B05"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Check the programme map: is every outcome assured somewhere in the excluded or resilient zone, and is AI literacy assessed somewhere in the integrated zone?</w:t>
      </w:r>
    </w:p>
    <w:p w14:paraId="04379148"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Check consistency: do the levels you have chosen mean the same thing as in the neighbouring modules?</w:t>
      </w:r>
    </w:p>
    <w:p w14:paraId="62CD2F0D" w14:textId="77777777" w:rsidR="00D16027" w:rsidRDefault="00000000">
      <w:pPr>
        <w:pStyle w:val="Heading2"/>
        <w:keepNext/>
      </w:pPr>
      <w:r>
        <w:t>What this means for you</w:t>
      </w:r>
    </w:p>
    <w:p w14:paraId="7492F2E4"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447D079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Locate each of your tasks on the spectrum honestly. Most inherited coursework is in the unintended position, and naming that is the first step.</w:t>
      </w:r>
    </w:p>
    <w:p w14:paraId="0B9A1CB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Choose the zone by purpose, stakes and feasibility, not by anxiety. A low-stakes formative task can live happily in the integrated zone.</w:t>
      </w:r>
    </w:p>
    <w:p w14:paraId="324CEDB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Label every brief with its AIAS level and the reason. Students accept conditions they understand.</w:t>
      </w:r>
    </w:p>
    <w:p w14:paraId="4C48D076"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20721B2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a programme map on the model of Table 6.3 and apply the two rules: every outcome assured at least once in the excluded or resilient zone; AI-related outcomes assessed and sequenced in the integrated zone.</w:t>
      </w:r>
    </w:p>
    <w:p w14:paraId="5489852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Keep Lane 1 small and well placed. A few secured assessments at the points where the programme makes its key claims outperform a blanket of examinations.</w:t>
      </w:r>
    </w:p>
    <w:p w14:paraId="3AC63A61"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Enforce a common vocabulary across modules so that students meet consistent rules and staff can moderate against shared expectations.</w:t>
      </w:r>
    </w:p>
    <w:p w14:paraId="61BA75D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494710A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a single institutional framework for stating AI permission (the AI Assessment Scale is the most widely used) and require its use on every assessment brief.</w:t>
      </w:r>
    </w:p>
    <w:p w14:paraId="4656607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Require programme-level assessment plans, as the University of Sydney has done, rather than module-by-module compliance statements.</w:t>
      </w:r>
    </w:p>
    <w:p w14:paraId="7AC04704"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Direct quality processes to look for the unintended position: unsupervised generic tasks with prohibitions attached. Their presence is the clearest indicator that a programme has not yet responded structurally.</w:t>
      </w:r>
    </w:p>
    <w:p w14:paraId="3D7159B7" w14:textId="77777777" w:rsidR="00D16027" w:rsidRDefault="00000000">
      <w:pPr>
        <w:pStyle w:val="Heading2"/>
        <w:keepNext/>
      </w:pPr>
      <w:r>
        <w:t>Key references for this chapter</w:t>
      </w:r>
    </w:p>
    <w:p w14:paraId="408BA5A9" w14:textId="77777777" w:rsidR="00D16027" w:rsidRDefault="00000000">
      <w:pPr>
        <w:pStyle w:val="ListParagraph"/>
        <w:numPr>
          <w:ilvl w:val="0"/>
          <w:numId w:val="3"/>
        </w:numPr>
        <w:spacing w:before="30" w:after="50"/>
      </w:pPr>
      <w:r>
        <w:rPr>
          <w:color w:val="333333"/>
          <w:sz w:val="19"/>
          <w:szCs w:val="19"/>
        </w:rPr>
        <w:t xml:space="preserve">Bastani, H., Bastani, O., Sungu, A., Ge, H., </w:t>
      </w:r>
      <w:proofErr w:type="spellStart"/>
      <w:r>
        <w:rPr>
          <w:color w:val="333333"/>
          <w:sz w:val="19"/>
          <w:szCs w:val="19"/>
        </w:rPr>
        <w:t>Kabakcı</w:t>
      </w:r>
      <w:proofErr w:type="spellEnd"/>
      <w:r>
        <w:rPr>
          <w:color w:val="333333"/>
          <w:sz w:val="19"/>
          <w:szCs w:val="19"/>
        </w:rPr>
        <w:t xml:space="preserve">, Ö. &amp; Mariman, R. (2024) </w:t>
      </w:r>
      <w:r>
        <w:rPr>
          <w:i/>
          <w:iCs/>
          <w:color w:val="333333"/>
          <w:sz w:val="19"/>
          <w:szCs w:val="19"/>
        </w:rPr>
        <w:t>Generative AI Can Harm Learning</w:t>
      </w:r>
      <w:r>
        <w:rPr>
          <w:color w:val="333333"/>
          <w:sz w:val="19"/>
          <w:szCs w:val="19"/>
        </w:rPr>
        <w:t>. Wharton School Research Paper / SSRN 4895486.</w:t>
      </w:r>
    </w:p>
    <w:p w14:paraId="485F189D" w14:textId="77777777" w:rsidR="00D16027" w:rsidRDefault="00000000">
      <w:pPr>
        <w:pStyle w:val="ListParagraph"/>
        <w:numPr>
          <w:ilvl w:val="0"/>
          <w:numId w:val="3"/>
        </w:numPr>
        <w:spacing w:before="30" w:after="50"/>
      </w:pPr>
      <w:r>
        <w:rPr>
          <w:color w:val="333333"/>
          <w:sz w:val="19"/>
          <w:szCs w:val="19"/>
        </w:rPr>
        <w:t xml:space="preserve">Bengtsson, L. (2019) Take-home exams in higher education: a systematic review. </w:t>
      </w:r>
      <w:r>
        <w:rPr>
          <w:i/>
          <w:iCs/>
          <w:color w:val="333333"/>
          <w:sz w:val="19"/>
          <w:szCs w:val="19"/>
        </w:rPr>
        <w:t>Education Sciences</w:t>
      </w:r>
      <w:r>
        <w:rPr>
          <w:color w:val="333333"/>
          <w:sz w:val="19"/>
          <w:szCs w:val="19"/>
        </w:rPr>
        <w:t>, 9(4), 267.</w:t>
      </w:r>
    </w:p>
    <w:p w14:paraId="03401F2C" w14:textId="77777777" w:rsidR="00D16027" w:rsidRDefault="00000000">
      <w:pPr>
        <w:pStyle w:val="ListParagraph"/>
        <w:numPr>
          <w:ilvl w:val="0"/>
          <w:numId w:val="3"/>
        </w:numPr>
        <w:spacing w:before="30" w:after="50"/>
      </w:pPr>
      <w:r>
        <w:rPr>
          <w:color w:val="333333"/>
          <w:sz w:val="19"/>
          <w:szCs w:val="19"/>
        </w:rPr>
        <w:t xml:space="preserve">Bridgeman, A., Liu, D. &amp; Weeks, R. (2024) Programme-level assessment design and the two-lane approach. </w:t>
      </w:r>
      <w:proofErr w:type="spellStart"/>
      <w:r>
        <w:rPr>
          <w:i/>
          <w:iCs/>
          <w:color w:val="333333"/>
          <w:sz w:val="19"/>
          <w:szCs w:val="19"/>
        </w:rPr>
        <w:t>Teaching@Sydney</w:t>
      </w:r>
      <w:proofErr w:type="spellEnd"/>
      <w:r>
        <w:rPr>
          <w:color w:val="333333"/>
          <w:sz w:val="19"/>
          <w:szCs w:val="19"/>
        </w:rPr>
        <w:t>, University of Sydney.</w:t>
      </w:r>
    </w:p>
    <w:p w14:paraId="4DF8902F"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53C03391"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0F872004" w14:textId="77777777" w:rsidR="00D16027" w:rsidRDefault="00000000">
      <w:pPr>
        <w:pStyle w:val="ListParagraph"/>
        <w:numPr>
          <w:ilvl w:val="0"/>
          <w:numId w:val="3"/>
        </w:numPr>
        <w:spacing w:before="30" w:after="50"/>
      </w:pPr>
      <w:r>
        <w:rPr>
          <w:color w:val="333333"/>
          <w:sz w:val="19"/>
          <w:szCs w:val="19"/>
        </w:rPr>
        <w:t xml:space="preserve">Coghlan, S., Miller, T. &amp; Paterson, J. (2021) Good proctor or "big brother"? Ethics of online exam supervision technologies. </w:t>
      </w:r>
      <w:r>
        <w:rPr>
          <w:i/>
          <w:iCs/>
          <w:color w:val="333333"/>
          <w:sz w:val="19"/>
          <w:szCs w:val="19"/>
        </w:rPr>
        <w:t>Philosophy &amp; Technology</w:t>
      </w:r>
      <w:r>
        <w:rPr>
          <w:color w:val="333333"/>
          <w:sz w:val="19"/>
          <w:szCs w:val="19"/>
        </w:rPr>
        <w:t>, 34(4), 1581–1606.</w:t>
      </w:r>
    </w:p>
    <w:p w14:paraId="4DE3E0DD"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3A366CF4" w14:textId="77777777" w:rsidR="00D16027" w:rsidRDefault="00000000">
      <w:pPr>
        <w:pStyle w:val="ListParagraph"/>
        <w:numPr>
          <w:ilvl w:val="0"/>
          <w:numId w:val="3"/>
        </w:numPr>
        <w:spacing w:before="30" w:after="50"/>
      </w:pPr>
      <w:r>
        <w:rPr>
          <w:color w:val="333333"/>
          <w:sz w:val="19"/>
          <w:szCs w:val="19"/>
        </w:rPr>
        <w:t xml:space="preserve">Darvishi, A., Khosravi, H., Sadiq, S., </w:t>
      </w:r>
      <w:proofErr w:type="spellStart"/>
      <w:r>
        <w:rPr>
          <w:color w:val="333333"/>
          <w:sz w:val="19"/>
          <w:szCs w:val="19"/>
        </w:rPr>
        <w:t>Gašević</w:t>
      </w:r>
      <w:proofErr w:type="spellEnd"/>
      <w:r>
        <w:rPr>
          <w:color w:val="333333"/>
          <w:sz w:val="19"/>
          <w:szCs w:val="19"/>
        </w:rPr>
        <w:t xml:space="preserve">, D. &amp; Siemens, G. (2024) Impact of AI assistance on student agency. </w:t>
      </w:r>
      <w:r>
        <w:rPr>
          <w:i/>
          <w:iCs/>
          <w:color w:val="333333"/>
          <w:sz w:val="19"/>
          <w:szCs w:val="19"/>
        </w:rPr>
        <w:t>Computers &amp; Education</w:t>
      </w:r>
      <w:r>
        <w:rPr>
          <w:color w:val="333333"/>
          <w:sz w:val="19"/>
          <w:szCs w:val="19"/>
        </w:rPr>
        <w:t>, 210, 104967.</w:t>
      </w:r>
    </w:p>
    <w:p w14:paraId="54FEB158"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49E65B9A" w14:textId="77777777" w:rsidR="00D16027" w:rsidRDefault="00000000">
      <w:pPr>
        <w:pStyle w:val="ListParagraph"/>
        <w:numPr>
          <w:ilvl w:val="0"/>
          <w:numId w:val="3"/>
        </w:numPr>
        <w:spacing w:before="30" w:after="50"/>
      </w:pPr>
      <w:r>
        <w:rPr>
          <w:color w:val="333333"/>
          <w:sz w:val="19"/>
          <w:szCs w:val="19"/>
        </w:rPr>
        <w:t xml:space="preserve">Fawns, T., Bearman, M., Dawson, P., Nieminen, J.H., Ashford-Rowe, K., Willey, K., Jensen, L.X., </w:t>
      </w:r>
      <w:proofErr w:type="spellStart"/>
      <w:r>
        <w:rPr>
          <w:color w:val="333333"/>
          <w:sz w:val="19"/>
          <w:szCs w:val="19"/>
        </w:rPr>
        <w:t>Damşa</w:t>
      </w:r>
      <w:proofErr w:type="spellEnd"/>
      <w:r>
        <w:rPr>
          <w:color w:val="333333"/>
          <w:sz w:val="19"/>
          <w:szCs w:val="19"/>
        </w:rPr>
        <w:t xml:space="preserve">, C. &amp; Press, N. (2024) Authentic assessment: from panacea to criticality. </w:t>
      </w:r>
      <w:r>
        <w:rPr>
          <w:i/>
          <w:iCs/>
          <w:color w:val="333333"/>
          <w:sz w:val="19"/>
          <w:szCs w:val="19"/>
        </w:rPr>
        <w:t>Assessment &amp; Evaluation in Higher Education</w:t>
      </w:r>
      <w:r>
        <w:rPr>
          <w:color w:val="333333"/>
          <w:sz w:val="19"/>
          <w:szCs w:val="19"/>
        </w:rPr>
        <w:t xml:space="preserve"> (advance online). https://doi.org/10.1080/02602938.2024.2404634</w:t>
      </w:r>
    </w:p>
    <w:p w14:paraId="25550C99" w14:textId="77777777" w:rsidR="00D16027" w:rsidRDefault="00000000">
      <w:pPr>
        <w:pStyle w:val="ListParagraph"/>
        <w:numPr>
          <w:ilvl w:val="0"/>
          <w:numId w:val="3"/>
        </w:numPr>
        <w:spacing w:before="30" w:after="50"/>
      </w:pPr>
      <w:r>
        <w:rPr>
          <w:color w:val="333333"/>
          <w:sz w:val="19"/>
          <w:szCs w:val="19"/>
        </w:rPr>
        <w:lastRenderedPageBreak/>
        <w:t xml:space="preserve">Freeman, J. (2025) </w:t>
      </w:r>
      <w:r>
        <w:rPr>
          <w:i/>
          <w:iCs/>
          <w:color w:val="333333"/>
          <w:sz w:val="19"/>
          <w:szCs w:val="19"/>
        </w:rPr>
        <w:t>Student Generative AI Survey 2025</w:t>
      </w:r>
      <w:r>
        <w:rPr>
          <w:color w:val="333333"/>
          <w:sz w:val="19"/>
          <w:szCs w:val="19"/>
        </w:rPr>
        <w:t xml:space="preserve">. HEPI Policy Note 61. Oxford: Higher Education Policy Institute / </w:t>
      </w:r>
      <w:proofErr w:type="spellStart"/>
      <w:r>
        <w:rPr>
          <w:color w:val="333333"/>
          <w:sz w:val="19"/>
          <w:szCs w:val="19"/>
        </w:rPr>
        <w:t>Kortext</w:t>
      </w:r>
      <w:proofErr w:type="spellEnd"/>
      <w:r>
        <w:rPr>
          <w:color w:val="333333"/>
          <w:sz w:val="19"/>
          <w:szCs w:val="19"/>
        </w:rPr>
        <w:t>.</w:t>
      </w:r>
    </w:p>
    <w:p w14:paraId="4AD10167" w14:textId="77777777" w:rsidR="00D16027" w:rsidRDefault="00000000">
      <w:pPr>
        <w:pStyle w:val="ListParagraph"/>
        <w:numPr>
          <w:ilvl w:val="0"/>
          <w:numId w:val="3"/>
        </w:numPr>
        <w:spacing w:before="30" w:after="50"/>
      </w:pPr>
      <w:r>
        <w:rPr>
          <w:color w:val="333333"/>
          <w:sz w:val="19"/>
          <w:szCs w:val="19"/>
        </w:rPr>
        <w:t xml:space="preserve">Furze, L., Perkins, M., Roe, J. &amp; </w:t>
      </w:r>
      <w:proofErr w:type="spellStart"/>
      <w:r>
        <w:rPr>
          <w:color w:val="333333"/>
          <w:sz w:val="19"/>
          <w:szCs w:val="19"/>
        </w:rPr>
        <w:t>MacVaugh</w:t>
      </w:r>
      <w:proofErr w:type="spellEnd"/>
      <w:r>
        <w:rPr>
          <w:color w:val="333333"/>
          <w:sz w:val="19"/>
          <w:szCs w:val="19"/>
        </w:rPr>
        <w:t xml:space="preserve">, J. (2024) The AI Assessment Scale (AIAS) in action: a pilot implementation of GenAI-supported assessment. </w:t>
      </w:r>
      <w:r>
        <w:rPr>
          <w:i/>
          <w:iCs/>
          <w:color w:val="333333"/>
          <w:sz w:val="19"/>
          <w:szCs w:val="19"/>
        </w:rPr>
        <w:t>Australasian Journal of Educational Technology</w:t>
      </w:r>
      <w:r>
        <w:rPr>
          <w:color w:val="333333"/>
          <w:sz w:val="19"/>
          <w:szCs w:val="19"/>
        </w:rPr>
        <w:t>, 40(4), 38–55.</w:t>
      </w:r>
    </w:p>
    <w:p w14:paraId="4F2FB29F" w14:textId="77777777" w:rsidR="00D16027" w:rsidRDefault="00000000">
      <w:pPr>
        <w:pStyle w:val="ListParagraph"/>
        <w:numPr>
          <w:ilvl w:val="0"/>
          <w:numId w:val="3"/>
        </w:numPr>
        <w:spacing w:before="30" w:after="50"/>
      </w:pPr>
      <w:r>
        <w:rPr>
          <w:color w:val="333333"/>
          <w:sz w:val="19"/>
          <w:szCs w:val="19"/>
        </w:rPr>
        <w:t xml:space="preserve">Gilley, B.H. &amp; Clarkston, B. (2014) Collaborative testing: evidence of learning in a controlled in-class study of undergraduate students. </w:t>
      </w:r>
      <w:r>
        <w:rPr>
          <w:i/>
          <w:iCs/>
          <w:color w:val="333333"/>
          <w:sz w:val="19"/>
          <w:szCs w:val="19"/>
        </w:rPr>
        <w:t>Journal of College Science Teaching</w:t>
      </w:r>
      <w:r>
        <w:rPr>
          <w:color w:val="333333"/>
          <w:sz w:val="19"/>
          <w:szCs w:val="19"/>
        </w:rPr>
        <w:t>, 43(3), 83–91.</w:t>
      </w:r>
    </w:p>
    <w:p w14:paraId="73E44E4F" w14:textId="77777777" w:rsidR="00D16027" w:rsidRDefault="00000000">
      <w:pPr>
        <w:pStyle w:val="ListParagraph"/>
        <w:numPr>
          <w:ilvl w:val="0"/>
          <w:numId w:val="3"/>
        </w:numPr>
        <w:spacing w:before="30" w:after="50"/>
      </w:pPr>
      <w:r>
        <w:rPr>
          <w:color w:val="333333"/>
          <w:sz w:val="19"/>
          <w:szCs w:val="19"/>
        </w:rPr>
        <w:t xml:space="preserve">Liu, D. &amp; Bridgeman, A. (2023) What to do about assessments if we can't out-design or out-run AI? </w:t>
      </w:r>
      <w:proofErr w:type="spellStart"/>
      <w:r>
        <w:rPr>
          <w:i/>
          <w:iCs/>
          <w:color w:val="333333"/>
          <w:sz w:val="19"/>
          <w:szCs w:val="19"/>
        </w:rPr>
        <w:t>Teaching@Sydney</w:t>
      </w:r>
      <w:proofErr w:type="spellEnd"/>
      <w:r>
        <w:rPr>
          <w:color w:val="333333"/>
          <w:sz w:val="19"/>
          <w:szCs w:val="19"/>
        </w:rPr>
        <w:t>, University of Sydney.</w:t>
      </w:r>
    </w:p>
    <w:p w14:paraId="189D10A8"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5C94BC7E" w14:textId="77777777" w:rsidR="00D16027" w:rsidRDefault="00000000">
      <w:pPr>
        <w:pStyle w:val="ListParagraph"/>
        <w:numPr>
          <w:ilvl w:val="0"/>
          <w:numId w:val="3"/>
        </w:numPr>
        <w:spacing w:before="30" w:after="50"/>
      </w:pPr>
      <w:r>
        <w:rPr>
          <w:color w:val="333333"/>
          <w:sz w:val="19"/>
          <w:szCs w:val="19"/>
        </w:rPr>
        <w:t xml:space="preserve">McArthur, J. (2023) Rethinking authentic assessment: work, well-being, and society. </w:t>
      </w:r>
      <w:r>
        <w:rPr>
          <w:i/>
          <w:iCs/>
          <w:color w:val="333333"/>
          <w:sz w:val="19"/>
          <w:szCs w:val="19"/>
        </w:rPr>
        <w:t>Higher Education</w:t>
      </w:r>
      <w:r>
        <w:rPr>
          <w:color w:val="333333"/>
          <w:sz w:val="19"/>
          <w:szCs w:val="19"/>
        </w:rPr>
        <w:t>, 85(1), 85–101.</w:t>
      </w:r>
    </w:p>
    <w:p w14:paraId="51102835"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73E34B73" w14:textId="77777777" w:rsidR="00D16027" w:rsidRDefault="00000000">
      <w:pPr>
        <w:pStyle w:val="ListParagraph"/>
        <w:numPr>
          <w:ilvl w:val="0"/>
          <w:numId w:val="3"/>
        </w:numPr>
        <w:spacing w:before="30" w:after="50"/>
      </w:pPr>
      <w:r>
        <w:rPr>
          <w:color w:val="333333"/>
          <w:sz w:val="19"/>
          <w:szCs w:val="19"/>
        </w:rPr>
        <w:t xml:space="preserve">Perkins, M., Furze, L., Roe, J. &amp; </w:t>
      </w:r>
      <w:proofErr w:type="spellStart"/>
      <w:r>
        <w:rPr>
          <w:color w:val="333333"/>
          <w:sz w:val="19"/>
          <w:szCs w:val="19"/>
        </w:rPr>
        <w:t>MacVaugh</w:t>
      </w:r>
      <w:proofErr w:type="spellEnd"/>
      <w:r>
        <w:rPr>
          <w:color w:val="333333"/>
          <w:sz w:val="19"/>
          <w:szCs w:val="19"/>
        </w:rPr>
        <w:t xml:space="preserve">, J. (2024) The Artificial Intelligence Assessment Scale (AIAS): a framework for ethical integration of generative AI in educational assessment. </w:t>
      </w:r>
      <w:r>
        <w:rPr>
          <w:i/>
          <w:iCs/>
          <w:color w:val="333333"/>
          <w:sz w:val="19"/>
          <w:szCs w:val="19"/>
        </w:rPr>
        <w:t>Journal of University Teaching and Learning Practice</w:t>
      </w:r>
      <w:r>
        <w:rPr>
          <w:color w:val="333333"/>
          <w:sz w:val="19"/>
          <w:szCs w:val="19"/>
        </w:rPr>
        <w:t>, 21(6).</w:t>
      </w:r>
    </w:p>
    <w:p w14:paraId="71D25E94" w14:textId="77777777" w:rsidR="00D16027" w:rsidRDefault="00000000">
      <w:pPr>
        <w:pStyle w:val="ListParagraph"/>
        <w:numPr>
          <w:ilvl w:val="0"/>
          <w:numId w:val="3"/>
        </w:numPr>
        <w:spacing w:before="30" w:after="50"/>
      </w:pPr>
      <w:r>
        <w:rPr>
          <w:color w:val="333333"/>
          <w:sz w:val="19"/>
          <w:szCs w:val="19"/>
        </w:rPr>
        <w:t xml:space="preserve">Perkins, M., Roe, J. &amp; Furze, L. (2025) Reimagining the AI Assessment Scale: an updated framework for AI integration in assessment. </w:t>
      </w:r>
      <w:r>
        <w:rPr>
          <w:i/>
          <w:iCs/>
          <w:color w:val="333333"/>
          <w:sz w:val="19"/>
          <w:szCs w:val="19"/>
        </w:rPr>
        <w:t>Journal of University Teaching and Learning Practice</w:t>
      </w:r>
      <w:r>
        <w:rPr>
          <w:color w:val="333333"/>
          <w:sz w:val="19"/>
          <w:szCs w:val="19"/>
        </w:rPr>
        <w:t>, 22(7).</w:t>
      </w:r>
    </w:p>
    <w:p w14:paraId="2E8351DF" w14:textId="77777777" w:rsidR="00D16027" w:rsidRDefault="00000000">
      <w:pPr>
        <w:pStyle w:val="ListParagraph"/>
        <w:numPr>
          <w:ilvl w:val="0"/>
          <w:numId w:val="3"/>
        </w:numPr>
        <w:spacing w:before="30" w:after="50"/>
      </w:pPr>
      <w:r>
        <w:rPr>
          <w:color w:val="333333"/>
          <w:sz w:val="19"/>
          <w:szCs w:val="19"/>
        </w:rPr>
        <w:t xml:space="preserve">Selwyn, N., O'Neill, C., Smith, G., Andrejevic, M. &amp; Gu, X. (2023) A necessary evil? The rise of online exam proctoring in Australian universities. </w:t>
      </w:r>
      <w:r>
        <w:rPr>
          <w:i/>
          <w:iCs/>
          <w:color w:val="333333"/>
          <w:sz w:val="19"/>
          <w:szCs w:val="19"/>
        </w:rPr>
        <w:t>Media International Australia</w:t>
      </w:r>
      <w:r>
        <w:rPr>
          <w:color w:val="333333"/>
          <w:sz w:val="19"/>
          <w:szCs w:val="19"/>
        </w:rPr>
        <w:t>, 186(1), 149–164.</w:t>
      </w:r>
    </w:p>
    <w:p w14:paraId="7EE8A675" w14:textId="77777777" w:rsidR="00D16027" w:rsidRDefault="00000000">
      <w:pPr>
        <w:pStyle w:val="ListParagraph"/>
        <w:numPr>
          <w:ilvl w:val="0"/>
          <w:numId w:val="3"/>
        </w:numPr>
        <w:spacing w:before="30" w:after="50"/>
      </w:pPr>
      <w:r>
        <w:rPr>
          <w:color w:val="333333"/>
          <w:sz w:val="19"/>
          <w:szCs w:val="19"/>
        </w:rPr>
        <w:t xml:space="preserve">van der Vleuten, C.P.M. et al. (2012) A model for programmatic assessment fit for purpose. </w:t>
      </w:r>
      <w:r>
        <w:rPr>
          <w:i/>
          <w:iCs/>
          <w:color w:val="333333"/>
          <w:sz w:val="19"/>
          <w:szCs w:val="19"/>
        </w:rPr>
        <w:t>Medical Teacher</w:t>
      </w:r>
      <w:r>
        <w:rPr>
          <w:color w:val="333333"/>
          <w:sz w:val="19"/>
          <w:szCs w:val="19"/>
        </w:rPr>
        <w:t>, 34(3), 205–214.</w:t>
      </w:r>
    </w:p>
    <w:p w14:paraId="3E46DD86" w14:textId="77777777" w:rsidR="00D16027" w:rsidRDefault="00000000">
      <w:r>
        <w:br w:type="page"/>
      </w:r>
    </w:p>
    <w:p w14:paraId="3FAD43CF" w14:textId="77777777" w:rsidR="00D16027" w:rsidRDefault="00D16027">
      <w:pPr>
        <w:spacing w:after="800"/>
      </w:pPr>
    </w:p>
    <w:p w14:paraId="750F25C7" w14:textId="77777777" w:rsidR="00D16027" w:rsidRDefault="00000000">
      <w:pPr>
        <w:spacing w:after="60"/>
      </w:pPr>
      <w:r>
        <w:rPr>
          <w:b/>
          <w:bCs/>
          <w:vanish/>
          <w:color w:val="2E75B6"/>
          <w:sz w:val="30"/>
          <w:szCs w:val="30"/>
        </w:rPr>
        <w:t>PART III</w:t>
      </w:r>
    </w:p>
    <w:p w14:paraId="61292B5E" w14:textId="77777777" w:rsidR="00D16027" w:rsidRDefault="00000000">
      <w:pPr>
        <w:pStyle w:val="Heading1"/>
        <w:keepNext/>
        <w:pBdr>
          <w:bottom w:val="single" w:sz="12" w:space="6" w:color="2E75B6"/>
        </w:pBdr>
        <w:spacing w:after="200"/>
      </w:pPr>
      <w:r>
        <w:rPr>
          <w:sz w:val="48"/>
          <w:szCs w:val="48"/>
        </w:rPr>
        <w:t>Part III: Designing AI-Resilient Assessments</w:t>
      </w:r>
    </w:p>
    <w:p w14:paraId="03719A88" w14:textId="77777777" w:rsidR="00D16027" w:rsidRDefault="00000000">
      <w:pPr>
        <w:spacing w:before="200" w:after="120"/>
      </w:pPr>
      <w:r>
        <w:rPr>
          <w:i/>
          <w:iCs/>
          <w:color w:val="555555"/>
          <w:sz w:val="23"/>
          <w:szCs w:val="23"/>
        </w:rPr>
        <w:t>Assessing what AI cannot do, making process visible, grounding tasks in authentic context, and using oral and live assessment: the practical repertoire for securing evidence of learning.</w:t>
      </w:r>
    </w:p>
    <w:p w14:paraId="3841FDAB" w14:textId="77777777" w:rsidR="00D16027" w:rsidRDefault="00000000">
      <w:r>
        <w:br w:type="page"/>
      </w:r>
    </w:p>
    <w:p w14:paraId="56AD4DAE" w14:textId="77777777" w:rsidR="00D16027" w:rsidRDefault="00000000">
      <w:pPr>
        <w:keepNext/>
        <w:spacing w:after="40"/>
      </w:pPr>
      <w:r>
        <w:rPr>
          <w:b/>
          <w:bCs/>
          <w:caps/>
          <w:color w:val="2E75B6"/>
          <w:sz w:val="22"/>
          <w:szCs w:val="22"/>
        </w:rPr>
        <w:lastRenderedPageBreak/>
        <w:t>CHAPTER 7</w:t>
      </w:r>
    </w:p>
    <w:p w14:paraId="5189EDC4" w14:textId="77777777" w:rsidR="00D16027" w:rsidRDefault="00000000">
      <w:pPr>
        <w:pStyle w:val="Heading1"/>
        <w:keepNext/>
      </w:pPr>
      <w:r>
        <w:t>Assessing What AI Cannot Do</w:t>
      </w:r>
    </w:p>
    <w:p w14:paraId="33736513" w14:textId="77777777" w:rsidR="00D16027" w:rsidRDefault="00000000">
      <w:pPr>
        <w:pBdr>
          <w:left w:val="single" w:sz="14" w:space="10" w:color="2E75B6"/>
        </w:pBdr>
        <w:shd w:val="clear" w:color="auto" w:fill="EAF3FB"/>
        <w:spacing w:after="200"/>
      </w:pPr>
      <w:r>
        <w:rPr>
          <w:i/>
          <w:iCs/>
          <w:color w:val="333333"/>
        </w:rPr>
        <w:t>Some human capabilities remain genuinely and durably difficult for AI, not because of limits on processing but because of the nature of what is being assessed. This chapter identifies those capabilities and provides practical task-design strategies for each, across disciplines.</w:t>
      </w:r>
    </w:p>
    <w:p w14:paraId="6CF960D1"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360426BD"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Distinguish durable limits on AI, which can anchor design, from contingent limits, which cannot</w:t>
      </w:r>
    </w:p>
    <w:p w14:paraId="584F016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Recognise six categories of capability whose demonstration must be human and student-specific</w:t>
      </w:r>
    </w:p>
    <w:p w14:paraId="69F5464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Apply five design moves that relocate evidence from the product to the act</w:t>
      </w:r>
    </w:p>
    <w:p w14:paraId="0195C952"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Anticipate the equity, workload and fabrication risks of assessing embodied and live capability</w:t>
      </w:r>
    </w:p>
    <w:p w14:paraId="6A58F2C1" w14:textId="77777777" w:rsidR="00D16027" w:rsidRDefault="00000000">
      <w:pPr>
        <w:pStyle w:val="Heading2"/>
        <w:keepNext/>
      </w:pPr>
      <w:r>
        <w:t>7.1 Durable and contingent limits</w:t>
      </w:r>
    </w:p>
    <w:p w14:paraId="7165B725" w14:textId="77777777" w:rsidR="00D16027" w:rsidRDefault="00000000">
      <w:pPr>
        <w:spacing w:after="140"/>
      </w:pPr>
      <w:r>
        <w:t xml:space="preserve">Chapter 2 warned that most claims of the form "AI cannot do X" have a short shelf life. In 2023 it could not read images, do arithmetic reliably, or access current information; by 2026 it does all three. Assessment designed around such limits is designed around a snapshot. There is, however, a class of limits that does not move with the technology, because it concerns what AI </w:t>
      </w:r>
      <w:r>
        <w:rPr>
          <w:i/>
          <w:iCs/>
        </w:rPr>
        <w:t>is</w:t>
      </w:r>
      <w:r>
        <w:t xml:space="preserve"> rather than what it can process. AI cannot be the student. It cannot occupy the student's body, stand in the student's place, hold the student's relationships, carry the student's history, or bear the student's accountability. Whatever a model can generate, it cannot perform the clinical examination, attend the client meeting, be observed teaching the class, or answer for a decision made under pressure in real time. Selwyn (2019) and Luckin (2018) reach the same conclusion from different directions: the irreducibly human elements of expertise are relational, embodied, situated and accountable. Lodge et al. (2023) draw the design implication: form judgements about student learning through multiple, inclusive and contextualised approaches that rest on these elements.</w:t>
      </w:r>
    </w:p>
    <w:p w14:paraId="662FF45C" w14:textId="77777777" w:rsidR="00D16027" w:rsidRDefault="00000000">
      <w:pPr>
        <w:keepNext/>
        <w:spacing w:before="160" w:after="80"/>
      </w:pPr>
      <w:r>
        <w:rPr>
          <w:b/>
          <w:bCs/>
          <w:color w:val="1A4F7A"/>
          <w:sz w:val="20"/>
          <w:szCs w:val="20"/>
        </w:rPr>
        <w:t>Table 7.1  Contingent and durable limits on generative AI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93"/>
      </w:tblGrid>
      <w:tr w:rsidR="00D16027" w14:paraId="59D73D3D" w14:textId="77777777">
        <w:tblPrEx>
          <w:tblCellMar>
            <w:top w:w="0" w:type="dxa"/>
            <w:bottom w:w="0" w:type="dxa"/>
          </w:tblCellMar>
        </w:tblPrEx>
        <w:trPr>
          <w:cantSplit/>
          <w:tblHeader/>
        </w:trPr>
        <w:tc>
          <w:tcPr>
            <w:tcW w:w="4693" w:type="dxa"/>
            <w:shd w:val="clear" w:color="auto" w:fill="2E75B6"/>
            <w:tcMar>
              <w:top w:w="70" w:type="dxa"/>
              <w:left w:w="100" w:type="dxa"/>
              <w:bottom w:w="70" w:type="dxa"/>
              <w:right w:w="100" w:type="dxa"/>
            </w:tcMar>
          </w:tcPr>
          <w:p w14:paraId="58BE593E" w14:textId="77777777" w:rsidR="00D16027" w:rsidRDefault="00000000">
            <w:r>
              <w:rPr>
                <w:b/>
                <w:bCs/>
                <w:color w:val="FFFFFF"/>
                <w:sz w:val="19"/>
                <w:szCs w:val="19"/>
              </w:rPr>
              <w:t>Contingent limits (fading)</w:t>
            </w:r>
          </w:p>
        </w:tc>
        <w:tc>
          <w:tcPr>
            <w:tcW w:w="4693" w:type="dxa"/>
            <w:shd w:val="clear" w:color="auto" w:fill="2E75B6"/>
            <w:tcMar>
              <w:top w:w="70" w:type="dxa"/>
              <w:left w:w="100" w:type="dxa"/>
              <w:bottom w:w="70" w:type="dxa"/>
              <w:right w:w="100" w:type="dxa"/>
            </w:tcMar>
          </w:tcPr>
          <w:p w14:paraId="197287FA" w14:textId="77777777" w:rsidR="00D16027" w:rsidRDefault="00000000">
            <w:r>
              <w:rPr>
                <w:b/>
                <w:bCs/>
                <w:color w:val="FFFFFF"/>
                <w:sz w:val="19"/>
                <w:szCs w:val="19"/>
              </w:rPr>
              <w:t>Durable limits (design anchors)</w:t>
            </w:r>
          </w:p>
        </w:tc>
      </w:tr>
      <w:tr w:rsidR="00D16027" w14:paraId="1441DB95" w14:textId="77777777">
        <w:tblPrEx>
          <w:tblCellMar>
            <w:top w:w="0" w:type="dxa"/>
            <w:bottom w:w="0" w:type="dxa"/>
          </w:tblCellMar>
        </w:tblPrEx>
        <w:trPr>
          <w:cantSplit/>
        </w:trPr>
        <w:tc>
          <w:tcPr>
            <w:tcW w:w="4693" w:type="dxa"/>
            <w:tcMar>
              <w:top w:w="70" w:type="dxa"/>
              <w:left w:w="100" w:type="dxa"/>
              <w:bottom w:w="70" w:type="dxa"/>
              <w:right w:w="100" w:type="dxa"/>
            </w:tcMar>
          </w:tcPr>
          <w:p w14:paraId="31552893" w14:textId="77777777" w:rsidR="00D16027" w:rsidRDefault="00000000">
            <w:r>
              <w:rPr>
                <w:sz w:val="19"/>
                <w:szCs w:val="19"/>
              </w:rPr>
              <w:t>Cannot process images, audio or video</w:t>
            </w:r>
          </w:p>
        </w:tc>
        <w:tc>
          <w:tcPr>
            <w:tcW w:w="4693" w:type="dxa"/>
            <w:tcMar>
              <w:top w:w="70" w:type="dxa"/>
              <w:left w:w="100" w:type="dxa"/>
              <w:bottom w:w="70" w:type="dxa"/>
              <w:right w:w="100" w:type="dxa"/>
            </w:tcMar>
          </w:tcPr>
          <w:p w14:paraId="2B0259F5" w14:textId="77777777" w:rsidR="00D16027" w:rsidRDefault="00000000">
            <w:r>
              <w:rPr>
                <w:sz w:val="19"/>
                <w:szCs w:val="19"/>
              </w:rPr>
              <w:t>Cannot be physically present or perform an embodied act</w:t>
            </w:r>
          </w:p>
        </w:tc>
      </w:tr>
      <w:tr w:rsidR="00D16027" w14:paraId="04388D0B" w14:textId="77777777">
        <w:tblPrEx>
          <w:tblCellMar>
            <w:top w:w="0" w:type="dxa"/>
            <w:bottom w:w="0" w:type="dxa"/>
          </w:tblCellMar>
        </w:tblPrEx>
        <w:trPr>
          <w:cantSplit/>
        </w:trPr>
        <w:tc>
          <w:tcPr>
            <w:tcW w:w="4693" w:type="dxa"/>
            <w:tcMar>
              <w:top w:w="70" w:type="dxa"/>
              <w:left w:w="100" w:type="dxa"/>
              <w:bottom w:w="70" w:type="dxa"/>
              <w:right w:w="100" w:type="dxa"/>
            </w:tcMar>
          </w:tcPr>
          <w:p w14:paraId="3D9192DC" w14:textId="77777777" w:rsidR="00D16027" w:rsidRDefault="00000000">
            <w:r>
              <w:rPr>
                <w:sz w:val="19"/>
                <w:szCs w:val="19"/>
              </w:rPr>
              <w:t>Makes arithmetic and multi-step reasoning errors</w:t>
            </w:r>
          </w:p>
        </w:tc>
        <w:tc>
          <w:tcPr>
            <w:tcW w:w="4693" w:type="dxa"/>
            <w:tcMar>
              <w:top w:w="70" w:type="dxa"/>
              <w:left w:w="100" w:type="dxa"/>
              <w:bottom w:w="70" w:type="dxa"/>
              <w:right w:w="100" w:type="dxa"/>
            </w:tcMar>
          </w:tcPr>
          <w:p w14:paraId="14BBD073" w14:textId="77777777" w:rsidR="00D16027" w:rsidRDefault="00000000">
            <w:r>
              <w:rPr>
                <w:sz w:val="19"/>
                <w:szCs w:val="19"/>
              </w:rPr>
              <w:t>Cannot be accountable for a judgement in a specific situation</w:t>
            </w:r>
          </w:p>
        </w:tc>
      </w:tr>
      <w:tr w:rsidR="00D16027" w14:paraId="5C1F252D" w14:textId="77777777">
        <w:tblPrEx>
          <w:tblCellMar>
            <w:top w:w="0" w:type="dxa"/>
            <w:bottom w:w="0" w:type="dxa"/>
          </w:tblCellMar>
        </w:tblPrEx>
        <w:trPr>
          <w:cantSplit/>
        </w:trPr>
        <w:tc>
          <w:tcPr>
            <w:tcW w:w="4693" w:type="dxa"/>
            <w:tcMar>
              <w:top w:w="70" w:type="dxa"/>
              <w:left w:w="100" w:type="dxa"/>
              <w:bottom w:w="70" w:type="dxa"/>
              <w:right w:w="100" w:type="dxa"/>
            </w:tcMar>
          </w:tcPr>
          <w:p w14:paraId="08879A7E" w14:textId="77777777" w:rsidR="00D16027" w:rsidRDefault="00000000">
            <w:r>
              <w:rPr>
                <w:sz w:val="19"/>
                <w:szCs w:val="19"/>
              </w:rPr>
              <w:t>Does not know about recent events or local documents</w:t>
            </w:r>
          </w:p>
        </w:tc>
        <w:tc>
          <w:tcPr>
            <w:tcW w:w="4693" w:type="dxa"/>
            <w:tcMar>
              <w:top w:w="70" w:type="dxa"/>
              <w:left w:w="100" w:type="dxa"/>
              <w:bottom w:w="70" w:type="dxa"/>
              <w:right w:w="100" w:type="dxa"/>
            </w:tcMar>
          </w:tcPr>
          <w:p w14:paraId="553E8FCA" w14:textId="77777777" w:rsidR="00D16027" w:rsidRDefault="00000000">
            <w:r>
              <w:rPr>
                <w:sz w:val="19"/>
                <w:szCs w:val="19"/>
              </w:rPr>
              <w:t>Cannot have the student's own experience, relationships or history</w:t>
            </w:r>
          </w:p>
        </w:tc>
      </w:tr>
      <w:tr w:rsidR="00D16027" w14:paraId="5C6B6203" w14:textId="77777777">
        <w:tblPrEx>
          <w:tblCellMar>
            <w:top w:w="0" w:type="dxa"/>
            <w:bottom w:w="0" w:type="dxa"/>
          </w:tblCellMar>
        </w:tblPrEx>
        <w:trPr>
          <w:cantSplit/>
        </w:trPr>
        <w:tc>
          <w:tcPr>
            <w:tcW w:w="4693" w:type="dxa"/>
            <w:tcMar>
              <w:top w:w="70" w:type="dxa"/>
              <w:left w:w="100" w:type="dxa"/>
              <w:bottom w:w="70" w:type="dxa"/>
              <w:right w:w="100" w:type="dxa"/>
            </w:tcMar>
          </w:tcPr>
          <w:p w14:paraId="31E225A9" w14:textId="77777777" w:rsidR="00D16027" w:rsidRDefault="00000000">
            <w:r>
              <w:rPr>
                <w:sz w:val="19"/>
                <w:szCs w:val="19"/>
              </w:rPr>
              <w:t>Fabricates references</w:t>
            </w:r>
          </w:p>
        </w:tc>
        <w:tc>
          <w:tcPr>
            <w:tcW w:w="4693" w:type="dxa"/>
            <w:tcMar>
              <w:top w:w="70" w:type="dxa"/>
              <w:left w:w="100" w:type="dxa"/>
              <w:bottom w:w="70" w:type="dxa"/>
              <w:right w:w="100" w:type="dxa"/>
            </w:tcMar>
          </w:tcPr>
          <w:p w14:paraId="4BCB96F7" w14:textId="77777777" w:rsidR="00D16027" w:rsidRDefault="00000000">
            <w:r>
              <w:rPr>
                <w:sz w:val="19"/>
                <w:szCs w:val="19"/>
              </w:rPr>
              <w:t>Cannot generate data that does not yet exist from a process it did not perform</w:t>
            </w:r>
          </w:p>
        </w:tc>
      </w:tr>
      <w:tr w:rsidR="00D16027" w14:paraId="70C906E3" w14:textId="77777777">
        <w:tblPrEx>
          <w:tblCellMar>
            <w:top w:w="0" w:type="dxa"/>
            <w:bottom w:w="0" w:type="dxa"/>
          </w:tblCellMar>
        </w:tblPrEx>
        <w:trPr>
          <w:cantSplit/>
        </w:trPr>
        <w:tc>
          <w:tcPr>
            <w:tcW w:w="4693" w:type="dxa"/>
            <w:tcMar>
              <w:top w:w="70" w:type="dxa"/>
              <w:left w:w="100" w:type="dxa"/>
              <w:bottom w:w="70" w:type="dxa"/>
              <w:right w:w="100" w:type="dxa"/>
            </w:tcMar>
          </w:tcPr>
          <w:p w14:paraId="1E9BF697" w14:textId="77777777" w:rsidR="00D16027" w:rsidRDefault="00000000">
            <w:r>
              <w:rPr>
                <w:sz w:val="19"/>
                <w:szCs w:val="19"/>
              </w:rPr>
              <w:t>Writes in a recognisable generic style</w:t>
            </w:r>
          </w:p>
        </w:tc>
        <w:tc>
          <w:tcPr>
            <w:tcW w:w="4693" w:type="dxa"/>
            <w:tcMar>
              <w:top w:w="70" w:type="dxa"/>
              <w:left w:w="100" w:type="dxa"/>
              <w:bottom w:w="70" w:type="dxa"/>
              <w:right w:w="100" w:type="dxa"/>
            </w:tcMar>
          </w:tcPr>
          <w:p w14:paraId="604FCF1A" w14:textId="77777777" w:rsidR="00D16027" w:rsidRDefault="00000000">
            <w:r>
              <w:rPr>
                <w:sz w:val="19"/>
                <w:szCs w:val="19"/>
              </w:rPr>
              <w:t>Cannot think aloud in dialogue with an assessor and respond to the unexpected</w:t>
            </w:r>
          </w:p>
        </w:tc>
      </w:tr>
    </w:tbl>
    <w:p w14:paraId="6B1A28A0" w14:textId="77777777" w:rsidR="00D16027" w:rsidRDefault="00D16027">
      <w:pPr>
        <w:spacing w:after="120"/>
      </w:pPr>
    </w:p>
    <w:p w14:paraId="65956D32" w14:textId="77777777" w:rsidR="00D16027" w:rsidRDefault="00000000">
      <w:pPr>
        <w:pStyle w:val="Heading2"/>
        <w:keepNext/>
      </w:pPr>
      <w:r>
        <w:t>7.2 Six categories of durably human capability</w:t>
      </w:r>
    </w:p>
    <w:p w14:paraId="308B06BC" w14:textId="77777777" w:rsidR="00D16027" w:rsidRDefault="00000000">
      <w:pPr>
        <w:spacing w:after="140"/>
      </w:pPr>
      <w:r>
        <w:rPr>
          <w:b/>
          <w:bCs/>
        </w:rPr>
        <w:t>Embodied and experiential capability.</w:t>
      </w:r>
      <w:r>
        <w:t xml:space="preserve"> Miller (1990) described clinical competence as a pyramid: knows, knows how, shows how, does. Generative AI has collapsed the bottom two layers, which were assessed by written tests, and left the top two intact. The Objective Structured Clinical Examination (Harden &amp; Gleeson 1979) was built for "shows how", and its logic transfers far beyond medicine: laboratory practical examinations, engineering workshop tasks, studio work, sport and exercise science, veterinary and dental skills, culinary arts, and any capability whose demonstration is a physical act. The design principle is to assess the doing, and to require artefacts that could only have come from doing: timestamped photographs of the bench, instrument logs, raw data files, supervisor sign-off. AI can write a lab report; it cannot run the titration (Nikolic et al. 2023).</w:t>
      </w:r>
    </w:p>
    <w:p w14:paraId="608E1F87" w14:textId="77777777" w:rsidR="00D16027" w:rsidRDefault="00000000">
      <w:pPr>
        <w:spacing w:after="140"/>
      </w:pPr>
      <w:r>
        <w:rPr>
          <w:b/>
          <w:bCs/>
        </w:rPr>
        <w:lastRenderedPageBreak/>
        <w:t>Situated ethical reasoning and professional judgement.</w:t>
      </w:r>
      <w:r>
        <w:t xml:space="preserve"> AI produces competent generic ethical analysis on demand. What it cannot do is make a judgement for which it is accountable, in a specific situation, with specific people and constraints. Schön (1983) distinguished reflection-on-action from reflection-in-action, and it is the latter, the judgement made in the moment, that assessment should target. Design: dilemmas drawn from the student's own placement rather than the textbook; role-played ethics consultations with a decision required and defended; case conferences in which the student states what they did and why. Holmes and </w:t>
      </w:r>
      <w:proofErr w:type="spellStart"/>
      <w:r>
        <w:t>Porayska-Pomsta</w:t>
      </w:r>
      <w:proofErr w:type="spellEnd"/>
      <w:r>
        <w:t xml:space="preserve"> (2022) note that ethical competence in AI-rich professions increasingly includes judging when </w:t>
      </w:r>
      <w:r>
        <w:rPr>
          <w:i/>
          <w:iCs/>
        </w:rPr>
        <w:t>not</w:t>
      </w:r>
      <w:r>
        <w:t xml:space="preserve"> to rely on the machine, which is itself assessable.</w:t>
      </w:r>
    </w:p>
    <w:p w14:paraId="475C77F4" w14:textId="77777777" w:rsidR="00D16027" w:rsidRDefault="00000000">
      <w:pPr>
        <w:spacing w:after="140"/>
      </w:pPr>
      <w:r>
        <w:rPr>
          <w:b/>
          <w:bCs/>
        </w:rPr>
        <w:t>Interpersonal and relational capability.</w:t>
      </w:r>
      <w:r>
        <w:t xml:space="preserve"> Facilitation, counselling, teaching, leadership, negotiation, interviewing and care are enacted between people and can only be assessed by observing the enactment. Standardised patients and clients (Barrows 1993), observed practice, recorded interactions with the student's own analysis, and structured peer and observer ratings in group work all place the evidence in the interaction. </w:t>
      </w:r>
      <w:proofErr w:type="spellStart"/>
      <w:r>
        <w:t>Sotiriadou</w:t>
      </w:r>
      <w:proofErr w:type="spellEnd"/>
      <w:r>
        <w:t xml:space="preserve"> et al. (2020) found that interactive oral assessment developed exactly the communication and professional skills employers report as scarce.</w:t>
      </w:r>
    </w:p>
    <w:p w14:paraId="4172936C" w14:textId="77777777" w:rsidR="00D16027" w:rsidRDefault="00000000">
      <w:pPr>
        <w:spacing w:after="140"/>
      </w:pPr>
      <w:r>
        <w:rPr>
          <w:b/>
          <w:bCs/>
        </w:rPr>
        <w:t>Original inquiry with data that does not yet exist.</w:t>
      </w:r>
      <w:r>
        <w:t xml:space="preserve"> Primary research, fieldwork, archival discovery, experiments and surveys produce data that no model has seen because no one had it. AI cannot generate such data; it can fabricate plausible data, which is why provenance is the design requirement. Raw files with timestamps, ethics approvals, supervisor logs, instrument outputs and the ability to explain anomalies in one's own results together make the inquiry </w:t>
      </w:r>
      <w:proofErr w:type="spellStart"/>
      <w:r>
        <w:t>evidenceable</w:t>
      </w:r>
      <w:proofErr w:type="spellEnd"/>
      <w:r>
        <w:t xml:space="preserve">. </w:t>
      </w:r>
      <w:proofErr w:type="spellStart"/>
      <w:r>
        <w:t>Kortemeyer</w:t>
      </w:r>
      <w:proofErr w:type="spellEnd"/>
      <w:r>
        <w:t xml:space="preserve"> (2023) found that AI could produce marginally passing physics solutions but had no access to the specific measurement the student had taken.</w:t>
      </w:r>
    </w:p>
    <w:p w14:paraId="638E7085" w14:textId="77777777" w:rsidR="00D16027" w:rsidRDefault="00000000">
      <w:pPr>
        <w:spacing w:after="140"/>
      </w:pPr>
      <w:r>
        <w:rPr>
          <w:b/>
          <w:bCs/>
        </w:rPr>
        <w:t>Creative work with personal voice and cultural specificity.</w:t>
      </w:r>
      <w:r>
        <w:t xml:space="preserve"> This category requires care, because AI produces competent creative text, image and sound. The durable element is not the artefact but the making: the sequence of decisions, the relationship of the work to the maker's own context and intentions, and the live presentation of the work to an audience. Studio critique, portfolios with process evidence, artist statements defended in conversation, iterative workshopping and live performance all locate the evidence there. Fawns et al. (2024) caution that AI is now part of authentic creative practice; the point is to assess the judgement exercised in using it, not to pretend it is absent.</w:t>
      </w:r>
    </w:p>
    <w:p w14:paraId="6A7F99CC" w14:textId="77777777" w:rsidR="00D16027" w:rsidRDefault="00000000">
      <w:pPr>
        <w:spacing w:after="140"/>
      </w:pPr>
      <w:r>
        <w:rPr>
          <w:b/>
          <w:bCs/>
        </w:rPr>
        <w:t>Live, real-time intellectual performance.</w:t>
      </w:r>
      <w:r>
        <w:t xml:space="preserve"> Thinking in dialogue, responding to a question that could not have been prepared, extending an argument under challenge: these are the oldest forms of academic assessment (Stray 2001) and the most resistant to substitution. Vivas, interactive orals, moots, debates, Socratic seminars and cold problem-solving in class are treated in Chapter 10. Bearman and </w:t>
      </w:r>
      <w:proofErr w:type="spellStart"/>
      <w:r>
        <w:t>Ajjawi</w:t>
      </w:r>
      <w:proofErr w:type="spellEnd"/>
      <w:r>
        <w:t xml:space="preserve"> (2023) argue that the ability to reason about a black box in real time is now a graduate capability in its own right.</w:t>
      </w:r>
    </w:p>
    <w:p w14:paraId="3C3C0E23" w14:textId="77777777" w:rsidR="00D16027" w:rsidRDefault="00000000">
      <w:pPr>
        <w:spacing w:after="140"/>
      </w:pPr>
      <w:r>
        <w:rPr>
          <w:b/>
          <w:bCs/>
        </w:rPr>
        <w:t>A note on proof-based disciplines.</w:t>
      </w:r>
      <w:r>
        <w:t xml:space="preserve"> Mathematics, theoretical physics, formal logic and analytic philosophy present a special case, because the product </w:t>
      </w:r>
      <w:r>
        <w:rPr>
          <w:i/>
          <w:iCs/>
        </w:rPr>
        <w:t>is</w:t>
      </w:r>
      <w:r>
        <w:t xml:space="preserve"> the reasoning: there is no separate act to observe. Frieder et al. (2023) found models weak on novel proofs while fluent on standard ones, and the gap has narrowed since. The durable element here is the live reasoning: a proof written on a board and defended, a problem with parameters unique to the student worked in class, an oral in which the student explains why a step is valid and what would break if a hypothesis were dropped. Several departments now treat AI-assisted proof search as an authentic research practice to be integrated and declared, while securing the evidence of understanding through in-class proof writing and oral defence.</w:t>
      </w:r>
    </w:p>
    <w:p w14:paraId="66F72530" w14:textId="77777777" w:rsidR="00D16027" w:rsidRDefault="00000000">
      <w:pPr>
        <w:pStyle w:val="Heading2"/>
        <w:keepNext/>
      </w:pPr>
      <w:r>
        <w:t>7.3 Five design moves</w:t>
      </w:r>
    </w:p>
    <w:p w14:paraId="325A7F6D" w14:textId="77777777" w:rsidR="00D16027" w:rsidRDefault="00000000">
      <w:pPr>
        <w:spacing w:after="140"/>
      </w:pPr>
      <w:r>
        <w:t>Across the six categories, five moves relocate the evidence from something AI can supply to something only the student can.</w:t>
      </w:r>
    </w:p>
    <w:p w14:paraId="54D73C08" w14:textId="77777777" w:rsidR="00D16027" w:rsidRDefault="00000000">
      <w:pPr>
        <w:pStyle w:val="ListParagraph"/>
        <w:numPr>
          <w:ilvl w:val="0"/>
          <w:numId w:val="5"/>
        </w:numPr>
        <w:spacing w:before="40" w:after="70"/>
      </w:pPr>
      <w:r>
        <w:rPr>
          <w:b/>
          <w:bCs/>
        </w:rPr>
        <w:t>Move the evidence from product to act.</w:t>
      </w:r>
      <w:r>
        <w:t xml:space="preserve"> Assess the examination, the experiment, the negotiation, the performance, the lesson; treat any written product as a record of the act rather than the object of assessment.</w:t>
      </w:r>
    </w:p>
    <w:p w14:paraId="6026EB07" w14:textId="77777777" w:rsidR="00D16027" w:rsidRDefault="00000000">
      <w:pPr>
        <w:pStyle w:val="ListParagraph"/>
        <w:numPr>
          <w:ilvl w:val="0"/>
          <w:numId w:val="5"/>
        </w:numPr>
        <w:spacing w:before="40" w:after="70"/>
      </w:pPr>
      <w:r>
        <w:rPr>
          <w:b/>
          <w:bCs/>
        </w:rPr>
        <w:lastRenderedPageBreak/>
        <w:t>Require artefacts of doing.</w:t>
      </w:r>
      <w:r>
        <w:t xml:space="preserve"> Raw data, dated notebooks, photographs, instrument logs, recordings, commit histories, supervisor sign-off. Ask for the residue that doing leaves behind.</w:t>
      </w:r>
    </w:p>
    <w:p w14:paraId="50134981" w14:textId="77777777" w:rsidR="00D16027" w:rsidRDefault="00000000">
      <w:pPr>
        <w:pStyle w:val="ListParagraph"/>
        <w:numPr>
          <w:ilvl w:val="0"/>
          <w:numId w:val="5"/>
        </w:numPr>
        <w:spacing w:before="40" w:after="70"/>
      </w:pPr>
      <w:r>
        <w:rPr>
          <w:b/>
          <w:bCs/>
        </w:rPr>
        <w:t>Insert the unexpected.</w:t>
      </w:r>
      <w:r>
        <w:t xml:space="preserve"> Facts released on the day, a question chosen by the assessor, a parameter that changes per student, a client whose priorities shift mid-project. AI can prepare; it cannot improvise on the student's behalf in the room.</w:t>
      </w:r>
    </w:p>
    <w:p w14:paraId="0EF7AB2A" w14:textId="77777777" w:rsidR="00D16027" w:rsidRDefault="00000000">
      <w:pPr>
        <w:pStyle w:val="ListParagraph"/>
        <w:numPr>
          <w:ilvl w:val="0"/>
          <w:numId w:val="5"/>
        </w:numPr>
        <w:spacing w:before="40" w:after="70"/>
      </w:pPr>
      <w:r>
        <w:rPr>
          <w:b/>
          <w:bCs/>
        </w:rPr>
        <w:t>Anchor in the student's own situation.</w:t>
      </w:r>
      <w:r>
        <w:t xml:space="preserve"> Their placement, their data, their client, their class, their prior work. Specificity that only the student possesses cannot be prompted for (Chapter 9).</w:t>
      </w:r>
    </w:p>
    <w:p w14:paraId="4E6E20CE" w14:textId="77777777" w:rsidR="00D16027" w:rsidRDefault="00000000">
      <w:pPr>
        <w:pStyle w:val="ListParagraph"/>
        <w:numPr>
          <w:ilvl w:val="0"/>
          <w:numId w:val="5"/>
        </w:numPr>
        <w:spacing w:before="40" w:after="70"/>
      </w:pPr>
      <w:r>
        <w:rPr>
          <w:b/>
          <w:bCs/>
        </w:rPr>
        <w:t>Assess the decision, not the description.</w:t>
      </w:r>
      <w:r>
        <w:t xml:space="preserve"> Ask what the student did, chose, rejected and would do differently, and why. Descriptions of good practice are AI's native genre; accounts of one's own decisions are not.</w:t>
      </w:r>
    </w:p>
    <w:p w14:paraId="71ED61AA" w14:textId="77777777" w:rsidR="00D16027" w:rsidRDefault="00000000">
      <w:pPr>
        <w:keepNext/>
        <w:spacing w:before="160" w:after="80"/>
      </w:pPr>
      <w:r>
        <w:rPr>
          <w:b/>
          <w:bCs/>
          <w:color w:val="1A4F7A"/>
          <w:sz w:val="20"/>
          <w:szCs w:val="20"/>
        </w:rPr>
        <w:t>Table 7.2  Six capabilities, five moves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499"/>
        <w:gridCol w:w="1798"/>
        <w:gridCol w:w="1997"/>
        <w:gridCol w:w="2781"/>
      </w:tblGrid>
      <w:tr w:rsidR="00D16027" w14:paraId="50EA026A" w14:textId="77777777">
        <w:tblPrEx>
          <w:tblCellMar>
            <w:top w:w="0" w:type="dxa"/>
            <w:bottom w:w="0" w:type="dxa"/>
          </w:tblCellMar>
        </w:tblPrEx>
        <w:trPr>
          <w:cantSplit/>
          <w:tblHeader/>
        </w:trPr>
        <w:tc>
          <w:tcPr>
            <w:tcW w:w="1300" w:type="dxa"/>
            <w:shd w:val="clear" w:color="auto" w:fill="2E75B6"/>
            <w:tcMar>
              <w:top w:w="70" w:type="dxa"/>
              <w:left w:w="100" w:type="dxa"/>
              <w:bottom w:w="70" w:type="dxa"/>
              <w:right w:w="100" w:type="dxa"/>
            </w:tcMar>
          </w:tcPr>
          <w:p w14:paraId="3AC8A700" w14:textId="77777777" w:rsidR="00D16027" w:rsidRDefault="00000000">
            <w:r>
              <w:rPr>
                <w:b/>
                <w:bCs/>
                <w:color w:val="FFFFFF"/>
                <w:sz w:val="19"/>
                <w:szCs w:val="19"/>
              </w:rPr>
              <w:t>Capability</w:t>
            </w:r>
          </w:p>
        </w:tc>
        <w:tc>
          <w:tcPr>
            <w:tcW w:w="1500" w:type="dxa"/>
            <w:shd w:val="clear" w:color="auto" w:fill="2E75B6"/>
            <w:tcMar>
              <w:top w:w="70" w:type="dxa"/>
              <w:left w:w="100" w:type="dxa"/>
              <w:bottom w:w="70" w:type="dxa"/>
              <w:right w:w="100" w:type="dxa"/>
            </w:tcMar>
          </w:tcPr>
          <w:p w14:paraId="3EBB88BC" w14:textId="77777777" w:rsidR="00D16027" w:rsidRDefault="00000000">
            <w:r>
              <w:rPr>
                <w:b/>
                <w:bCs/>
                <w:color w:val="FFFFFF"/>
                <w:sz w:val="19"/>
                <w:szCs w:val="19"/>
              </w:rPr>
              <w:t>What AI can fake</w:t>
            </w:r>
          </w:p>
        </w:tc>
        <w:tc>
          <w:tcPr>
            <w:tcW w:w="1800" w:type="dxa"/>
            <w:shd w:val="clear" w:color="auto" w:fill="2E75B6"/>
            <w:tcMar>
              <w:top w:w="70" w:type="dxa"/>
              <w:left w:w="100" w:type="dxa"/>
              <w:bottom w:w="70" w:type="dxa"/>
              <w:right w:w="100" w:type="dxa"/>
            </w:tcMar>
          </w:tcPr>
          <w:p w14:paraId="3B79770E" w14:textId="77777777" w:rsidR="00D16027" w:rsidRDefault="00000000">
            <w:r>
              <w:rPr>
                <w:b/>
                <w:bCs/>
                <w:color w:val="FFFFFF"/>
                <w:sz w:val="19"/>
                <w:szCs w:val="19"/>
              </w:rPr>
              <w:t>What it cannot</w:t>
            </w:r>
          </w:p>
        </w:tc>
        <w:tc>
          <w:tcPr>
            <w:tcW w:w="2000" w:type="dxa"/>
            <w:shd w:val="clear" w:color="auto" w:fill="2E75B6"/>
            <w:tcMar>
              <w:top w:w="70" w:type="dxa"/>
              <w:left w:w="100" w:type="dxa"/>
              <w:bottom w:w="70" w:type="dxa"/>
              <w:right w:w="100" w:type="dxa"/>
            </w:tcMar>
          </w:tcPr>
          <w:p w14:paraId="3DD916FF" w14:textId="77777777" w:rsidR="00D16027" w:rsidRDefault="00000000">
            <w:r>
              <w:rPr>
                <w:b/>
                <w:bCs/>
                <w:color w:val="FFFFFF"/>
                <w:sz w:val="19"/>
                <w:szCs w:val="19"/>
              </w:rPr>
              <w:t>Design move</w:t>
            </w:r>
          </w:p>
        </w:tc>
        <w:tc>
          <w:tcPr>
            <w:tcW w:w="2786" w:type="dxa"/>
            <w:shd w:val="clear" w:color="auto" w:fill="2E75B6"/>
            <w:tcMar>
              <w:top w:w="70" w:type="dxa"/>
              <w:left w:w="100" w:type="dxa"/>
              <w:bottom w:w="70" w:type="dxa"/>
              <w:right w:w="100" w:type="dxa"/>
            </w:tcMar>
          </w:tcPr>
          <w:p w14:paraId="4C541658" w14:textId="77777777" w:rsidR="00D16027" w:rsidRDefault="00000000">
            <w:r>
              <w:rPr>
                <w:b/>
                <w:bCs/>
                <w:color w:val="FFFFFF"/>
                <w:sz w:val="19"/>
                <w:szCs w:val="19"/>
              </w:rPr>
              <w:t>Examples</w:t>
            </w:r>
          </w:p>
        </w:tc>
      </w:tr>
      <w:tr w:rsidR="00D16027" w14:paraId="1DBDD036" w14:textId="77777777">
        <w:tblPrEx>
          <w:tblCellMar>
            <w:top w:w="0" w:type="dxa"/>
            <w:bottom w:w="0" w:type="dxa"/>
          </w:tblCellMar>
        </w:tblPrEx>
        <w:trPr>
          <w:cantSplit/>
        </w:trPr>
        <w:tc>
          <w:tcPr>
            <w:tcW w:w="1300" w:type="dxa"/>
            <w:tcMar>
              <w:top w:w="70" w:type="dxa"/>
              <w:left w:w="100" w:type="dxa"/>
              <w:bottom w:w="70" w:type="dxa"/>
              <w:right w:w="100" w:type="dxa"/>
            </w:tcMar>
          </w:tcPr>
          <w:p w14:paraId="3C6B6B2F" w14:textId="77777777" w:rsidR="00D16027" w:rsidRDefault="00000000">
            <w:r>
              <w:rPr>
                <w:sz w:val="19"/>
                <w:szCs w:val="19"/>
              </w:rPr>
              <w:t>Embodied</w:t>
            </w:r>
          </w:p>
        </w:tc>
        <w:tc>
          <w:tcPr>
            <w:tcW w:w="1500" w:type="dxa"/>
            <w:tcMar>
              <w:top w:w="70" w:type="dxa"/>
              <w:left w:w="100" w:type="dxa"/>
              <w:bottom w:w="70" w:type="dxa"/>
              <w:right w:w="100" w:type="dxa"/>
            </w:tcMar>
          </w:tcPr>
          <w:p w14:paraId="7FFBB945" w14:textId="77777777" w:rsidR="00D16027" w:rsidRDefault="00000000">
            <w:r>
              <w:rPr>
                <w:sz w:val="19"/>
                <w:szCs w:val="19"/>
              </w:rPr>
              <w:t>The write-up</w:t>
            </w:r>
          </w:p>
        </w:tc>
        <w:tc>
          <w:tcPr>
            <w:tcW w:w="1800" w:type="dxa"/>
            <w:tcMar>
              <w:top w:w="70" w:type="dxa"/>
              <w:left w:w="100" w:type="dxa"/>
              <w:bottom w:w="70" w:type="dxa"/>
              <w:right w:w="100" w:type="dxa"/>
            </w:tcMar>
          </w:tcPr>
          <w:p w14:paraId="76FF8C0A" w14:textId="77777777" w:rsidR="00D16027" w:rsidRDefault="00000000">
            <w:r>
              <w:rPr>
                <w:sz w:val="19"/>
                <w:szCs w:val="19"/>
              </w:rPr>
              <w:t>The act and its residue</w:t>
            </w:r>
          </w:p>
        </w:tc>
        <w:tc>
          <w:tcPr>
            <w:tcW w:w="2000" w:type="dxa"/>
            <w:tcMar>
              <w:top w:w="70" w:type="dxa"/>
              <w:left w:w="100" w:type="dxa"/>
              <w:bottom w:w="70" w:type="dxa"/>
              <w:right w:w="100" w:type="dxa"/>
            </w:tcMar>
          </w:tcPr>
          <w:p w14:paraId="44AC6520" w14:textId="77777777" w:rsidR="00D16027" w:rsidRDefault="00000000">
            <w:r>
              <w:rPr>
                <w:sz w:val="19"/>
                <w:szCs w:val="19"/>
              </w:rPr>
              <w:t>Product to act; artefacts of doing</w:t>
            </w:r>
          </w:p>
        </w:tc>
        <w:tc>
          <w:tcPr>
            <w:tcW w:w="2786" w:type="dxa"/>
            <w:tcMar>
              <w:top w:w="70" w:type="dxa"/>
              <w:left w:w="100" w:type="dxa"/>
              <w:bottom w:w="70" w:type="dxa"/>
              <w:right w:w="100" w:type="dxa"/>
            </w:tcMar>
          </w:tcPr>
          <w:p w14:paraId="24B06274" w14:textId="77777777" w:rsidR="00D16027" w:rsidRDefault="00000000">
            <w:r>
              <w:rPr>
                <w:sz w:val="19"/>
                <w:szCs w:val="19"/>
              </w:rPr>
              <w:t>OSCE; lab practical exam; workshop task; sports coaching observation</w:t>
            </w:r>
          </w:p>
        </w:tc>
      </w:tr>
      <w:tr w:rsidR="00D16027" w14:paraId="7B6211DC" w14:textId="77777777">
        <w:tblPrEx>
          <w:tblCellMar>
            <w:top w:w="0" w:type="dxa"/>
            <w:bottom w:w="0" w:type="dxa"/>
          </w:tblCellMar>
        </w:tblPrEx>
        <w:trPr>
          <w:cantSplit/>
        </w:trPr>
        <w:tc>
          <w:tcPr>
            <w:tcW w:w="1300" w:type="dxa"/>
            <w:tcMar>
              <w:top w:w="70" w:type="dxa"/>
              <w:left w:w="100" w:type="dxa"/>
              <w:bottom w:w="70" w:type="dxa"/>
              <w:right w:w="100" w:type="dxa"/>
            </w:tcMar>
          </w:tcPr>
          <w:p w14:paraId="15E979D1" w14:textId="77777777" w:rsidR="00D16027" w:rsidRDefault="00000000">
            <w:r>
              <w:rPr>
                <w:sz w:val="19"/>
                <w:szCs w:val="19"/>
              </w:rPr>
              <w:t>Situated ethics</w:t>
            </w:r>
          </w:p>
        </w:tc>
        <w:tc>
          <w:tcPr>
            <w:tcW w:w="1500" w:type="dxa"/>
            <w:tcMar>
              <w:top w:w="70" w:type="dxa"/>
              <w:left w:w="100" w:type="dxa"/>
              <w:bottom w:w="70" w:type="dxa"/>
              <w:right w:w="100" w:type="dxa"/>
            </w:tcMar>
          </w:tcPr>
          <w:p w14:paraId="38F3045E" w14:textId="77777777" w:rsidR="00D16027" w:rsidRDefault="00000000">
            <w:r>
              <w:rPr>
                <w:sz w:val="19"/>
                <w:szCs w:val="19"/>
              </w:rPr>
              <w:t>Generic analysis</w:t>
            </w:r>
          </w:p>
        </w:tc>
        <w:tc>
          <w:tcPr>
            <w:tcW w:w="1800" w:type="dxa"/>
            <w:tcMar>
              <w:top w:w="70" w:type="dxa"/>
              <w:left w:w="100" w:type="dxa"/>
              <w:bottom w:w="70" w:type="dxa"/>
              <w:right w:w="100" w:type="dxa"/>
            </w:tcMar>
          </w:tcPr>
          <w:p w14:paraId="5DFB61E3" w14:textId="77777777" w:rsidR="00D16027" w:rsidRDefault="00000000">
            <w:r>
              <w:rPr>
                <w:sz w:val="19"/>
                <w:szCs w:val="19"/>
              </w:rPr>
              <w:t>Accountable judgement in context</w:t>
            </w:r>
          </w:p>
        </w:tc>
        <w:tc>
          <w:tcPr>
            <w:tcW w:w="2000" w:type="dxa"/>
            <w:tcMar>
              <w:top w:w="70" w:type="dxa"/>
              <w:left w:w="100" w:type="dxa"/>
              <w:bottom w:w="70" w:type="dxa"/>
              <w:right w:w="100" w:type="dxa"/>
            </w:tcMar>
          </w:tcPr>
          <w:p w14:paraId="0FE73635" w14:textId="77777777" w:rsidR="00D16027" w:rsidRDefault="00000000">
            <w:r>
              <w:rPr>
                <w:sz w:val="19"/>
                <w:szCs w:val="19"/>
              </w:rPr>
              <w:t>Assess the decision</w:t>
            </w:r>
          </w:p>
        </w:tc>
        <w:tc>
          <w:tcPr>
            <w:tcW w:w="2786" w:type="dxa"/>
            <w:tcMar>
              <w:top w:w="70" w:type="dxa"/>
              <w:left w:w="100" w:type="dxa"/>
              <w:bottom w:w="70" w:type="dxa"/>
              <w:right w:w="100" w:type="dxa"/>
            </w:tcMar>
          </w:tcPr>
          <w:p w14:paraId="34174295" w14:textId="77777777" w:rsidR="00D16027" w:rsidRDefault="00000000">
            <w:r>
              <w:rPr>
                <w:sz w:val="19"/>
                <w:szCs w:val="19"/>
              </w:rPr>
              <w:t>Placement dilemma conference; ethics consultation role-play; engineering safety sign-off</w:t>
            </w:r>
          </w:p>
        </w:tc>
      </w:tr>
      <w:tr w:rsidR="00D16027" w14:paraId="11BE2979" w14:textId="77777777">
        <w:tblPrEx>
          <w:tblCellMar>
            <w:top w:w="0" w:type="dxa"/>
            <w:bottom w:w="0" w:type="dxa"/>
          </w:tblCellMar>
        </w:tblPrEx>
        <w:trPr>
          <w:cantSplit/>
        </w:trPr>
        <w:tc>
          <w:tcPr>
            <w:tcW w:w="1300" w:type="dxa"/>
            <w:tcMar>
              <w:top w:w="70" w:type="dxa"/>
              <w:left w:w="100" w:type="dxa"/>
              <w:bottom w:w="70" w:type="dxa"/>
              <w:right w:w="100" w:type="dxa"/>
            </w:tcMar>
          </w:tcPr>
          <w:p w14:paraId="7C542CEA" w14:textId="77777777" w:rsidR="00D16027" w:rsidRDefault="00000000">
            <w:r>
              <w:rPr>
                <w:sz w:val="19"/>
                <w:szCs w:val="19"/>
              </w:rPr>
              <w:t>Interpersonal</w:t>
            </w:r>
          </w:p>
        </w:tc>
        <w:tc>
          <w:tcPr>
            <w:tcW w:w="1500" w:type="dxa"/>
            <w:tcMar>
              <w:top w:w="70" w:type="dxa"/>
              <w:left w:w="100" w:type="dxa"/>
              <w:bottom w:w="70" w:type="dxa"/>
              <w:right w:w="100" w:type="dxa"/>
            </w:tcMar>
          </w:tcPr>
          <w:p w14:paraId="444C00EC" w14:textId="77777777" w:rsidR="00D16027" w:rsidRDefault="00000000">
            <w:r>
              <w:rPr>
                <w:sz w:val="19"/>
                <w:szCs w:val="19"/>
              </w:rPr>
              <w:t>A script</w:t>
            </w:r>
          </w:p>
        </w:tc>
        <w:tc>
          <w:tcPr>
            <w:tcW w:w="1800" w:type="dxa"/>
            <w:tcMar>
              <w:top w:w="70" w:type="dxa"/>
              <w:left w:w="100" w:type="dxa"/>
              <w:bottom w:w="70" w:type="dxa"/>
              <w:right w:w="100" w:type="dxa"/>
            </w:tcMar>
          </w:tcPr>
          <w:p w14:paraId="32CC3793" w14:textId="77777777" w:rsidR="00D16027" w:rsidRDefault="00000000">
            <w:r>
              <w:rPr>
                <w:sz w:val="19"/>
                <w:szCs w:val="19"/>
              </w:rPr>
              <w:t>The interaction</w:t>
            </w:r>
          </w:p>
        </w:tc>
        <w:tc>
          <w:tcPr>
            <w:tcW w:w="2000" w:type="dxa"/>
            <w:tcMar>
              <w:top w:w="70" w:type="dxa"/>
              <w:left w:w="100" w:type="dxa"/>
              <w:bottom w:w="70" w:type="dxa"/>
              <w:right w:w="100" w:type="dxa"/>
            </w:tcMar>
          </w:tcPr>
          <w:p w14:paraId="5F7CD413" w14:textId="77777777" w:rsidR="00D16027" w:rsidRDefault="00000000">
            <w:r>
              <w:rPr>
                <w:sz w:val="19"/>
                <w:szCs w:val="19"/>
              </w:rPr>
              <w:t>Product to act</w:t>
            </w:r>
          </w:p>
        </w:tc>
        <w:tc>
          <w:tcPr>
            <w:tcW w:w="2786" w:type="dxa"/>
            <w:tcMar>
              <w:top w:w="70" w:type="dxa"/>
              <w:left w:w="100" w:type="dxa"/>
              <w:bottom w:w="70" w:type="dxa"/>
              <w:right w:w="100" w:type="dxa"/>
            </w:tcMar>
          </w:tcPr>
          <w:p w14:paraId="52E0B64A" w14:textId="77777777" w:rsidR="00D16027" w:rsidRDefault="00000000">
            <w:r>
              <w:rPr>
                <w:sz w:val="19"/>
                <w:szCs w:val="19"/>
              </w:rPr>
              <w:t>Standardised client; observed teaching; recorded negotiation with analysis</w:t>
            </w:r>
          </w:p>
        </w:tc>
      </w:tr>
      <w:tr w:rsidR="00D16027" w14:paraId="77AC2957" w14:textId="77777777">
        <w:tblPrEx>
          <w:tblCellMar>
            <w:top w:w="0" w:type="dxa"/>
            <w:bottom w:w="0" w:type="dxa"/>
          </w:tblCellMar>
        </w:tblPrEx>
        <w:trPr>
          <w:cantSplit/>
        </w:trPr>
        <w:tc>
          <w:tcPr>
            <w:tcW w:w="1300" w:type="dxa"/>
            <w:tcMar>
              <w:top w:w="70" w:type="dxa"/>
              <w:left w:w="100" w:type="dxa"/>
              <w:bottom w:w="70" w:type="dxa"/>
              <w:right w:w="100" w:type="dxa"/>
            </w:tcMar>
          </w:tcPr>
          <w:p w14:paraId="4749D2B6" w14:textId="77777777" w:rsidR="00D16027" w:rsidRDefault="00000000">
            <w:r>
              <w:rPr>
                <w:sz w:val="19"/>
                <w:szCs w:val="19"/>
              </w:rPr>
              <w:t>Original inquiry</w:t>
            </w:r>
          </w:p>
        </w:tc>
        <w:tc>
          <w:tcPr>
            <w:tcW w:w="1500" w:type="dxa"/>
            <w:tcMar>
              <w:top w:w="70" w:type="dxa"/>
              <w:left w:w="100" w:type="dxa"/>
              <w:bottom w:w="70" w:type="dxa"/>
              <w:right w:w="100" w:type="dxa"/>
            </w:tcMar>
          </w:tcPr>
          <w:p w14:paraId="76255C17" w14:textId="77777777" w:rsidR="00D16027" w:rsidRDefault="00000000">
            <w:r>
              <w:rPr>
                <w:sz w:val="19"/>
                <w:szCs w:val="19"/>
              </w:rPr>
              <w:t>Plausible data</w:t>
            </w:r>
          </w:p>
        </w:tc>
        <w:tc>
          <w:tcPr>
            <w:tcW w:w="1800" w:type="dxa"/>
            <w:tcMar>
              <w:top w:w="70" w:type="dxa"/>
              <w:left w:w="100" w:type="dxa"/>
              <w:bottom w:w="70" w:type="dxa"/>
              <w:right w:w="100" w:type="dxa"/>
            </w:tcMar>
          </w:tcPr>
          <w:p w14:paraId="124AE59B" w14:textId="77777777" w:rsidR="00D16027" w:rsidRDefault="00000000">
            <w:r>
              <w:rPr>
                <w:sz w:val="19"/>
                <w:szCs w:val="19"/>
              </w:rPr>
              <w:t>Real data with provenance</w:t>
            </w:r>
          </w:p>
        </w:tc>
        <w:tc>
          <w:tcPr>
            <w:tcW w:w="2000" w:type="dxa"/>
            <w:tcMar>
              <w:top w:w="70" w:type="dxa"/>
              <w:left w:w="100" w:type="dxa"/>
              <w:bottom w:w="70" w:type="dxa"/>
              <w:right w:w="100" w:type="dxa"/>
            </w:tcMar>
          </w:tcPr>
          <w:p w14:paraId="5E57198A" w14:textId="77777777" w:rsidR="00D16027" w:rsidRDefault="00000000">
            <w:r>
              <w:rPr>
                <w:sz w:val="19"/>
                <w:szCs w:val="19"/>
              </w:rPr>
              <w:t>Artefacts of doing; anchor in own situation</w:t>
            </w:r>
          </w:p>
        </w:tc>
        <w:tc>
          <w:tcPr>
            <w:tcW w:w="2786" w:type="dxa"/>
            <w:tcMar>
              <w:top w:w="70" w:type="dxa"/>
              <w:left w:w="100" w:type="dxa"/>
              <w:bottom w:w="70" w:type="dxa"/>
              <w:right w:w="100" w:type="dxa"/>
            </w:tcMar>
          </w:tcPr>
          <w:p w14:paraId="4E7B9FBE" w14:textId="77777777" w:rsidR="00D16027" w:rsidRDefault="00000000">
            <w:r>
              <w:rPr>
                <w:sz w:val="19"/>
                <w:szCs w:val="19"/>
              </w:rPr>
              <w:t>Dissertation with supervision log; field notebook; archive visit log</w:t>
            </w:r>
          </w:p>
        </w:tc>
      </w:tr>
      <w:tr w:rsidR="00D16027" w14:paraId="10176582" w14:textId="77777777">
        <w:tblPrEx>
          <w:tblCellMar>
            <w:top w:w="0" w:type="dxa"/>
            <w:bottom w:w="0" w:type="dxa"/>
          </w:tblCellMar>
        </w:tblPrEx>
        <w:trPr>
          <w:cantSplit/>
        </w:trPr>
        <w:tc>
          <w:tcPr>
            <w:tcW w:w="1300" w:type="dxa"/>
            <w:tcMar>
              <w:top w:w="70" w:type="dxa"/>
              <w:left w:w="100" w:type="dxa"/>
              <w:bottom w:w="70" w:type="dxa"/>
              <w:right w:w="100" w:type="dxa"/>
            </w:tcMar>
          </w:tcPr>
          <w:p w14:paraId="22BAEF56" w14:textId="77777777" w:rsidR="00D16027" w:rsidRDefault="00000000">
            <w:r>
              <w:rPr>
                <w:sz w:val="19"/>
                <w:szCs w:val="19"/>
              </w:rPr>
              <w:t>Creative making</w:t>
            </w:r>
          </w:p>
        </w:tc>
        <w:tc>
          <w:tcPr>
            <w:tcW w:w="1500" w:type="dxa"/>
            <w:tcMar>
              <w:top w:w="70" w:type="dxa"/>
              <w:left w:w="100" w:type="dxa"/>
              <w:bottom w:w="70" w:type="dxa"/>
              <w:right w:w="100" w:type="dxa"/>
            </w:tcMar>
          </w:tcPr>
          <w:p w14:paraId="787C6C1D" w14:textId="77777777" w:rsidR="00D16027" w:rsidRDefault="00000000">
            <w:r>
              <w:rPr>
                <w:sz w:val="19"/>
                <w:szCs w:val="19"/>
              </w:rPr>
              <w:t>A competent artefact</w:t>
            </w:r>
          </w:p>
        </w:tc>
        <w:tc>
          <w:tcPr>
            <w:tcW w:w="1800" w:type="dxa"/>
            <w:tcMar>
              <w:top w:w="70" w:type="dxa"/>
              <w:left w:w="100" w:type="dxa"/>
              <w:bottom w:w="70" w:type="dxa"/>
              <w:right w:w="100" w:type="dxa"/>
            </w:tcMar>
          </w:tcPr>
          <w:p w14:paraId="584C8560" w14:textId="77777777" w:rsidR="00D16027" w:rsidRDefault="00000000">
            <w:r>
              <w:rPr>
                <w:sz w:val="19"/>
                <w:szCs w:val="19"/>
              </w:rPr>
              <w:t>The maker's decisions and presence</w:t>
            </w:r>
          </w:p>
        </w:tc>
        <w:tc>
          <w:tcPr>
            <w:tcW w:w="2000" w:type="dxa"/>
            <w:tcMar>
              <w:top w:w="70" w:type="dxa"/>
              <w:left w:w="100" w:type="dxa"/>
              <w:bottom w:w="70" w:type="dxa"/>
              <w:right w:w="100" w:type="dxa"/>
            </w:tcMar>
          </w:tcPr>
          <w:p w14:paraId="0AA5A2FF" w14:textId="77777777" w:rsidR="00D16027" w:rsidRDefault="00000000">
            <w:r>
              <w:rPr>
                <w:sz w:val="19"/>
                <w:szCs w:val="19"/>
              </w:rPr>
              <w:t>Assess the decision; product to act</w:t>
            </w:r>
          </w:p>
        </w:tc>
        <w:tc>
          <w:tcPr>
            <w:tcW w:w="2786" w:type="dxa"/>
            <w:tcMar>
              <w:top w:w="70" w:type="dxa"/>
              <w:left w:w="100" w:type="dxa"/>
              <w:bottom w:w="70" w:type="dxa"/>
              <w:right w:w="100" w:type="dxa"/>
            </w:tcMar>
          </w:tcPr>
          <w:p w14:paraId="0F6AD26D" w14:textId="77777777" w:rsidR="00D16027" w:rsidRDefault="00000000">
            <w:r>
              <w:rPr>
                <w:sz w:val="19"/>
                <w:szCs w:val="19"/>
              </w:rPr>
              <w:t>Studio crit; process portfolio; live reading; performance jury</w:t>
            </w:r>
          </w:p>
        </w:tc>
      </w:tr>
      <w:tr w:rsidR="00D16027" w14:paraId="4B280399" w14:textId="77777777">
        <w:tblPrEx>
          <w:tblCellMar>
            <w:top w:w="0" w:type="dxa"/>
            <w:bottom w:w="0" w:type="dxa"/>
          </w:tblCellMar>
        </w:tblPrEx>
        <w:trPr>
          <w:cantSplit/>
        </w:trPr>
        <w:tc>
          <w:tcPr>
            <w:tcW w:w="1300" w:type="dxa"/>
            <w:tcMar>
              <w:top w:w="70" w:type="dxa"/>
              <w:left w:w="100" w:type="dxa"/>
              <w:bottom w:w="70" w:type="dxa"/>
              <w:right w:w="100" w:type="dxa"/>
            </w:tcMar>
          </w:tcPr>
          <w:p w14:paraId="6C9DF1C2" w14:textId="77777777" w:rsidR="00D16027" w:rsidRDefault="00000000">
            <w:r>
              <w:rPr>
                <w:sz w:val="19"/>
                <w:szCs w:val="19"/>
              </w:rPr>
              <w:t>Live reasoning</w:t>
            </w:r>
          </w:p>
        </w:tc>
        <w:tc>
          <w:tcPr>
            <w:tcW w:w="1500" w:type="dxa"/>
            <w:tcMar>
              <w:top w:w="70" w:type="dxa"/>
              <w:left w:w="100" w:type="dxa"/>
              <w:bottom w:w="70" w:type="dxa"/>
              <w:right w:w="100" w:type="dxa"/>
            </w:tcMar>
          </w:tcPr>
          <w:p w14:paraId="02508EE6" w14:textId="77777777" w:rsidR="00D16027" w:rsidRDefault="00000000">
            <w:r>
              <w:rPr>
                <w:sz w:val="19"/>
                <w:szCs w:val="19"/>
              </w:rPr>
              <w:t>Preparation</w:t>
            </w:r>
          </w:p>
        </w:tc>
        <w:tc>
          <w:tcPr>
            <w:tcW w:w="1800" w:type="dxa"/>
            <w:tcMar>
              <w:top w:w="70" w:type="dxa"/>
              <w:left w:w="100" w:type="dxa"/>
              <w:bottom w:w="70" w:type="dxa"/>
              <w:right w:w="100" w:type="dxa"/>
            </w:tcMar>
          </w:tcPr>
          <w:p w14:paraId="6786C4ED" w14:textId="77777777" w:rsidR="00D16027" w:rsidRDefault="00000000">
            <w:r>
              <w:rPr>
                <w:sz w:val="19"/>
                <w:szCs w:val="19"/>
              </w:rPr>
              <w:t>Response to the unexpected</w:t>
            </w:r>
          </w:p>
        </w:tc>
        <w:tc>
          <w:tcPr>
            <w:tcW w:w="2000" w:type="dxa"/>
            <w:tcMar>
              <w:top w:w="70" w:type="dxa"/>
              <w:left w:w="100" w:type="dxa"/>
              <w:bottom w:w="70" w:type="dxa"/>
              <w:right w:w="100" w:type="dxa"/>
            </w:tcMar>
          </w:tcPr>
          <w:p w14:paraId="383D9ADB" w14:textId="77777777" w:rsidR="00D16027" w:rsidRDefault="00000000">
            <w:r>
              <w:rPr>
                <w:sz w:val="19"/>
                <w:szCs w:val="19"/>
              </w:rPr>
              <w:t>Insert the unexpected</w:t>
            </w:r>
          </w:p>
        </w:tc>
        <w:tc>
          <w:tcPr>
            <w:tcW w:w="2786" w:type="dxa"/>
            <w:tcMar>
              <w:top w:w="70" w:type="dxa"/>
              <w:left w:w="100" w:type="dxa"/>
              <w:bottom w:w="70" w:type="dxa"/>
              <w:right w:w="100" w:type="dxa"/>
            </w:tcMar>
          </w:tcPr>
          <w:p w14:paraId="2E6A9D79" w14:textId="77777777" w:rsidR="00D16027" w:rsidRDefault="00000000">
            <w:r>
              <w:rPr>
                <w:sz w:val="19"/>
                <w:szCs w:val="19"/>
              </w:rPr>
              <w:t>Viva; interactive oral; moot; cold problem in class</w:t>
            </w:r>
          </w:p>
        </w:tc>
      </w:tr>
    </w:tbl>
    <w:p w14:paraId="591ED9D9" w14:textId="77777777" w:rsidR="00D16027" w:rsidRDefault="00D16027">
      <w:pPr>
        <w:spacing w:after="120"/>
      </w:pPr>
    </w:p>
    <w:p w14:paraId="0F984ECC" w14:textId="77777777" w:rsidR="00D16027" w:rsidRDefault="00000000">
      <w:pPr>
        <w:pStyle w:val="Heading2"/>
        <w:keepNext/>
      </w:pPr>
      <w:r>
        <w:t>7.4 Cautions</w:t>
      </w:r>
    </w:p>
    <w:p w14:paraId="6113B057" w14:textId="77777777" w:rsidR="00D16027" w:rsidRDefault="00000000">
      <w:pPr>
        <w:spacing w:after="140"/>
      </w:pPr>
      <w:r>
        <w:rPr>
          <w:b/>
          <w:bCs/>
        </w:rPr>
        <w:t>Durable is not the same as convenient.</w:t>
      </w:r>
      <w:r>
        <w:t xml:space="preserve"> The temptation is to declare whatever AI currently does badly a durable limit. Test the claim against Table 7.1: if the limit is about processing, it will fade; if it is about being, it will hold.</w:t>
      </w:r>
    </w:p>
    <w:p w14:paraId="4B60D757" w14:textId="77777777" w:rsidR="00D16027" w:rsidRDefault="00000000">
      <w:pPr>
        <w:spacing w:after="140"/>
      </w:pPr>
      <w:r>
        <w:rPr>
          <w:b/>
          <w:bCs/>
        </w:rPr>
        <w:t>Embodied and live formats have equity costs.</w:t>
      </w:r>
      <w:r>
        <w:t xml:space="preserve"> Anxiety, disability, caring responsibilities, cultural norms about speaking to authority, and language background all affect performance in live settings (Nieminen 2022). The response is not to abandon these formats, which assess capabilities that matter, but to design them inclusively: advance briefing, practice opportunities, reasonable adjustments, alternative modes that preserve the same evidence (a recorded demonstration with a live follow-up, for example), and criteria that reward content over fluency (Chapter 16).</w:t>
      </w:r>
    </w:p>
    <w:p w14:paraId="5D32075C" w14:textId="77777777" w:rsidR="00D16027" w:rsidRDefault="00000000">
      <w:pPr>
        <w:spacing w:after="140"/>
      </w:pPr>
      <w:r>
        <w:rPr>
          <w:b/>
          <w:bCs/>
        </w:rPr>
        <w:t>They cost time.</w:t>
      </w:r>
      <w:r>
        <w:t xml:space="preserve"> Observing every student do something takes longer than marking what they wrote. Chapter 10 sets out sampling, group formats and the use of trained demonstrators and peers; Chapter 17 addresses workload at institutional level. The honest trade is fewer assessments of this kind, well placed, rather than more assessments of the old kind.</w:t>
      </w:r>
    </w:p>
    <w:p w14:paraId="63513DB2" w14:textId="77777777" w:rsidR="00D16027" w:rsidRDefault="00000000">
      <w:pPr>
        <w:spacing w:after="140"/>
      </w:pPr>
      <w:r>
        <w:rPr>
          <w:b/>
          <w:bCs/>
        </w:rPr>
        <w:t>Artefacts of doing can be fabricated.</w:t>
      </w:r>
      <w:r>
        <w:t xml:space="preserve"> A student can invent a fieldwork diary or ask AI to write a plausible lab notebook. Provenance requirements reduce the risk; dialogue removes most of it, because a student who did not take the measurement cannot discuss the day it went wrong. </w:t>
      </w:r>
      <w:r>
        <w:lastRenderedPageBreak/>
        <w:t>Programmatic assessment (van der Vleuten et al. 2012) adds a further safeguard: capability demonstrated across several occasions is far harder to fabricate than capability demonstrated once. Boud and Soler (2016) remind us that the purpose is also formative: students who learn to evidence their own doing are learning a professional habit.</w:t>
      </w:r>
    </w:p>
    <w:p w14:paraId="3EB8B75F"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Four disciplines, four human cores</w:t>
      </w:r>
    </w:p>
    <w:p w14:paraId="4F5F8BF5" w14:textId="77777777" w:rsidR="00D16027" w:rsidRDefault="00000000">
      <w:pPr>
        <w:pBdr>
          <w:left w:val="single" w:sz="14" w:space="10" w:color="4E8A5E"/>
        </w:pBdr>
        <w:shd w:val="clear" w:color="auto" w:fill="EEF6EF"/>
        <w:spacing w:after="60"/>
      </w:pPr>
      <w:r>
        <w:rPr>
          <w:b/>
          <w:bCs/>
          <w:color w:val="333333"/>
          <w:sz w:val="20"/>
          <w:szCs w:val="20"/>
        </w:rPr>
        <w:t>Veterinary science.</w:t>
      </w:r>
      <w:r>
        <w:rPr>
          <w:color w:val="333333"/>
          <w:sz w:val="20"/>
          <w:szCs w:val="20"/>
        </w:rPr>
        <w:t xml:space="preserve"> A clinical skills OSCE (excluded zone) is followed by a fifteen-minute case-based oral in which the student is given a new presentation for the animal they examined and must propose and justify a plan. The written case notes are submitted but not marked separately; they are the record of the act.</w:t>
      </w:r>
    </w:p>
    <w:p w14:paraId="1F8904AE" w14:textId="77777777" w:rsidR="00D16027" w:rsidRDefault="00000000">
      <w:pPr>
        <w:pBdr>
          <w:left w:val="single" w:sz="14" w:space="10" w:color="4E8A5E"/>
        </w:pBdr>
        <w:shd w:val="clear" w:color="auto" w:fill="EEF6EF"/>
        <w:spacing w:after="60"/>
      </w:pPr>
      <w:r>
        <w:rPr>
          <w:b/>
          <w:bCs/>
          <w:color w:val="333333"/>
          <w:sz w:val="20"/>
          <w:szCs w:val="20"/>
        </w:rPr>
        <w:t>Business.</w:t>
      </w:r>
      <w:r>
        <w:rPr>
          <w:color w:val="333333"/>
          <w:sz w:val="20"/>
          <w:szCs w:val="20"/>
        </w:rPr>
        <w:t xml:space="preserve"> A live negotiation exercise: pairs negotiate a supply contract from asymmetric briefs while observed; each student then reviews the recording of their own negotiation and submits a 500-word account of two decisions they made and one they regret. The observation is assessed on process; the account is assessed on the specificity and honesty of the analysis and is discussed in a five-minute conversation with the tutor.</w:t>
      </w:r>
    </w:p>
    <w:p w14:paraId="66855668" w14:textId="77777777" w:rsidR="00D16027" w:rsidRDefault="00000000">
      <w:pPr>
        <w:pBdr>
          <w:left w:val="single" w:sz="14" w:space="10" w:color="4E8A5E"/>
        </w:pBdr>
        <w:shd w:val="clear" w:color="auto" w:fill="EEF6EF"/>
        <w:spacing w:after="60"/>
      </w:pPr>
      <w:r>
        <w:rPr>
          <w:b/>
          <w:bCs/>
          <w:color w:val="333333"/>
          <w:sz w:val="20"/>
          <w:szCs w:val="20"/>
        </w:rPr>
        <w:t>Creative writing.</w:t>
      </w:r>
      <w:r>
        <w:rPr>
          <w:color w:val="333333"/>
          <w:sz w:val="20"/>
          <w:szCs w:val="20"/>
        </w:rPr>
        <w:t xml:space="preserve"> A workshop portfolio: dated drafts of two pieces, the peer feedback the student gave and received, a revision log explaining what changed and why, and a live reading of one piece with audience questions. AI may be used in drafting at AIAS Level 3 and must be declared; the revision log and the reading are where the judgement is evidenced.</w:t>
      </w:r>
    </w:p>
    <w:p w14:paraId="2450D3C3" w14:textId="77777777" w:rsidR="00D16027" w:rsidRDefault="00000000">
      <w:pPr>
        <w:pBdr>
          <w:left w:val="single" w:sz="14" w:space="10" w:color="4E8A5E"/>
        </w:pBdr>
        <w:shd w:val="clear" w:color="auto" w:fill="EEF6EF"/>
        <w:spacing w:after="200"/>
      </w:pPr>
      <w:r>
        <w:rPr>
          <w:b/>
          <w:bCs/>
          <w:color w:val="333333"/>
          <w:sz w:val="20"/>
          <w:szCs w:val="20"/>
        </w:rPr>
        <w:t>Physics.</w:t>
      </w:r>
      <w:r>
        <w:rPr>
          <w:color w:val="333333"/>
          <w:sz w:val="20"/>
          <w:szCs w:val="20"/>
        </w:rPr>
        <w:t xml:space="preserve"> A laboratory practical in which each student takes their own measurements of a pendulum system with a small, randomly assigned modification; the report is submitted with raw data, and a five-minute conversation at the bench asks the student to account for the largest anomaly in their own dataset.</w:t>
      </w:r>
    </w:p>
    <w:p w14:paraId="4BD89C9B"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Find the human core of an outcome</w:t>
      </w:r>
    </w:p>
    <w:p w14:paraId="4FFCCC10"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Take an outcome and ask: which of the six categories in section 7.2 does it belong to, if any? If none, it may be an AI-integrated outcome (Chapter 11) or a knowledge outcome to be secured in the excluded zone.</w:t>
      </w:r>
    </w:p>
    <w:p w14:paraId="302D4EEA"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Write down what AI can fake for this outcome, and what it cannot. Be honest about the first column.</w:t>
      </w:r>
    </w:p>
    <w:p w14:paraId="55393D5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Choose the design move that puts the evidence in the second column, and draft the task in one paragraph.</w:t>
      </w:r>
    </w:p>
    <w:p w14:paraId="0FF27C96"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Specify the artefacts of doing the task will require, and how their provenance will be established.</w:t>
      </w:r>
    </w:p>
    <w:p w14:paraId="64A23B64"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the dialogic element: where, and for how long, will the student talk about what they did?</w:t>
      </w:r>
    </w:p>
    <w:p w14:paraId="3ECD4E4F"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Check equity: what adjustments and alternatives will preserve the same evidence for students who cannot perform in the default mode?</w:t>
      </w:r>
    </w:p>
    <w:p w14:paraId="65420483" w14:textId="77777777" w:rsidR="00D16027" w:rsidRDefault="00000000">
      <w:pPr>
        <w:pStyle w:val="Heading2"/>
        <w:keepNext/>
      </w:pPr>
      <w:r>
        <w:t>What this means for you</w:t>
      </w:r>
    </w:p>
    <w:p w14:paraId="30B4114C"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0708662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For each of your outcomes, identify whether its human core is embodied, ethical, relational, investigative, creative or live. Design the evidence there.</w:t>
      </w:r>
    </w:p>
    <w:p w14:paraId="6844B6D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Ask for the residue of doing: raw data, dated notes, recordings, sign-off. Then talk to the student about it.</w:t>
      </w:r>
    </w:p>
    <w:p w14:paraId="2F267466"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Design inclusively from the start. The alternative mode should be planned, not improvised when a student asks.</w:t>
      </w:r>
    </w:p>
    <w:p w14:paraId="714C4C49"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1717878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Ensure each of the six categories that matters to your programme is assessed at least once, at a stage where the capability should have developed.</w:t>
      </w:r>
    </w:p>
    <w:p w14:paraId="7CB80FF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Plan the resource: embodied and live assessment needs rooms, equipment, trained assessors and time, and these are programme-level decisions.</w:t>
      </w:r>
    </w:p>
    <w:p w14:paraId="3C48D46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Build provenance requirements into programme regulations for dissertations, projects and placements so that individual module leads are not improvising them.</w:t>
      </w:r>
    </w:p>
    <w:p w14:paraId="5109B927"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D10F46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Fund the infrastructure of embodied assessment: simulation suites, standardised patient programmes, studio and workshop time, recording facilities.</w:t>
      </w:r>
    </w:p>
    <w:p w14:paraId="0E7D924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lastRenderedPageBreak/>
        <w:t>Recognise in workload models that observing a capability takes longer than marking a script, and offset it by reducing the volume of substitutable written assessment.</w:t>
      </w:r>
    </w:p>
    <w:p w14:paraId="026071F4"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reasonable-adjustment policies cover live and embodied formats explicitly, with alternatives that preserve the evidence rather than replacing it with an essay.</w:t>
      </w:r>
    </w:p>
    <w:p w14:paraId="490042CE" w14:textId="77777777" w:rsidR="00D16027" w:rsidRDefault="00000000">
      <w:pPr>
        <w:pStyle w:val="Heading2"/>
        <w:keepNext/>
      </w:pPr>
      <w:r>
        <w:t>Key references for this chapter</w:t>
      </w:r>
    </w:p>
    <w:p w14:paraId="2A0FB647" w14:textId="77777777" w:rsidR="00D16027" w:rsidRDefault="00000000">
      <w:pPr>
        <w:pStyle w:val="ListParagraph"/>
        <w:numPr>
          <w:ilvl w:val="0"/>
          <w:numId w:val="3"/>
        </w:numPr>
        <w:spacing w:before="30" w:after="50"/>
      </w:pPr>
      <w:r>
        <w:rPr>
          <w:color w:val="333333"/>
          <w:sz w:val="19"/>
          <w:szCs w:val="19"/>
        </w:rPr>
        <w:t xml:space="preserve">Barrows, H.S. (1993) An overview of the uses of standardized patients for teaching and evaluating clinical skills. </w:t>
      </w:r>
      <w:r>
        <w:rPr>
          <w:i/>
          <w:iCs/>
          <w:color w:val="333333"/>
          <w:sz w:val="19"/>
          <w:szCs w:val="19"/>
        </w:rPr>
        <w:t>Academic Medicine</w:t>
      </w:r>
      <w:r>
        <w:rPr>
          <w:color w:val="333333"/>
          <w:sz w:val="19"/>
          <w:szCs w:val="19"/>
        </w:rPr>
        <w:t>, 68(6), 443–451.</w:t>
      </w:r>
    </w:p>
    <w:p w14:paraId="37D07951" w14:textId="77777777" w:rsidR="00D16027" w:rsidRDefault="00000000">
      <w:pPr>
        <w:pStyle w:val="ListParagraph"/>
        <w:numPr>
          <w:ilvl w:val="0"/>
          <w:numId w:val="3"/>
        </w:numPr>
        <w:spacing w:before="30" w:after="50"/>
      </w:pPr>
      <w:r>
        <w:rPr>
          <w:color w:val="333333"/>
          <w:sz w:val="19"/>
          <w:szCs w:val="19"/>
        </w:rPr>
        <w:t xml:space="preserve">Bearman, M. &amp; </w:t>
      </w:r>
      <w:proofErr w:type="spellStart"/>
      <w:r>
        <w:rPr>
          <w:color w:val="333333"/>
          <w:sz w:val="19"/>
          <w:szCs w:val="19"/>
        </w:rPr>
        <w:t>Ajjawi</w:t>
      </w:r>
      <w:proofErr w:type="spellEnd"/>
      <w:r>
        <w:rPr>
          <w:color w:val="333333"/>
          <w:sz w:val="19"/>
          <w:szCs w:val="19"/>
        </w:rPr>
        <w:t xml:space="preserve">, R. (2023) Learning to work with the black box: pedagogy for a world with artificial intelligence. </w:t>
      </w:r>
      <w:r>
        <w:rPr>
          <w:i/>
          <w:iCs/>
          <w:color w:val="333333"/>
          <w:sz w:val="19"/>
          <w:szCs w:val="19"/>
        </w:rPr>
        <w:t>British Journal of Educational Technology</w:t>
      </w:r>
      <w:r>
        <w:rPr>
          <w:color w:val="333333"/>
          <w:sz w:val="19"/>
          <w:szCs w:val="19"/>
        </w:rPr>
        <w:t>, 54(5), 1160–1173.</w:t>
      </w:r>
    </w:p>
    <w:p w14:paraId="53CAE2C1" w14:textId="77777777" w:rsidR="00D16027" w:rsidRDefault="00000000">
      <w:pPr>
        <w:pStyle w:val="ListParagraph"/>
        <w:numPr>
          <w:ilvl w:val="0"/>
          <w:numId w:val="3"/>
        </w:numPr>
        <w:spacing w:before="30" w:after="50"/>
      </w:pPr>
      <w:r>
        <w:rPr>
          <w:color w:val="333333"/>
          <w:sz w:val="19"/>
          <w:szCs w:val="19"/>
        </w:rPr>
        <w:t xml:space="preserve">Boud, D. &amp; Soler, R. (2016) Sustainable assessment revisited. </w:t>
      </w:r>
      <w:r>
        <w:rPr>
          <w:i/>
          <w:iCs/>
          <w:color w:val="333333"/>
          <w:sz w:val="19"/>
          <w:szCs w:val="19"/>
        </w:rPr>
        <w:t>Assessment &amp; Evaluation in Higher Education</w:t>
      </w:r>
      <w:r>
        <w:rPr>
          <w:color w:val="333333"/>
          <w:sz w:val="19"/>
          <w:szCs w:val="19"/>
        </w:rPr>
        <w:t>, 41(3), 400–413.</w:t>
      </w:r>
    </w:p>
    <w:p w14:paraId="2969E726" w14:textId="77777777" w:rsidR="00D16027" w:rsidRDefault="00000000">
      <w:pPr>
        <w:pStyle w:val="ListParagraph"/>
        <w:numPr>
          <w:ilvl w:val="0"/>
          <w:numId w:val="3"/>
        </w:numPr>
        <w:spacing w:before="30" w:after="50"/>
      </w:pPr>
      <w:r>
        <w:rPr>
          <w:color w:val="333333"/>
          <w:sz w:val="19"/>
          <w:szCs w:val="19"/>
        </w:rPr>
        <w:t xml:space="preserve">Fawns, T., Bearman, M., Dawson, P., Nieminen, J.H., Ashford-Rowe, K., Willey, K., Jensen, L.X., </w:t>
      </w:r>
      <w:proofErr w:type="spellStart"/>
      <w:r>
        <w:rPr>
          <w:color w:val="333333"/>
          <w:sz w:val="19"/>
          <w:szCs w:val="19"/>
        </w:rPr>
        <w:t>Damşa</w:t>
      </w:r>
      <w:proofErr w:type="spellEnd"/>
      <w:r>
        <w:rPr>
          <w:color w:val="333333"/>
          <w:sz w:val="19"/>
          <w:szCs w:val="19"/>
        </w:rPr>
        <w:t xml:space="preserve">, C. &amp; Press, N. (2024) Authentic assessment: from panacea to criticality. </w:t>
      </w:r>
      <w:r>
        <w:rPr>
          <w:i/>
          <w:iCs/>
          <w:color w:val="333333"/>
          <w:sz w:val="19"/>
          <w:szCs w:val="19"/>
        </w:rPr>
        <w:t>Assessment &amp; Evaluation in Higher Education</w:t>
      </w:r>
      <w:r>
        <w:rPr>
          <w:color w:val="333333"/>
          <w:sz w:val="19"/>
          <w:szCs w:val="19"/>
        </w:rPr>
        <w:t xml:space="preserve"> (advance online). https://doi.org/10.1080/02602938.2024.2404634</w:t>
      </w:r>
    </w:p>
    <w:p w14:paraId="5ED558E5" w14:textId="77777777" w:rsidR="00D16027" w:rsidRDefault="00000000">
      <w:pPr>
        <w:pStyle w:val="ListParagraph"/>
        <w:numPr>
          <w:ilvl w:val="0"/>
          <w:numId w:val="3"/>
        </w:numPr>
        <w:spacing w:before="30" w:after="50"/>
      </w:pPr>
      <w:r>
        <w:rPr>
          <w:color w:val="333333"/>
          <w:sz w:val="19"/>
          <w:szCs w:val="19"/>
        </w:rPr>
        <w:t xml:space="preserve">Harden, R.M. &amp; Gleeson, F.A. (1979) Assessment of clinical competence using an objective structured clinical examination (OSCE). </w:t>
      </w:r>
      <w:r>
        <w:rPr>
          <w:i/>
          <w:iCs/>
          <w:color w:val="333333"/>
          <w:sz w:val="19"/>
          <w:szCs w:val="19"/>
        </w:rPr>
        <w:t>Medical Education</w:t>
      </w:r>
      <w:r>
        <w:rPr>
          <w:color w:val="333333"/>
          <w:sz w:val="19"/>
          <w:szCs w:val="19"/>
        </w:rPr>
        <w:t>, 13(1), 39–54.</w:t>
      </w:r>
    </w:p>
    <w:p w14:paraId="39C03CF5" w14:textId="77777777" w:rsidR="00D16027" w:rsidRDefault="00000000">
      <w:pPr>
        <w:pStyle w:val="ListParagraph"/>
        <w:numPr>
          <w:ilvl w:val="0"/>
          <w:numId w:val="3"/>
        </w:numPr>
        <w:spacing w:before="30" w:after="50"/>
      </w:pPr>
      <w:r>
        <w:rPr>
          <w:color w:val="333333"/>
          <w:sz w:val="19"/>
          <w:szCs w:val="19"/>
        </w:rPr>
        <w:t xml:space="preserve">Holmes, W. &amp; </w:t>
      </w:r>
      <w:proofErr w:type="spellStart"/>
      <w:r>
        <w:rPr>
          <w:color w:val="333333"/>
          <w:sz w:val="19"/>
          <w:szCs w:val="19"/>
        </w:rPr>
        <w:t>Porayska-Pomsta</w:t>
      </w:r>
      <w:proofErr w:type="spellEnd"/>
      <w:r>
        <w:rPr>
          <w:color w:val="333333"/>
          <w:sz w:val="19"/>
          <w:szCs w:val="19"/>
        </w:rPr>
        <w:t xml:space="preserve">, K. (eds.) (2022) </w:t>
      </w:r>
      <w:r>
        <w:rPr>
          <w:i/>
          <w:iCs/>
          <w:color w:val="333333"/>
          <w:sz w:val="19"/>
          <w:szCs w:val="19"/>
        </w:rPr>
        <w:t>The Ethics of Artificial Intelligence in Education</w:t>
      </w:r>
      <w:r>
        <w:rPr>
          <w:color w:val="333333"/>
          <w:sz w:val="19"/>
          <w:szCs w:val="19"/>
        </w:rPr>
        <w:t>. London: Routledge.</w:t>
      </w:r>
    </w:p>
    <w:p w14:paraId="1EEF4ED5" w14:textId="77777777" w:rsidR="00D16027" w:rsidRDefault="00000000">
      <w:pPr>
        <w:pStyle w:val="ListParagraph"/>
        <w:numPr>
          <w:ilvl w:val="0"/>
          <w:numId w:val="3"/>
        </w:numPr>
        <w:spacing w:before="30" w:after="50"/>
      </w:pPr>
      <w:proofErr w:type="spellStart"/>
      <w:r>
        <w:rPr>
          <w:color w:val="333333"/>
          <w:sz w:val="19"/>
          <w:szCs w:val="19"/>
        </w:rPr>
        <w:t>Kortemeyer</w:t>
      </w:r>
      <w:proofErr w:type="spellEnd"/>
      <w:r>
        <w:rPr>
          <w:color w:val="333333"/>
          <w:sz w:val="19"/>
          <w:szCs w:val="19"/>
        </w:rPr>
        <w:t xml:space="preserve">, G. (2023) Toward AI grading of student problem solutions in introductory physics: a feasibility study. </w:t>
      </w:r>
      <w:r>
        <w:rPr>
          <w:i/>
          <w:iCs/>
          <w:color w:val="333333"/>
          <w:sz w:val="19"/>
          <w:szCs w:val="19"/>
        </w:rPr>
        <w:t>Physical Review Physics Education Research</w:t>
      </w:r>
      <w:r>
        <w:rPr>
          <w:color w:val="333333"/>
          <w:sz w:val="19"/>
          <w:szCs w:val="19"/>
        </w:rPr>
        <w:t>, 19(2), 020163.</w:t>
      </w:r>
    </w:p>
    <w:p w14:paraId="5DB01453"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470890EA" w14:textId="77777777" w:rsidR="00D16027" w:rsidRDefault="00000000">
      <w:pPr>
        <w:pStyle w:val="ListParagraph"/>
        <w:numPr>
          <w:ilvl w:val="0"/>
          <w:numId w:val="3"/>
        </w:numPr>
        <w:spacing w:before="30" w:after="50"/>
      </w:pPr>
      <w:r>
        <w:rPr>
          <w:color w:val="333333"/>
          <w:sz w:val="19"/>
          <w:szCs w:val="19"/>
        </w:rPr>
        <w:t xml:space="preserve">Luckin, R. (2018) </w:t>
      </w:r>
      <w:r>
        <w:rPr>
          <w:i/>
          <w:iCs/>
          <w:color w:val="333333"/>
          <w:sz w:val="19"/>
          <w:szCs w:val="19"/>
        </w:rPr>
        <w:t>Machine Learning and Human Intelligence: The Future of Education for the 21st Century</w:t>
      </w:r>
      <w:r>
        <w:rPr>
          <w:color w:val="333333"/>
          <w:sz w:val="19"/>
          <w:szCs w:val="19"/>
        </w:rPr>
        <w:t>. London: UCL IOE Press.</w:t>
      </w:r>
    </w:p>
    <w:p w14:paraId="2EAC35E7" w14:textId="77777777" w:rsidR="00D16027" w:rsidRDefault="00000000">
      <w:pPr>
        <w:pStyle w:val="ListParagraph"/>
        <w:numPr>
          <w:ilvl w:val="0"/>
          <w:numId w:val="3"/>
        </w:numPr>
        <w:spacing w:before="30" w:after="50"/>
      </w:pPr>
      <w:r>
        <w:rPr>
          <w:color w:val="333333"/>
          <w:sz w:val="19"/>
          <w:szCs w:val="19"/>
        </w:rPr>
        <w:t xml:space="preserve">Miller, G.E. (1990) The assessment of clinical skills/competence/performance. </w:t>
      </w:r>
      <w:r>
        <w:rPr>
          <w:i/>
          <w:iCs/>
          <w:color w:val="333333"/>
          <w:sz w:val="19"/>
          <w:szCs w:val="19"/>
        </w:rPr>
        <w:t>Academic Medicine</w:t>
      </w:r>
      <w:r>
        <w:rPr>
          <w:color w:val="333333"/>
          <w:sz w:val="19"/>
          <w:szCs w:val="19"/>
        </w:rPr>
        <w:t>, 65(9 Suppl), S63–S67.</w:t>
      </w:r>
    </w:p>
    <w:p w14:paraId="1F9CB10B"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5940A978"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20B23C75" w14:textId="77777777" w:rsidR="00D16027" w:rsidRDefault="00000000">
      <w:pPr>
        <w:pStyle w:val="ListParagraph"/>
        <w:numPr>
          <w:ilvl w:val="0"/>
          <w:numId w:val="3"/>
        </w:numPr>
        <w:spacing w:before="30" w:after="50"/>
      </w:pPr>
      <w:r>
        <w:rPr>
          <w:color w:val="333333"/>
          <w:sz w:val="19"/>
          <w:szCs w:val="19"/>
        </w:rPr>
        <w:t xml:space="preserve">Schön, D.A. (1983) </w:t>
      </w:r>
      <w:r>
        <w:rPr>
          <w:i/>
          <w:iCs/>
          <w:color w:val="333333"/>
          <w:sz w:val="19"/>
          <w:szCs w:val="19"/>
        </w:rPr>
        <w:t>The Reflective Practitioner: How Professionals Think in Action</w:t>
      </w:r>
      <w:r>
        <w:rPr>
          <w:color w:val="333333"/>
          <w:sz w:val="19"/>
          <w:szCs w:val="19"/>
        </w:rPr>
        <w:t>. New York: Basic Books.</w:t>
      </w:r>
    </w:p>
    <w:p w14:paraId="70C62280" w14:textId="77777777" w:rsidR="00D16027" w:rsidRDefault="00000000">
      <w:pPr>
        <w:pStyle w:val="ListParagraph"/>
        <w:numPr>
          <w:ilvl w:val="0"/>
          <w:numId w:val="3"/>
        </w:numPr>
        <w:spacing w:before="30" w:after="50"/>
      </w:pPr>
      <w:r>
        <w:rPr>
          <w:color w:val="333333"/>
          <w:sz w:val="19"/>
          <w:szCs w:val="19"/>
        </w:rPr>
        <w:t xml:space="preserve">Selwyn, N. (2019) </w:t>
      </w:r>
      <w:r>
        <w:rPr>
          <w:i/>
          <w:iCs/>
          <w:color w:val="333333"/>
          <w:sz w:val="19"/>
          <w:szCs w:val="19"/>
        </w:rPr>
        <w:t>Should Robots Replace Teachers? AI and the Future of Education</w:t>
      </w:r>
      <w:r>
        <w:rPr>
          <w:color w:val="333333"/>
          <w:sz w:val="19"/>
          <w:szCs w:val="19"/>
        </w:rPr>
        <w:t>. Cambridge: Polity.</w:t>
      </w:r>
    </w:p>
    <w:p w14:paraId="7C268C12" w14:textId="77777777" w:rsidR="00D16027" w:rsidRDefault="00000000">
      <w:pPr>
        <w:pStyle w:val="ListParagraph"/>
        <w:numPr>
          <w:ilvl w:val="0"/>
          <w:numId w:val="3"/>
        </w:numPr>
        <w:spacing w:before="30" w:after="50"/>
      </w:pPr>
      <w:proofErr w:type="spellStart"/>
      <w:r>
        <w:rPr>
          <w:color w:val="333333"/>
          <w:sz w:val="19"/>
          <w:szCs w:val="19"/>
        </w:rPr>
        <w:t>Sotiriadou</w:t>
      </w:r>
      <w:proofErr w:type="spellEnd"/>
      <w:r>
        <w:rPr>
          <w:color w:val="333333"/>
          <w:sz w:val="19"/>
          <w:szCs w:val="19"/>
        </w:rPr>
        <w:t xml:space="preserve">, P., Logan, D., Daly, A. &amp; Guest, R. (2020) The role of authentic assessment to preserve academic integrity and promote skill development and employability. </w:t>
      </w:r>
      <w:r>
        <w:rPr>
          <w:i/>
          <w:iCs/>
          <w:color w:val="333333"/>
          <w:sz w:val="19"/>
          <w:szCs w:val="19"/>
        </w:rPr>
        <w:t>Studies in Higher Education</w:t>
      </w:r>
      <w:r>
        <w:rPr>
          <w:color w:val="333333"/>
          <w:sz w:val="19"/>
          <w:szCs w:val="19"/>
        </w:rPr>
        <w:t>, 45(11), 2132–2148.</w:t>
      </w:r>
    </w:p>
    <w:p w14:paraId="6DD88D3E" w14:textId="77777777" w:rsidR="00D16027" w:rsidRDefault="00000000">
      <w:pPr>
        <w:pStyle w:val="ListParagraph"/>
        <w:numPr>
          <w:ilvl w:val="0"/>
          <w:numId w:val="3"/>
        </w:numPr>
        <w:spacing w:before="30" w:after="50"/>
      </w:pPr>
      <w:r>
        <w:rPr>
          <w:color w:val="333333"/>
          <w:sz w:val="19"/>
          <w:szCs w:val="19"/>
        </w:rPr>
        <w:t xml:space="preserve">Stray, C. (2001) The shift from oral to written examination: Cambridge and Oxford 1700–1900. </w:t>
      </w:r>
      <w:r>
        <w:rPr>
          <w:i/>
          <w:iCs/>
          <w:color w:val="333333"/>
          <w:sz w:val="19"/>
          <w:szCs w:val="19"/>
        </w:rPr>
        <w:t>Assessment in Education</w:t>
      </w:r>
      <w:r>
        <w:rPr>
          <w:color w:val="333333"/>
          <w:sz w:val="19"/>
          <w:szCs w:val="19"/>
        </w:rPr>
        <w:t>, 8(1), 33–50.</w:t>
      </w:r>
    </w:p>
    <w:p w14:paraId="27AF635C" w14:textId="77777777" w:rsidR="00D16027" w:rsidRDefault="00000000">
      <w:pPr>
        <w:pStyle w:val="ListParagraph"/>
        <w:numPr>
          <w:ilvl w:val="0"/>
          <w:numId w:val="3"/>
        </w:numPr>
        <w:spacing w:before="30" w:after="50"/>
      </w:pPr>
      <w:r>
        <w:rPr>
          <w:color w:val="333333"/>
          <w:sz w:val="19"/>
          <w:szCs w:val="19"/>
        </w:rPr>
        <w:t xml:space="preserve">van der Vleuten, C.P.M. et al. (2012) A model for programmatic assessment fit for purpose. </w:t>
      </w:r>
      <w:r>
        <w:rPr>
          <w:i/>
          <w:iCs/>
          <w:color w:val="333333"/>
          <w:sz w:val="19"/>
          <w:szCs w:val="19"/>
        </w:rPr>
        <w:t>Medical Teacher</w:t>
      </w:r>
      <w:r>
        <w:rPr>
          <w:color w:val="333333"/>
          <w:sz w:val="19"/>
          <w:szCs w:val="19"/>
        </w:rPr>
        <w:t>, 34(3), 205–214.</w:t>
      </w:r>
    </w:p>
    <w:p w14:paraId="0E838030" w14:textId="77777777" w:rsidR="00D16027" w:rsidRDefault="00000000">
      <w:r>
        <w:br w:type="page"/>
      </w:r>
    </w:p>
    <w:p w14:paraId="65D97B04" w14:textId="77777777" w:rsidR="00D16027" w:rsidRDefault="00000000">
      <w:pPr>
        <w:keepNext/>
        <w:spacing w:after="40"/>
      </w:pPr>
      <w:r>
        <w:rPr>
          <w:b/>
          <w:bCs/>
          <w:caps/>
          <w:color w:val="2E75B6"/>
          <w:sz w:val="22"/>
          <w:szCs w:val="22"/>
        </w:rPr>
        <w:lastRenderedPageBreak/>
        <w:t>CHAPTER 8</w:t>
      </w:r>
    </w:p>
    <w:p w14:paraId="63513087" w14:textId="77777777" w:rsidR="00D16027" w:rsidRDefault="00000000">
      <w:pPr>
        <w:pStyle w:val="Heading1"/>
        <w:keepNext/>
      </w:pPr>
      <w:r>
        <w:t>Process, Not Just Product</w:t>
      </w:r>
    </w:p>
    <w:p w14:paraId="3CBF9059" w14:textId="77777777" w:rsidR="00D16027" w:rsidRDefault="00000000">
      <w:pPr>
        <w:pBdr>
          <w:left w:val="single" w:sz="14" w:space="10" w:color="2E75B6"/>
        </w:pBdr>
        <w:shd w:val="clear" w:color="auto" w:fill="EAF3FB"/>
        <w:spacing w:after="200"/>
      </w:pPr>
      <w:r>
        <w:rPr>
          <w:i/>
          <w:iCs/>
          <w:color w:val="333333"/>
        </w:rPr>
        <w:t>Most conventional assessment assesses the final product. AI can produce a final product. The most direct design response is to make the process of learning visible and assessable. This chapter shows how portfolios, staged submissions, notebooks, reflective logs and dialogue turn process into evidence, and how to do it without unsustainable workload.</w:t>
      </w:r>
    </w:p>
    <w:p w14:paraId="1C116FFD"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6402059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Explain what process evidence restores that product-only assessment has lost, and why it is necessary but not sufficient</w:t>
      </w:r>
    </w:p>
    <w:p w14:paraId="3C9D530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Design portfolios, staged submissions, notebooks and version histories that function as evidence rather than paperwork</w:t>
      </w:r>
    </w:p>
    <w:p w14:paraId="7A8770A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reflective tasks that are specific enough to be assessable and hard to fabricate</w:t>
      </w:r>
    </w:p>
    <w:p w14:paraId="38F9EEEB"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Use short conversations to verify and extend process evidence, and manage the workload through sampling and structure</w:t>
      </w:r>
    </w:p>
    <w:p w14:paraId="674F7A05" w14:textId="77777777" w:rsidR="00D16027" w:rsidRDefault="00000000">
      <w:pPr>
        <w:pStyle w:val="Heading2"/>
        <w:keepNext/>
      </w:pPr>
      <w:r>
        <w:t>8.1 Why process</w:t>
      </w:r>
    </w:p>
    <w:p w14:paraId="6F090B0C" w14:textId="77777777" w:rsidR="00D16027" w:rsidRDefault="00000000">
      <w:pPr>
        <w:spacing w:after="140"/>
      </w:pPr>
      <w:r>
        <w:t>Chapter 5 described the validity problem as a broken chain: the product (observation) no longer indicates the thinking (cognition). Process evidence repairs the chain by making the cognition visible over time. A sequence of drafts, a dated notebook, a commit history, a supervision log, a record of feedback received and acted on: each shows the work developing in ways that a single fluent product cannot. Moorhouse, Yeo and Li (2023), reviewing the AI guidance of the world's top-ranked universities, found process-based assessment among the most consistently recommended responses.</w:t>
      </w:r>
    </w:p>
    <w:p w14:paraId="48F9C784" w14:textId="77777777" w:rsidR="00D16027" w:rsidRDefault="00000000">
      <w:pPr>
        <w:spacing w:after="140"/>
      </w:pPr>
      <w:r>
        <w:t>The case for process assessment is also, and independently, pedagogical. Black and Wiliam (1998) and Wiliam (2011) established formative assessment as among the most effective interventions available; Sambell, McDowell and Montgomery (2013) describe assessment for learning as a design philosophy in which the assessment process is itself the site of learning. Feedback works when there is time to act on it (Sadler 1989; Boud &amp; Molloy 2013), and staged tasks create that time. Process assessment is therefore not a defensive compromise. It is what the assessment literature had been recommending for decades, now made urgent.</w:t>
      </w:r>
    </w:p>
    <w:p w14:paraId="3167EC0B" w14:textId="77777777" w:rsidR="00D16027" w:rsidRDefault="00000000">
      <w:pPr>
        <w:spacing w:after="140"/>
      </w:pPr>
      <w:r>
        <w:t xml:space="preserve">One caveat governs the whole chapter. Process artefacts can be faked. AI can generate a plausible sequence of drafts on request, and a student can reverse-engineer an outline from a finished essay. Corbin, Dawson and Liu (2025) warn against changes that are structural in appearance but discursive in effect. Process evidence works when three conditions are met: it is </w:t>
      </w:r>
      <w:r>
        <w:rPr>
          <w:i/>
          <w:iCs/>
        </w:rPr>
        <w:t>contemporaneous</w:t>
      </w:r>
      <w:r>
        <w:t xml:space="preserve"> (produced and captured at the time, with dates), it is </w:t>
      </w:r>
      <w:r>
        <w:rPr>
          <w:i/>
          <w:iCs/>
        </w:rPr>
        <w:t>specific</w:t>
      </w:r>
      <w:r>
        <w:t xml:space="preserve"> (tied to particular incidents, data, feedback or decisions), and it is </w:t>
      </w:r>
      <w:r>
        <w:rPr>
          <w:i/>
          <w:iCs/>
        </w:rPr>
        <w:t>dialogic</w:t>
      </w:r>
      <w:r>
        <w:t xml:space="preserve"> (the student can talk about it). Process evidence that is generic, undated and never discussed is paperwork.</w:t>
      </w:r>
    </w:p>
    <w:p w14:paraId="7AD73AB5" w14:textId="77777777" w:rsidR="00D16027" w:rsidRDefault="00000000">
      <w:pPr>
        <w:pBdr>
          <w:left w:val="single" w:sz="14" w:space="10" w:color="2E75B6"/>
        </w:pBdr>
        <w:shd w:val="clear" w:color="auto" w:fill="EAF3FB"/>
        <w:spacing w:before="80" w:after="160"/>
      </w:pPr>
      <w:r>
        <w:rPr>
          <w:b/>
          <w:bCs/>
          <w:color w:val="333333"/>
        </w:rPr>
        <w:t>Process evidence is necessary but not sufficient.</w:t>
      </w:r>
      <w:r>
        <w:rPr>
          <w:color w:val="333333"/>
        </w:rPr>
        <w:t xml:space="preserve"> Contemporaneity, specificity and dialogue are what make it evidence rather than an additional product for AI to generate.</w:t>
      </w:r>
    </w:p>
    <w:p w14:paraId="2DF4345B" w14:textId="77777777" w:rsidR="00D16027" w:rsidRDefault="00000000">
      <w:pPr>
        <w:pStyle w:val="Heading2"/>
        <w:keepNext/>
      </w:pPr>
      <w:r>
        <w:t>8.2 Portfolios</w:t>
      </w:r>
    </w:p>
    <w:p w14:paraId="0C89519E" w14:textId="77777777" w:rsidR="00D16027" w:rsidRDefault="00000000">
      <w:pPr>
        <w:spacing w:after="140"/>
      </w:pPr>
      <w:r>
        <w:t xml:space="preserve">A portfolio is a purposeful collection of work with reflection on it, assembled over time. Barrett (2007) distinguished the </w:t>
      </w:r>
      <w:r>
        <w:rPr>
          <w:i/>
          <w:iCs/>
        </w:rPr>
        <w:t>learning</w:t>
      </w:r>
      <w:r>
        <w:t xml:space="preserve"> portfolio, which documents growth, from the </w:t>
      </w:r>
      <w:r>
        <w:rPr>
          <w:i/>
          <w:iCs/>
        </w:rPr>
        <w:t>assessment</w:t>
      </w:r>
      <w:r>
        <w:t xml:space="preserve"> portfolio, which evidences achievement against criteria, and warned that conflating them produces documents that do neither well. Zubizarreta (2009) frames the learning portfolio as reflection plus documentation plus collaboration. For AI-era design, the portfolio's value lies in four features: it accumulates over a period that AI cannot compress; its entries can be required to be dated and artefact-linked; it makes selection itself an act of judgement; and its reflection can be assessed for specificity rather than eloquence.</w:t>
      </w:r>
    </w:p>
    <w:p w14:paraId="0B0CC39D" w14:textId="77777777" w:rsidR="00D16027" w:rsidRDefault="00000000">
      <w:pPr>
        <w:spacing w:after="140"/>
      </w:pPr>
      <w:r>
        <w:t xml:space="preserve">Design principles follow. State the purpose (learning, assessment, or an explicit combination). Require artefacts of doing (Chapter 7) rather than only finished pieces. Stage the entries, with dates </w:t>
      </w:r>
      <w:r>
        <w:lastRenderedPageBreak/>
        <w:t>captured by the platform. Require each reflective entry to reference a specific artefact and a specific decision. Assess development, judgement in selection and quality of reflection, not volume. And sample: read the whole portfolio for a proportion of students, and a structured subset for the rest, with a short conversation for the sampled group.</w:t>
      </w:r>
    </w:p>
    <w:p w14:paraId="03B90DC5" w14:textId="77777777" w:rsidR="00D16027" w:rsidRDefault="00000000">
      <w:pPr>
        <w:pStyle w:val="Heading2"/>
        <w:keepNext/>
      </w:pPr>
      <w:r>
        <w:t>8.3 Staged submissions and checkpoints</w:t>
      </w:r>
    </w:p>
    <w:p w14:paraId="6D51E6BA" w14:textId="77777777" w:rsidR="00D16027" w:rsidRDefault="00000000">
      <w:pPr>
        <w:spacing w:after="140"/>
      </w:pPr>
      <w:r>
        <w:t>The simplest process design is to break a single product into stages: an outline, an annotated reading list, a draft, a final version, each submitted at a fixed point. The stages need not be heavily marked; a pass/fail check or brief comment is enough. Their evidential value lies in the trajectory. Two additions strengthen the design. First, require the student to respond explicitly to feedback at each stage, stating what they changed and why; Winstone and Carless (2019) show that feedback literacy develops when students are required to use feedback, not merely receive it, and Carless and Boud (2018) describe the disposition this builds. Second, begin the task in class: a supervised first paragraph or plan, written in fifty minutes and submitted, anchors the whole trajectory to a secured starting point. A final essay that bears no relation to the supervised plan invites a conversation.</w:t>
      </w:r>
    </w:p>
    <w:p w14:paraId="7A0D5531" w14:textId="77777777" w:rsidR="00D16027" w:rsidRDefault="00000000">
      <w:pPr>
        <w:spacing w:after="140"/>
      </w:pPr>
      <w:r>
        <w:t>Version histories offer a lighter alternative. Word processors and shared documents record edits with timestamps, and computing courses have long used repository histories. Some institutions have adopted tools that log keystrokes or replay the writing process. These can be powerful but raise privacy and surveillance concerns; Dawson (2021) warns that assessment security measures which treat students as suspects carry costs of their own. Prefer the least intrusive method that establishes contemporaneity, and be transparent about what is captured.</w:t>
      </w:r>
    </w:p>
    <w:p w14:paraId="6C8A4118" w14:textId="77777777" w:rsidR="00D16027" w:rsidRDefault="00000000">
      <w:pPr>
        <w:pStyle w:val="Heading2"/>
        <w:keepNext/>
      </w:pPr>
      <w:r>
        <w:t>8.4 Notebooks, logs and repositories</w:t>
      </w:r>
    </w:p>
    <w:p w14:paraId="0EF01F25" w14:textId="77777777" w:rsidR="00D16027" w:rsidRDefault="00000000">
      <w:pPr>
        <w:spacing w:after="140"/>
      </w:pPr>
      <w:r>
        <w:t>In the sciences the laboratory notebook is the original process artefact: dated, contemporaneous, with raw data and errors left in. In fieldwork disciplines the field diary plays the same role. In computing the commit history does, and Denny et al. (2024) argue that in an era of AI code generation the ability to explain and justify a sequence of changes matters more than the ability to produce the final code; requiring meaningful commit messages turns the history into a reasoning record. Dissertation supervision logs, co-signed at each meeting, evidence the development of a project over months. Placement logs in nursing, social work, teaching and allied health record specific incidents on specific days. All of these work because they are hard to backfill convincingly, and because a student who kept them can talk about them.</w:t>
      </w:r>
    </w:p>
    <w:p w14:paraId="2CE797CC" w14:textId="77777777" w:rsidR="00D16027" w:rsidRDefault="00000000">
      <w:pPr>
        <w:spacing w:after="140"/>
      </w:pPr>
      <w:r>
        <w:t xml:space="preserve">Two settings deserve separate mention. </w:t>
      </w:r>
      <w:r>
        <w:rPr>
          <w:b/>
          <w:bCs/>
        </w:rPr>
        <w:t>Group work</w:t>
      </w:r>
      <w:r>
        <w:t xml:space="preserve"> multiplies the inference problem: a group product evidences the group, and AI substitution by one member is invisible in it. The individual inference is restored by the same means as elsewhere: individual process artefacts (each member's commits, notes or drafts), structured peer assessment of contribution, for which </w:t>
      </w:r>
      <w:proofErr w:type="spellStart"/>
      <w:r>
        <w:t>Falchikov</w:t>
      </w:r>
      <w:proofErr w:type="spellEnd"/>
      <w:r>
        <w:t xml:space="preserve"> and Goldfinch (2000) found reasonable reliability when criteria are clear, and an individual conversation or walkthrough in which each member accounts for a part chosen by the assessor. </w:t>
      </w:r>
      <w:r>
        <w:rPr>
          <w:b/>
          <w:bCs/>
        </w:rPr>
        <w:t>Doctoral and postgraduate research</w:t>
      </w:r>
      <w:r>
        <w:t xml:space="preserve"> already rests on the strongest process design in the academy: years of supervision, a written record, and a viva. What AI adds is the need for explicit expectations about its use in literature review, analysis and drafting, a declaration convention for theses, and supervision records that note where AI contributed. The viva remains the guarantee; supervisors should be prepared to probe AI-assisted sections as they would any other.</w:t>
      </w:r>
    </w:p>
    <w:p w14:paraId="4BB74048" w14:textId="77777777" w:rsidR="00D16027" w:rsidRDefault="00000000">
      <w:pPr>
        <w:pStyle w:val="Heading2"/>
        <w:keepNext/>
      </w:pPr>
      <w:r>
        <w:t>8.5 Reflective writing that works</w:t>
      </w:r>
    </w:p>
    <w:p w14:paraId="5029D575" w14:textId="77777777" w:rsidR="00D16027" w:rsidRDefault="00000000">
      <w:pPr>
        <w:spacing w:after="140"/>
      </w:pPr>
      <w:r>
        <w:t>Reflection is the most personal form of process evidence and the easiest to fake. "I learned a great deal about teamwork and communication" is precisely the sentence a language model produces when asked to reflect. The problem is not reflection but generic reflection. Moon (2004) and Ryan and Ryan (2013) show that reflective writing can be assessed reliably when it is structured, anchored and explicit about levels of depth; the structured models of Gibbs (1988) and Kolb (1984), and Schön's (1983) distinction between reflection in and on action, give students a scaffold.</w:t>
      </w:r>
    </w:p>
    <w:p w14:paraId="6FEED865" w14:textId="77777777" w:rsidR="00D16027" w:rsidRDefault="00000000">
      <w:pPr>
        <w:spacing w:after="140"/>
      </w:pPr>
      <w:r>
        <w:t xml:space="preserve">Four design features make reflection assessable and resilient. Anchor it in a specific incident, with a date and a contemporaneous record (a log entry, a photograph, a piece of feedback). Ask for decisions, not feelings: what the student did, what else they considered, what they would do </w:t>
      </w:r>
      <w:r>
        <w:lastRenderedPageBreak/>
        <w:t>differently. Assess specificity and the link to evidence, not fluency; a rubric that rewards "engages with a concrete example from the student's own log" is harder to satisfy by generation than one that rewards "demonstrates critical reflection". And make it dialogic: reflective entries that are discussed in a tutorial or a placement review become evidence in the conversation, not only on the page. Chapter 11 adds a further possibility: reflection on the student's own use of AI, which is both integrity mechanism and learning task.</w:t>
      </w:r>
    </w:p>
    <w:p w14:paraId="38F0944D" w14:textId="77777777" w:rsidR="00D16027" w:rsidRDefault="00000000">
      <w:pPr>
        <w:pStyle w:val="Heading2"/>
        <w:keepNext/>
      </w:pPr>
      <w:r>
        <w:t>8.6 Dialogue: the follow-up conversation</w:t>
      </w:r>
    </w:p>
    <w:p w14:paraId="00762053" w14:textId="77777777" w:rsidR="00D16027" w:rsidRDefault="00000000">
      <w:pPr>
        <w:spacing w:after="140"/>
      </w:pPr>
      <w:r>
        <w:t xml:space="preserve">The single most effective addition to any submitted product is a short conversation about it. Five to fifteen minutes in which the student explains a choice, accounts for a specific passage, connects the work to their process artefacts and responds to an extension question restores the inference from product to person more reliably than any detector. </w:t>
      </w:r>
      <w:proofErr w:type="spellStart"/>
      <w:r>
        <w:t>Sotiriadou</w:t>
      </w:r>
      <w:proofErr w:type="spellEnd"/>
      <w:r>
        <w:t xml:space="preserve"> et al. (2020) documented the integrity and skills benefits of interactive orals; A growing number of UK, Irish and Australian institutions use sampled conversations for unsupervised coursework, and Dublin City University has run a community of practice around interactive orals since 2020 (Ward et al. 2024). The conversation need not be marked as a separate component: it can confirm, moderate or gate the product mark, according to a policy stated in advance. It can be conducted online. It should draw on a shared question bank and be recorded for moderation. Chapter 10 develops the design in full.</w:t>
      </w:r>
    </w:p>
    <w:p w14:paraId="4EC2B52B" w14:textId="77777777" w:rsidR="00D16027" w:rsidRDefault="00000000">
      <w:pPr>
        <w:pStyle w:val="Heading2"/>
        <w:keepNext/>
      </w:pPr>
      <w:r>
        <w:t>8.7 Managing the workload</w:t>
      </w:r>
    </w:p>
    <w:p w14:paraId="1EAD0220" w14:textId="77777777" w:rsidR="00D16027" w:rsidRDefault="00000000">
      <w:pPr>
        <w:spacing w:after="140"/>
      </w:pPr>
      <w:r>
        <w:t>Process assessment is labour-intensive only if it is added to existing assessment rather than replacing it. The principle is that checkpoints and conversations substitute for marking, not supplement it. Five techniques keep the load sustainable.</w:t>
      </w:r>
    </w:p>
    <w:p w14:paraId="6E3739D9" w14:textId="77777777" w:rsidR="00D16027" w:rsidRDefault="00000000">
      <w:pPr>
        <w:keepNext/>
        <w:spacing w:before="160" w:after="80"/>
      </w:pPr>
      <w:r>
        <w:rPr>
          <w:b/>
          <w:bCs/>
          <w:color w:val="1A4F7A"/>
          <w:sz w:val="20"/>
          <w:szCs w:val="20"/>
        </w:rPr>
        <w:t>Table 8.1  Process techniques and their workload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000"/>
        <w:gridCol w:w="2986"/>
      </w:tblGrid>
      <w:tr w:rsidR="00D16027" w14:paraId="32158724" w14:textId="77777777">
        <w:tblPrEx>
          <w:tblCellMar>
            <w:top w:w="0" w:type="dxa"/>
            <w:bottom w:w="0" w:type="dxa"/>
          </w:tblCellMar>
        </w:tblPrEx>
        <w:trPr>
          <w:cantSplit/>
          <w:tblHeader/>
        </w:trPr>
        <w:tc>
          <w:tcPr>
            <w:tcW w:w="1900" w:type="dxa"/>
            <w:shd w:val="clear" w:color="auto" w:fill="2E75B6"/>
            <w:tcMar>
              <w:top w:w="70" w:type="dxa"/>
              <w:left w:w="100" w:type="dxa"/>
              <w:bottom w:w="70" w:type="dxa"/>
              <w:right w:w="100" w:type="dxa"/>
            </w:tcMar>
          </w:tcPr>
          <w:p w14:paraId="57B32AD3" w14:textId="77777777" w:rsidR="00D16027" w:rsidRDefault="00000000">
            <w:r>
              <w:rPr>
                <w:b/>
                <w:bCs/>
                <w:color w:val="FFFFFF"/>
                <w:sz w:val="19"/>
                <w:szCs w:val="19"/>
              </w:rPr>
              <w:t>Technique</w:t>
            </w:r>
          </w:p>
        </w:tc>
        <w:tc>
          <w:tcPr>
            <w:tcW w:w="2500" w:type="dxa"/>
            <w:shd w:val="clear" w:color="auto" w:fill="2E75B6"/>
            <w:tcMar>
              <w:top w:w="70" w:type="dxa"/>
              <w:left w:w="100" w:type="dxa"/>
              <w:bottom w:w="70" w:type="dxa"/>
              <w:right w:w="100" w:type="dxa"/>
            </w:tcMar>
          </w:tcPr>
          <w:p w14:paraId="0F7EB733" w14:textId="77777777" w:rsidR="00D16027" w:rsidRDefault="00000000">
            <w:r>
              <w:rPr>
                <w:b/>
                <w:bCs/>
                <w:color w:val="FFFFFF"/>
                <w:sz w:val="19"/>
                <w:szCs w:val="19"/>
              </w:rPr>
              <w:t>Workload cost</w:t>
            </w:r>
          </w:p>
        </w:tc>
        <w:tc>
          <w:tcPr>
            <w:tcW w:w="2000" w:type="dxa"/>
            <w:shd w:val="clear" w:color="auto" w:fill="2E75B6"/>
            <w:tcMar>
              <w:top w:w="70" w:type="dxa"/>
              <w:left w:w="100" w:type="dxa"/>
              <w:bottom w:w="70" w:type="dxa"/>
              <w:right w:w="100" w:type="dxa"/>
            </w:tcMar>
          </w:tcPr>
          <w:p w14:paraId="0B46CB24" w14:textId="77777777" w:rsidR="00D16027" w:rsidRDefault="00000000">
            <w:r>
              <w:rPr>
                <w:b/>
                <w:bCs/>
                <w:color w:val="FFFFFF"/>
                <w:sz w:val="19"/>
                <w:szCs w:val="19"/>
              </w:rPr>
              <w:t>Resilience gain</w:t>
            </w:r>
          </w:p>
        </w:tc>
        <w:tc>
          <w:tcPr>
            <w:tcW w:w="2986" w:type="dxa"/>
            <w:shd w:val="clear" w:color="auto" w:fill="2E75B6"/>
            <w:tcMar>
              <w:top w:w="70" w:type="dxa"/>
              <w:left w:w="100" w:type="dxa"/>
              <w:bottom w:w="70" w:type="dxa"/>
              <w:right w:w="100" w:type="dxa"/>
            </w:tcMar>
          </w:tcPr>
          <w:p w14:paraId="35EBCC9E" w14:textId="77777777" w:rsidR="00D16027" w:rsidRDefault="00000000">
            <w:r>
              <w:rPr>
                <w:b/>
                <w:bCs/>
                <w:color w:val="FFFFFF"/>
                <w:sz w:val="19"/>
                <w:szCs w:val="19"/>
              </w:rPr>
              <w:t>How to keep it sustainable</w:t>
            </w:r>
          </w:p>
        </w:tc>
      </w:tr>
      <w:tr w:rsidR="00D16027" w14:paraId="5E7BB258" w14:textId="77777777">
        <w:tblPrEx>
          <w:tblCellMar>
            <w:top w:w="0" w:type="dxa"/>
            <w:bottom w:w="0" w:type="dxa"/>
          </w:tblCellMar>
        </w:tblPrEx>
        <w:trPr>
          <w:cantSplit/>
        </w:trPr>
        <w:tc>
          <w:tcPr>
            <w:tcW w:w="1900" w:type="dxa"/>
            <w:tcMar>
              <w:top w:w="70" w:type="dxa"/>
              <w:left w:w="100" w:type="dxa"/>
              <w:bottom w:w="70" w:type="dxa"/>
              <w:right w:w="100" w:type="dxa"/>
            </w:tcMar>
          </w:tcPr>
          <w:p w14:paraId="7EEE3D53" w14:textId="77777777" w:rsidR="00D16027" w:rsidRDefault="00000000">
            <w:r>
              <w:rPr>
                <w:sz w:val="19"/>
                <w:szCs w:val="19"/>
              </w:rPr>
              <w:t>Staged submissions</w:t>
            </w:r>
          </w:p>
        </w:tc>
        <w:tc>
          <w:tcPr>
            <w:tcW w:w="2500" w:type="dxa"/>
            <w:tcMar>
              <w:top w:w="70" w:type="dxa"/>
              <w:left w:w="100" w:type="dxa"/>
              <w:bottom w:w="70" w:type="dxa"/>
              <w:right w:w="100" w:type="dxa"/>
            </w:tcMar>
          </w:tcPr>
          <w:p w14:paraId="14B3A3C6" w14:textId="77777777" w:rsidR="00D16027" w:rsidRDefault="00000000">
            <w:r>
              <w:rPr>
                <w:sz w:val="19"/>
                <w:szCs w:val="19"/>
              </w:rPr>
              <w:t>Low if stages are pass/fail or brief-comment; high if each is fully marked</w:t>
            </w:r>
          </w:p>
        </w:tc>
        <w:tc>
          <w:tcPr>
            <w:tcW w:w="2000" w:type="dxa"/>
            <w:tcMar>
              <w:top w:w="70" w:type="dxa"/>
              <w:left w:w="100" w:type="dxa"/>
              <w:bottom w:w="70" w:type="dxa"/>
              <w:right w:w="100" w:type="dxa"/>
            </w:tcMar>
          </w:tcPr>
          <w:p w14:paraId="4A9E97E7" w14:textId="77777777" w:rsidR="00D16027" w:rsidRDefault="00000000">
            <w:r>
              <w:rPr>
                <w:sz w:val="19"/>
                <w:szCs w:val="19"/>
              </w:rPr>
              <w:t>Moderate to high with an in-class start</w:t>
            </w:r>
          </w:p>
        </w:tc>
        <w:tc>
          <w:tcPr>
            <w:tcW w:w="2986" w:type="dxa"/>
            <w:tcMar>
              <w:top w:w="70" w:type="dxa"/>
              <w:left w:w="100" w:type="dxa"/>
              <w:bottom w:w="70" w:type="dxa"/>
              <w:right w:w="100" w:type="dxa"/>
            </w:tcMar>
          </w:tcPr>
          <w:p w14:paraId="413662DE" w14:textId="77777777" w:rsidR="00D16027" w:rsidRDefault="00000000">
            <w:r>
              <w:rPr>
                <w:sz w:val="19"/>
                <w:szCs w:val="19"/>
              </w:rPr>
              <w:t>Mark trajectory, not each stage; shorten the final product</w:t>
            </w:r>
          </w:p>
        </w:tc>
      </w:tr>
      <w:tr w:rsidR="00D16027" w14:paraId="22961E67" w14:textId="77777777">
        <w:tblPrEx>
          <w:tblCellMar>
            <w:top w:w="0" w:type="dxa"/>
            <w:bottom w:w="0" w:type="dxa"/>
          </w:tblCellMar>
        </w:tblPrEx>
        <w:trPr>
          <w:cantSplit/>
        </w:trPr>
        <w:tc>
          <w:tcPr>
            <w:tcW w:w="1900" w:type="dxa"/>
            <w:tcMar>
              <w:top w:w="70" w:type="dxa"/>
              <w:left w:w="100" w:type="dxa"/>
              <w:bottom w:w="70" w:type="dxa"/>
              <w:right w:w="100" w:type="dxa"/>
            </w:tcMar>
          </w:tcPr>
          <w:p w14:paraId="4A75AFB0" w14:textId="77777777" w:rsidR="00D16027" w:rsidRDefault="00000000">
            <w:r>
              <w:rPr>
                <w:sz w:val="19"/>
                <w:szCs w:val="19"/>
              </w:rPr>
              <w:t>Sampled conversation</w:t>
            </w:r>
          </w:p>
        </w:tc>
        <w:tc>
          <w:tcPr>
            <w:tcW w:w="2500" w:type="dxa"/>
            <w:tcMar>
              <w:top w:w="70" w:type="dxa"/>
              <w:left w:w="100" w:type="dxa"/>
              <w:bottom w:w="70" w:type="dxa"/>
              <w:right w:w="100" w:type="dxa"/>
            </w:tcMar>
          </w:tcPr>
          <w:p w14:paraId="1FE1C4FC" w14:textId="77777777" w:rsidR="00D16027" w:rsidRDefault="00000000">
            <w:r>
              <w:rPr>
                <w:sz w:val="19"/>
                <w:szCs w:val="19"/>
              </w:rPr>
              <w:t>Ten minutes per sampled student</w:t>
            </w:r>
          </w:p>
        </w:tc>
        <w:tc>
          <w:tcPr>
            <w:tcW w:w="2000" w:type="dxa"/>
            <w:tcMar>
              <w:top w:w="70" w:type="dxa"/>
              <w:left w:w="100" w:type="dxa"/>
              <w:bottom w:w="70" w:type="dxa"/>
              <w:right w:w="100" w:type="dxa"/>
            </w:tcMar>
          </w:tcPr>
          <w:p w14:paraId="334ECD6A" w14:textId="77777777" w:rsidR="00D16027" w:rsidRDefault="00000000">
            <w:r>
              <w:rPr>
                <w:sz w:val="19"/>
                <w:szCs w:val="19"/>
              </w:rPr>
              <w:t>High</w:t>
            </w:r>
          </w:p>
        </w:tc>
        <w:tc>
          <w:tcPr>
            <w:tcW w:w="2986" w:type="dxa"/>
            <w:tcMar>
              <w:top w:w="70" w:type="dxa"/>
              <w:left w:w="100" w:type="dxa"/>
              <w:bottom w:w="70" w:type="dxa"/>
              <w:right w:w="100" w:type="dxa"/>
            </w:tcMar>
          </w:tcPr>
          <w:p w14:paraId="712B3B7D" w14:textId="77777777" w:rsidR="00D16027" w:rsidRDefault="00000000">
            <w:r>
              <w:rPr>
                <w:sz w:val="19"/>
                <w:szCs w:val="19"/>
              </w:rPr>
              <w:t>Sample one in three or four; random plus flagged; group formats</w:t>
            </w:r>
          </w:p>
        </w:tc>
      </w:tr>
      <w:tr w:rsidR="00D16027" w14:paraId="40D2F9D9" w14:textId="77777777">
        <w:tblPrEx>
          <w:tblCellMar>
            <w:top w:w="0" w:type="dxa"/>
            <w:bottom w:w="0" w:type="dxa"/>
          </w:tblCellMar>
        </w:tblPrEx>
        <w:trPr>
          <w:cantSplit/>
        </w:trPr>
        <w:tc>
          <w:tcPr>
            <w:tcW w:w="1900" w:type="dxa"/>
            <w:tcMar>
              <w:top w:w="70" w:type="dxa"/>
              <w:left w:w="100" w:type="dxa"/>
              <w:bottom w:w="70" w:type="dxa"/>
              <w:right w:w="100" w:type="dxa"/>
            </w:tcMar>
          </w:tcPr>
          <w:p w14:paraId="74190FC9" w14:textId="77777777" w:rsidR="00D16027" w:rsidRDefault="00000000">
            <w:r>
              <w:rPr>
                <w:sz w:val="19"/>
                <w:szCs w:val="19"/>
              </w:rPr>
              <w:t>Peer review of drafts</w:t>
            </w:r>
          </w:p>
        </w:tc>
        <w:tc>
          <w:tcPr>
            <w:tcW w:w="2500" w:type="dxa"/>
            <w:tcMar>
              <w:top w:w="70" w:type="dxa"/>
              <w:left w:w="100" w:type="dxa"/>
              <w:bottom w:w="70" w:type="dxa"/>
              <w:right w:w="100" w:type="dxa"/>
            </w:tcMar>
          </w:tcPr>
          <w:p w14:paraId="007F7EF8" w14:textId="77777777" w:rsidR="00D16027" w:rsidRDefault="00000000">
            <w:r>
              <w:rPr>
                <w:sz w:val="19"/>
                <w:szCs w:val="19"/>
              </w:rPr>
              <w:t>Low for staff; moderate to set up</w:t>
            </w:r>
          </w:p>
        </w:tc>
        <w:tc>
          <w:tcPr>
            <w:tcW w:w="2000" w:type="dxa"/>
            <w:tcMar>
              <w:top w:w="70" w:type="dxa"/>
              <w:left w:w="100" w:type="dxa"/>
              <w:bottom w:w="70" w:type="dxa"/>
              <w:right w:w="100" w:type="dxa"/>
            </w:tcMar>
          </w:tcPr>
          <w:p w14:paraId="3636A7C4" w14:textId="77777777" w:rsidR="00D16027" w:rsidRDefault="00000000">
            <w:r>
              <w:rPr>
                <w:sz w:val="19"/>
                <w:szCs w:val="19"/>
              </w:rPr>
              <w:t>Moderate (adds a reader and a record)</w:t>
            </w:r>
          </w:p>
        </w:tc>
        <w:tc>
          <w:tcPr>
            <w:tcW w:w="2986" w:type="dxa"/>
            <w:tcMar>
              <w:top w:w="70" w:type="dxa"/>
              <w:left w:w="100" w:type="dxa"/>
              <w:bottom w:w="70" w:type="dxa"/>
              <w:right w:w="100" w:type="dxa"/>
            </w:tcMar>
          </w:tcPr>
          <w:p w14:paraId="69CEE278" w14:textId="77777777" w:rsidR="00D16027" w:rsidRDefault="00000000">
            <w:r>
              <w:rPr>
                <w:sz w:val="19"/>
                <w:szCs w:val="19"/>
              </w:rPr>
              <w:t>Structured review forms; Nicol, Thomson &amp; Breslin (2014) show reviewing benefits the reviewer</w:t>
            </w:r>
          </w:p>
        </w:tc>
      </w:tr>
      <w:tr w:rsidR="00D16027" w14:paraId="047176C4" w14:textId="77777777">
        <w:tblPrEx>
          <w:tblCellMar>
            <w:top w:w="0" w:type="dxa"/>
            <w:bottom w:w="0" w:type="dxa"/>
          </w:tblCellMar>
        </w:tblPrEx>
        <w:trPr>
          <w:cantSplit/>
        </w:trPr>
        <w:tc>
          <w:tcPr>
            <w:tcW w:w="1900" w:type="dxa"/>
            <w:tcMar>
              <w:top w:w="70" w:type="dxa"/>
              <w:left w:w="100" w:type="dxa"/>
              <w:bottom w:w="70" w:type="dxa"/>
              <w:right w:w="100" w:type="dxa"/>
            </w:tcMar>
          </w:tcPr>
          <w:p w14:paraId="78C7D504" w14:textId="77777777" w:rsidR="00D16027" w:rsidRDefault="00000000">
            <w:r>
              <w:rPr>
                <w:sz w:val="19"/>
                <w:szCs w:val="19"/>
              </w:rPr>
              <w:t>Feedback response sheet</w:t>
            </w:r>
          </w:p>
        </w:tc>
        <w:tc>
          <w:tcPr>
            <w:tcW w:w="2500" w:type="dxa"/>
            <w:tcMar>
              <w:top w:w="70" w:type="dxa"/>
              <w:left w:w="100" w:type="dxa"/>
              <w:bottom w:w="70" w:type="dxa"/>
              <w:right w:w="100" w:type="dxa"/>
            </w:tcMar>
          </w:tcPr>
          <w:p w14:paraId="2543FCD5" w14:textId="77777777" w:rsidR="00D16027" w:rsidRDefault="00000000">
            <w:r>
              <w:rPr>
                <w:sz w:val="19"/>
                <w:szCs w:val="19"/>
              </w:rPr>
              <w:t>Very low</w:t>
            </w:r>
          </w:p>
        </w:tc>
        <w:tc>
          <w:tcPr>
            <w:tcW w:w="2000" w:type="dxa"/>
            <w:tcMar>
              <w:top w:w="70" w:type="dxa"/>
              <w:left w:w="100" w:type="dxa"/>
              <w:bottom w:w="70" w:type="dxa"/>
              <w:right w:w="100" w:type="dxa"/>
            </w:tcMar>
          </w:tcPr>
          <w:p w14:paraId="3C472CF4" w14:textId="77777777" w:rsidR="00D16027" w:rsidRDefault="00000000">
            <w:r>
              <w:rPr>
                <w:sz w:val="19"/>
                <w:szCs w:val="19"/>
              </w:rPr>
              <w:t>Moderate</w:t>
            </w:r>
          </w:p>
        </w:tc>
        <w:tc>
          <w:tcPr>
            <w:tcW w:w="2986" w:type="dxa"/>
            <w:tcMar>
              <w:top w:w="70" w:type="dxa"/>
              <w:left w:w="100" w:type="dxa"/>
              <w:bottom w:w="70" w:type="dxa"/>
              <w:right w:w="100" w:type="dxa"/>
            </w:tcMar>
          </w:tcPr>
          <w:p w14:paraId="1194619D" w14:textId="77777777" w:rsidR="00D16027" w:rsidRDefault="00000000">
            <w:r>
              <w:rPr>
                <w:sz w:val="19"/>
                <w:szCs w:val="19"/>
              </w:rPr>
              <w:t>One page; assessed pass/fail on specificity</w:t>
            </w:r>
          </w:p>
        </w:tc>
      </w:tr>
      <w:tr w:rsidR="00D16027" w14:paraId="78374738" w14:textId="77777777">
        <w:tblPrEx>
          <w:tblCellMar>
            <w:top w:w="0" w:type="dxa"/>
            <w:bottom w:w="0" w:type="dxa"/>
          </w:tblCellMar>
        </w:tblPrEx>
        <w:trPr>
          <w:cantSplit/>
        </w:trPr>
        <w:tc>
          <w:tcPr>
            <w:tcW w:w="1900" w:type="dxa"/>
            <w:tcMar>
              <w:top w:w="70" w:type="dxa"/>
              <w:left w:w="100" w:type="dxa"/>
              <w:bottom w:w="70" w:type="dxa"/>
              <w:right w:w="100" w:type="dxa"/>
            </w:tcMar>
          </w:tcPr>
          <w:p w14:paraId="0FE5EF8F" w14:textId="77777777" w:rsidR="00D16027" w:rsidRDefault="00000000">
            <w:r>
              <w:rPr>
                <w:sz w:val="19"/>
                <w:szCs w:val="19"/>
              </w:rPr>
              <w:t>Notebook or log</w:t>
            </w:r>
          </w:p>
        </w:tc>
        <w:tc>
          <w:tcPr>
            <w:tcW w:w="2500" w:type="dxa"/>
            <w:tcMar>
              <w:top w:w="70" w:type="dxa"/>
              <w:left w:w="100" w:type="dxa"/>
              <w:bottom w:w="70" w:type="dxa"/>
              <w:right w:w="100" w:type="dxa"/>
            </w:tcMar>
          </w:tcPr>
          <w:p w14:paraId="0323F6D4" w14:textId="77777777" w:rsidR="00D16027" w:rsidRDefault="00000000">
            <w:r>
              <w:rPr>
                <w:sz w:val="19"/>
                <w:szCs w:val="19"/>
              </w:rPr>
              <w:t>Low if checked for completeness; sample for quality</w:t>
            </w:r>
          </w:p>
        </w:tc>
        <w:tc>
          <w:tcPr>
            <w:tcW w:w="2000" w:type="dxa"/>
            <w:tcMar>
              <w:top w:w="70" w:type="dxa"/>
              <w:left w:w="100" w:type="dxa"/>
              <w:bottom w:w="70" w:type="dxa"/>
              <w:right w:w="100" w:type="dxa"/>
            </w:tcMar>
          </w:tcPr>
          <w:p w14:paraId="15C0C722" w14:textId="77777777" w:rsidR="00D16027" w:rsidRDefault="00000000">
            <w:r>
              <w:rPr>
                <w:sz w:val="19"/>
                <w:szCs w:val="19"/>
              </w:rPr>
              <w:t>High when combined with dialogue</w:t>
            </w:r>
          </w:p>
        </w:tc>
        <w:tc>
          <w:tcPr>
            <w:tcW w:w="2986" w:type="dxa"/>
            <w:tcMar>
              <w:top w:w="70" w:type="dxa"/>
              <w:left w:w="100" w:type="dxa"/>
              <w:bottom w:w="70" w:type="dxa"/>
              <w:right w:w="100" w:type="dxa"/>
            </w:tcMar>
          </w:tcPr>
          <w:p w14:paraId="1FA42BF6" w14:textId="77777777" w:rsidR="00D16027" w:rsidRDefault="00000000">
            <w:r>
              <w:rPr>
                <w:sz w:val="19"/>
                <w:szCs w:val="19"/>
              </w:rPr>
              <w:t>Completeness checks can be automated; quality sampled</w:t>
            </w:r>
          </w:p>
        </w:tc>
      </w:tr>
    </w:tbl>
    <w:p w14:paraId="7BB41ACA" w14:textId="77777777" w:rsidR="00D16027" w:rsidRDefault="00D16027">
      <w:pPr>
        <w:spacing w:after="120"/>
      </w:pPr>
    </w:p>
    <w:p w14:paraId="4774A381" w14:textId="77777777" w:rsidR="00D16027" w:rsidRDefault="00000000">
      <w:pPr>
        <w:spacing w:after="140"/>
      </w:pPr>
      <w:r>
        <w:t>Two further points. Peer review is not a workload dodge but a learning design: Nicol, Thomson and Breslin (2014) found that students learned as much from reviewing others' drafts as from receiving reviews, and the review record is itself process evidence. And the most powerful workload lever is the one Chapter 1 identified: reduce the number of summative products. A module with one staged, dialogic assessment usually costs less staff time than one with three unsupervised essays, and evidences more.</w:t>
      </w:r>
    </w:p>
    <w:p w14:paraId="60B169E6"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Process designs in four disciplines</w:t>
      </w:r>
    </w:p>
    <w:p w14:paraId="113874D3" w14:textId="77777777" w:rsidR="00D16027" w:rsidRDefault="00000000">
      <w:pPr>
        <w:pBdr>
          <w:left w:val="single" w:sz="14" w:space="10" w:color="4E8A5E"/>
        </w:pBdr>
        <w:shd w:val="clear" w:color="auto" w:fill="EEF6EF"/>
        <w:spacing w:after="60"/>
      </w:pPr>
      <w:r>
        <w:rPr>
          <w:b/>
          <w:bCs/>
          <w:color w:val="333333"/>
          <w:sz w:val="20"/>
          <w:szCs w:val="20"/>
        </w:rPr>
        <w:t>English literature.</w:t>
      </w:r>
      <w:r>
        <w:rPr>
          <w:color w:val="333333"/>
          <w:sz w:val="20"/>
          <w:szCs w:val="20"/>
        </w:rPr>
        <w:t xml:space="preserve"> A weekly reading journal (150 words on a specified passage, submitted by Sunday), an in-class essay plan in week seven (50 minutes, supervised, submitted), a draft with structured peer review in week nine, a final essay with a one-page feedback response, and a ten-minute conversation for a random quarter of the cohort plus any whose final bears little relation to their plan. The journal and plan are pass/fail; the essay is shorter than before.</w:t>
      </w:r>
    </w:p>
    <w:p w14:paraId="3DE67514" w14:textId="77777777" w:rsidR="00D16027" w:rsidRDefault="00000000">
      <w:pPr>
        <w:pBdr>
          <w:left w:val="single" w:sz="14" w:space="10" w:color="4E8A5E"/>
        </w:pBdr>
        <w:shd w:val="clear" w:color="auto" w:fill="EEF6EF"/>
        <w:spacing w:after="60"/>
      </w:pPr>
      <w:r>
        <w:rPr>
          <w:b/>
          <w:bCs/>
          <w:color w:val="333333"/>
          <w:sz w:val="20"/>
          <w:szCs w:val="20"/>
        </w:rPr>
        <w:lastRenderedPageBreak/>
        <w:t>Software engineering.</w:t>
      </w:r>
      <w:r>
        <w:rPr>
          <w:color w:val="333333"/>
          <w:sz w:val="20"/>
          <w:szCs w:val="20"/>
        </w:rPr>
        <w:t xml:space="preserve"> A group project assessed through the repository: commit history with a required message convention (what changed, why, what was tried), a code review record, and a fifteen-minute individual walkthrough in which each student explains and modifies a section chosen by the assessor. AI code assistance is permitted at AIAS Level 3 and its use is recorded in commit messages.</w:t>
      </w:r>
    </w:p>
    <w:p w14:paraId="4D266378" w14:textId="77777777" w:rsidR="00D16027" w:rsidRDefault="00000000">
      <w:pPr>
        <w:pBdr>
          <w:left w:val="single" w:sz="14" w:space="10" w:color="4E8A5E"/>
        </w:pBdr>
        <w:shd w:val="clear" w:color="auto" w:fill="EEF6EF"/>
        <w:spacing w:after="60"/>
      </w:pPr>
      <w:r>
        <w:rPr>
          <w:b/>
          <w:bCs/>
          <w:color w:val="333333"/>
          <w:sz w:val="20"/>
          <w:szCs w:val="20"/>
        </w:rPr>
        <w:t>Nursing.</w:t>
      </w:r>
      <w:r>
        <w:rPr>
          <w:color w:val="333333"/>
          <w:sz w:val="20"/>
          <w:szCs w:val="20"/>
        </w:rPr>
        <w:t xml:space="preserve"> A placement e-portfolio: dated incident logs (structured, two per week), reflective entries that must cite a specific log entry and state a decision, practice assessor sign-off, and a twenty-minute placement review conversation. Generic reflection scores at the lowest band by rubric design.</w:t>
      </w:r>
    </w:p>
    <w:p w14:paraId="54C2DF50" w14:textId="77777777" w:rsidR="00D16027" w:rsidRDefault="00000000">
      <w:pPr>
        <w:pBdr>
          <w:left w:val="single" w:sz="14" w:space="10" w:color="4E8A5E"/>
        </w:pBdr>
        <w:shd w:val="clear" w:color="auto" w:fill="EEF6EF"/>
        <w:spacing w:after="200"/>
      </w:pPr>
      <w:r>
        <w:rPr>
          <w:b/>
          <w:bCs/>
          <w:color w:val="333333"/>
          <w:sz w:val="20"/>
          <w:szCs w:val="20"/>
        </w:rPr>
        <w:t>Sociology dissertation.</w:t>
      </w:r>
      <w:r>
        <w:rPr>
          <w:color w:val="333333"/>
          <w:sz w:val="20"/>
          <w:szCs w:val="20"/>
        </w:rPr>
        <w:t xml:space="preserve"> Supervision log co-signed at each meeting; fieldwork diary with dates and locations; raw interview recordings or survey exports retained and available for inspection; ethics approval on file; a viva on the analysis. AI is permitted for transcription and literature searching, declared, and verified against sources.</w:t>
      </w:r>
    </w:p>
    <w:p w14:paraId="52FDEF68"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Add process evidence to one product task</w:t>
      </w:r>
    </w:p>
    <w:p w14:paraId="72D63F78"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Identify the task's key decision points: choice of question, sources or data; plan; first analysis; revision. These become checkpoints.</w:t>
      </w:r>
    </w:p>
    <w:p w14:paraId="204DE4D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Secure the start: an in-class plan, a supervised first paragraph, or a dated notebook opened in week one.</w:t>
      </w:r>
    </w:p>
    <w:p w14:paraId="6751DF4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Require one contemporaneous artefact at each checkpoint, checked for completeness rather than marked.</w:t>
      </w:r>
    </w:p>
    <w:p w14:paraId="4AF09830"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a feedback response at the last checkpoint: what changed, and why.</w:t>
      </w:r>
    </w:p>
    <w:p w14:paraId="0B0B560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a sampled conversation, and state the sampling policy and its consequences in the brief.</w:t>
      </w:r>
    </w:p>
    <w:p w14:paraId="4CEF6C22"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Remove something. Shorten the final product or drop another assessment so that total workload, for students and staff, does not rise.</w:t>
      </w:r>
    </w:p>
    <w:p w14:paraId="1814334A" w14:textId="77777777" w:rsidR="00D16027" w:rsidRDefault="00000000">
      <w:pPr>
        <w:pStyle w:val="Heading2"/>
        <w:keepNext/>
      </w:pPr>
      <w:r>
        <w:t>What this means for you</w:t>
      </w:r>
    </w:p>
    <w:p w14:paraId="5A0056AD"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5A0A1EE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Convert one product task into a staged, dialogic design this year, and remove an equivalent amount of marking elsewhere.</w:t>
      </w:r>
    </w:p>
    <w:p w14:paraId="5150B85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reflective prompts that demand specifics: an incident, a date, a decision, an artefact. Reward specificity in the rubric.</w:t>
      </w:r>
    </w:p>
    <w:p w14:paraId="20BCF0C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Keep process capture as light and transparent as possible; contemporaneity matters, surveillance does not.</w:t>
      </w:r>
    </w:p>
    <w:p w14:paraId="0B6E7A0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284B658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Standardise the mechanics across the programme: one e-portfolio platform, one notebook convention, one sampling policy for conversations, so that students learn the habits once.</w:t>
      </w:r>
    </w:p>
    <w:p w14:paraId="6F83053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 xml:space="preserve">Sequence process skills: reading journals and plans in year one, peer review and repositories in year two, supervision logs and </w:t>
      </w:r>
      <w:proofErr w:type="spellStart"/>
      <w:r>
        <w:rPr>
          <w:color w:val="333333"/>
          <w:sz w:val="20"/>
          <w:szCs w:val="20"/>
        </w:rPr>
        <w:t>vivas</w:t>
      </w:r>
      <w:proofErr w:type="spellEnd"/>
      <w:r>
        <w:rPr>
          <w:color w:val="333333"/>
          <w:sz w:val="20"/>
          <w:szCs w:val="20"/>
        </w:rPr>
        <w:t xml:space="preserve"> in the final year.</w:t>
      </w:r>
    </w:p>
    <w:p w14:paraId="106B337F"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Audit total assessment volume alongside the shift to process; the redesign should reduce the number of summative products.</w:t>
      </w:r>
    </w:p>
    <w:p w14:paraId="7BA34B0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4281443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Provide the infrastructure: e-portfolio systems with reliable timestamps, repository hosting, recording facilities, and clear data-protection guidance on what process data may be captured.</w:t>
      </w:r>
    </w:p>
    <w:p w14:paraId="7423170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institutional policy on sampled conversations: purpose, sampling, recording, consequences and appeals, so that departments do not each invent their own.</w:t>
      </w:r>
    </w:p>
    <w:p w14:paraId="0138071F"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Recognise process assessment in workload models as a substitute for, not an addition to, product marking.</w:t>
      </w:r>
    </w:p>
    <w:p w14:paraId="5D75E921" w14:textId="77777777" w:rsidR="00D16027" w:rsidRDefault="00000000">
      <w:pPr>
        <w:pStyle w:val="Heading2"/>
        <w:keepNext/>
      </w:pPr>
      <w:r>
        <w:t>Key references for this chapter</w:t>
      </w:r>
    </w:p>
    <w:p w14:paraId="0F7D9206" w14:textId="77777777" w:rsidR="00D16027" w:rsidRDefault="00000000">
      <w:pPr>
        <w:pStyle w:val="ListParagraph"/>
        <w:numPr>
          <w:ilvl w:val="0"/>
          <w:numId w:val="3"/>
        </w:numPr>
        <w:spacing w:before="30" w:after="50"/>
      </w:pPr>
      <w:r>
        <w:rPr>
          <w:color w:val="333333"/>
          <w:sz w:val="19"/>
          <w:szCs w:val="19"/>
        </w:rPr>
        <w:t xml:space="preserve">Barrett, H.C. (2007) Researching electronic portfolios and learner engagement: the REFLECT initiative. </w:t>
      </w:r>
      <w:r>
        <w:rPr>
          <w:i/>
          <w:iCs/>
          <w:color w:val="333333"/>
          <w:sz w:val="19"/>
          <w:szCs w:val="19"/>
        </w:rPr>
        <w:t>Journal of Adolescent &amp; Adult Literacy</w:t>
      </w:r>
      <w:r>
        <w:rPr>
          <w:color w:val="333333"/>
          <w:sz w:val="19"/>
          <w:szCs w:val="19"/>
        </w:rPr>
        <w:t>, 50(6), 436–449.</w:t>
      </w:r>
    </w:p>
    <w:p w14:paraId="5F57B8DC" w14:textId="77777777" w:rsidR="00D16027" w:rsidRDefault="00000000">
      <w:pPr>
        <w:pStyle w:val="ListParagraph"/>
        <w:numPr>
          <w:ilvl w:val="0"/>
          <w:numId w:val="3"/>
        </w:numPr>
        <w:spacing w:before="30" w:after="50"/>
      </w:pPr>
      <w:r>
        <w:rPr>
          <w:color w:val="333333"/>
          <w:sz w:val="19"/>
          <w:szCs w:val="19"/>
        </w:rPr>
        <w:t xml:space="preserve">Black, P. &amp; Wiliam, D. (1998) Assessment and classroom learning. </w:t>
      </w:r>
      <w:r>
        <w:rPr>
          <w:i/>
          <w:iCs/>
          <w:color w:val="333333"/>
          <w:sz w:val="19"/>
          <w:szCs w:val="19"/>
        </w:rPr>
        <w:t>Assessment in Education</w:t>
      </w:r>
      <w:r>
        <w:rPr>
          <w:color w:val="333333"/>
          <w:sz w:val="19"/>
          <w:szCs w:val="19"/>
        </w:rPr>
        <w:t>, 5(1), 7–74.</w:t>
      </w:r>
    </w:p>
    <w:p w14:paraId="435BB11B" w14:textId="77777777" w:rsidR="00D16027" w:rsidRDefault="00000000">
      <w:pPr>
        <w:pStyle w:val="ListParagraph"/>
        <w:numPr>
          <w:ilvl w:val="0"/>
          <w:numId w:val="3"/>
        </w:numPr>
        <w:spacing w:before="30" w:after="50"/>
      </w:pPr>
      <w:r>
        <w:rPr>
          <w:color w:val="333333"/>
          <w:sz w:val="19"/>
          <w:szCs w:val="19"/>
        </w:rPr>
        <w:t xml:space="preserve">Boud, D. &amp; Molloy, E. (2013) Rethinking models of feedback for learning: the challenge of design. </w:t>
      </w:r>
      <w:r>
        <w:rPr>
          <w:i/>
          <w:iCs/>
          <w:color w:val="333333"/>
          <w:sz w:val="19"/>
          <w:szCs w:val="19"/>
        </w:rPr>
        <w:t>Assessment &amp; Evaluation in Higher Education</w:t>
      </w:r>
      <w:r>
        <w:rPr>
          <w:color w:val="333333"/>
          <w:sz w:val="19"/>
          <w:szCs w:val="19"/>
        </w:rPr>
        <w:t>, 38(6), 698–712.</w:t>
      </w:r>
    </w:p>
    <w:p w14:paraId="2FA622D7" w14:textId="77777777" w:rsidR="00D16027" w:rsidRDefault="00000000">
      <w:pPr>
        <w:pStyle w:val="ListParagraph"/>
        <w:numPr>
          <w:ilvl w:val="0"/>
          <w:numId w:val="3"/>
        </w:numPr>
        <w:spacing w:before="30" w:after="50"/>
      </w:pPr>
      <w:r>
        <w:rPr>
          <w:color w:val="333333"/>
          <w:sz w:val="19"/>
          <w:szCs w:val="19"/>
        </w:rPr>
        <w:lastRenderedPageBreak/>
        <w:t xml:space="preserve">Carless, D. &amp; Boud, D. (2018) The development of student feedback literacy: enabling uptake of feedback. </w:t>
      </w:r>
      <w:r>
        <w:rPr>
          <w:i/>
          <w:iCs/>
          <w:color w:val="333333"/>
          <w:sz w:val="19"/>
          <w:szCs w:val="19"/>
        </w:rPr>
        <w:t>Assessment &amp; Evaluation in Higher Education</w:t>
      </w:r>
      <w:r>
        <w:rPr>
          <w:color w:val="333333"/>
          <w:sz w:val="19"/>
          <w:szCs w:val="19"/>
        </w:rPr>
        <w:t>, 43(8), 1315–1325.</w:t>
      </w:r>
    </w:p>
    <w:p w14:paraId="13935744"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16879848" w14:textId="77777777" w:rsidR="00D16027" w:rsidRDefault="00000000">
      <w:pPr>
        <w:pStyle w:val="ListParagraph"/>
        <w:numPr>
          <w:ilvl w:val="0"/>
          <w:numId w:val="3"/>
        </w:numPr>
        <w:spacing w:before="30" w:after="50"/>
      </w:pPr>
      <w:r>
        <w:rPr>
          <w:color w:val="333333"/>
          <w:sz w:val="19"/>
          <w:szCs w:val="19"/>
        </w:rPr>
        <w:t xml:space="preserve">Dawson, P. (2021) </w:t>
      </w:r>
      <w:r>
        <w:rPr>
          <w:i/>
          <w:iCs/>
          <w:color w:val="333333"/>
          <w:sz w:val="19"/>
          <w:szCs w:val="19"/>
        </w:rPr>
        <w:t>Defending Assessment Security in a Digital World</w:t>
      </w:r>
      <w:r>
        <w:rPr>
          <w:color w:val="333333"/>
          <w:sz w:val="19"/>
          <w:szCs w:val="19"/>
        </w:rPr>
        <w:t>. London: Routledge.</w:t>
      </w:r>
    </w:p>
    <w:p w14:paraId="6AE9CE0E" w14:textId="77777777" w:rsidR="00D16027" w:rsidRDefault="00000000">
      <w:pPr>
        <w:pStyle w:val="ListParagraph"/>
        <w:numPr>
          <w:ilvl w:val="0"/>
          <w:numId w:val="3"/>
        </w:numPr>
        <w:spacing w:before="30" w:after="50"/>
      </w:pPr>
      <w:r>
        <w:rPr>
          <w:color w:val="333333"/>
          <w:sz w:val="19"/>
          <w:szCs w:val="19"/>
        </w:rPr>
        <w:t xml:space="preserve">Denny, P., Prather, J., Becker, B.A., Finnie-Ansley, J., Hellas, A., Leinonen, J., Luxton-Reilly, A., Reeves, B.N., Santos, E.A. &amp; Sarsa, S. (2024) Computing education in the era of generative AI. </w:t>
      </w:r>
      <w:r>
        <w:rPr>
          <w:i/>
          <w:iCs/>
          <w:color w:val="333333"/>
          <w:sz w:val="19"/>
          <w:szCs w:val="19"/>
        </w:rPr>
        <w:t>Communications of the ACM</w:t>
      </w:r>
      <w:r>
        <w:rPr>
          <w:color w:val="333333"/>
          <w:sz w:val="19"/>
          <w:szCs w:val="19"/>
        </w:rPr>
        <w:t>, 67(2), 56–67.</w:t>
      </w:r>
    </w:p>
    <w:p w14:paraId="2692EF5D" w14:textId="77777777" w:rsidR="00D16027" w:rsidRDefault="00000000">
      <w:pPr>
        <w:pStyle w:val="ListParagraph"/>
        <w:numPr>
          <w:ilvl w:val="0"/>
          <w:numId w:val="3"/>
        </w:numPr>
        <w:spacing w:before="30" w:after="50"/>
      </w:pPr>
      <w:r>
        <w:rPr>
          <w:color w:val="333333"/>
          <w:sz w:val="19"/>
          <w:szCs w:val="19"/>
        </w:rPr>
        <w:t xml:space="preserve">Falchikov, N. &amp; Goldfinch, J. (2000) Student peer assessment in higher education: a meta-analysis comparing peer and teacher marks. </w:t>
      </w:r>
      <w:r>
        <w:rPr>
          <w:i/>
          <w:iCs/>
          <w:color w:val="333333"/>
          <w:sz w:val="19"/>
          <w:szCs w:val="19"/>
        </w:rPr>
        <w:t>Review of Educational Research</w:t>
      </w:r>
      <w:r>
        <w:rPr>
          <w:color w:val="333333"/>
          <w:sz w:val="19"/>
          <w:szCs w:val="19"/>
        </w:rPr>
        <w:t>, 70(3), 287–322.</w:t>
      </w:r>
    </w:p>
    <w:p w14:paraId="6DF59B6C" w14:textId="77777777" w:rsidR="00D16027" w:rsidRDefault="00000000">
      <w:pPr>
        <w:pStyle w:val="ListParagraph"/>
        <w:numPr>
          <w:ilvl w:val="0"/>
          <w:numId w:val="3"/>
        </w:numPr>
        <w:spacing w:before="30" w:after="50"/>
      </w:pPr>
      <w:r>
        <w:rPr>
          <w:color w:val="333333"/>
          <w:sz w:val="19"/>
          <w:szCs w:val="19"/>
        </w:rPr>
        <w:t xml:space="preserve">Gibbs, G. (1988) </w:t>
      </w:r>
      <w:r>
        <w:rPr>
          <w:i/>
          <w:iCs/>
          <w:color w:val="333333"/>
          <w:sz w:val="19"/>
          <w:szCs w:val="19"/>
        </w:rPr>
        <w:t>Learning by Doing: A Guide to Teaching and Learning Methods</w:t>
      </w:r>
      <w:r>
        <w:rPr>
          <w:color w:val="333333"/>
          <w:sz w:val="19"/>
          <w:szCs w:val="19"/>
        </w:rPr>
        <w:t>. Oxford: Further Education Unit, Oxford Polytechnic.</w:t>
      </w:r>
    </w:p>
    <w:p w14:paraId="025879DF" w14:textId="77777777" w:rsidR="00D16027" w:rsidRDefault="00000000">
      <w:pPr>
        <w:pStyle w:val="ListParagraph"/>
        <w:numPr>
          <w:ilvl w:val="0"/>
          <w:numId w:val="3"/>
        </w:numPr>
        <w:spacing w:before="30" w:after="50"/>
      </w:pPr>
      <w:r>
        <w:rPr>
          <w:color w:val="333333"/>
          <w:sz w:val="19"/>
          <w:szCs w:val="19"/>
        </w:rPr>
        <w:t xml:space="preserve">Kolb, D.A. (1984) </w:t>
      </w:r>
      <w:r>
        <w:rPr>
          <w:i/>
          <w:iCs/>
          <w:color w:val="333333"/>
          <w:sz w:val="19"/>
          <w:szCs w:val="19"/>
        </w:rPr>
        <w:t>Experiential Learning: Experience as the Source of Learning and Development</w:t>
      </w:r>
      <w:r>
        <w:rPr>
          <w:color w:val="333333"/>
          <w:sz w:val="19"/>
          <w:szCs w:val="19"/>
        </w:rPr>
        <w:t>. Englewood Cliffs, NJ: Prentice-Hall.</w:t>
      </w:r>
    </w:p>
    <w:p w14:paraId="17480867" w14:textId="77777777" w:rsidR="00D16027" w:rsidRDefault="00000000">
      <w:pPr>
        <w:pStyle w:val="ListParagraph"/>
        <w:numPr>
          <w:ilvl w:val="0"/>
          <w:numId w:val="3"/>
        </w:numPr>
        <w:spacing w:before="30" w:after="50"/>
      </w:pPr>
      <w:r>
        <w:rPr>
          <w:color w:val="333333"/>
          <w:sz w:val="19"/>
          <w:szCs w:val="19"/>
        </w:rPr>
        <w:t xml:space="preserve">Moon, J.A. (2004) </w:t>
      </w:r>
      <w:r>
        <w:rPr>
          <w:i/>
          <w:iCs/>
          <w:color w:val="333333"/>
          <w:sz w:val="19"/>
          <w:szCs w:val="19"/>
        </w:rPr>
        <w:t>A Handbook of Reflective and Experiential Learning: Theory and Practice</w:t>
      </w:r>
      <w:r>
        <w:rPr>
          <w:color w:val="333333"/>
          <w:sz w:val="19"/>
          <w:szCs w:val="19"/>
        </w:rPr>
        <w:t xml:space="preserve">. London: </w:t>
      </w:r>
      <w:proofErr w:type="spellStart"/>
      <w:r>
        <w:rPr>
          <w:color w:val="333333"/>
          <w:sz w:val="19"/>
          <w:szCs w:val="19"/>
        </w:rPr>
        <w:t>RoutledgeFalmer</w:t>
      </w:r>
      <w:proofErr w:type="spellEnd"/>
      <w:r>
        <w:rPr>
          <w:color w:val="333333"/>
          <w:sz w:val="19"/>
          <w:szCs w:val="19"/>
        </w:rPr>
        <w:t>.</w:t>
      </w:r>
    </w:p>
    <w:p w14:paraId="4177073A" w14:textId="77777777" w:rsidR="00D16027" w:rsidRDefault="00000000">
      <w:pPr>
        <w:pStyle w:val="ListParagraph"/>
        <w:numPr>
          <w:ilvl w:val="0"/>
          <w:numId w:val="3"/>
        </w:numPr>
        <w:spacing w:before="30" w:after="50"/>
      </w:pPr>
      <w:r>
        <w:rPr>
          <w:color w:val="333333"/>
          <w:sz w:val="19"/>
          <w:szCs w:val="19"/>
        </w:rPr>
        <w:t xml:space="preserve">Moorhouse, B.L., Yeo, M.A. &amp; Li, Y. (2023) Generative AI tools and assessment: guidelines of the world's top-ranking universities. </w:t>
      </w:r>
      <w:r>
        <w:rPr>
          <w:i/>
          <w:iCs/>
          <w:color w:val="333333"/>
          <w:sz w:val="19"/>
          <w:szCs w:val="19"/>
        </w:rPr>
        <w:t>Computers and Education Open</w:t>
      </w:r>
      <w:r>
        <w:rPr>
          <w:color w:val="333333"/>
          <w:sz w:val="19"/>
          <w:szCs w:val="19"/>
        </w:rPr>
        <w:t>, 5, 100151.</w:t>
      </w:r>
    </w:p>
    <w:p w14:paraId="0E5D0235" w14:textId="77777777" w:rsidR="00D16027" w:rsidRDefault="00000000">
      <w:pPr>
        <w:pStyle w:val="ListParagraph"/>
        <w:numPr>
          <w:ilvl w:val="0"/>
          <w:numId w:val="3"/>
        </w:numPr>
        <w:spacing w:before="30" w:after="50"/>
      </w:pPr>
      <w:r>
        <w:rPr>
          <w:color w:val="333333"/>
          <w:sz w:val="19"/>
          <w:szCs w:val="19"/>
        </w:rPr>
        <w:t xml:space="preserve">Nicol, D., Thomson, A. &amp; Breslin, C. (2014) Rethinking feedback practices in higher education: a peer review perspective. </w:t>
      </w:r>
      <w:r>
        <w:rPr>
          <w:i/>
          <w:iCs/>
          <w:color w:val="333333"/>
          <w:sz w:val="19"/>
          <w:szCs w:val="19"/>
        </w:rPr>
        <w:t>Assessment &amp; Evaluation in Higher Education</w:t>
      </w:r>
      <w:r>
        <w:rPr>
          <w:color w:val="333333"/>
          <w:sz w:val="19"/>
          <w:szCs w:val="19"/>
        </w:rPr>
        <w:t>, 39(1), 102–122.</w:t>
      </w:r>
    </w:p>
    <w:p w14:paraId="212A5F55" w14:textId="77777777" w:rsidR="00D16027" w:rsidRDefault="00000000">
      <w:pPr>
        <w:pStyle w:val="ListParagraph"/>
        <w:numPr>
          <w:ilvl w:val="0"/>
          <w:numId w:val="3"/>
        </w:numPr>
        <w:spacing w:before="30" w:after="50"/>
      </w:pPr>
      <w:r>
        <w:rPr>
          <w:color w:val="333333"/>
          <w:sz w:val="19"/>
          <w:szCs w:val="19"/>
        </w:rPr>
        <w:t xml:space="preserve">Ryan, M. &amp; Ryan, M. (2013) Theorising a model for teaching and assessing reflective learning in higher education. </w:t>
      </w:r>
      <w:r>
        <w:rPr>
          <w:i/>
          <w:iCs/>
          <w:color w:val="333333"/>
          <w:sz w:val="19"/>
          <w:szCs w:val="19"/>
        </w:rPr>
        <w:t>Higher Education Research &amp; Development</w:t>
      </w:r>
      <w:r>
        <w:rPr>
          <w:color w:val="333333"/>
          <w:sz w:val="19"/>
          <w:szCs w:val="19"/>
        </w:rPr>
        <w:t>, 32(2), 244–257.</w:t>
      </w:r>
    </w:p>
    <w:p w14:paraId="7197FC91" w14:textId="77777777" w:rsidR="00D16027" w:rsidRDefault="00000000">
      <w:pPr>
        <w:pStyle w:val="ListParagraph"/>
        <w:numPr>
          <w:ilvl w:val="0"/>
          <w:numId w:val="3"/>
        </w:numPr>
        <w:spacing w:before="30" w:after="50"/>
      </w:pPr>
      <w:r>
        <w:rPr>
          <w:color w:val="333333"/>
          <w:sz w:val="19"/>
          <w:szCs w:val="19"/>
        </w:rPr>
        <w:t xml:space="preserve">Sadler, D.R. (1989) Formative assessment and the design of instructional systems. </w:t>
      </w:r>
      <w:r>
        <w:rPr>
          <w:i/>
          <w:iCs/>
          <w:color w:val="333333"/>
          <w:sz w:val="19"/>
          <w:szCs w:val="19"/>
        </w:rPr>
        <w:t>Instructional Science</w:t>
      </w:r>
      <w:r>
        <w:rPr>
          <w:color w:val="333333"/>
          <w:sz w:val="19"/>
          <w:szCs w:val="19"/>
        </w:rPr>
        <w:t>, 18(2), 119–144.</w:t>
      </w:r>
    </w:p>
    <w:p w14:paraId="6EC14BD2" w14:textId="77777777" w:rsidR="00D16027" w:rsidRDefault="00000000">
      <w:pPr>
        <w:pStyle w:val="ListParagraph"/>
        <w:numPr>
          <w:ilvl w:val="0"/>
          <w:numId w:val="3"/>
        </w:numPr>
        <w:spacing w:before="30" w:after="50"/>
      </w:pPr>
      <w:r>
        <w:rPr>
          <w:color w:val="333333"/>
          <w:sz w:val="19"/>
          <w:szCs w:val="19"/>
        </w:rPr>
        <w:t xml:space="preserve">Sambell, K., McDowell, L. &amp; Montgomery, C. (2013) </w:t>
      </w:r>
      <w:r>
        <w:rPr>
          <w:i/>
          <w:iCs/>
          <w:color w:val="333333"/>
          <w:sz w:val="19"/>
          <w:szCs w:val="19"/>
        </w:rPr>
        <w:t>Assessment for Learning in Higher Education</w:t>
      </w:r>
      <w:r>
        <w:rPr>
          <w:color w:val="333333"/>
          <w:sz w:val="19"/>
          <w:szCs w:val="19"/>
        </w:rPr>
        <w:t>. London: Routledge.</w:t>
      </w:r>
    </w:p>
    <w:p w14:paraId="0886AEF4" w14:textId="77777777" w:rsidR="00D16027" w:rsidRDefault="00000000">
      <w:pPr>
        <w:pStyle w:val="ListParagraph"/>
        <w:numPr>
          <w:ilvl w:val="0"/>
          <w:numId w:val="3"/>
        </w:numPr>
        <w:spacing w:before="30" w:after="50"/>
      </w:pPr>
      <w:r>
        <w:rPr>
          <w:color w:val="333333"/>
          <w:sz w:val="19"/>
          <w:szCs w:val="19"/>
        </w:rPr>
        <w:t xml:space="preserve">Schön, D.A. (1983) </w:t>
      </w:r>
      <w:r>
        <w:rPr>
          <w:i/>
          <w:iCs/>
          <w:color w:val="333333"/>
          <w:sz w:val="19"/>
          <w:szCs w:val="19"/>
        </w:rPr>
        <w:t>The Reflective Practitioner</w:t>
      </w:r>
      <w:r>
        <w:rPr>
          <w:color w:val="333333"/>
          <w:sz w:val="19"/>
          <w:szCs w:val="19"/>
        </w:rPr>
        <w:t>. New York: Basic Books.</w:t>
      </w:r>
    </w:p>
    <w:p w14:paraId="31F27D44" w14:textId="77777777" w:rsidR="00D16027" w:rsidRDefault="00000000">
      <w:pPr>
        <w:pStyle w:val="ListParagraph"/>
        <w:numPr>
          <w:ilvl w:val="0"/>
          <w:numId w:val="3"/>
        </w:numPr>
        <w:spacing w:before="30" w:after="50"/>
      </w:pPr>
      <w:proofErr w:type="spellStart"/>
      <w:r>
        <w:rPr>
          <w:color w:val="333333"/>
          <w:sz w:val="19"/>
          <w:szCs w:val="19"/>
        </w:rPr>
        <w:t>Sotiriadou</w:t>
      </w:r>
      <w:proofErr w:type="spellEnd"/>
      <w:r>
        <w:rPr>
          <w:color w:val="333333"/>
          <w:sz w:val="19"/>
          <w:szCs w:val="19"/>
        </w:rPr>
        <w:t xml:space="preserve">, P., Logan, D., Daly, A. &amp; Guest, R. (2020) The role of authentic assessment to preserve academic integrity and promote skill development and employability. </w:t>
      </w:r>
      <w:r>
        <w:rPr>
          <w:i/>
          <w:iCs/>
          <w:color w:val="333333"/>
          <w:sz w:val="19"/>
          <w:szCs w:val="19"/>
        </w:rPr>
        <w:t>Studies in Higher Education</w:t>
      </w:r>
      <w:r>
        <w:rPr>
          <w:color w:val="333333"/>
          <w:sz w:val="19"/>
          <w:szCs w:val="19"/>
        </w:rPr>
        <w:t>, 45(11), 2132–2148.</w:t>
      </w:r>
    </w:p>
    <w:p w14:paraId="3EBC5D24" w14:textId="77777777" w:rsidR="00D16027" w:rsidRDefault="00000000">
      <w:pPr>
        <w:pStyle w:val="ListParagraph"/>
        <w:numPr>
          <w:ilvl w:val="0"/>
          <w:numId w:val="3"/>
        </w:numPr>
        <w:spacing w:before="30" w:after="50"/>
      </w:pPr>
      <w:r>
        <w:rPr>
          <w:color w:val="333333"/>
          <w:sz w:val="19"/>
          <w:szCs w:val="19"/>
        </w:rPr>
        <w:t xml:space="preserve">Ward, M., O'Riordan, F., Logan-Fleming, D., Cooke, D., Concannon-Gibney, T., Efthymiou, M. &amp; Watkins, N. (2024) Interactive oral assessment case studies. </w:t>
      </w:r>
      <w:r>
        <w:rPr>
          <w:i/>
          <w:iCs/>
          <w:color w:val="333333"/>
          <w:sz w:val="19"/>
          <w:szCs w:val="19"/>
        </w:rPr>
        <w:t>Innovations in Education and Teaching International</w:t>
      </w:r>
      <w:r>
        <w:rPr>
          <w:color w:val="333333"/>
          <w:sz w:val="19"/>
          <w:szCs w:val="19"/>
        </w:rPr>
        <w:t>, 61(5), 930–947.</w:t>
      </w:r>
    </w:p>
    <w:p w14:paraId="5B4DF3D6" w14:textId="77777777" w:rsidR="00D16027" w:rsidRDefault="00000000">
      <w:pPr>
        <w:pStyle w:val="ListParagraph"/>
        <w:numPr>
          <w:ilvl w:val="0"/>
          <w:numId w:val="3"/>
        </w:numPr>
        <w:spacing w:before="30" w:after="50"/>
      </w:pPr>
      <w:r>
        <w:rPr>
          <w:color w:val="333333"/>
          <w:sz w:val="19"/>
          <w:szCs w:val="19"/>
        </w:rPr>
        <w:t xml:space="preserve">Wiliam, D. (2011) </w:t>
      </w:r>
      <w:r>
        <w:rPr>
          <w:i/>
          <w:iCs/>
          <w:color w:val="333333"/>
          <w:sz w:val="19"/>
          <w:szCs w:val="19"/>
        </w:rPr>
        <w:t>Embedded Formative Assessment</w:t>
      </w:r>
      <w:r>
        <w:rPr>
          <w:color w:val="333333"/>
          <w:sz w:val="19"/>
          <w:szCs w:val="19"/>
        </w:rPr>
        <w:t>. Bloomington, IN: Solution Tree Press.</w:t>
      </w:r>
    </w:p>
    <w:p w14:paraId="589036B3" w14:textId="77777777" w:rsidR="00D16027" w:rsidRDefault="00000000">
      <w:pPr>
        <w:pStyle w:val="ListParagraph"/>
        <w:numPr>
          <w:ilvl w:val="0"/>
          <w:numId w:val="3"/>
        </w:numPr>
        <w:spacing w:before="30" w:after="50"/>
      </w:pPr>
      <w:r>
        <w:rPr>
          <w:color w:val="333333"/>
          <w:sz w:val="19"/>
          <w:szCs w:val="19"/>
        </w:rPr>
        <w:t xml:space="preserve">Winstone, N. &amp; Carless, D. (2019) </w:t>
      </w:r>
      <w:r>
        <w:rPr>
          <w:i/>
          <w:iCs/>
          <w:color w:val="333333"/>
          <w:sz w:val="19"/>
          <w:szCs w:val="19"/>
        </w:rPr>
        <w:t>Designing Effective Feedback Processes in Higher Education</w:t>
      </w:r>
      <w:r>
        <w:rPr>
          <w:color w:val="333333"/>
          <w:sz w:val="19"/>
          <w:szCs w:val="19"/>
        </w:rPr>
        <w:t>. London: Routledge.</w:t>
      </w:r>
    </w:p>
    <w:p w14:paraId="2F8F68B0" w14:textId="77777777" w:rsidR="00D16027" w:rsidRDefault="00000000">
      <w:pPr>
        <w:pStyle w:val="ListParagraph"/>
        <w:numPr>
          <w:ilvl w:val="0"/>
          <w:numId w:val="3"/>
        </w:numPr>
        <w:spacing w:before="30" w:after="50"/>
      </w:pPr>
      <w:r>
        <w:rPr>
          <w:color w:val="333333"/>
          <w:sz w:val="19"/>
          <w:szCs w:val="19"/>
        </w:rPr>
        <w:t xml:space="preserve">Zubizarreta, J. (2009) </w:t>
      </w:r>
      <w:r>
        <w:rPr>
          <w:i/>
          <w:iCs/>
          <w:color w:val="333333"/>
          <w:sz w:val="19"/>
          <w:szCs w:val="19"/>
        </w:rPr>
        <w:t>The Learning Portfolio: Reflective Practice for Improving Student Learning</w:t>
      </w:r>
      <w:r>
        <w:rPr>
          <w:color w:val="333333"/>
          <w:sz w:val="19"/>
          <w:szCs w:val="19"/>
        </w:rPr>
        <w:t xml:space="preserve"> (2nd ed.). San Francisco: Jossey-Bass.</w:t>
      </w:r>
    </w:p>
    <w:p w14:paraId="2BB004DA" w14:textId="77777777" w:rsidR="00D16027" w:rsidRDefault="00000000">
      <w:r>
        <w:br w:type="page"/>
      </w:r>
    </w:p>
    <w:p w14:paraId="1AB6DBAA" w14:textId="77777777" w:rsidR="00D16027" w:rsidRDefault="00000000">
      <w:pPr>
        <w:keepNext/>
        <w:spacing w:after="40"/>
      </w:pPr>
      <w:r>
        <w:rPr>
          <w:b/>
          <w:bCs/>
          <w:caps/>
          <w:color w:val="2E75B6"/>
          <w:sz w:val="22"/>
          <w:szCs w:val="22"/>
        </w:rPr>
        <w:lastRenderedPageBreak/>
        <w:t>CHAPTER 9</w:t>
      </w:r>
    </w:p>
    <w:p w14:paraId="7415D2A2" w14:textId="77777777" w:rsidR="00D16027" w:rsidRDefault="00000000">
      <w:pPr>
        <w:pStyle w:val="Heading1"/>
        <w:keepNext/>
      </w:pPr>
      <w:r>
        <w:t>Authentic and Contextualised Assessment</w:t>
      </w:r>
    </w:p>
    <w:p w14:paraId="043E94CE" w14:textId="77777777" w:rsidR="00D16027" w:rsidRDefault="00000000">
      <w:pPr>
        <w:pBdr>
          <w:left w:val="single" w:sz="14" w:space="10" w:color="2E75B6"/>
        </w:pBdr>
        <w:shd w:val="clear" w:color="auto" w:fill="EAF3FB"/>
        <w:spacing w:after="200"/>
      </w:pPr>
      <w:r>
        <w:rPr>
          <w:i/>
          <w:iCs/>
          <w:color w:val="333333"/>
        </w:rPr>
        <w:t>AI struggles most when a task requires engagement with a specific, situated context that is not in its training data and cannot simply be uploaded to it. This chapter shows how to design assessments that are resilient because of their contextual specificity, why this also produces more valuable tasks, and how to manage the equity and standardisation tensions it creates.</w:t>
      </w:r>
    </w:p>
    <w:p w14:paraId="6FDF515D"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6541554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Distinguish a realistic brief, which AI answers easily, from resilient conditions, which it cannot</w:t>
      </w:r>
    </w:p>
    <w:p w14:paraId="167114E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Draw on four sources of specificity: place, people, data and self</w:t>
      </w:r>
    </w:p>
    <w:p w14:paraId="0B3BBDC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Apply contextualisation strategies across a wide range of disciplines</w:t>
      </w:r>
    </w:p>
    <w:p w14:paraId="0DEC6FA9"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Manage the equity and standardisation challenges that contextualised assessment raises</w:t>
      </w:r>
    </w:p>
    <w:p w14:paraId="42845D3E" w14:textId="77777777" w:rsidR="00D16027" w:rsidRDefault="00000000">
      <w:pPr>
        <w:pStyle w:val="Heading2"/>
        <w:keepNext/>
      </w:pPr>
      <w:r>
        <w:t>9.1 What authentic means now</w:t>
      </w:r>
    </w:p>
    <w:p w14:paraId="6AF9EBDD" w14:textId="77777777" w:rsidR="00D16027" w:rsidRDefault="00000000">
      <w:pPr>
        <w:spacing w:after="140"/>
      </w:pPr>
      <w:r>
        <w:t xml:space="preserve">Authentic assessment has a long pedigree. Wiggins (1990) argued for tasks that replicate the challenges professionals face; Gulikers, </w:t>
      </w:r>
      <w:proofErr w:type="spellStart"/>
      <w:r>
        <w:t>Bastiaens</w:t>
      </w:r>
      <w:proofErr w:type="spellEnd"/>
      <w:r>
        <w:t xml:space="preserve"> and Kirschner (2004) analysed authenticity across task, physical context, social context, result and criteria; Ashford-Rowe, Herrington and Brown (2014) identified its critical elements; Villarroel et al. (2018) reduced them to realism, cognitive challenge and evaluative judgement. All of this predates generative AI, and much of it survives. But Chapter 5 flagged the distinction that AI has forced. A </w:t>
      </w:r>
      <w:r>
        <w:rPr>
          <w:i/>
          <w:iCs/>
        </w:rPr>
        <w:t>realistic brief</w:t>
      </w:r>
      <w:r>
        <w:t xml:space="preserve"> ("write a policy briefing for a minister on housing supply") is a genre AI reproduces effortlessly. </w:t>
      </w:r>
      <w:r>
        <w:rPr>
          <w:i/>
          <w:iCs/>
        </w:rPr>
        <w:t>Resilient conditions</w:t>
      </w:r>
      <w:r>
        <w:t xml:space="preserve"> ("write a policy briefing for the housing officer of the council you met in week four, using the data she gave you and responding to the constraints she described") put the evidence in the student's engagement with something specific.</w:t>
      </w:r>
    </w:p>
    <w:p w14:paraId="10DA5D0C" w14:textId="77777777" w:rsidR="00D16027" w:rsidRDefault="00000000">
      <w:pPr>
        <w:spacing w:after="140"/>
      </w:pPr>
      <w:r>
        <w:t xml:space="preserve">Two recent contributions sharpen the point. Fawns et al. (2024) argue that authenticity has been treated as a panacea, and that since AI is now part of most professional practice, an authentic task may be one in which AI is used and judged rather than excluded. McArthur (2023) asks that authenticity be measured by social value as well as by resemblance to work. Bearman, Nieminen and </w:t>
      </w:r>
      <w:proofErr w:type="spellStart"/>
      <w:r>
        <w:t>Ajjawi</w:t>
      </w:r>
      <w:proofErr w:type="spellEnd"/>
      <w:r>
        <w:t xml:space="preserve"> (2023) offer an organising framework for assessment in a digital world in which the question is not whether a task looks like practice but what it lets us infer about the student. This chapter uses four sources of specificity, place, people, data and self, to answer that question.</w:t>
      </w:r>
    </w:p>
    <w:p w14:paraId="24304E3B" w14:textId="77777777" w:rsidR="00D16027" w:rsidRDefault="00000000">
      <w:pPr>
        <w:pBdr>
          <w:left w:val="single" w:sz="14" w:space="10" w:color="2E75B6"/>
        </w:pBdr>
        <w:shd w:val="clear" w:color="auto" w:fill="EAF3FB"/>
        <w:spacing w:before="80" w:after="160"/>
      </w:pPr>
      <w:r>
        <w:rPr>
          <w:b/>
          <w:bCs/>
          <w:color w:val="333333"/>
        </w:rPr>
        <w:t>The test of contextualisation:</w:t>
      </w:r>
      <w:r>
        <w:rPr>
          <w:color w:val="333333"/>
        </w:rPr>
        <w:t xml:space="preserve"> could a capable stranger with the same brief and the same reading list, but without having been where the student has been, met whom the student has met, or collected what the student collected, complete this task? If yes, the context is decorative. If no, it is doing evidential work.</w:t>
      </w:r>
    </w:p>
    <w:p w14:paraId="6C36021A" w14:textId="77777777" w:rsidR="00D16027" w:rsidRDefault="00000000">
      <w:pPr>
        <w:pStyle w:val="Heading2"/>
        <w:keepNext/>
      </w:pPr>
      <w:r>
        <w:t>9.2 Place: local and community-embedded tasks</w:t>
      </w:r>
    </w:p>
    <w:p w14:paraId="6EFB8306" w14:textId="77777777" w:rsidR="00D16027" w:rsidRDefault="00000000">
      <w:pPr>
        <w:spacing w:after="140"/>
      </w:pPr>
      <w:r>
        <w:t xml:space="preserve">Tasks that require the student to go somewhere and observe, measure, document or interview produce evidence AI cannot supply. Geography, planning, public health, environmental science, archaeology, architecture, journalism, sociology and history all have traditions of field-based work. Community-engaged and service learning (Bringle &amp; Hatcher 1995) and work-integrated learning (Jackson 2015; </w:t>
      </w:r>
      <w:proofErr w:type="spellStart"/>
      <w:r>
        <w:t>Ajjawi</w:t>
      </w:r>
      <w:proofErr w:type="spellEnd"/>
      <w:r>
        <w:t xml:space="preserve"> et al. 2020) extend the principle to sustained partnerships. The design requirement is that the brief specifies a place the student must visit and evidence, and that the artefacts of the visit (dated photographs, notes, measurements, interview records) are submitted and discussed. A campus, a neighbourhood, a local archive, a hospital ward or a school can all be the place; the resilience lies in the student's presence, not in the exoticism of the site.</w:t>
      </w:r>
    </w:p>
    <w:p w14:paraId="41DE6674" w14:textId="77777777" w:rsidR="00D16027" w:rsidRDefault="00000000">
      <w:pPr>
        <w:pStyle w:val="Heading2"/>
        <w:keepNext/>
      </w:pPr>
      <w:r>
        <w:t>9.3 People: real clients and partners</w:t>
      </w:r>
    </w:p>
    <w:p w14:paraId="0C0D51ED" w14:textId="77777777" w:rsidR="00D16027" w:rsidRDefault="00000000">
      <w:pPr>
        <w:spacing w:after="140"/>
      </w:pPr>
      <w:r>
        <w:t xml:space="preserve">A brief from a real client, organisation or community group anchors the task in a relationship. Business consultancy projects, engineering and design briefs from local firms, law clinics, computing capstones with external partners, marketing campaigns for campus societies, and public-health work with community organisations all place evidence in the meeting, the scoping conversation, the </w:t>
      </w:r>
      <w:r>
        <w:lastRenderedPageBreak/>
        <w:t xml:space="preserve">negotiation of scope and the client's response. AI can draft a proposal; it cannot attend the meeting or absorb what the client did not say. Jackson (2015) found that authentic partnership work developed employability skills that classroom simulations did not, and </w:t>
      </w:r>
      <w:proofErr w:type="spellStart"/>
      <w:r>
        <w:t>Sotiriadou</w:t>
      </w:r>
      <w:proofErr w:type="spellEnd"/>
      <w:r>
        <w:t xml:space="preserve"> et al. (2020) found that the client-style interactive oral was where both integrity and skill development were secured.</w:t>
      </w:r>
    </w:p>
    <w:p w14:paraId="760CA625" w14:textId="77777777" w:rsidR="00D16027" w:rsidRDefault="00000000">
      <w:pPr>
        <w:spacing w:after="140"/>
      </w:pPr>
      <w:r>
        <w:t>Partnership work needs management. Expectations, confidentiality, intellectual property, ethics and the partner's time all require agreements in advance, usually through an institutional office. The number of partners limits scale; the answer is shared partners across a cohort with differentiated tasks, institution-brokered partners, or the institution itself as client. What matters evidentially is that each student has had a real interaction and can account for it.</w:t>
      </w:r>
    </w:p>
    <w:p w14:paraId="5E4ECA5B" w14:textId="77777777" w:rsidR="00D16027" w:rsidRDefault="00000000">
      <w:pPr>
        <w:pStyle w:val="Heading2"/>
        <w:keepNext/>
      </w:pPr>
      <w:r>
        <w:t>9.4 Data: unique and live datasets</w:t>
      </w:r>
    </w:p>
    <w:p w14:paraId="0FB5FB13" w14:textId="77777777" w:rsidR="00D16027" w:rsidRDefault="00000000">
      <w:pPr>
        <w:spacing w:after="140"/>
      </w:pPr>
      <w:r>
        <w:t>Data the student collected, data released to a cohort at a set time, data from a live feed, and data with parameters randomised per student are all resistant to generic answers. In statistics and quantitative methods, a cohort-specific dataset generated for the module removes the possibility that the analysis already exists online. In economics and finance, data released in week eight and analysed in week nine cannot have been pre-processed. In biology, chemistry and physics, the student's own measurements are the evidence, and Nikolic et al. (2023) found laboratory-dependent tasks among the most AI-resilient in engineering. In history and literature, documents digitised in-house from local archives and not available on the open web serve the same purpose. Proof-based disciplines are the hardest case, because the product is the reasoning itself and a valid proof is valid whoever produced it: there, the evidence has to move to live reasoning, to problems whose parameters are unique to the student, and to the judgement of whether an AI's attempted proof is sound, where Frieder et al. (2023) found models still weakest.</w:t>
      </w:r>
    </w:p>
    <w:p w14:paraId="536DBE99" w14:textId="77777777" w:rsidR="00D16027" w:rsidRDefault="00000000">
      <w:pPr>
        <w:spacing w:after="140"/>
      </w:pPr>
      <w:r>
        <w:t xml:space="preserve">One caution. Once data is digital it can be uploaded to an AI tool, and current systems analyse spreadsheets and PDFs competently. Unique data therefore does not make the </w:t>
      </w:r>
      <w:r>
        <w:rPr>
          <w:i/>
          <w:iCs/>
        </w:rPr>
        <w:t>analysis</w:t>
      </w:r>
      <w:r>
        <w:t xml:space="preserve"> AI-proof. Its resilience lies in three other places: the provenance of the data (the student collected it); the anomalies and messiness that only the collector can explain; and the conversation in which the student accounts for their own results. Design unique-data tasks with a dialogic element, and treat the data as the anchor rather than the barrier.</w:t>
      </w:r>
    </w:p>
    <w:p w14:paraId="3435E45A" w14:textId="77777777" w:rsidR="00D16027" w:rsidRDefault="00000000">
      <w:pPr>
        <w:pStyle w:val="Heading2"/>
        <w:keepNext/>
      </w:pPr>
      <w:r>
        <w:t>9.5 Self: personal and biographical grounding</w:t>
      </w:r>
    </w:p>
    <w:p w14:paraId="12861256" w14:textId="77777777" w:rsidR="00D16027" w:rsidRDefault="00000000">
      <w:pPr>
        <w:spacing w:after="140"/>
      </w:pPr>
      <w:r>
        <w:t>Tasks that draw on the student's own experience, their placement, their teaching, their prior work, their learning history, their professional context, are grounded in something no model possesses. Education, nursing, social work, counselling, the creative arts and professional doctorates rely on this grounding. Two design conditions apply. First, personal experience must be tied to verifiable specifics: a dated log, a supervisor's record, an artefact from the placement. AI can invent a plausible placement incident, and a student under pressure may let it. Chapter 8 gives the mechanics. Second, personal grounding must not compel disclosure. Students should be able to choose which experiences to draw on, and tasks that require them to write about identity, family or trauma need an alternative route to the same evidence (Nieminen 2022).</w:t>
      </w:r>
    </w:p>
    <w:p w14:paraId="3C7A2537" w14:textId="77777777" w:rsidR="00D16027" w:rsidRDefault="00000000">
      <w:pPr>
        <w:pStyle w:val="Heading2"/>
        <w:keepNext/>
      </w:pPr>
      <w:r>
        <w:t>9.6 A discipline map</w:t>
      </w:r>
    </w:p>
    <w:p w14:paraId="34F27CC2" w14:textId="77777777" w:rsidR="00D16027" w:rsidRDefault="00000000">
      <w:pPr>
        <w:keepNext/>
        <w:spacing w:before="160" w:after="80"/>
      </w:pPr>
      <w:r>
        <w:rPr>
          <w:b/>
          <w:bCs/>
          <w:color w:val="1A4F7A"/>
          <w:sz w:val="20"/>
          <w:szCs w:val="20"/>
        </w:rPr>
        <w:t>Table 9.1  Contextualisation strategies by discipline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3400"/>
        <w:gridCol w:w="2786"/>
      </w:tblGrid>
      <w:tr w:rsidR="00D16027" w14:paraId="46CAC37B" w14:textId="77777777">
        <w:tblPrEx>
          <w:tblCellMar>
            <w:top w:w="0" w:type="dxa"/>
            <w:bottom w:w="0" w:type="dxa"/>
          </w:tblCellMar>
        </w:tblPrEx>
        <w:trPr>
          <w:cantSplit/>
          <w:tblHeader/>
        </w:trPr>
        <w:tc>
          <w:tcPr>
            <w:tcW w:w="1700" w:type="dxa"/>
            <w:shd w:val="clear" w:color="auto" w:fill="2E75B6"/>
            <w:tcMar>
              <w:top w:w="70" w:type="dxa"/>
              <w:left w:w="100" w:type="dxa"/>
              <w:bottom w:w="70" w:type="dxa"/>
              <w:right w:w="100" w:type="dxa"/>
            </w:tcMar>
          </w:tcPr>
          <w:p w14:paraId="55A8E6C8" w14:textId="77777777" w:rsidR="00D16027" w:rsidRDefault="00000000">
            <w:r>
              <w:rPr>
                <w:b/>
                <w:bCs/>
                <w:color w:val="FFFFFF"/>
                <w:sz w:val="19"/>
                <w:szCs w:val="19"/>
              </w:rPr>
              <w:t>Discipline</w:t>
            </w:r>
          </w:p>
        </w:tc>
        <w:tc>
          <w:tcPr>
            <w:tcW w:w="1500" w:type="dxa"/>
            <w:shd w:val="clear" w:color="auto" w:fill="2E75B6"/>
            <w:tcMar>
              <w:top w:w="70" w:type="dxa"/>
              <w:left w:w="100" w:type="dxa"/>
              <w:bottom w:w="70" w:type="dxa"/>
              <w:right w:w="100" w:type="dxa"/>
            </w:tcMar>
          </w:tcPr>
          <w:p w14:paraId="4BAA6B5C" w14:textId="77777777" w:rsidR="00D16027" w:rsidRDefault="00000000">
            <w:r>
              <w:rPr>
                <w:b/>
                <w:bCs/>
                <w:color w:val="FFFFFF"/>
                <w:sz w:val="19"/>
                <w:szCs w:val="19"/>
              </w:rPr>
              <w:t>Source of specificity</w:t>
            </w:r>
          </w:p>
        </w:tc>
        <w:tc>
          <w:tcPr>
            <w:tcW w:w="3400" w:type="dxa"/>
            <w:shd w:val="clear" w:color="auto" w:fill="2E75B6"/>
            <w:tcMar>
              <w:top w:w="70" w:type="dxa"/>
              <w:left w:w="100" w:type="dxa"/>
              <w:bottom w:w="70" w:type="dxa"/>
              <w:right w:w="100" w:type="dxa"/>
            </w:tcMar>
          </w:tcPr>
          <w:p w14:paraId="63E5870E" w14:textId="77777777" w:rsidR="00D16027" w:rsidRDefault="00000000">
            <w:r>
              <w:rPr>
                <w:b/>
                <w:bCs/>
                <w:color w:val="FFFFFF"/>
                <w:sz w:val="19"/>
                <w:szCs w:val="19"/>
              </w:rPr>
              <w:t>Example task</w:t>
            </w:r>
          </w:p>
        </w:tc>
        <w:tc>
          <w:tcPr>
            <w:tcW w:w="2786" w:type="dxa"/>
            <w:shd w:val="clear" w:color="auto" w:fill="2E75B6"/>
            <w:tcMar>
              <w:top w:w="70" w:type="dxa"/>
              <w:left w:w="100" w:type="dxa"/>
              <w:bottom w:w="70" w:type="dxa"/>
              <w:right w:w="100" w:type="dxa"/>
            </w:tcMar>
          </w:tcPr>
          <w:p w14:paraId="777B0DBB" w14:textId="77777777" w:rsidR="00D16027" w:rsidRDefault="00000000">
            <w:r>
              <w:rPr>
                <w:b/>
                <w:bCs/>
                <w:color w:val="FFFFFF"/>
                <w:sz w:val="19"/>
                <w:szCs w:val="19"/>
              </w:rPr>
              <w:t>What stays human</w:t>
            </w:r>
          </w:p>
        </w:tc>
      </w:tr>
      <w:tr w:rsidR="00D16027" w14:paraId="06029C81" w14:textId="77777777">
        <w:tblPrEx>
          <w:tblCellMar>
            <w:top w:w="0" w:type="dxa"/>
            <w:bottom w:w="0" w:type="dxa"/>
          </w:tblCellMar>
        </w:tblPrEx>
        <w:trPr>
          <w:cantSplit/>
        </w:trPr>
        <w:tc>
          <w:tcPr>
            <w:tcW w:w="1700" w:type="dxa"/>
            <w:tcMar>
              <w:top w:w="70" w:type="dxa"/>
              <w:left w:w="100" w:type="dxa"/>
              <w:bottom w:w="70" w:type="dxa"/>
              <w:right w:w="100" w:type="dxa"/>
            </w:tcMar>
          </w:tcPr>
          <w:p w14:paraId="6BBA2BF5" w14:textId="77777777" w:rsidR="00D16027" w:rsidRDefault="00000000">
            <w:r>
              <w:rPr>
                <w:sz w:val="19"/>
                <w:szCs w:val="19"/>
              </w:rPr>
              <w:t>Medicine, nursing, allied health</w:t>
            </w:r>
          </w:p>
        </w:tc>
        <w:tc>
          <w:tcPr>
            <w:tcW w:w="1500" w:type="dxa"/>
            <w:tcMar>
              <w:top w:w="70" w:type="dxa"/>
              <w:left w:w="100" w:type="dxa"/>
              <w:bottom w:w="70" w:type="dxa"/>
              <w:right w:w="100" w:type="dxa"/>
            </w:tcMar>
          </w:tcPr>
          <w:p w14:paraId="603553E2" w14:textId="77777777" w:rsidR="00D16027" w:rsidRDefault="00000000">
            <w:r>
              <w:rPr>
                <w:sz w:val="19"/>
                <w:szCs w:val="19"/>
              </w:rPr>
              <w:t>Self, people</w:t>
            </w:r>
          </w:p>
        </w:tc>
        <w:tc>
          <w:tcPr>
            <w:tcW w:w="3400" w:type="dxa"/>
            <w:tcMar>
              <w:top w:w="70" w:type="dxa"/>
              <w:left w:w="100" w:type="dxa"/>
              <w:bottom w:w="70" w:type="dxa"/>
              <w:right w:w="100" w:type="dxa"/>
            </w:tcMar>
          </w:tcPr>
          <w:p w14:paraId="78DFE4EF" w14:textId="77777777" w:rsidR="00D16027" w:rsidRDefault="00000000">
            <w:r>
              <w:rPr>
                <w:sz w:val="19"/>
                <w:szCs w:val="19"/>
              </w:rPr>
              <w:t>Case presentation on a patient the student saw on placement, with anonymised notes and a viva</w:t>
            </w:r>
          </w:p>
        </w:tc>
        <w:tc>
          <w:tcPr>
            <w:tcW w:w="2786" w:type="dxa"/>
            <w:tcMar>
              <w:top w:w="70" w:type="dxa"/>
              <w:left w:w="100" w:type="dxa"/>
              <w:bottom w:w="70" w:type="dxa"/>
              <w:right w:w="100" w:type="dxa"/>
            </w:tcMar>
          </w:tcPr>
          <w:p w14:paraId="405E8AE0" w14:textId="77777777" w:rsidR="00D16027" w:rsidRDefault="00000000">
            <w:r>
              <w:rPr>
                <w:sz w:val="19"/>
                <w:szCs w:val="19"/>
              </w:rPr>
              <w:t>The encounter and the clinical reasoning about it</w:t>
            </w:r>
          </w:p>
        </w:tc>
      </w:tr>
      <w:tr w:rsidR="00D16027" w14:paraId="714C65D5" w14:textId="77777777">
        <w:tblPrEx>
          <w:tblCellMar>
            <w:top w:w="0" w:type="dxa"/>
            <w:bottom w:w="0" w:type="dxa"/>
          </w:tblCellMar>
        </w:tblPrEx>
        <w:trPr>
          <w:cantSplit/>
        </w:trPr>
        <w:tc>
          <w:tcPr>
            <w:tcW w:w="1700" w:type="dxa"/>
            <w:tcMar>
              <w:top w:w="70" w:type="dxa"/>
              <w:left w:w="100" w:type="dxa"/>
              <w:bottom w:w="70" w:type="dxa"/>
              <w:right w:w="100" w:type="dxa"/>
            </w:tcMar>
          </w:tcPr>
          <w:p w14:paraId="2D3AAE45" w14:textId="77777777" w:rsidR="00D16027" w:rsidRDefault="00000000">
            <w:r>
              <w:rPr>
                <w:sz w:val="19"/>
                <w:szCs w:val="19"/>
              </w:rPr>
              <w:t>Law</w:t>
            </w:r>
          </w:p>
        </w:tc>
        <w:tc>
          <w:tcPr>
            <w:tcW w:w="1500" w:type="dxa"/>
            <w:tcMar>
              <w:top w:w="70" w:type="dxa"/>
              <w:left w:w="100" w:type="dxa"/>
              <w:bottom w:w="70" w:type="dxa"/>
              <w:right w:w="100" w:type="dxa"/>
            </w:tcMar>
          </w:tcPr>
          <w:p w14:paraId="3F3C69C1" w14:textId="77777777" w:rsidR="00D16027" w:rsidRDefault="00000000">
            <w:r>
              <w:rPr>
                <w:sz w:val="19"/>
                <w:szCs w:val="19"/>
              </w:rPr>
              <w:t>People, data</w:t>
            </w:r>
          </w:p>
        </w:tc>
        <w:tc>
          <w:tcPr>
            <w:tcW w:w="3400" w:type="dxa"/>
            <w:tcMar>
              <w:top w:w="70" w:type="dxa"/>
              <w:left w:w="100" w:type="dxa"/>
              <w:bottom w:w="70" w:type="dxa"/>
              <w:right w:w="100" w:type="dxa"/>
            </w:tcMar>
          </w:tcPr>
          <w:p w14:paraId="0BB1DF0B" w14:textId="77777777" w:rsidR="00D16027" w:rsidRDefault="00000000">
            <w:r>
              <w:rPr>
                <w:sz w:val="19"/>
                <w:szCs w:val="19"/>
              </w:rPr>
              <w:t>Clinic case file on a real client; or advice on a fact pattern released on the day with a novel local statute</w:t>
            </w:r>
          </w:p>
        </w:tc>
        <w:tc>
          <w:tcPr>
            <w:tcW w:w="2786" w:type="dxa"/>
            <w:tcMar>
              <w:top w:w="70" w:type="dxa"/>
              <w:left w:w="100" w:type="dxa"/>
              <w:bottom w:w="70" w:type="dxa"/>
              <w:right w:w="100" w:type="dxa"/>
            </w:tcMar>
          </w:tcPr>
          <w:p w14:paraId="41C658E0" w14:textId="77777777" w:rsidR="00D16027" w:rsidRDefault="00000000">
            <w:r>
              <w:rPr>
                <w:sz w:val="19"/>
                <w:szCs w:val="19"/>
              </w:rPr>
              <w:t>The client relationship; application to the unfamiliar</w:t>
            </w:r>
          </w:p>
        </w:tc>
      </w:tr>
      <w:tr w:rsidR="00D16027" w14:paraId="2999A8DA" w14:textId="77777777">
        <w:tblPrEx>
          <w:tblCellMar>
            <w:top w:w="0" w:type="dxa"/>
            <w:bottom w:w="0" w:type="dxa"/>
          </w:tblCellMar>
        </w:tblPrEx>
        <w:trPr>
          <w:cantSplit/>
        </w:trPr>
        <w:tc>
          <w:tcPr>
            <w:tcW w:w="1700" w:type="dxa"/>
            <w:tcMar>
              <w:top w:w="70" w:type="dxa"/>
              <w:left w:w="100" w:type="dxa"/>
              <w:bottom w:w="70" w:type="dxa"/>
              <w:right w:w="100" w:type="dxa"/>
            </w:tcMar>
          </w:tcPr>
          <w:p w14:paraId="1AEBA221" w14:textId="77777777" w:rsidR="00D16027" w:rsidRDefault="00000000">
            <w:r>
              <w:rPr>
                <w:sz w:val="19"/>
                <w:szCs w:val="19"/>
              </w:rPr>
              <w:lastRenderedPageBreak/>
              <w:t>Engineering</w:t>
            </w:r>
          </w:p>
        </w:tc>
        <w:tc>
          <w:tcPr>
            <w:tcW w:w="1500" w:type="dxa"/>
            <w:tcMar>
              <w:top w:w="70" w:type="dxa"/>
              <w:left w:w="100" w:type="dxa"/>
              <w:bottom w:w="70" w:type="dxa"/>
              <w:right w:w="100" w:type="dxa"/>
            </w:tcMar>
          </w:tcPr>
          <w:p w14:paraId="5CB7884E" w14:textId="77777777" w:rsidR="00D16027" w:rsidRDefault="00000000">
            <w:r>
              <w:rPr>
                <w:sz w:val="19"/>
                <w:szCs w:val="19"/>
              </w:rPr>
              <w:t>Place, data, people</w:t>
            </w:r>
          </w:p>
        </w:tc>
        <w:tc>
          <w:tcPr>
            <w:tcW w:w="3400" w:type="dxa"/>
            <w:tcMar>
              <w:top w:w="70" w:type="dxa"/>
              <w:left w:w="100" w:type="dxa"/>
              <w:bottom w:w="70" w:type="dxa"/>
              <w:right w:w="100" w:type="dxa"/>
            </w:tcMar>
          </w:tcPr>
          <w:p w14:paraId="07F4FAA5" w14:textId="77777777" w:rsidR="00D16027" w:rsidRDefault="00000000">
            <w:r>
              <w:rPr>
                <w:sz w:val="19"/>
                <w:szCs w:val="19"/>
              </w:rPr>
              <w:t>Redesign brief from a local firm with site measurements and a client review</w:t>
            </w:r>
          </w:p>
        </w:tc>
        <w:tc>
          <w:tcPr>
            <w:tcW w:w="2786" w:type="dxa"/>
            <w:tcMar>
              <w:top w:w="70" w:type="dxa"/>
              <w:left w:w="100" w:type="dxa"/>
              <w:bottom w:w="70" w:type="dxa"/>
              <w:right w:w="100" w:type="dxa"/>
            </w:tcMar>
          </w:tcPr>
          <w:p w14:paraId="5C404B67" w14:textId="77777777" w:rsidR="00D16027" w:rsidRDefault="00000000">
            <w:r>
              <w:rPr>
                <w:sz w:val="19"/>
                <w:szCs w:val="19"/>
              </w:rPr>
              <w:t>The site visit, the measurement, the negotiation of constraints</w:t>
            </w:r>
          </w:p>
        </w:tc>
      </w:tr>
      <w:tr w:rsidR="00D16027" w14:paraId="052F4269" w14:textId="77777777">
        <w:tblPrEx>
          <w:tblCellMar>
            <w:top w:w="0" w:type="dxa"/>
            <w:bottom w:w="0" w:type="dxa"/>
          </w:tblCellMar>
        </w:tblPrEx>
        <w:trPr>
          <w:cantSplit/>
        </w:trPr>
        <w:tc>
          <w:tcPr>
            <w:tcW w:w="1700" w:type="dxa"/>
            <w:tcMar>
              <w:top w:w="70" w:type="dxa"/>
              <w:left w:w="100" w:type="dxa"/>
              <w:bottom w:w="70" w:type="dxa"/>
              <w:right w:w="100" w:type="dxa"/>
            </w:tcMar>
          </w:tcPr>
          <w:p w14:paraId="06EF8565" w14:textId="77777777" w:rsidR="00D16027" w:rsidRDefault="00000000">
            <w:r>
              <w:rPr>
                <w:sz w:val="19"/>
                <w:szCs w:val="19"/>
              </w:rPr>
              <w:t>Computing</w:t>
            </w:r>
          </w:p>
        </w:tc>
        <w:tc>
          <w:tcPr>
            <w:tcW w:w="1500" w:type="dxa"/>
            <w:tcMar>
              <w:top w:w="70" w:type="dxa"/>
              <w:left w:w="100" w:type="dxa"/>
              <w:bottom w:w="70" w:type="dxa"/>
              <w:right w:w="100" w:type="dxa"/>
            </w:tcMar>
          </w:tcPr>
          <w:p w14:paraId="2DDD3122" w14:textId="77777777" w:rsidR="00D16027" w:rsidRDefault="00000000">
            <w:r>
              <w:rPr>
                <w:sz w:val="19"/>
                <w:szCs w:val="19"/>
              </w:rPr>
              <w:t>People, data</w:t>
            </w:r>
          </w:p>
        </w:tc>
        <w:tc>
          <w:tcPr>
            <w:tcW w:w="3400" w:type="dxa"/>
            <w:tcMar>
              <w:top w:w="70" w:type="dxa"/>
              <w:left w:w="100" w:type="dxa"/>
              <w:bottom w:w="70" w:type="dxa"/>
              <w:right w:w="100" w:type="dxa"/>
            </w:tcMar>
          </w:tcPr>
          <w:p w14:paraId="19B2BD18" w14:textId="77777777" w:rsidR="00D16027" w:rsidRDefault="00000000">
            <w:r>
              <w:rPr>
                <w:sz w:val="19"/>
                <w:szCs w:val="19"/>
              </w:rPr>
              <w:t>Capstone with an external partner; live data feed; individual code walkthrough</w:t>
            </w:r>
          </w:p>
        </w:tc>
        <w:tc>
          <w:tcPr>
            <w:tcW w:w="2786" w:type="dxa"/>
            <w:tcMar>
              <w:top w:w="70" w:type="dxa"/>
              <w:left w:w="100" w:type="dxa"/>
              <w:bottom w:w="70" w:type="dxa"/>
              <w:right w:w="100" w:type="dxa"/>
            </w:tcMar>
          </w:tcPr>
          <w:p w14:paraId="790D1017" w14:textId="77777777" w:rsidR="00D16027" w:rsidRDefault="00000000">
            <w:r>
              <w:rPr>
                <w:sz w:val="19"/>
                <w:szCs w:val="19"/>
              </w:rPr>
              <w:t>Requirements elicitation; explaining and modifying one's own code</w:t>
            </w:r>
          </w:p>
        </w:tc>
      </w:tr>
      <w:tr w:rsidR="00D16027" w14:paraId="62BBB529" w14:textId="77777777">
        <w:tblPrEx>
          <w:tblCellMar>
            <w:top w:w="0" w:type="dxa"/>
            <w:bottom w:w="0" w:type="dxa"/>
          </w:tblCellMar>
        </w:tblPrEx>
        <w:trPr>
          <w:cantSplit/>
        </w:trPr>
        <w:tc>
          <w:tcPr>
            <w:tcW w:w="1700" w:type="dxa"/>
            <w:tcMar>
              <w:top w:w="70" w:type="dxa"/>
              <w:left w:w="100" w:type="dxa"/>
              <w:bottom w:w="70" w:type="dxa"/>
              <w:right w:w="100" w:type="dxa"/>
            </w:tcMar>
          </w:tcPr>
          <w:p w14:paraId="011379F5" w14:textId="77777777" w:rsidR="00D16027" w:rsidRDefault="00000000">
            <w:r>
              <w:rPr>
                <w:sz w:val="19"/>
                <w:szCs w:val="19"/>
              </w:rPr>
              <w:t>Business and management</w:t>
            </w:r>
          </w:p>
        </w:tc>
        <w:tc>
          <w:tcPr>
            <w:tcW w:w="1500" w:type="dxa"/>
            <w:tcMar>
              <w:top w:w="70" w:type="dxa"/>
              <w:left w:w="100" w:type="dxa"/>
              <w:bottom w:w="70" w:type="dxa"/>
              <w:right w:w="100" w:type="dxa"/>
            </w:tcMar>
          </w:tcPr>
          <w:p w14:paraId="633A6E3D" w14:textId="77777777" w:rsidR="00D16027" w:rsidRDefault="00000000">
            <w:r>
              <w:rPr>
                <w:sz w:val="19"/>
                <w:szCs w:val="19"/>
              </w:rPr>
              <w:t>People, data</w:t>
            </w:r>
          </w:p>
        </w:tc>
        <w:tc>
          <w:tcPr>
            <w:tcW w:w="3400" w:type="dxa"/>
            <w:tcMar>
              <w:top w:w="70" w:type="dxa"/>
              <w:left w:w="100" w:type="dxa"/>
              <w:bottom w:w="70" w:type="dxa"/>
              <w:right w:w="100" w:type="dxa"/>
            </w:tcMar>
          </w:tcPr>
          <w:p w14:paraId="53A409E1" w14:textId="77777777" w:rsidR="00D16027" w:rsidRDefault="00000000">
            <w:r>
              <w:rPr>
                <w:sz w:val="19"/>
                <w:szCs w:val="19"/>
              </w:rPr>
              <w:t>Consultancy project with a real organisation; negotiation exercise; campaign with performance data</w:t>
            </w:r>
          </w:p>
        </w:tc>
        <w:tc>
          <w:tcPr>
            <w:tcW w:w="2786" w:type="dxa"/>
            <w:tcMar>
              <w:top w:w="70" w:type="dxa"/>
              <w:left w:w="100" w:type="dxa"/>
              <w:bottom w:w="70" w:type="dxa"/>
              <w:right w:w="100" w:type="dxa"/>
            </w:tcMar>
          </w:tcPr>
          <w:p w14:paraId="571BDB5F" w14:textId="77777777" w:rsidR="00D16027" w:rsidRDefault="00000000">
            <w:r>
              <w:rPr>
                <w:sz w:val="19"/>
                <w:szCs w:val="19"/>
              </w:rPr>
              <w:t>The meeting; the decisions taken under real constraints</w:t>
            </w:r>
          </w:p>
        </w:tc>
      </w:tr>
      <w:tr w:rsidR="00D16027" w14:paraId="7BF74695" w14:textId="77777777">
        <w:tblPrEx>
          <w:tblCellMar>
            <w:top w:w="0" w:type="dxa"/>
            <w:bottom w:w="0" w:type="dxa"/>
          </w:tblCellMar>
        </w:tblPrEx>
        <w:trPr>
          <w:cantSplit/>
        </w:trPr>
        <w:tc>
          <w:tcPr>
            <w:tcW w:w="1700" w:type="dxa"/>
            <w:tcMar>
              <w:top w:w="70" w:type="dxa"/>
              <w:left w:w="100" w:type="dxa"/>
              <w:bottom w:w="70" w:type="dxa"/>
              <w:right w:w="100" w:type="dxa"/>
            </w:tcMar>
          </w:tcPr>
          <w:p w14:paraId="5621C414" w14:textId="77777777" w:rsidR="00D16027" w:rsidRDefault="00000000">
            <w:r>
              <w:rPr>
                <w:sz w:val="19"/>
                <w:szCs w:val="19"/>
              </w:rPr>
              <w:t>Education</w:t>
            </w:r>
          </w:p>
        </w:tc>
        <w:tc>
          <w:tcPr>
            <w:tcW w:w="1500" w:type="dxa"/>
            <w:tcMar>
              <w:top w:w="70" w:type="dxa"/>
              <w:left w:w="100" w:type="dxa"/>
              <w:bottom w:w="70" w:type="dxa"/>
              <w:right w:w="100" w:type="dxa"/>
            </w:tcMar>
          </w:tcPr>
          <w:p w14:paraId="686C1977" w14:textId="77777777" w:rsidR="00D16027" w:rsidRDefault="00000000">
            <w:r>
              <w:rPr>
                <w:sz w:val="19"/>
                <w:szCs w:val="19"/>
              </w:rPr>
              <w:t>Self, place</w:t>
            </w:r>
          </w:p>
        </w:tc>
        <w:tc>
          <w:tcPr>
            <w:tcW w:w="3400" w:type="dxa"/>
            <w:tcMar>
              <w:top w:w="70" w:type="dxa"/>
              <w:left w:w="100" w:type="dxa"/>
              <w:bottom w:w="70" w:type="dxa"/>
              <w:right w:w="100" w:type="dxa"/>
            </w:tcMar>
          </w:tcPr>
          <w:p w14:paraId="1619E125" w14:textId="77777777" w:rsidR="00D16027" w:rsidRDefault="00000000">
            <w:r>
              <w:rPr>
                <w:sz w:val="19"/>
                <w:szCs w:val="19"/>
              </w:rPr>
              <w:t>Lesson taught to a real class, observed; evaluation against what happened</w:t>
            </w:r>
          </w:p>
        </w:tc>
        <w:tc>
          <w:tcPr>
            <w:tcW w:w="2786" w:type="dxa"/>
            <w:tcMar>
              <w:top w:w="70" w:type="dxa"/>
              <w:left w:w="100" w:type="dxa"/>
              <w:bottom w:w="70" w:type="dxa"/>
              <w:right w:w="100" w:type="dxa"/>
            </w:tcMar>
          </w:tcPr>
          <w:p w14:paraId="79DF0607" w14:textId="77777777" w:rsidR="00D16027" w:rsidRDefault="00000000">
            <w:r>
              <w:rPr>
                <w:sz w:val="19"/>
                <w:szCs w:val="19"/>
              </w:rPr>
              <w:t>The enacted lesson and the judgement about it</w:t>
            </w:r>
          </w:p>
        </w:tc>
      </w:tr>
      <w:tr w:rsidR="00D16027" w14:paraId="563E0E9E" w14:textId="77777777">
        <w:tblPrEx>
          <w:tblCellMar>
            <w:top w:w="0" w:type="dxa"/>
            <w:bottom w:w="0" w:type="dxa"/>
          </w:tblCellMar>
        </w:tblPrEx>
        <w:trPr>
          <w:cantSplit/>
        </w:trPr>
        <w:tc>
          <w:tcPr>
            <w:tcW w:w="1700" w:type="dxa"/>
            <w:tcMar>
              <w:top w:w="70" w:type="dxa"/>
              <w:left w:w="100" w:type="dxa"/>
              <w:bottom w:w="70" w:type="dxa"/>
              <w:right w:w="100" w:type="dxa"/>
            </w:tcMar>
          </w:tcPr>
          <w:p w14:paraId="585BAEB3" w14:textId="77777777" w:rsidR="00D16027" w:rsidRDefault="00000000">
            <w:r>
              <w:rPr>
                <w:sz w:val="19"/>
                <w:szCs w:val="19"/>
              </w:rPr>
              <w:t>Social sciences</w:t>
            </w:r>
          </w:p>
        </w:tc>
        <w:tc>
          <w:tcPr>
            <w:tcW w:w="1500" w:type="dxa"/>
            <w:tcMar>
              <w:top w:w="70" w:type="dxa"/>
              <w:left w:w="100" w:type="dxa"/>
              <w:bottom w:w="70" w:type="dxa"/>
              <w:right w:w="100" w:type="dxa"/>
            </w:tcMar>
          </w:tcPr>
          <w:p w14:paraId="5049EA82" w14:textId="77777777" w:rsidR="00D16027" w:rsidRDefault="00000000">
            <w:r>
              <w:rPr>
                <w:sz w:val="19"/>
                <w:szCs w:val="19"/>
              </w:rPr>
              <w:t>Place, data, people</w:t>
            </w:r>
          </w:p>
        </w:tc>
        <w:tc>
          <w:tcPr>
            <w:tcW w:w="3400" w:type="dxa"/>
            <w:tcMar>
              <w:top w:w="70" w:type="dxa"/>
              <w:left w:w="100" w:type="dxa"/>
              <w:bottom w:w="70" w:type="dxa"/>
              <w:right w:w="100" w:type="dxa"/>
            </w:tcMar>
          </w:tcPr>
          <w:p w14:paraId="3EB66321" w14:textId="77777777" w:rsidR="00D16027" w:rsidRDefault="00000000">
            <w:r>
              <w:rPr>
                <w:sz w:val="19"/>
                <w:szCs w:val="19"/>
              </w:rPr>
              <w:t>Fieldwork with own interviews or survey; secondary analysis of a cohort-specific dataset</w:t>
            </w:r>
          </w:p>
        </w:tc>
        <w:tc>
          <w:tcPr>
            <w:tcW w:w="2786" w:type="dxa"/>
            <w:tcMar>
              <w:top w:w="70" w:type="dxa"/>
              <w:left w:w="100" w:type="dxa"/>
              <w:bottom w:w="70" w:type="dxa"/>
              <w:right w:w="100" w:type="dxa"/>
            </w:tcMar>
          </w:tcPr>
          <w:p w14:paraId="7605C406" w14:textId="77777777" w:rsidR="00D16027" w:rsidRDefault="00000000">
            <w:r>
              <w:rPr>
                <w:sz w:val="19"/>
                <w:szCs w:val="19"/>
              </w:rPr>
              <w:t>The data collection; the anomalies; the analysis defended orally</w:t>
            </w:r>
          </w:p>
        </w:tc>
      </w:tr>
      <w:tr w:rsidR="00D16027" w14:paraId="47610028" w14:textId="77777777">
        <w:tblPrEx>
          <w:tblCellMar>
            <w:top w:w="0" w:type="dxa"/>
            <w:bottom w:w="0" w:type="dxa"/>
          </w:tblCellMar>
        </w:tblPrEx>
        <w:trPr>
          <w:cantSplit/>
        </w:trPr>
        <w:tc>
          <w:tcPr>
            <w:tcW w:w="1700" w:type="dxa"/>
            <w:tcMar>
              <w:top w:w="70" w:type="dxa"/>
              <w:left w:w="100" w:type="dxa"/>
              <w:bottom w:w="70" w:type="dxa"/>
              <w:right w:w="100" w:type="dxa"/>
            </w:tcMar>
          </w:tcPr>
          <w:p w14:paraId="25C3A7BB" w14:textId="77777777" w:rsidR="00D16027" w:rsidRDefault="00000000">
            <w:r>
              <w:rPr>
                <w:sz w:val="19"/>
                <w:szCs w:val="19"/>
              </w:rPr>
              <w:t>History</w:t>
            </w:r>
          </w:p>
        </w:tc>
        <w:tc>
          <w:tcPr>
            <w:tcW w:w="1500" w:type="dxa"/>
            <w:tcMar>
              <w:top w:w="70" w:type="dxa"/>
              <w:left w:w="100" w:type="dxa"/>
              <w:bottom w:w="70" w:type="dxa"/>
              <w:right w:w="100" w:type="dxa"/>
            </w:tcMar>
          </w:tcPr>
          <w:p w14:paraId="5E066CBA" w14:textId="77777777" w:rsidR="00D16027" w:rsidRDefault="00000000">
            <w:r>
              <w:rPr>
                <w:sz w:val="19"/>
                <w:szCs w:val="19"/>
              </w:rPr>
              <w:t>Place, data</w:t>
            </w:r>
          </w:p>
        </w:tc>
        <w:tc>
          <w:tcPr>
            <w:tcW w:w="3400" w:type="dxa"/>
            <w:tcMar>
              <w:top w:w="70" w:type="dxa"/>
              <w:left w:w="100" w:type="dxa"/>
              <w:bottom w:w="70" w:type="dxa"/>
              <w:right w:w="100" w:type="dxa"/>
            </w:tcMar>
          </w:tcPr>
          <w:p w14:paraId="3785F376" w14:textId="77777777" w:rsidR="00D16027" w:rsidRDefault="00000000">
            <w:r>
              <w:rPr>
                <w:sz w:val="19"/>
                <w:szCs w:val="19"/>
              </w:rPr>
              <w:t>Research essay from a local archive with document provenance and archivist sign-in</w:t>
            </w:r>
          </w:p>
        </w:tc>
        <w:tc>
          <w:tcPr>
            <w:tcW w:w="2786" w:type="dxa"/>
            <w:tcMar>
              <w:top w:w="70" w:type="dxa"/>
              <w:left w:w="100" w:type="dxa"/>
              <w:bottom w:w="70" w:type="dxa"/>
              <w:right w:w="100" w:type="dxa"/>
            </w:tcMar>
          </w:tcPr>
          <w:p w14:paraId="28D9D22E" w14:textId="77777777" w:rsidR="00D16027" w:rsidRDefault="00000000">
            <w:r>
              <w:rPr>
                <w:sz w:val="19"/>
                <w:szCs w:val="19"/>
              </w:rPr>
              <w:t>The archival encounter; the interpretation of the specific document</w:t>
            </w:r>
          </w:p>
        </w:tc>
      </w:tr>
      <w:tr w:rsidR="00D16027" w14:paraId="12D78FEA" w14:textId="77777777">
        <w:tblPrEx>
          <w:tblCellMar>
            <w:top w:w="0" w:type="dxa"/>
            <w:bottom w:w="0" w:type="dxa"/>
          </w:tblCellMar>
        </w:tblPrEx>
        <w:trPr>
          <w:cantSplit/>
        </w:trPr>
        <w:tc>
          <w:tcPr>
            <w:tcW w:w="1700" w:type="dxa"/>
            <w:tcMar>
              <w:top w:w="70" w:type="dxa"/>
              <w:left w:w="100" w:type="dxa"/>
              <w:bottom w:w="70" w:type="dxa"/>
              <w:right w:w="100" w:type="dxa"/>
            </w:tcMar>
          </w:tcPr>
          <w:p w14:paraId="6F4FE960" w14:textId="77777777" w:rsidR="00D16027" w:rsidRDefault="00000000">
            <w:r>
              <w:rPr>
                <w:sz w:val="19"/>
                <w:szCs w:val="19"/>
              </w:rPr>
              <w:t>Literature and philosophy</w:t>
            </w:r>
          </w:p>
        </w:tc>
        <w:tc>
          <w:tcPr>
            <w:tcW w:w="1500" w:type="dxa"/>
            <w:tcMar>
              <w:top w:w="70" w:type="dxa"/>
              <w:left w:w="100" w:type="dxa"/>
              <w:bottom w:w="70" w:type="dxa"/>
              <w:right w:w="100" w:type="dxa"/>
            </w:tcMar>
          </w:tcPr>
          <w:p w14:paraId="67B908D3" w14:textId="77777777" w:rsidR="00D16027" w:rsidRDefault="00000000">
            <w:r>
              <w:rPr>
                <w:sz w:val="19"/>
                <w:szCs w:val="19"/>
              </w:rPr>
              <w:t>People (the seminar)</w:t>
            </w:r>
          </w:p>
        </w:tc>
        <w:tc>
          <w:tcPr>
            <w:tcW w:w="3400" w:type="dxa"/>
            <w:tcMar>
              <w:top w:w="70" w:type="dxa"/>
              <w:left w:w="100" w:type="dxa"/>
              <w:bottom w:w="70" w:type="dxa"/>
              <w:right w:w="100" w:type="dxa"/>
            </w:tcMar>
          </w:tcPr>
          <w:p w14:paraId="409477B8" w14:textId="77777777" w:rsidR="00D16027" w:rsidRDefault="00000000">
            <w:r>
              <w:rPr>
                <w:sz w:val="19"/>
                <w:szCs w:val="19"/>
              </w:rPr>
              <w:t>Essay that must engage with an argument made in a named seminar; in-class critical response to a passage released on the day</w:t>
            </w:r>
          </w:p>
        </w:tc>
        <w:tc>
          <w:tcPr>
            <w:tcW w:w="2786" w:type="dxa"/>
            <w:tcMar>
              <w:top w:w="70" w:type="dxa"/>
              <w:left w:w="100" w:type="dxa"/>
              <w:bottom w:w="70" w:type="dxa"/>
              <w:right w:w="100" w:type="dxa"/>
            </w:tcMar>
          </w:tcPr>
          <w:p w14:paraId="1AC1AB5B" w14:textId="77777777" w:rsidR="00D16027" w:rsidRDefault="00000000">
            <w:r>
              <w:rPr>
                <w:sz w:val="19"/>
                <w:szCs w:val="19"/>
              </w:rPr>
              <w:t>Dialectical engagement with a live discussion</w:t>
            </w:r>
          </w:p>
        </w:tc>
      </w:tr>
      <w:tr w:rsidR="00D16027" w14:paraId="3024C9CC" w14:textId="77777777">
        <w:tblPrEx>
          <w:tblCellMar>
            <w:top w:w="0" w:type="dxa"/>
            <w:bottom w:w="0" w:type="dxa"/>
          </w:tblCellMar>
        </w:tblPrEx>
        <w:trPr>
          <w:cantSplit/>
        </w:trPr>
        <w:tc>
          <w:tcPr>
            <w:tcW w:w="1700" w:type="dxa"/>
            <w:tcMar>
              <w:top w:w="70" w:type="dxa"/>
              <w:left w:w="100" w:type="dxa"/>
              <w:bottom w:w="70" w:type="dxa"/>
              <w:right w:w="100" w:type="dxa"/>
            </w:tcMar>
          </w:tcPr>
          <w:p w14:paraId="72B8ACEA" w14:textId="77777777" w:rsidR="00D16027" w:rsidRDefault="00000000">
            <w:r>
              <w:rPr>
                <w:sz w:val="19"/>
                <w:szCs w:val="19"/>
              </w:rPr>
              <w:t>Arts and design</w:t>
            </w:r>
          </w:p>
        </w:tc>
        <w:tc>
          <w:tcPr>
            <w:tcW w:w="1500" w:type="dxa"/>
            <w:tcMar>
              <w:top w:w="70" w:type="dxa"/>
              <w:left w:w="100" w:type="dxa"/>
              <w:bottom w:w="70" w:type="dxa"/>
              <w:right w:w="100" w:type="dxa"/>
            </w:tcMar>
          </w:tcPr>
          <w:p w14:paraId="31CE93F4" w14:textId="77777777" w:rsidR="00D16027" w:rsidRDefault="00000000">
            <w:r>
              <w:rPr>
                <w:sz w:val="19"/>
                <w:szCs w:val="19"/>
              </w:rPr>
              <w:t>Self, place, people</w:t>
            </w:r>
          </w:p>
        </w:tc>
        <w:tc>
          <w:tcPr>
            <w:tcW w:w="3400" w:type="dxa"/>
            <w:tcMar>
              <w:top w:w="70" w:type="dxa"/>
              <w:left w:w="100" w:type="dxa"/>
              <w:bottom w:w="70" w:type="dxa"/>
              <w:right w:w="100" w:type="dxa"/>
            </w:tcMar>
          </w:tcPr>
          <w:p w14:paraId="5D0ED6B9" w14:textId="77777777" w:rsidR="00D16027" w:rsidRDefault="00000000">
            <w:r>
              <w:rPr>
                <w:sz w:val="19"/>
                <w:szCs w:val="19"/>
              </w:rPr>
              <w:t>Site-specific work; community brief; studio crit; process portfolio</w:t>
            </w:r>
          </w:p>
        </w:tc>
        <w:tc>
          <w:tcPr>
            <w:tcW w:w="2786" w:type="dxa"/>
            <w:tcMar>
              <w:top w:w="70" w:type="dxa"/>
              <w:left w:w="100" w:type="dxa"/>
              <w:bottom w:w="70" w:type="dxa"/>
              <w:right w:w="100" w:type="dxa"/>
            </w:tcMar>
          </w:tcPr>
          <w:p w14:paraId="1D50644E" w14:textId="77777777" w:rsidR="00D16027" w:rsidRDefault="00000000">
            <w:r>
              <w:rPr>
                <w:sz w:val="19"/>
                <w:szCs w:val="19"/>
              </w:rPr>
              <w:t>The making, the site, the audience, the defence of decisions</w:t>
            </w:r>
          </w:p>
        </w:tc>
      </w:tr>
      <w:tr w:rsidR="00D16027" w14:paraId="05959A1E" w14:textId="77777777">
        <w:tblPrEx>
          <w:tblCellMar>
            <w:top w:w="0" w:type="dxa"/>
            <w:bottom w:w="0" w:type="dxa"/>
          </w:tblCellMar>
        </w:tblPrEx>
        <w:trPr>
          <w:cantSplit/>
        </w:trPr>
        <w:tc>
          <w:tcPr>
            <w:tcW w:w="1700" w:type="dxa"/>
            <w:tcMar>
              <w:top w:w="70" w:type="dxa"/>
              <w:left w:w="100" w:type="dxa"/>
              <w:bottom w:w="70" w:type="dxa"/>
              <w:right w:w="100" w:type="dxa"/>
            </w:tcMar>
          </w:tcPr>
          <w:p w14:paraId="0E5E5933" w14:textId="77777777" w:rsidR="00D16027" w:rsidRDefault="00000000">
            <w:r>
              <w:rPr>
                <w:sz w:val="19"/>
                <w:szCs w:val="19"/>
              </w:rPr>
              <w:t>Sciences</w:t>
            </w:r>
          </w:p>
        </w:tc>
        <w:tc>
          <w:tcPr>
            <w:tcW w:w="1500" w:type="dxa"/>
            <w:tcMar>
              <w:top w:w="70" w:type="dxa"/>
              <w:left w:w="100" w:type="dxa"/>
              <w:bottom w:w="70" w:type="dxa"/>
              <w:right w:w="100" w:type="dxa"/>
            </w:tcMar>
          </w:tcPr>
          <w:p w14:paraId="5490B4F2" w14:textId="77777777" w:rsidR="00D16027" w:rsidRDefault="00000000">
            <w:r>
              <w:rPr>
                <w:sz w:val="19"/>
                <w:szCs w:val="19"/>
              </w:rPr>
              <w:t>Data, place</w:t>
            </w:r>
          </w:p>
        </w:tc>
        <w:tc>
          <w:tcPr>
            <w:tcW w:w="3400" w:type="dxa"/>
            <w:tcMar>
              <w:top w:w="70" w:type="dxa"/>
              <w:left w:w="100" w:type="dxa"/>
              <w:bottom w:w="70" w:type="dxa"/>
              <w:right w:w="100" w:type="dxa"/>
            </w:tcMar>
          </w:tcPr>
          <w:p w14:paraId="4E7A8353" w14:textId="77777777" w:rsidR="00D16027" w:rsidRDefault="00000000">
            <w:r>
              <w:rPr>
                <w:sz w:val="19"/>
                <w:szCs w:val="19"/>
              </w:rPr>
              <w:t>Own experimental data with raw files; field sampling; bench-side conversation</w:t>
            </w:r>
          </w:p>
        </w:tc>
        <w:tc>
          <w:tcPr>
            <w:tcW w:w="2786" w:type="dxa"/>
            <w:tcMar>
              <w:top w:w="70" w:type="dxa"/>
              <w:left w:w="100" w:type="dxa"/>
              <w:bottom w:w="70" w:type="dxa"/>
              <w:right w:w="100" w:type="dxa"/>
            </w:tcMar>
          </w:tcPr>
          <w:p w14:paraId="4D0CF812" w14:textId="77777777" w:rsidR="00D16027" w:rsidRDefault="00000000">
            <w:r>
              <w:rPr>
                <w:sz w:val="19"/>
                <w:szCs w:val="19"/>
              </w:rPr>
              <w:t>The experiment and the explanation of what went wrong</w:t>
            </w:r>
          </w:p>
        </w:tc>
      </w:tr>
      <w:tr w:rsidR="00D16027" w14:paraId="09D090A0" w14:textId="77777777">
        <w:tblPrEx>
          <w:tblCellMar>
            <w:top w:w="0" w:type="dxa"/>
            <w:bottom w:w="0" w:type="dxa"/>
          </w:tblCellMar>
        </w:tblPrEx>
        <w:trPr>
          <w:cantSplit/>
        </w:trPr>
        <w:tc>
          <w:tcPr>
            <w:tcW w:w="1700" w:type="dxa"/>
            <w:tcMar>
              <w:top w:w="70" w:type="dxa"/>
              <w:left w:w="100" w:type="dxa"/>
              <w:bottom w:w="70" w:type="dxa"/>
              <w:right w:w="100" w:type="dxa"/>
            </w:tcMar>
          </w:tcPr>
          <w:p w14:paraId="574620A0" w14:textId="77777777" w:rsidR="00D16027" w:rsidRDefault="00000000">
            <w:r>
              <w:rPr>
                <w:sz w:val="19"/>
                <w:szCs w:val="19"/>
              </w:rPr>
              <w:t>Mathematics and proof-based disciplines</w:t>
            </w:r>
          </w:p>
        </w:tc>
        <w:tc>
          <w:tcPr>
            <w:tcW w:w="1500" w:type="dxa"/>
            <w:tcMar>
              <w:top w:w="70" w:type="dxa"/>
              <w:left w:w="100" w:type="dxa"/>
              <w:bottom w:w="70" w:type="dxa"/>
              <w:right w:w="100" w:type="dxa"/>
            </w:tcMar>
          </w:tcPr>
          <w:p w14:paraId="385E8F04" w14:textId="77777777" w:rsidR="00D16027" w:rsidRDefault="00000000">
            <w:r>
              <w:rPr>
                <w:sz w:val="19"/>
                <w:szCs w:val="19"/>
              </w:rPr>
              <w:t>People (the seminar), live reasoning</w:t>
            </w:r>
          </w:p>
        </w:tc>
        <w:tc>
          <w:tcPr>
            <w:tcW w:w="3400" w:type="dxa"/>
            <w:tcMar>
              <w:top w:w="70" w:type="dxa"/>
              <w:left w:w="100" w:type="dxa"/>
              <w:bottom w:w="70" w:type="dxa"/>
              <w:right w:w="100" w:type="dxa"/>
            </w:tcMar>
          </w:tcPr>
          <w:p w14:paraId="1EA14DB8" w14:textId="77777777" w:rsidR="00D16027" w:rsidRDefault="00000000">
            <w:r>
              <w:rPr>
                <w:sz w:val="19"/>
                <w:szCs w:val="19"/>
              </w:rPr>
              <w:t>Supervised problem sessions; proofs presented and defended at the board; problems with parameters unique to each student; in-class proof critique of an AI attempt</w:t>
            </w:r>
          </w:p>
        </w:tc>
        <w:tc>
          <w:tcPr>
            <w:tcW w:w="2786" w:type="dxa"/>
            <w:tcMar>
              <w:top w:w="70" w:type="dxa"/>
              <w:left w:w="100" w:type="dxa"/>
              <w:bottom w:w="70" w:type="dxa"/>
              <w:right w:w="100" w:type="dxa"/>
            </w:tcMar>
          </w:tcPr>
          <w:p w14:paraId="2D2F4757" w14:textId="77777777" w:rsidR="00D16027" w:rsidRDefault="00000000">
            <w:r>
              <w:rPr>
                <w:sz w:val="19"/>
                <w:szCs w:val="19"/>
              </w:rPr>
              <w:t>The reasoning performed live; judgement about whether a proof is valid and why (Frieder et al. 2023)</w:t>
            </w:r>
          </w:p>
        </w:tc>
      </w:tr>
      <w:tr w:rsidR="00D16027" w14:paraId="282927C8" w14:textId="77777777">
        <w:tblPrEx>
          <w:tblCellMar>
            <w:top w:w="0" w:type="dxa"/>
            <w:bottom w:w="0" w:type="dxa"/>
          </w:tblCellMar>
        </w:tblPrEx>
        <w:trPr>
          <w:cantSplit/>
        </w:trPr>
        <w:tc>
          <w:tcPr>
            <w:tcW w:w="1700" w:type="dxa"/>
            <w:tcMar>
              <w:top w:w="70" w:type="dxa"/>
              <w:left w:w="100" w:type="dxa"/>
              <w:bottom w:w="70" w:type="dxa"/>
              <w:right w:w="100" w:type="dxa"/>
            </w:tcMar>
          </w:tcPr>
          <w:p w14:paraId="2149108F" w14:textId="77777777" w:rsidR="00D16027" w:rsidRDefault="00000000">
            <w:r>
              <w:rPr>
                <w:sz w:val="19"/>
                <w:szCs w:val="19"/>
              </w:rPr>
              <w:t>Mathematics and proof-based disciplines</w:t>
            </w:r>
          </w:p>
        </w:tc>
        <w:tc>
          <w:tcPr>
            <w:tcW w:w="1500" w:type="dxa"/>
            <w:tcMar>
              <w:top w:w="70" w:type="dxa"/>
              <w:left w:w="100" w:type="dxa"/>
              <w:bottom w:w="70" w:type="dxa"/>
              <w:right w:w="100" w:type="dxa"/>
            </w:tcMar>
          </w:tcPr>
          <w:p w14:paraId="0B0D0DE7" w14:textId="77777777" w:rsidR="00D16027" w:rsidRDefault="00000000">
            <w:r>
              <w:rPr>
                <w:sz w:val="19"/>
                <w:szCs w:val="19"/>
              </w:rPr>
              <w:t>Self (the reasoning), people</w:t>
            </w:r>
          </w:p>
        </w:tc>
        <w:tc>
          <w:tcPr>
            <w:tcW w:w="3400" w:type="dxa"/>
            <w:tcMar>
              <w:top w:w="70" w:type="dxa"/>
              <w:left w:w="100" w:type="dxa"/>
              <w:bottom w:w="70" w:type="dxa"/>
              <w:right w:w="100" w:type="dxa"/>
            </w:tcMar>
          </w:tcPr>
          <w:p w14:paraId="0EDB0321" w14:textId="77777777" w:rsidR="00D16027" w:rsidRDefault="00000000">
            <w:r>
              <w:rPr>
                <w:sz w:val="19"/>
                <w:szCs w:val="19"/>
              </w:rPr>
              <w:t>In-class proof writing; problems with student-specific parameters; oral defence of a submitted proof</w:t>
            </w:r>
          </w:p>
        </w:tc>
        <w:tc>
          <w:tcPr>
            <w:tcW w:w="2786" w:type="dxa"/>
            <w:tcMar>
              <w:top w:w="70" w:type="dxa"/>
              <w:left w:w="100" w:type="dxa"/>
              <w:bottom w:w="70" w:type="dxa"/>
              <w:right w:w="100" w:type="dxa"/>
            </w:tcMar>
          </w:tcPr>
          <w:p w14:paraId="0313C2E9" w14:textId="77777777" w:rsidR="00D16027" w:rsidRDefault="00000000">
            <w:r>
              <w:rPr>
                <w:sz w:val="19"/>
                <w:szCs w:val="19"/>
              </w:rPr>
              <w:t>The live reasoning; explaining why each step holds</w:t>
            </w:r>
          </w:p>
        </w:tc>
      </w:tr>
      <w:tr w:rsidR="00D16027" w14:paraId="0D30DB67" w14:textId="77777777">
        <w:tblPrEx>
          <w:tblCellMar>
            <w:top w:w="0" w:type="dxa"/>
            <w:bottom w:w="0" w:type="dxa"/>
          </w:tblCellMar>
        </w:tblPrEx>
        <w:trPr>
          <w:cantSplit/>
        </w:trPr>
        <w:tc>
          <w:tcPr>
            <w:tcW w:w="1700" w:type="dxa"/>
            <w:tcMar>
              <w:top w:w="70" w:type="dxa"/>
              <w:left w:w="100" w:type="dxa"/>
              <w:bottom w:w="70" w:type="dxa"/>
              <w:right w:w="100" w:type="dxa"/>
            </w:tcMar>
          </w:tcPr>
          <w:p w14:paraId="4DE7F3E8" w14:textId="77777777" w:rsidR="00D16027" w:rsidRDefault="00000000">
            <w:r>
              <w:rPr>
                <w:sz w:val="19"/>
                <w:szCs w:val="19"/>
              </w:rPr>
              <w:t>Languages</w:t>
            </w:r>
          </w:p>
        </w:tc>
        <w:tc>
          <w:tcPr>
            <w:tcW w:w="1500" w:type="dxa"/>
            <w:tcMar>
              <w:top w:w="70" w:type="dxa"/>
              <w:left w:w="100" w:type="dxa"/>
              <w:bottom w:w="70" w:type="dxa"/>
              <w:right w:w="100" w:type="dxa"/>
            </w:tcMar>
          </w:tcPr>
          <w:p w14:paraId="5684EA5D" w14:textId="77777777" w:rsidR="00D16027" w:rsidRDefault="00000000">
            <w:r>
              <w:rPr>
                <w:sz w:val="19"/>
                <w:szCs w:val="19"/>
              </w:rPr>
              <w:t>People</w:t>
            </w:r>
          </w:p>
        </w:tc>
        <w:tc>
          <w:tcPr>
            <w:tcW w:w="3400" w:type="dxa"/>
            <w:tcMar>
              <w:top w:w="70" w:type="dxa"/>
              <w:left w:w="100" w:type="dxa"/>
              <w:bottom w:w="70" w:type="dxa"/>
              <w:right w:w="100" w:type="dxa"/>
            </w:tcMar>
          </w:tcPr>
          <w:p w14:paraId="441FDEE1" w14:textId="77777777" w:rsidR="00D16027" w:rsidRDefault="00000000">
            <w:r>
              <w:rPr>
                <w:sz w:val="19"/>
                <w:szCs w:val="19"/>
              </w:rPr>
              <w:t>Interactive speaking assessment; translation of a locally sourced text discussed with the tutor</w:t>
            </w:r>
          </w:p>
        </w:tc>
        <w:tc>
          <w:tcPr>
            <w:tcW w:w="2786" w:type="dxa"/>
            <w:tcMar>
              <w:top w:w="70" w:type="dxa"/>
              <w:left w:w="100" w:type="dxa"/>
              <w:bottom w:w="70" w:type="dxa"/>
              <w:right w:w="100" w:type="dxa"/>
            </w:tcMar>
          </w:tcPr>
          <w:p w14:paraId="15B64990" w14:textId="77777777" w:rsidR="00D16027" w:rsidRDefault="00000000">
            <w:r>
              <w:rPr>
                <w:sz w:val="19"/>
                <w:szCs w:val="19"/>
              </w:rPr>
              <w:t>Spontaneous interaction; judgement about register in context</w:t>
            </w:r>
          </w:p>
        </w:tc>
      </w:tr>
      <w:tr w:rsidR="00D16027" w14:paraId="0B21BAB8" w14:textId="77777777">
        <w:tblPrEx>
          <w:tblCellMar>
            <w:top w:w="0" w:type="dxa"/>
            <w:bottom w:w="0" w:type="dxa"/>
          </w:tblCellMar>
        </w:tblPrEx>
        <w:trPr>
          <w:cantSplit/>
        </w:trPr>
        <w:tc>
          <w:tcPr>
            <w:tcW w:w="1700" w:type="dxa"/>
            <w:tcMar>
              <w:top w:w="70" w:type="dxa"/>
              <w:left w:w="100" w:type="dxa"/>
              <w:bottom w:w="70" w:type="dxa"/>
              <w:right w:w="100" w:type="dxa"/>
            </w:tcMar>
          </w:tcPr>
          <w:p w14:paraId="265DB9D7" w14:textId="77777777" w:rsidR="00D16027" w:rsidRDefault="00000000">
            <w:r>
              <w:rPr>
                <w:sz w:val="19"/>
                <w:szCs w:val="19"/>
              </w:rPr>
              <w:t>Journalism and media</w:t>
            </w:r>
          </w:p>
        </w:tc>
        <w:tc>
          <w:tcPr>
            <w:tcW w:w="1500" w:type="dxa"/>
            <w:tcMar>
              <w:top w:w="70" w:type="dxa"/>
              <w:left w:w="100" w:type="dxa"/>
              <w:bottom w:w="70" w:type="dxa"/>
              <w:right w:w="100" w:type="dxa"/>
            </w:tcMar>
          </w:tcPr>
          <w:p w14:paraId="74AF2227" w14:textId="77777777" w:rsidR="00D16027" w:rsidRDefault="00000000">
            <w:r>
              <w:rPr>
                <w:sz w:val="19"/>
                <w:szCs w:val="19"/>
              </w:rPr>
              <w:t>Place, people</w:t>
            </w:r>
          </w:p>
        </w:tc>
        <w:tc>
          <w:tcPr>
            <w:tcW w:w="3400" w:type="dxa"/>
            <w:tcMar>
              <w:top w:w="70" w:type="dxa"/>
              <w:left w:w="100" w:type="dxa"/>
              <w:bottom w:w="70" w:type="dxa"/>
              <w:right w:w="100" w:type="dxa"/>
            </w:tcMar>
          </w:tcPr>
          <w:p w14:paraId="7DBE2315" w14:textId="77777777" w:rsidR="00D16027" w:rsidRDefault="00000000">
            <w:r>
              <w:rPr>
                <w:sz w:val="19"/>
                <w:szCs w:val="19"/>
              </w:rPr>
              <w:t>Reporting from a live local event with sourced interviews and editorial defence</w:t>
            </w:r>
          </w:p>
        </w:tc>
        <w:tc>
          <w:tcPr>
            <w:tcW w:w="2786" w:type="dxa"/>
            <w:tcMar>
              <w:top w:w="70" w:type="dxa"/>
              <w:left w:w="100" w:type="dxa"/>
              <w:bottom w:w="70" w:type="dxa"/>
              <w:right w:w="100" w:type="dxa"/>
            </w:tcMar>
          </w:tcPr>
          <w:p w14:paraId="0254D2A5" w14:textId="77777777" w:rsidR="00D16027" w:rsidRDefault="00000000">
            <w:r>
              <w:rPr>
                <w:sz w:val="19"/>
                <w:szCs w:val="19"/>
              </w:rPr>
              <w:t>Being there; the interview; editorial judgement</w:t>
            </w:r>
          </w:p>
        </w:tc>
      </w:tr>
    </w:tbl>
    <w:p w14:paraId="2804CFDB" w14:textId="77777777" w:rsidR="00D16027" w:rsidRDefault="00D16027">
      <w:pPr>
        <w:spacing w:after="120"/>
      </w:pPr>
    </w:p>
    <w:p w14:paraId="5BA6D911" w14:textId="77777777" w:rsidR="00D16027" w:rsidRDefault="00000000">
      <w:pPr>
        <w:pStyle w:val="Heading2"/>
        <w:keepNext/>
      </w:pPr>
      <w:r>
        <w:t>9.7 Equity</w:t>
      </w:r>
    </w:p>
    <w:p w14:paraId="2AE24DF0" w14:textId="77777777" w:rsidR="00D16027" w:rsidRDefault="00000000">
      <w:pPr>
        <w:spacing w:after="140"/>
      </w:pPr>
      <w:r>
        <w:t xml:space="preserve">Contextualised assessment can exclude. Placements, clients, travel and time are unevenly available: commuter students, students with caring responsibilities, disabled students, students in paid work and international students may find field-based or partner-based tasks harder to complete on equal terms. Fawns et al. (2024) and Nieminen (2022) both warn that authenticity pursued without attention to who can participate reproduces disadvantage. Four design responses help. Provide the context rather than requiring students to find it: institution-brokered partners, campus as site, shared </w:t>
      </w:r>
      <w:r>
        <w:lastRenderedPageBreak/>
        <w:t>datasets, in-house archives. Offer choice among contexts of equivalent demand. Design for the resource-poor case by default, so that the student without a car, a laptop of their own or a free weekend can complete the task as designed. And keep the evidential core (presence, provenance, dialogue) constant while allowing the context to vary.</w:t>
      </w:r>
    </w:p>
    <w:p w14:paraId="46D4A96F" w14:textId="77777777" w:rsidR="00D16027" w:rsidRDefault="00000000">
      <w:pPr>
        <w:pStyle w:val="Heading2"/>
        <w:keepNext/>
      </w:pPr>
      <w:r>
        <w:t>9.8 Standardisation</w:t>
      </w:r>
    </w:p>
    <w:p w14:paraId="6774D878" w14:textId="77777777" w:rsidR="00D16027" w:rsidRDefault="00000000">
      <w:pPr>
        <w:spacing w:after="140"/>
      </w:pPr>
      <w:r>
        <w:t>External examiners, professional bodies and institutional regulations expect comparability, and contextualised tasks produce, by design, different tasks for different students. The tension is real but manageable. Use common criteria and standards with variable content: every student analyses their own data, but all are assessed on the same qualities of analysis. Calibrate with exemplars across contexts so that markers share a sense of standard; Bloxham, Boyd and Orr (2011) show how much marker judgement drifts even with criteria, and Sadler (2009) why criteria alone cannot carry the load. Moderate by sampling across contexts. And make the trade-off explicit in programme documentation: the programme accepts some loss of task uniformity in exchange for evidence that the inference from work to student holds. Professional bodies have accepted this argument where it has been made plainly and documented, and the documentation is what persuades.</w:t>
      </w:r>
    </w:p>
    <w:p w14:paraId="08A168EF"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Contextualised tasks in four disciplines</w:t>
      </w:r>
    </w:p>
    <w:p w14:paraId="33435D89" w14:textId="77777777" w:rsidR="00D16027" w:rsidRDefault="00000000">
      <w:pPr>
        <w:pBdr>
          <w:left w:val="single" w:sz="14" w:space="10" w:color="4E8A5E"/>
        </w:pBdr>
        <w:shd w:val="clear" w:color="auto" w:fill="EEF6EF"/>
        <w:spacing w:after="60"/>
      </w:pPr>
      <w:r>
        <w:rPr>
          <w:b/>
          <w:bCs/>
          <w:color w:val="333333"/>
          <w:sz w:val="20"/>
          <w:szCs w:val="20"/>
        </w:rPr>
        <w:t>Public health.</w:t>
      </w:r>
      <w:r>
        <w:rPr>
          <w:color w:val="333333"/>
          <w:sz w:val="20"/>
          <w:szCs w:val="20"/>
        </w:rPr>
        <w:t xml:space="preserve"> A community needs assessment of a named ward: students walk the ward with a structured observation protocol, interview two stakeholders from an institution-brokered list, and analyse a small dataset supplied by the local authority. The report is assessed on the integration of observation, interview and data; a ten-minute conversation asks about a specific interview. Students choose from three wards of comparable size and transport access.</w:t>
      </w:r>
    </w:p>
    <w:p w14:paraId="3A6819E6" w14:textId="77777777" w:rsidR="00D16027" w:rsidRDefault="00000000">
      <w:pPr>
        <w:pBdr>
          <w:left w:val="single" w:sz="14" w:space="10" w:color="4E8A5E"/>
        </w:pBdr>
        <w:shd w:val="clear" w:color="auto" w:fill="EEF6EF"/>
        <w:spacing w:after="60"/>
      </w:pPr>
      <w:r>
        <w:rPr>
          <w:b/>
          <w:bCs/>
          <w:color w:val="333333"/>
          <w:sz w:val="20"/>
          <w:szCs w:val="20"/>
        </w:rPr>
        <w:t>Mechanical engineering.</w:t>
      </w:r>
      <w:r>
        <w:rPr>
          <w:color w:val="333333"/>
          <w:sz w:val="20"/>
          <w:szCs w:val="20"/>
        </w:rPr>
        <w:t xml:space="preserve"> A redesign brief from a local manufacturer: a site visit with measurements, a scoping meeting, a design proposal, and a review presentation to the firm's engineer with unscripted questions. AI is permitted for calculation and drafting at AIAS Level 3 and declared; the measurements and the review are where the evidence sits.</w:t>
      </w:r>
    </w:p>
    <w:p w14:paraId="46B6712F" w14:textId="77777777" w:rsidR="00D16027" w:rsidRDefault="00000000">
      <w:pPr>
        <w:pBdr>
          <w:left w:val="single" w:sz="14" w:space="10" w:color="4E8A5E"/>
        </w:pBdr>
        <w:shd w:val="clear" w:color="auto" w:fill="EEF6EF"/>
        <w:spacing w:after="60"/>
      </w:pPr>
      <w:r>
        <w:rPr>
          <w:b/>
          <w:bCs/>
          <w:color w:val="333333"/>
          <w:sz w:val="20"/>
          <w:szCs w:val="20"/>
        </w:rPr>
        <w:t>History.</w:t>
      </w:r>
      <w:r>
        <w:rPr>
          <w:color w:val="333333"/>
          <w:sz w:val="20"/>
          <w:szCs w:val="20"/>
        </w:rPr>
        <w:t xml:space="preserve"> A 2,500-word research essay based on documents from the county record office, digitised in-house for the module and not available online. Students sign in at the archive, submit document references with their notes, and defend their interpretation of one document in a sampled conversation. A comparable in-house collection is provided for students who cannot travel.</w:t>
      </w:r>
    </w:p>
    <w:p w14:paraId="6020EFBD" w14:textId="77777777" w:rsidR="00D16027" w:rsidRDefault="00000000">
      <w:pPr>
        <w:pBdr>
          <w:left w:val="single" w:sz="14" w:space="10" w:color="4E8A5E"/>
        </w:pBdr>
        <w:shd w:val="clear" w:color="auto" w:fill="EEF6EF"/>
        <w:spacing w:after="200"/>
      </w:pPr>
      <w:r>
        <w:rPr>
          <w:b/>
          <w:bCs/>
          <w:color w:val="333333"/>
          <w:sz w:val="20"/>
          <w:szCs w:val="20"/>
        </w:rPr>
        <w:t>Marketing.</w:t>
      </w:r>
      <w:r>
        <w:rPr>
          <w:color w:val="333333"/>
          <w:sz w:val="20"/>
          <w:szCs w:val="20"/>
        </w:rPr>
        <w:t xml:space="preserve"> A live campaign for a campus society: brief negotiated with the society committee, campaign run for three weeks, performance data collected, and a debrief presentation to the committee. AI is used for content generation at Level 4 and reflected on; the client relationship, the data and the debrief are the evidence.</w:t>
      </w:r>
    </w:p>
    <w:p w14:paraId="6A9A136E"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Add specificity to a generic brief</w:t>
      </w:r>
    </w:p>
    <w:p w14:paraId="33E840C6"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Apply the test in section 9.1: could a capable stranger with the same reading list complete this task? If yes, continue.</w:t>
      </w:r>
    </w:p>
    <w:p w14:paraId="7009AF4A"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Choose one source of specificity (place, people, data, self) that fits the outcome and the resources you have.</w:t>
      </w:r>
    </w:p>
    <w:p w14:paraId="3E968F09"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Rewrite the brief so that the task cannot be started without the student's own engagement with that source, and name the artefacts that will evidence the engagement.</w:t>
      </w:r>
    </w:p>
    <w:p w14:paraId="30FA2E80"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a dialogic element in which the student accounts for a specific part of that engagement.</w:t>
      </w:r>
    </w:p>
    <w:p w14:paraId="08D6C35D"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Check equity: is the context provided or found? Is there choice? Can the resource-poor student complete it as designed?</w:t>
      </w:r>
    </w:p>
    <w:p w14:paraId="3211789D"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Check standardisation: are the criteria common, the exemplars calibrated, and the trade-off documented?</w:t>
      </w:r>
    </w:p>
    <w:p w14:paraId="634CF0DB" w14:textId="77777777" w:rsidR="00D16027" w:rsidRDefault="00000000">
      <w:pPr>
        <w:pStyle w:val="Heading2"/>
        <w:keepNext/>
      </w:pPr>
      <w:r>
        <w:t>What this means for you</w:t>
      </w:r>
    </w:p>
    <w:p w14:paraId="19C0E8E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18B3127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Rewrite one generic brief around a provided context this year. The campus, a partner your department already has, or a dataset you generate is enough.</w:t>
      </w:r>
    </w:p>
    <w:p w14:paraId="28D7924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unique data as the anchor, not the barrier. Pair it with a conversation about the student's own anomalies.</w:t>
      </w:r>
    </w:p>
    <w:p w14:paraId="71139916"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lastRenderedPageBreak/>
        <w:t>Design for the student with the fewest resources by default; let others choose richer options.</w:t>
      </w:r>
    </w:p>
    <w:p w14:paraId="17E4E56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434105A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a bank of institution-brokered partners, sites and datasets that modules can draw on, so that individual staff are not negotiating partnerships from scratch.</w:t>
      </w:r>
    </w:p>
    <w:p w14:paraId="308350E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Sequence contextualisation across the programme: campus-based tasks in year one, brokered partners in year two, student-found or placement contexts in the final year.</w:t>
      </w:r>
    </w:p>
    <w:p w14:paraId="38C2A6D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Document the standardisation trade-off for external examiners and professional bodies, with common criteria and calibrated exemplars.</w:t>
      </w:r>
    </w:p>
    <w:p w14:paraId="1E86B36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309CA26D"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Resource a partnership office that manages agreements, ethics, insurance and partner relationships for contextualised assessment across the institution.</w:t>
      </w:r>
    </w:p>
    <w:p w14:paraId="040FF1B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Provide central in-house datasets and digitised collections that departments can use, refreshed periodically.</w:t>
      </w:r>
    </w:p>
    <w:p w14:paraId="72B7A85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inclusion policy addresses contextualised assessment explicitly: provided contexts, choice, and alternatives that preserve the evidential core.</w:t>
      </w:r>
    </w:p>
    <w:p w14:paraId="0AC2867A" w14:textId="77777777" w:rsidR="00D16027" w:rsidRDefault="00000000">
      <w:pPr>
        <w:pStyle w:val="Heading2"/>
        <w:keepNext/>
      </w:pPr>
      <w:r>
        <w:t>Key references for this chapter</w:t>
      </w:r>
    </w:p>
    <w:p w14:paraId="63AD9A82" w14:textId="77777777" w:rsidR="00D16027" w:rsidRDefault="00000000">
      <w:pPr>
        <w:pStyle w:val="ListParagraph"/>
        <w:numPr>
          <w:ilvl w:val="0"/>
          <w:numId w:val="3"/>
        </w:numPr>
        <w:spacing w:before="30" w:after="50"/>
      </w:pPr>
      <w:proofErr w:type="spellStart"/>
      <w:r>
        <w:rPr>
          <w:color w:val="333333"/>
          <w:sz w:val="19"/>
          <w:szCs w:val="19"/>
        </w:rPr>
        <w:t>Ajjawi</w:t>
      </w:r>
      <w:proofErr w:type="spellEnd"/>
      <w:r>
        <w:rPr>
          <w:color w:val="333333"/>
          <w:sz w:val="19"/>
          <w:szCs w:val="19"/>
        </w:rPr>
        <w:t xml:space="preserve">, R., Tai, J., Huu Nghia, T.L., Boud, D., Johnson, L. &amp; Patrick, C.-J. (2020) Aligning assessment with the needs of work-integrated learning: the challenges of authentic assessment in a complex context. </w:t>
      </w:r>
      <w:r>
        <w:rPr>
          <w:i/>
          <w:iCs/>
          <w:color w:val="333333"/>
          <w:sz w:val="19"/>
          <w:szCs w:val="19"/>
        </w:rPr>
        <w:t>Assessment &amp; Evaluation in Higher Education</w:t>
      </w:r>
      <w:r>
        <w:rPr>
          <w:color w:val="333333"/>
          <w:sz w:val="19"/>
          <w:szCs w:val="19"/>
        </w:rPr>
        <w:t>, 45(2), 304–316.</w:t>
      </w:r>
    </w:p>
    <w:p w14:paraId="160D632B" w14:textId="77777777" w:rsidR="00D16027" w:rsidRDefault="00000000">
      <w:pPr>
        <w:pStyle w:val="ListParagraph"/>
        <w:numPr>
          <w:ilvl w:val="0"/>
          <w:numId w:val="3"/>
        </w:numPr>
        <w:spacing w:before="30" w:after="50"/>
      </w:pPr>
      <w:r>
        <w:rPr>
          <w:color w:val="333333"/>
          <w:sz w:val="19"/>
          <w:szCs w:val="19"/>
        </w:rPr>
        <w:t xml:space="preserve">Ashford-Rowe, K., Herrington, J. &amp; Brown, C. (2014) Establishing the critical elements that determine authentic assessment. </w:t>
      </w:r>
      <w:r>
        <w:rPr>
          <w:i/>
          <w:iCs/>
          <w:color w:val="333333"/>
          <w:sz w:val="19"/>
          <w:szCs w:val="19"/>
        </w:rPr>
        <w:t>Assessment &amp; Evaluation in Higher Education</w:t>
      </w:r>
      <w:r>
        <w:rPr>
          <w:color w:val="333333"/>
          <w:sz w:val="19"/>
          <w:szCs w:val="19"/>
        </w:rPr>
        <w:t>, 39(2), 205–222.</w:t>
      </w:r>
    </w:p>
    <w:p w14:paraId="1AA2185A" w14:textId="77777777" w:rsidR="00D16027" w:rsidRDefault="00000000">
      <w:pPr>
        <w:pStyle w:val="ListParagraph"/>
        <w:numPr>
          <w:ilvl w:val="0"/>
          <w:numId w:val="3"/>
        </w:numPr>
        <w:spacing w:before="30" w:after="50"/>
      </w:pPr>
      <w:r>
        <w:rPr>
          <w:color w:val="333333"/>
          <w:sz w:val="19"/>
          <w:szCs w:val="19"/>
        </w:rPr>
        <w:t xml:space="preserve">Bearman, M., Nieminen, J.H. &amp; </w:t>
      </w:r>
      <w:proofErr w:type="spellStart"/>
      <w:r>
        <w:rPr>
          <w:color w:val="333333"/>
          <w:sz w:val="19"/>
          <w:szCs w:val="19"/>
        </w:rPr>
        <w:t>Ajjawi</w:t>
      </w:r>
      <w:proofErr w:type="spellEnd"/>
      <w:r>
        <w:rPr>
          <w:color w:val="333333"/>
          <w:sz w:val="19"/>
          <w:szCs w:val="19"/>
        </w:rPr>
        <w:t xml:space="preserve">, R. (2023) Designing assessment in a digital world: an organising framework. </w:t>
      </w:r>
      <w:r>
        <w:rPr>
          <w:i/>
          <w:iCs/>
          <w:color w:val="333333"/>
          <w:sz w:val="19"/>
          <w:szCs w:val="19"/>
        </w:rPr>
        <w:t>Assessment &amp; Evaluation in Higher Education</w:t>
      </w:r>
      <w:r>
        <w:rPr>
          <w:color w:val="333333"/>
          <w:sz w:val="19"/>
          <w:szCs w:val="19"/>
        </w:rPr>
        <w:t>, 48(3), 291–304.</w:t>
      </w:r>
    </w:p>
    <w:p w14:paraId="578D0338" w14:textId="77777777" w:rsidR="00D16027" w:rsidRDefault="00000000">
      <w:pPr>
        <w:pStyle w:val="ListParagraph"/>
        <w:numPr>
          <w:ilvl w:val="0"/>
          <w:numId w:val="3"/>
        </w:numPr>
        <w:spacing w:before="30" w:after="50"/>
      </w:pPr>
      <w:r>
        <w:rPr>
          <w:color w:val="333333"/>
          <w:sz w:val="19"/>
          <w:szCs w:val="19"/>
        </w:rPr>
        <w:t xml:space="preserve">Bloxham, S., Boyd, P. &amp; Orr, S. (2011) Mark my words: the role of assessment criteria in UK higher education grading practices. </w:t>
      </w:r>
      <w:r>
        <w:rPr>
          <w:i/>
          <w:iCs/>
          <w:color w:val="333333"/>
          <w:sz w:val="19"/>
          <w:szCs w:val="19"/>
        </w:rPr>
        <w:t>Studies in Higher Education</w:t>
      </w:r>
      <w:r>
        <w:rPr>
          <w:color w:val="333333"/>
          <w:sz w:val="19"/>
          <w:szCs w:val="19"/>
        </w:rPr>
        <w:t>, 36(6), 655–670.</w:t>
      </w:r>
    </w:p>
    <w:p w14:paraId="57C162F8" w14:textId="77777777" w:rsidR="00D16027" w:rsidRDefault="00000000">
      <w:pPr>
        <w:pStyle w:val="ListParagraph"/>
        <w:numPr>
          <w:ilvl w:val="0"/>
          <w:numId w:val="3"/>
        </w:numPr>
        <w:spacing w:before="30" w:after="50"/>
      </w:pPr>
      <w:r>
        <w:rPr>
          <w:color w:val="333333"/>
          <w:sz w:val="19"/>
          <w:szCs w:val="19"/>
        </w:rPr>
        <w:t xml:space="preserve">Bringle, R.G. &amp; Hatcher, J.A. (1995) A service-learning curriculum for faculty. </w:t>
      </w:r>
      <w:r>
        <w:rPr>
          <w:i/>
          <w:iCs/>
          <w:color w:val="333333"/>
          <w:sz w:val="19"/>
          <w:szCs w:val="19"/>
        </w:rPr>
        <w:t>Michigan Journal of Community Service Learning</w:t>
      </w:r>
      <w:r>
        <w:rPr>
          <w:color w:val="333333"/>
          <w:sz w:val="19"/>
          <w:szCs w:val="19"/>
        </w:rPr>
        <w:t>, 2(1), 112–122.</w:t>
      </w:r>
    </w:p>
    <w:p w14:paraId="30FEA5F4" w14:textId="77777777" w:rsidR="00D16027" w:rsidRDefault="00000000">
      <w:pPr>
        <w:pStyle w:val="ListParagraph"/>
        <w:numPr>
          <w:ilvl w:val="0"/>
          <w:numId w:val="3"/>
        </w:numPr>
        <w:spacing w:before="30" w:after="50"/>
      </w:pPr>
      <w:r>
        <w:rPr>
          <w:color w:val="333333"/>
          <w:sz w:val="19"/>
          <w:szCs w:val="19"/>
        </w:rPr>
        <w:t xml:space="preserve">Fawns, T., Bearman, M., Dawson, P., Nieminen, J.H., Ashford-Rowe, K., Willey, K., Jensen, L.X., </w:t>
      </w:r>
      <w:proofErr w:type="spellStart"/>
      <w:r>
        <w:rPr>
          <w:color w:val="333333"/>
          <w:sz w:val="19"/>
          <w:szCs w:val="19"/>
        </w:rPr>
        <w:t>Damşa</w:t>
      </w:r>
      <w:proofErr w:type="spellEnd"/>
      <w:r>
        <w:rPr>
          <w:color w:val="333333"/>
          <w:sz w:val="19"/>
          <w:szCs w:val="19"/>
        </w:rPr>
        <w:t xml:space="preserve">, C. &amp; Press, N. (2024) Authentic assessment: from panacea to criticality. </w:t>
      </w:r>
      <w:r>
        <w:rPr>
          <w:i/>
          <w:iCs/>
          <w:color w:val="333333"/>
          <w:sz w:val="19"/>
          <w:szCs w:val="19"/>
        </w:rPr>
        <w:t>Assessment &amp; Evaluation in Higher Education</w:t>
      </w:r>
      <w:r>
        <w:rPr>
          <w:color w:val="333333"/>
          <w:sz w:val="19"/>
          <w:szCs w:val="19"/>
        </w:rPr>
        <w:t xml:space="preserve"> (advance online). https://doi.org/10.1080/02602938.2024.2404634</w:t>
      </w:r>
    </w:p>
    <w:p w14:paraId="34313DA9" w14:textId="77777777" w:rsidR="00D16027" w:rsidRDefault="00000000">
      <w:pPr>
        <w:pStyle w:val="ListParagraph"/>
        <w:numPr>
          <w:ilvl w:val="0"/>
          <w:numId w:val="3"/>
        </w:numPr>
        <w:spacing w:before="30" w:after="50"/>
      </w:pPr>
      <w:r>
        <w:rPr>
          <w:color w:val="333333"/>
          <w:sz w:val="19"/>
          <w:szCs w:val="19"/>
        </w:rPr>
        <w:t xml:space="preserve">Frieder, S. et al. (2023) Mathematical capabilities of ChatGPT. </w:t>
      </w:r>
      <w:r>
        <w:rPr>
          <w:i/>
          <w:iCs/>
          <w:color w:val="333333"/>
          <w:sz w:val="19"/>
          <w:szCs w:val="19"/>
        </w:rPr>
        <w:t>Advances in Neural Information Processing Systems</w:t>
      </w:r>
      <w:r>
        <w:rPr>
          <w:color w:val="333333"/>
          <w:sz w:val="19"/>
          <w:szCs w:val="19"/>
        </w:rPr>
        <w:t>, 36 (Datasets and Benchmarks Track).</w:t>
      </w:r>
    </w:p>
    <w:p w14:paraId="601742D3" w14:textId="77777777" w:rsidR="00D16027" w:rsidRDefault="00000000">
      <w:pPr>
        <w:pStyle w:val="ListParagraph"/>
        <w:numPr>
          <w:ilvl w:val="0"/>
          <w:numId w:val="3"/>
        </w:numPr>
        <w:spacing w:before="30" w:after="50"/>
      </w:pPr>
      <w:r>
        <w:rPr>
          <w:color w:val="333333"/>
          <w:sz w:val="19"/>
          <w:szCs w:val="19"/>
        </w:rPr>
        <w:t xml:space="preserve">Gulikers, J.T.M., </w:t>
      </w:r>
      <w:proofErr w:type="spellStart"/>
      <w:r>
        <w:rPr>
          <w:color w:val="333333"/>
          <w:sz w:val="19"/>
          <w:szCs w:val="19"/>
        </w:rPr>
        <w:t>Bastiaens</w:t>
      </w:r>
      <w:proofErr w:type="spellEnd"/>
      <w:r>
        <w:rPr>
          <w:color w:val="333333"/>
          <w:sz w:val="19"/>
          <w:szCs w:val="19"/>
        </w:rPr>
        <w:t xml:space="preserve">, T.J. &amp; Kirschner, P.A. (2004) A five-dimensional framework for authentic assessment. </w:t>
      </w:r>
      <w:r>
        <w:rPr>
          <w:i/>
          <w:iCs/>
          <w:color w:val="333333"/>
          <w:sz w:val="19"/>
          <w:szCs w:val="19"/>
        </w:rPr>
        <w:t>Educational Technology Research and Development</w:t>
      </w:r>
      <w:r>
        <w:rPr>
          <w:color w:val="333333"/>
          <w:sz w:val="19"/>
          <w:szCs w:val="19"/>
        </w:rPr>
        <w:t>, 52(3), 67–86.</w:t>
      </w:r>
    </w:p>
    <w:p w14:paraId="776B8EF6" w14:textId="77777777" w:rsidR="00D16027" w:rsidRDefault="00000000">
      <w:pPr>
        <w:pStyle w:val="ListParagraph"/>
        <w:numPr>
          <w:ilvl w:val="0"/>
          <w:numId w:val="3"/>
        </w:numPr>
        <w:spacing w:before="30" w:after="50"/>
      </w:pPr>
      <w:r>
        <w:rPr>
          <w:color w:val="333333"/>
          <w:sz w:val="19"/>
          <w:szCs w:val="19"/>
        </w:rPr>
        <w:t xml:space="preserve">Jackson, D. (2015) Employability skill development in work-integrated learning: barriers and best practice. </w:t>
      </w:r>
      <w:r>
        <w:rPr>
          <w:i/>
          <w:iCs/>
          <w:color w:val="333333"/>
          <w:sz w:val="19"/>
          <w:szCs w:val="19"/>
        </w:rPr>
        <w:t>Studies in Higher Education</w:t>
      </w:r>
      <w:r>
        <w:rPr>
          <w:color w:val="333333"/>
          <w:sz w:val="19"/>
          <w:szCs w:val="19"/>
        </w:rPr>
        <w:t>, 40(2), 350–367.</w:t>
      </w:r>
    </w:p>
    <w:p w14:paraId="74586C4C" w14:textId="77777777" w:rsidR="00D16027" w:rsidRDefault="00000000">
      <w:pPr>
        <w:pStyle w:val="ListParagraph"/>
        <w:numPr>
          <w:ilvl w:val="0"/>
          <w:numId w:val="3"/>
        </w:numPr>
        <w:spacing w:before="30" w:after="50"/>
      </w:pPr>
      <w:r>
        <w:rPr>
          <w:color w:val="333333"/>
          <w:sz w:val="19"/>
          <w:szCs w:val="19"/>
        </w:rPr>
        <w:t xml:space="preserve">McArthur, J. (2023) Rethinking authentic assessment: work, well-being, and society. </w:t>
      </w:r>
      <w:r>
        <w:rPr>
          <w:i/>
          <w:iCs/>
          <w:color w:val="333333"/>
          <w:sz w:val="19"/>
          <w:szCs w:val="19"/>
        </w:rPr>
        <w:t>Higher Education</w:t>
      </w:r>
      <w:r>
        <w:rPr>
          <w:color w:val="333333"/>
          <w:sz w:val="19"/>
          <w:szCs w:val="19"/>
        </w:rPr>
        <w:t>, 85(1), 85–101.</w:t>
      </w:r>
    </w:p>
    <w:p w14:paraId="7F3FA667"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47DFB4EE"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6C2CDD82" w14:textId="77777777" w:rsidR="00D16027" w:rsidRDefault="00000000">
      <w:pPr>
        <w:pStyle w:val="ListParagraph"/>
        <w:numPr>
          <w:ilvl w:val="0"/>
          <w:numId w:val="3"/>
        </w:numPr>
        <w:spacing w:before="30" w:after="50"/>
      </w:pPr>
      <w:r>
        <w:rPr>
          <w:color w:val="333333"/>
          <w:sz w:val="19"/>
          <w:szCs w:val="19"/>
        </w:rPr>
        <w:t xml:space="preserve">Sadler, D.R. (2009) Indeterminacy in the use of preset criteria for assessment and grading. </w:t>
      </w:r>
      <w:r>
        <w:rPr>
          <w:i/>
          <w:iCs/>
          <w:color w:val="333333"/>
          <w:sz w:val="19"/>
          <w:szCs w:val="19"/>
        </w:rPr>
        <w:t>Assessment &amp; Evaluation in Higher Education</w:t>
      </w:r>
      <w:r>
        <w:rPr>
          <w:color w:val="333333"/>
          <w:sz w:val="19"/>
          <w:szCs w:val="19"/>
        </w:rPr>
        <w:t>, 34(2), 159–179.</w:t>
      </w:r>
    </w:p>
    <w:p w14:paraId="103AB645" w14:textId="77777777" w:rsidR="00D16027" w:rsidRDefault="00000000">
      <w:pPr>
        <w:pStyle w:val="ListParagraph"/>
        <w:numPr>
          <w:ilvl w:val="0"/>
          <w:numId w:val="3"/>
        </w:numPr>
        <w:spacing w:before="30" w:after="50"/>
      </w:pPr>
      <w:proofErr w:type="spellStart"/>
      <w:r>
        <w:rPr>
          <w:color w:val="333333"/>
          <w:sz w:val="19"/>
          <w:szCs w:val="19"/>
        </w:rPr>
        <w:t>Sotiriadou</w:t>
      </w:r>
      <w:proofErr w:type="spellEnd"/>
      <w:r>
        <w:rPr>
          <w:color w:val="333333"/>
          <w:sz w:val="19"/>
          <w:szCs w:val="19"/>
        </w:rPr>
        <w:t xml:space="preserve">, P., Logan, D., Daly, A. &amp; Guest, R. (2020) The role of authentic assessment to preserve academic integrity and promote skill development and employability. </w:t>
      </w:r>
      <w:r>
        <w:rPr>
          <w:i/>
          <w:iCs/>
          <w:color w:val="333333"/>
          <w:sz w:val="19"/>
          <w:szCs w:val="19"/>
        </w:rPr>
        <w:t>Studies in Higher Education</w:t>
      </w:r>
      <w:r>
        <w:rPr>
          <w:color w:val="333333"/>
          <w:sz w:val="19"/>
          <w:szCs w:val="19"/>
        </w:rPr>
        <w:t>, 45(11), 2132–2148.</w:t>
      </w:r>
    </w:p>
    <w:p w14:paraId="376F3A3A" w14:textId="77777777" w:rsidR="00D16027" w:rsidRDefault="00000000">
      <w:pPr>
        <w:pStyle w:val="ListParagraph"/>
        <w:numPr>
          <w:ilvl w:val="0"/>
          <w:numId w:val="3"/>
        </w:numPr>
        <w:spacing w:before="30" w:after="50"/>
      </w:pPr>
      <w:r>
        <w:rPr>
          <w:color w:val="333333"/>
          <w:sz w:val="19"/>
          <w:szCs w:val="19"/>
        </w:rPr>
        <w:t xml:space="preserve">Villarroel, V., Bloxham, S., Bruna, D., Bruna, C. &amp; Herrera-Seda, C. (2018) Authentic assessment: creating a blueprint for course design. </w:t>
      </w:r>
      <w:r>
        <w:rPr>
          <w:i/>
          <w:iCs/>
          <w:color w:val="333333"/>
          <w:sz w:val="19"/>
          <w:szCs w:val="19"/>
        </w:rPr>
        <w:t>Assessment &amp; Evaluation in Higher Education</w:t>
      </w:r>
      <w:r>
        <w:rPr>
          <w:color w:val="333333"/>
          <w:sz w:val="19"/>
          <w:szCs w:val="19"/>
        </w:rPr>
        <w:t>, 43(5), 840–854.</w:t>
      </w:r>
    </w:p>
    <w:p w14:paraId="41198FA6" w14:textId="77777777" w:rsidR="00D16027" w:rsidRDefault="00000000">
      <w:pPr>
        <w:pStyle w:val="ListParagraph"/>
        <w:numPr>
          <w:ilvl w:val="0"/>
          <w:numId w:val="3"/>
        </w:numPr>
        <w:spacing w:before="30" w:after="50"/>
      </w:pPr>
      <w:r>
        <w:rPr>
          <w:color w:val="333333"/>
          <w:sz w:val="19"/>
          <w:szCs w:val="19"/>
        </w:rPr>
        <w:t xml:space="preserve">Wiggins, G. (1990) The case for authentic assessment. </w:t>
      </w:r>
      <w:r>
        <w:rPr>
          <w:i/>
          <w:iCs/>
          <w:color w:val="333333"/>
          <w:sz w:val="19"/>
          <w:szCs w:val="19"/>
        </w:rPr>
        <w:t>Practical Assessment, Research &amp; Evaluation</w:t>
      </w:r>
      <w:r>
        <w:rPr>
          <w:color w:val="333333"/>
          <w:sz w:val="19"/>
          <w:szCs w:val="19"/>
        </w:rPr>
        <w:t>, 2(2).</w:t>
      </w:r>
    </w:p>
    <w:p w14:paraId="0CA89F36" w14:textId="77777777" w:rsidR="00D16027" w:rsidRDefault="00000000">
      <w:r>
        <w:br w:type="page"/>
      </w:r>
    </w:p>
    <w:p w14:paraId="3BF08E2B" w14:textId="77777777" w:rsidR="00D16027" w:rsidRDefault="00000000">
      <w:pPr>
        <w:keepNext/>
        <w:spacing w:after="40"/>
      </w:pPr>
      <w:r>
        <w:rPr>
          <w:b/>
          <w:bCs/>
          <w:caps/>
          <w:color w:val="2E75B6"/>
          <w:sz w:val="22"/>
          <w:szCs w:val="22"/>
        </w:rPr>
        <w:lastRenderedPageBreak/>
        <w:t>CHAPTER 10</w:t>
      </w:r>
    </w:p>
    <w:p w14:paraId="168AE044" w14:textId="77777777" w:rsidR="00D16027" w:rsidRDefault="00000000">
      <w:pPr>
        <w:pStyle w:val="Heading1"/>
        <w:keepNext/>
      </w:pPr>
      <w:r>
        <w:t>Oral and Live Assessment</w:t>
      </w:r>
    </w:p>
    <w:p w14:paraId="68CA3F9B" w14:textId="77777777" w:rsidR="00D16027" w:rsidRDefault="00000000">
      <w:pPr>
        <w:pBdr>
          <w:left w:val="single" w:sz="14" w:space="10" w:color="2E75B6"/>
        </w:pBdr>
        <w:shd w:val="clear" w:color="auto" w:fill="EAF3FB"/>
        <w:spacing w:after="200"/>
      </w:pPr>
      <w:r>
        <w:rPr>
          <w:i/>
          <w:iCs/>
          <w:color w:val="333333"/>
        </w:rPr>
        <w:t>A student who can discuss, defend and extend their work in real time has demonstrated something that no AI can demonstrate on their behalf. Oral and live assessments are among the most powerful resilience tools available, but they need careful design to be valid, fair and manageable. This chapter provides practical guidance on all three.</w:t>
      </w:r>
    </w:p>
    <w:p w14:paraId="31F71246"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6E84CFA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Make the case for oral assessment as a mode in its own right, not only a check on written work</w:t>
      </w:r>
    </w:p>
    <w:p w14:paraId="781F642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 xml:space="preserve">Design </w:t>
      </w:r>
      <w:proofErr w:type="spellStart"/>
      <w:r>
        <w:rPr>
          <w:color w:val="333333"/>
          <w:sz w:val="20"/>
          <w:szCs w:val="20"/>
        </w:rPr>
        <w:t>vivas</w:t>
      </w:r>
      <w:proofErr w:type="spellEnd"/>
      <w:r>
        <w:rPr>
          <w:color w:val="333333"/>
          <w:sz w:val="20"/>
          <w:szCs w:val="20"/>
        </w:rPr>
        <w:t>, interactive orals, presentations, debates and demonstrations with enough structure to be reliable</w:t>
      </w:r>
    </w:p>
    <w:p w14:paraId="675128D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Manage fairness through rubrics, question banks, assessor training, moderation and adjustments</w:t>
      </w:r>
    </w:p>
    <w:p w14:paraId="2F97CA3F"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Scale oral assessment for large cohorts and prepare students to perform in it</w:t>
      </w:r>
    </w:p>
    <w:p w14:paraId="6D369113" w14:textId="77777777" w:rsidR="00D16027" w:rsidRDefault="00000000">
      <w:pPr>
        <w:pStyle w:val="Heading2"/>
        <w:keepNext/>
      </w:pPr>
      <w:r>
        <w:t>10.1 The case for oral assessment</w:t>
      </w:r>
    </w:p>
    <w:p w14:paraId="61687CF6" w14:textId="77777777" w:rsidR="00D16027" w:rsidRDefault="00000000">
      <w:pPr>
        <w:spacing w:after="140"/>
      </w:pPr>
      <w:r>
        <w:t xml:space="preserve">Oral examination is the oldest form of academic assessment and was displaced by the written script largely because writing scaled (Stray 2001). Joughin (1998) mapped its dimensions: primary content (knowledge, applied problem-solving, interpersonal competence), interaction (presentation, dialogue), authenticity, structure, examiners and orality itself. What it assesses that written work cannot is spontaneous reasoning, depth of understanding beneath a prepared surface, responsiveness to challenge, and communicative competence. Huxham, Campbell and Westwood (2012) compared oral and written assessment of the same material and found that students performed better orally, regarded the oral as a fairer test of understanding, and reported that it was harder to disguise gaps; anxiety was real but diminished with experience. </w:t>
      </w:r>
      <w:proofErr w:type="spellStart"/>
      <w:r>
        <w:t>Sotiriadou</w:t>
      </w:r>
      <w:proofErr w:type="spellEnd"/>
      <w:r>
        <w:t xml:space="preserve"> et al. (2020) found that interactive oral assessment both preserved integrity and developed the communication skills employers value, and Moorhouse, Yeo and Li (2023) found oral assessment among the most frequently recommended responses in top universities' AI guidance.</w:t>
      </w:r>
    </w:p>
    <w:p w14:paraId="008EDB56" w14:textId="77777777" w:rsidR="00D16027" w:rsidRDefault="00000000">
      <w:pPr>
        <w:spacing w:after="140"/>
      </w:pPr>
      <w:r>
        <w:t>Generative AI can help a student prepare for an oral. It can rehearse questions, explain concepts and draft talking points. That is coaching, and coaching is learning. What it cannot do is answer for the student in the room. Oral assessment is therefore not merely a verification device attached to written work, though it serves that purpose well; it is a distinct mode that assesses capabilities the written product never reached.</w:t>
      </w:r>
    </w:p>
    <w:p w14:paraId="03813049" w14:textId="77777777" w:rsidR="00D16027" w:rsidRDefault="00000000">
      <w:pPr>
        <w:keepNext/>
        <w:spacing w:before="160" w:after="80"/>
      </w:pPr>
      <w:r>
        <w:rPr>
          <w:b/>
          <w:bCs/>
          <w:color w:val="1A4F7A"/>
          <w:sz w:val="20"/>
          <w:szCs w:val="20"/>
        </w:rPr>
        <w:t>Table 10.1  Oral and live formats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600"/>
        <w:gridCol w:w="2986"/>
      </w:tblGrid>
      <w:tr w:rsidR="00D16027" w14:paraId="07F44ADC" w14:textId="77777777">
        <w:tblPrEx>
          <w:tblCellMar>
            <w:top w:w="0" w:type="dxa"/>
            <w:bottom w:w="0" w:type="dxa"/>
          </w:tblCellMar>
        </w:tblPrEx>
        <w:trPr>
          <w:cantSplit/>
          <w:tblHeader/>
        </w:trPr>
        <w:tc>
          <w:tcPr>
            <w:tcW w:w="2200" w:type="dxa"/>
            <w:shd w:val="clear" w:color="auto" w:fill="2E75B6"/>
            <w:tcMar>
              <w:top w:w="70" w:type="dxa"/>
              <w:left w:w="100" w:type="dxa"/>
              <w:bottom w:w="70" w:type="dxa"/>
              <w:right w:w="100" w:type="dxa"/>
            </w:tcMar>
          </w:tcPr>
          <w:p w14:paraId="0E262349" w14:textId="77777777" w:rsidR="00D16027" w:rsidRDefault="00000000">
            <w:r>
              <w:rPr>
                <w:b/>
                <w:bCs/>
                <w:color w:val="FFFFFF"/>
                <w:sz w:val="19"/>
                <w:szCs w:val="19"/>
              </w:rPr>
              <w:t>Format</w:t>
            </w:r>
          </w:p>
        </w:tc>
        <w:tc>
          <w:tcPr>
            <w:tcW w:w="2600" w:type="dxa"/>
            <w:shd w:val="clear" w:color="auto" w:fill="2E75B6"/>
            <w:tcMar>
              <w:top w:w="70" w:type="dxa"/>
              <w:left w:w="100" w:type="dxa"/>
              <w:bottom w:w="70" w:type="dxa"/>
              <w:right w:w="100" w:type="dxa"/>
            </w:tcMar>
          </w:tcPr>
          <w:p w14:paraId="6824606C" w14:textId="77777777" w:rsidR="00D16027" w:rsidRDefault="00000000">
            <w:r>
              <w:rPr>
                <w:b/>
                <w:bCs/>
                <w:color w:val="FFFFFF"/>
                <w:sz w:val="19"/>
                <w:szCs w:val="19"/>
              </w:rPr>
              <w:t>Primary purpose</w:t>
            </w:r>
          </w:p>
        </w:tc>
        <w:tc>
          <w:tcPr>
            <w:tcW w:w="1600" w:type="dxa"/>
            <w:shd w:val="clear" w:color="auto" w:fill="2E75B6"/>
            <w:tcMar>
              <w:top w:w="70" w:type="dxa"/>
              <w:left w:w="100" w:type="dxa"/>
              <w:bottom w:w="70" w:type="dxa"/>
              <w:right w:w="100" w:type="dxa"/>
            </w:tcMar>
          </w:tcPr>
          <w:p w14:paraId="5693F2F2" w14:textId="77777777" w:rsidR="00D16027" w:rsidRDefault="00000000">
            <w:r>
              <w:rPr>
                <w:b/>
                <w:bCs/>
                <w:color w:val="FFFFFF"/>
                <w:sz w:val="19"/>
                <w:szCs w:val="19"/>
              </w:rPr>
              <w:t>Typical length</w:t>
            </w:r>
          </w:p>
        </w:tc>
        <w:tc>
          <w:tcPr>
            <w:tcW w:w="2986" w:type="dxa"/>
            <w:shd w:val="clear" w:color="auto" w:fill="2E75B6"/>
            <w:tcMar>
              <w:top w:w="70" w:type="dxa"/>
              <w:left w:w="100" w:type="dxa"/>
              <w:bottom w:w="70" w:type="dxa"/>
              <w:right w:w="100" w:type="dxa"/>
            </w:tcMar>
          </w:tcPr>
          <w:p w14:paraId="04DC068F" w14:textId="77777777" w:rsidR="00D16027" w:rsidRDefault="00000000">
            <w:r>
              <w:rPr>
                <w:b/>
                <w:bCs/>
                <w:color w:val="FFFFFF"/>
                <w:sz w:val="19"/>
                <w:szCs w:val="19"/>
              </w:rPr>
              <w:t>Best used for</w:t>
            </w:r>
          </w:p>
        </w:tc>
      </w:tr>
      <w:tr w:rsidR="00D16027" w14:paraId="0D9597A0" w14:textId="77777777">
        <w:tblPrEx>
          <w:tblCellMar>
            <w:top w:w="0" w:type="dxa"/>
            <w:bottom w:w="0" w:type="dxa"/>
          </w:tblCellMar>
        </w:tblPrEx>
        <w:trPr>
          <w:cantSplit/>
        </w:trPr>
        <w:tc>
          <w:tcPr>
            <w:tcW w:w="2200" w:type="dxa"/>
            <w:tcMar>
              <w:top w:w="70" w:type="dxa"/>
              <w:left w:w="100" w:type="dxa"/>
              <w:bottom w:w="70" w:type="dxa"/>
              <w:right w:w="100" w:type="dxa"/>
            </w:tcMar>
          </w:tcPr>
          <w:p w14:paraId="41E88229" w14:textId="77777777" w:rsidR="00D16027" w:rsidRDefault="00000000">
            <w:r>
              <w:rPr>
                <w:sz w:val="19"/>
                <w:szCs w:val="19"/>
              </w:rPr>
              <w:t>Viva on submitted work</w:t>
            </w:r>
          </w:p>
        </w:tc>
        <w:tc>
          <w:tcPr>
            <w:tcW w:w="2600" w:type="dxa"/>
            <w:tcMar>
              <w:top w:w="70" w:type="dxa"/>
              <w:left w:w="100" w:type="dxa"/>
              <w:bottom w:w="70" w:type="dxa"/>
              <w:right w:w="100" w:type="dxa"/>
            </w:tcMar>
          </w:tcPr>
          <w:p w14:paraId="0FD62721" w14:textId="77777777" w:rsidR="00D16027" w:rsidRDefault="00000000">
            <w:r>
              <w:rPr>
                <w:sz w:val="19"/>
                <w:szCs w:val="19"/>
              </w:rPr>
              <w:t>Verify authorship; probe and extend understanding</w:t>
            </w:r>
          </w:p>
        </w:tc>
        <w:tc>
          <w:tcPr>
            <w:tcW w:w="1600" w:type="dxa"/>
            <w:tcMar>
              <w:top w:w="70" w:type="dxa"/>
              <w:left w:w="100" w:type="dxa"/>
              <w:bottom w:w="70" w:type="dxa"/>
              <w:right w:w="100" w:type="dxa"/>
            </w:tcMar>
          </w:tcPr>
          <w:p w14:paraId="25A7D45D" w14:textId="77777777" w:rsidR="00D16027" w:rsidRDefault="00000000">
            <w:r>
              <w:rPr>
                <w:sz w:val="19"/>
                <w:szCs w:val="19"/>
              </w:rPr>
              <w:t>10–15 min</w:t>
            </w:r>
          </w:p>
        </w:tc>
        <w:tc>
          <w:tcPr>
            <w:tcW w:w="2986" w:type="dxa"/>
            <w:tcMar>
              <w:top w:w="70" w:type="dxa"/>
              <w:left w:w="100" w:type="dxa"/>
              <w:bottom w:w="70" w:type="dxa"/>
              <w:right w:w="100" w:type="dxa"/>
            </w:tcMar>
          </w:tcPr>
          <w:p w14:paraId="328AB02E" w14:textId="77777777" w:rsidR="00D16027" w:rsidRDefault="00000000">
            <w:r>
              <w:rPr>
                <w:sz w:val="19"/>
                <w:szCs w:val="19"/>
              </w:rPr>
              <w:t>Any unsupervised product: essay, project, dissertation, code</w:t>
            </w:r>
          </w:p>
        </w:tc>
      </w:tr>
      <w:tr w:rsidR="00D16027" w14:paraId="43B8202B" w14:textId="77777777">
        <w:tblPrEx>
          <w:tblCellMar>
            <w:top w:w="0" w:type="dxa"/>
            <w:bottom w:w="0" w:type="dxa"/>
          </w:tblCellMar>
        </w:tblPrEx>
        <w:trPr>
          <w:cantSplit/>
        </w:trPr>
        <w:tc>
          <w:tcPr>
            <w:tcW w:w="2200" w:type="dxa"/>
            <w:tcMar>
              <w:top w:w="70" w:type="dxa"/>
              <w:left w:w="100" w:type="dxa"/>
              <w:bottom w:w="70" w:type="dxa"/>
              <w:right w:w="100" w:type="dxa"/>
            </w:tcMar>
          </w:tcPr>
          <w:p w14:paraId="3EE69078" w14:textId="77777777" w:rsidR="00D16027" w:rsidRDefault="00000000">
            <w:r>
              <w:rPr>
                <w:sz w:val="19"/>
                <w:szCs w:val="19"/>
              </w:rPr>
              <w:t>Interactive oral assessment</w:t>
            </w:r>
          </w:p>
        </w:tc>
        <w:tc>
          <w:tcPr>
            <w:tcW w:w="2600" w:type="dxa"/>
            <w:tcMar>
              <w:top w:w="70" w:type="dxa"/>
              <w:left w:w="100" w:type="dxa"/>
              <w:bottom w:w="70" w:type="dxa"/>
              <w:right w:w="100" w:type="dxa"/>
            </w:tcMar>
          </w:tcPr>
          <w:p w14:paraId="2E41200A" w14:textId="77777777" w:rsidR="00D16027" w:rsidRDefault="00000000">
            <w:r>
              <w:rPr>
                <w:sz w:val="19"/>
                <w:szCs w:val="19"/>
              </w:rPr>
              <w:t>Standalone assessment of applied reasoning in a scenario</w:t>
            </w:r>
          </w:p>
        </w:tc>
        <w:tc>
          <w:tcPr>
            <w:tcW w:w="1600" w:type="dxa"/>
            <w:tcMar>
              <w:top w:w="70" w:type="dxa"/>
              <w:left w:w="100" w:type="dxa"/>
              <w:bottom w:w="70" w:type="dxa"/>
              <w:right w:w="100" w:type="dxa"/>
            </w:tcMar>
          </w:tcPr>
          <w:p w14:paraId="1376EE50" w14:textId="77777777" w:rsidR="00D16027" w:rsidRDefault="00000000">
            <w:r>
              <w:rPr>
                <w:sz w:val="19"/>
                <w:szCs w:val="19"/>
              </w:rPr>
              <w:t>10–20 min</w:t>
            </w:r>
          </w:p>
        </w:tc>
        <w:tc>
          <w:tcPr>
            <w:tcW w:w="2986" w:type="dxa"/>
            <w:tcMar>
              <w:top w:w="70" w:type="dxa"/>
              <w:left w:w="100" w:type="dxa"/>
              <w:bottom w:w="70" w:type="dxa"/>
              <w:right w:w="100" w:type="dxa"/>
            </w:tcMar>
          </w:tcPr>
          <w:p w14:paraId="54A11BE6" w14:textId="77777777" w:rsidR="00D16027" w:rsidRDefault="00000000">
            <w:r>
              <w:rPr>
                <w:sz w:val="19"/>
                <w:szCs w:val="19"/>
              </w:rPr>
              <w:t>Professional and applied programmes; replacement for written exams</w:t>
            </w:r>
          </w:p>
        </w:tc>
      </w:tr>
      <w:tr w:rsidR="00D16027" w14:paraId="170F55CB" w14:textId="77777777">
        <w:tblPrEx>
          <w:tblCellMar>
            <w:top w:w="0" w:type="dxa"/>
            <w:bottom w:w="0" w:type="dxa"/>
          </w:tblCellMar>
        </w:tblPrEx>
        <w:trPr>
          <w:cantSplit/>
        </w:trPr>
        <w:tc>
          <w:tcPr>
            <w:tcW w:w="2200" w:type="dxa"/>
            <w:tcMar>
              <w:top w:w="70" w:type="dxa"/>
              <w:left w:w="100" w:type="dxa"/>
              <w:bottom w:w="70" w:type="dxa"/>
              <w:right w:w="100" w:type="dxa"/>
            </w:tcMar>
          </w:tcPr>
          <w:p w14:paraId="09B6F4C1" w14:textId="77777777" w:rsidR="00D16027" w:rsidRDefault="00000000">
            <w:r>
              <w:rPr>
                <w:sz w:val="19"/>
                <w:szCs w:val="19"/>
              </w:rPr>
              <w:t>Presentation with questions</w:t>
            </w:r>
          </w:p>
        </w:tc>
        <w:tc>
          <w:tcPr>
            <w:tcW w:w="2600" w:type="dxa"/>
            <w:tcMar>
              <w:top w:w="70" w:type="dxa"/>
              <w:left w:w="100" w:type="dxa"/>
              <w:bottom w:w="70" w:type="dxa"/>
              <w:right w:w="100" w:type="dxa"/>
            </w:tcMar>
          </w:tcPr>
          <w:p w14:paraId="4AD84F81" w14:textId="77777777" w:rsidR="00D16027" w:rsidRDefault="00000000">
            <w:r>
              <w:rPr>
                <w:sz w:val="19"/>
                <w:szCs w:val="19"/>
              </w:rPr>
              <w:t>Communication plus responsiveness</w:t>
            </w:r>
          </w:p>
        </w:tc>
        <w:tc>
          <w:tcPr>
            <w:tcW w:w="1600" w:type="dxa"/>
            <w:tcMar>
              <w:top w:w="70" w:type="dxa"/>
              <w:left w:w="100" w:type="dxa"/>
              <w:bottom w:w="70" w:type="dxa"/>
              <w:right w:w="100" w:type="dxa"/>
            </w:tcMar>
          </w:tcPr>
          <w:p w14:paraId="676ED4F6" w14:textId="77777777" w:rsidR="00D16027" w:rsidRDefault="00000000">
            <w:r>
              <w:rPr>
                <w:sz w:val="19"/>
                <w:szCs w:val="19"/>
              </w:rPr>
              <w:t>10 min + 5–10 min questions</w:t>
            </w:r>
          </w:p>
        </w:tc>
        <w:tc>
          <w:tcPr>
            <w:tcW w:w="2986" w:type="dxa"/>
            <w:tcMar>
              <w:top w:w="70" w:type="dxa"/>
              <w:left w:w="100" w:type="dxa"/>
              <w:bottom w:w="70" w:type="dxa"/>
              <w:right w:w="100" w:type="dxa"/>
            </w:tcMar>
          </w:tcPr>
          <w:p w14:paraId="21ECDE0D" w14:textId="77777777" w:rsidR="00D16027" w:rsidRDefault="00000000">
            <w:r>
              <w:rPr>
                <w:sz w:val="19"/>
                <w:szCs w:val="19"/>
              </w:rPr>
              <w:t>Projects; group work; research</w:t>
            </w:r>
          </w:p>
        </w:tc>
      </w:tr>
      <w:tr w:rsidR="00D16027" w14:paraId="6346683E" w14:textId="77777777">
        <w:tblPrEx>
          <w:tblCellMar>
            <w:top w:w="0" w:type="dxa"/>
            <w:bottom w:w="0" w:type="dxa"/>
          </w:tblCellMar>
        </w:tblPrEx>
        <w:trPr>
          <w:cantSplit/>
        </w:trPr>
        <w:tc>
          <w:tcPr>
            <w:tcW w:w="2200" w:type="dxa"/>
            <w:tcMar>
              <w:top w:w="70" w:type="dxa"/>
              <w:left w:w="100" w:type="dxa"/>
              <w:bottom w:w="70" w:type="dxa"/>
              <w:right w:w="100" w:type="dxa"/>
            </w:tcMar>
          </w:tcPr>
          <w:p w14:paraId="425B01A5" w14:textId="77777777" w:rsidR="00D16027" w:rsidRDefault="00000000">
            <w:r>
              <w:rPr>
                <w:sz w:val="19"/>
                <w:szCs w:val="19"/>
              </w:rPr>
              <w:t>Debate or moot</w:t>
            </w:r>
          </w:p>
        </w:tc>
        <w:tc>
          <w:tcPr>
            <w:tcW w:w="2600" w:type="dxa"/>
            <w:tcMar>
              <w:top w:w="70" w:type="dxa"/>
              <w:left w:w="100" w:type="dxa"/>
              <w:bottom w:w="70" w:type="dxa"/>
              <w:right w:w="100" w:type="dxa"/>
            </w:tcMar>
          </w:tcPr>
          <w:p w14:paraId="385AF9EC" w14:textId="77777777" w:rsidR="00D16027" w:rsidRDefault="00000000">
            <w:r>
              <w:rPr>
                <w:sz w:val="19"/>
                <w:szCs w:val="19"/>
              </w:rPr>
              <w:t>Argument under challenge</w:t>
            </w:r>
          </w:p>
        </w:tc>
        <w:tc>
          <w:tcPr>
            <w:tcW w:w="1600" w:type="dxa"/>
            <w:tcMar>
              <w:top w:w="70" w:type="dxa"/>
              <w:left w:w="100" w:type="dxa"/>
              <w:bottom w:w="70" w:type="dxa"/>
              <w:right w:w="100" w:type="dxa"/>
            </w:tcMar>
          </w:tcPr>
          <w:p w14:paraId="1532AA8E" w14:textId="77777777" w:rsidR="00D16027" w:rsidRDefault="00000000">
            <w:r>
              <w:rPr>
                <w:sz w:val="19"/>
                <w:szCs w:val="19"/>
              </w:rPr>
              <w:t>30–60 min</w:t>
            </w:r>
          </w:p>
        </w:tc>
        <w:tc>
          <w:tcPr>
            <w:tcW w:w="2986" w:type="dxa"/>
            <w:tcMar>
              <w:top w:w="70" w:type="dxa"/>
              <w:left w:w="100" w:type="dxa"/>
              <w:bottom w:w="70" w:type="dxa"/>
              <w:right w:w="100" w:type="dxa"/>
            </w:tcMar>
          </w:tcPr>
          <w:p w14:paraId="53C5B891" w14:textId="77777777" w:rsidR="00D16027" w:rsidRDefault="00000000">
            <w:r>
              <w:rPr>
                <w:sz w:val="19"/>
                <w:szCs w:val="19"/>
              </w:rPr>
              <w:t>Law, politics, philosophy, ethics</w:t>
            </w:r>
          </w:p>
        </w:tc>
      </w:tr>
      <w:tr w:rsidR="00D16027" w14:paraId="2432758B" w14:textId="77777777">
        <w:tblPrEx>
          <w:tblCellMar>
            <w:top w:w="0" w:type="dxa"/>
            <w:bottom w:w="0" w:type="dxa"/>
          </w:tblCellMar>
        </w:tblPrEx>
        <w:trPr>
          <w:cantSplit/>
        </w:trPr>
        <w:tc>
          <w:tcPr>
            <w:tcW w:w="2200" w:type="dxa"/>
            <w:tcMar>
              <w:top w:w="70" w:type="dxa"/>
              <w:left w:w="100" w:type="dxa"/>
              <w:bottom w:w="70" w:type="dxa"/>
              <w:right w:w="100" w:type="dxa"/>
            </w:tcMar>
          </w:tcPr>
          <w:p w14:paraId="1F19FD00" w14:textId="77777777" w:rsidR="00D16027" w:rsidRDefault="00000000">
            <w:r>
              <w:rPr>
                <w:sz w:val="19"/>
                <w:szCs w:val="19"/>
              </w:rPr>
              <w:t>Demonstration or practical</w:t>
            </w:r>
          </w:p>
        </w:tc>
        <w:tc>
          <w:tcPr>
            <w:tcW w:w="2600" w:type="dxa"/>
            <w:tcMar>
              <w:top w:w="70" w:type="dxa"/>
              <w:left w:w="100" w:type="dxa"/>
              <w:bottom w:w="70" w:type="dxa"/>
              <w:right w:w="100" w:type="dxa"/>
            </w:tcMar>
          </w:tcPr>
          <w:p w14:paraId="430BA0BF" w14:textId="77777777" w:rsidR="00D16027" w:rsidRDefault="00000000">
            <w:r>
              <w:rPr>
                <w:sz w:val="19"/>
                <w:szCs w:val="19"/>
              </w:rPr>
              <w:t>Embodied competence</w:t>
            </w:r>
          </w:p>
        </w:tc>
        <w:tc>
          <w:tcPr>
            <w:tcW w:w="1600" w:type="dxa"/>
            <w:tcMar>
              <w:top w:w="70" w:type="dxa"/>
              <w:left w:w="100" w:type="dxa"/>
              <w:bottom w:w="70" w:type="dxa"/>
              <w:right w:w="100" w:type="dxa"/>
            </w:tcMar>
          </w:tcPr>
          <w:p w14:paraId="30229E9F" w14:textId="77777777" w:rsidR="00D16027" w:rsidRDefault="00000000">
            <w:r>
              <w:rPr>
                <w:sz w:val="19"/>
                <w:szCs w:val="19"/>
              </w:rPr>
              <w:t>Varies; often station-based</w:t>
            </w:r>
          </w:p>
        </w:tc>
        <w:tc>
          <w:tcPr>
            <w:tcW w:w="2986" w:type="dxa"/>
            <w:tcMar>
              <w:top w:w="70" w:type="dxa"/>
              <w:left w:w="100" w:type="dxa"/>
              <w:bottom w:w="70" w:type="dxa"/>
              <w:right w:w="100" w:type="dxa"/>
            </w:tcMar>
          </w:tcPr>
          <w:p w14:paraId="3B2C0E6E" w14:textId="77777777" w:rsidR="00D16027" w:rsidRDefault="00000000">
            <w:r>
              <w:rPr>
                <w:sz w:val="19"/>
                <w:szCs w:val="19"/>
              </w:rPr>
              <w:t>Clinical, laboratory, studio, computing, performance</w:t>
            </w:r>
          </w:p>
        </w:tc>
      </w:tr>
      <w:tr w:rsidR="00D16027" w14:paraId="7D7847A0" w14:textId="77777777">
        <w:tblPrEx>
          <w:tblCellMar>
            <w:top w:w="0" w:type="dxa"/>
            <w:bottom w:w="0" w:type="dxa"/>
          </w:tblCellMar>
        </w:tblPrEx>
        <w:trPr>
          <w:cantSplit/>
        </w:trPr>
        <w:tc>
          <w:tcPr>
            <w:tcW w:w="2200" w:type="dxa"/>
            <w:tcMar>
              <w:top w:w="70" w:type="dxa"/>
              <w:left w:w="100" w:type="dxa"/>
              <w:bottom w:w="70" w:type="dxa"/>
              <w:right w:w="100" w:type="dxa"/>
            </w:tcMar>
          </w:tcPr>
          <w:p w14:paraId="3ED41855" w14:textId="77777777" w:rsidR="00D16027" w:rsidRDefault="00000000">
            <w:r>
              <w:rPr>
                <w:sz w:val="19"/>
                <w:szCs w:val="19"/>
              </w:rPr>
              <w:t>In-class rapid oral</w:t>
            </w:r>
          </w:p>
        </w:tc>
        <w:tc>
          <w:tcPr>
            <w:tcW w:w="2600" w:type="dxa"/>
            <w:tcMar>
              <w:top w:w="70" w:type="dxa"/>
              <w:left w:w="100" w:type="dxa"/>
              <w:bottom w:w="70" w:type="dxa"/>
              <w:right w:w="100" w:type="dxa"/>
            </w:tcMar>
          </w:tcPr>
          <w:p w14:paraId="69B64F9D" w14:textId="77777777" w:rsidR="00D16027" w:rsidRDefault="00000000">
            <w:r>
              <w:rPr>
                <w:sz w:val="19"/>
                <w:szCs w:val="19"/>
              </w:rPr>
              <w:t>Frequent low-stakes verification</w:t>
            </w:r>
          </w:p>
        </w:tc>
        <w:tc>
          <w:tcPr>
            <w:tcW w:w="1600" w:type="dxa"/>
            <w:tcMar>
              <w:top w:w="70" w:type="dxa"/>
              <w:left w:w="100" w:type="dxa"/>
              <w:bottom w:w="70" w:type="dxa"/>
              <w:right w:w="100" w:type="dxa"/>
            </w:tcMar>
          </w:tcPr>
          <w:p w14:paraId="121938F8" w14:textId="77777777" w:rsidR="00D16027" w:rsidRDefault="00000000">
            <w:r>
              <w:rPr>
                <w:sz w:val="19"/>
                <w:szCs w:val="19"/>
              </w:rPr>
              <w:t>2–3 min</w:t>
            </w:r>
          </w:p>
        </w:tc>
        <w:tc>
          <w:tcPr>
            <w:tcW w:w="2986" w:type="dxa"/>
            <w:tcMar>
              <w:top w:w="70" w:type="dxa"/>
              <w:left w:w="100" w:type="dxa"/>
              <w:bottom w:w="70" w:type="dxa"/>
              <w:right w:w="100" w:type="dxa"/>
            </w:tcMar>
          </w:tcPr>
          <w:p w14:paraId="6CAB2A07" w14:textId="77777777" w:rsidR="00D16027" w:rsidRDefault="00000000">
            <w:r>
              <w:rPr>
                <w:sz w:val="19"/>
                <w:szCs w:val="19"/>
              </w:rPr>
              <w:t>Large cohorts across a term</w:t>
            </w:r>
          </w:p>
        </w:tc>
      </w:tr>
    </w:tbl>
    <w:p w14:paraId="0A60B359" w14:textId="77777777" w:rsidR="00D16027" w:rsidRDefault="00D16027">
      <w:pPr>
        <w:spacing w:after="120"/>
      </w:pPr>
    </w:p>
    <w:p w14:paraId="3ACD184D" w14:textId="77777777" w:rsidR="00D16027" w:rsidRDefault="00000000">
      <w:pPr>
        <w:pStyle w:val="Heading2"/>
        <w:keepNext/>
      </w:pPr>
      <w:r>
        <w:lastRenderedPageBreak/>
        <w:t>10.2 Designing the viva on submitted work</w:t>
      </w:r>
    </w:p>
    <w:p w14:paraId="692A19F0" w14:textId="77777777" w:rsidR="00D16027" w:rsidRDefault="00000000">
      <w:pPr>
        <w:spacing w:after="140"/>
      </w:pPr>
      <w:r>
        <w:t>The viva on a submitted product has three purposes: to confirm that the student can account for the work, to probe understanding beneath it, and to assess how they communicate about it. A ten-to-fifteen-minute structure works well: an opening question about a choice the student made; a question on a specific passage, figure or section chosen by the assessor; an extension question that applies the work to a new case or asks what they would change; and a closing question inviting the student to identify the work's weakest point. Questions should be drawn from a shared bank organised in tiers (account, justify, apply, critique) so that every student faces comparable demand. Avoid quiz-style recall: a student may legitimately forget a citation and still own the work. Avoid trick questions: the purpose is evidence, not ambush.</w:t>
      </w:r>
    </w:p>
    <w:p w14:paraId="0F31EF79" w14:textId="77777777" w:rsidR="00D16027" w:rsidRDefault="00000000">
      <w:pPr>
        <w:spacing w:after="140"/>
      </w:pPr>
      <w:r>
        <w:t xml:space="preserve">Decide and publish in advance how the viva relates to the mark. Three models are common: the viva confirms the product mark (pass/fail gate, with a fail triggering investigation or resubmission); the viva moderates the product mark within a stated band; or the viva is marked separately as a component. Each is defensible; what is not defensible is deciding after the event. Record the conversation, with consent, for moderation and appeal. Online </w:t>
      </w:r>
      <w:proofErr w:type="spellStart"/>
      <w:r>
        <w:t>vivas</w:t>
      </w:r>
      <w:proofErr w:type="spellEnd"/>
      <w:r>
        <w:t xml:space="preserve"> are acceptable and often easier to timetable; identity verification and a stable connection are the practical requirements.</w:t>
      </w:r>
    </w:p>
    <w:p w14:paraId="09BC9BEC" w14:textId="77777777" w:rsidR="00D16027" w:rsidRDefault="00000000">
      <w:pPr>
        <w:pStyle w:val="Heading2"/>
        <w:keepNext/>
      </w:pPr>
      <w:r>
        <w:t>10.3 Interactive oral assessment</w:t>
      </w:r>
    </w:p>
    <w:p w14:paraId="23B67198" w14:textId="77777777" w:rsidR="00D16027" w:rsidRDefault="00000000">
      <w:pPr>
        <w:spacing w:after="140"/>
      </w:pPr>
      <w:r>
        <w:t xml:space="preserve">The interactive oral assessment (IOA), developed at Griffith University and described by </w:t>
      </w:r>
      <w:proofErr w:type="spellStart"/>
      <w:r>
        <w:t>Sotiriadou</w:t>
      </w:r>
      <w:proofErr w:type="spellEnd"/>
      <w:r>
        <w:t xml:space="preserve"> et al. (2020), is a standalone format: an unscripted conversation between assessor and student in a realistic professional scenario. The student might be a consultant reporting to a client, a nurse handing over to a colleague, an engineer briefing a project manager or a graduate analyst presenting to a board. The scenario and role are briefed in advance; the questions are not. Assessors work from areas of enquiry and a rubric rather than a script, so that the conversation can follow the student's reasoning. Dublin City University has used the format across programmes since 2020 and reports case studies in computing, education, French literature and aviation (Ward et al. 2024; Ward et al. 2025), and Australian institutions have used it to replace written examinations; the University of South Australia, for example, reports a heavily weighted interactive oral replacing a written examination in a genetics course. Design steps: write the scenario and the student's role; define three to five areas of enquiry mapped to outcomes; write a rubric with descriptors for content, application and communication; run a calibration session in which assessors watch and score recorded practice conversations; record every assessment.</w:t>
      </w:r>
    </w:p>
    <w:p w14:paraId="2930AB4A" w14:textId="77777777" w:rsidR="00D16027" w:rsidRDefault="00000000">
      <w:pPr>
        <w:pStyle w:val="Heading2"/>
        <w:keepNext/>
      </w:pPr>
      <w:r>
        <w:t>10.4 Presentations, debates and moots</w:t>
      </w:r>
    </w:p>
    <w:p w14:paraId="4B27EBE8" w14:textId="77777777" w:rsidR="00D16027" w:rsidRDefault="00000000">
      <w:pPr>
        <w:spacing w:after="140"/>
      </w:pPr>
      <w:r>
        <w:t>AI can produce slides and a script. The assessable element of a presentation is therefore the part that cannot be scripted: the questions. Weight the question period substantially; include an assessor-chosen question that requires departure from the prepared material; invite audience questions; and consider a short segment without notes. Peer assessment of presentations is well supported by evidence (</w:t>
      </w:r>
      <w:proofErr w:type="spellStart"/>
      <w:r>
        <w:t>Falchikov</w:t>
      </w:r>
      <w:proofErr w:type="spellEnd"/>
      <w:r>
        <w:t xml:space="preserve"> &amp; Goldfinch 2000, meta-analysing 48 studies, found peer marks correlated well with tutor marks when criteria were clear and global judgements were used) and can carry part of the mark under tutor moderation. Debates and moots put argument under live challenge; the rubric should reward responsiveness to the opposing case and to the judge's or chair's interventions above the polish of the opening speech.</w:t>
      </w:r>
    </w:p>
    <w:p w14:paraId="5591FBB2" w14:textId="77777777" w:rsidR="00D16027" w:rsidRDefault="00000000">
      <w:pPr>
        <w:pStyle w:val="Heading2"/>
        <w:keepNext/>
      </w:pPr>
      <w:r>
        <w:t>10.5 Demonstrations and practicals</w:t>
      </w:r>
    </w:p>
    <w:p w14:paraId="5C71C264" w14:textId="77777777" w:rsidR="00D16027" w:rsidRDefault="00000000">
      <w:pPr>
        <w:spacing w:after="140"/>
      </w:pPr>
      <w:r>
        <w:t xml:space="preserve">The OSCE (Harden &amp; Gleeson 1979) is the model for structured demonstration: multiple short stations, each assessing a defined skill with a trained assessor and, where relevant, a standardised patient (Barrows 1993). Its logic transfers to laboratory practical examinations, studio critiques, performance juries, teaching observations and live coding. Two design lessons from the medical literature apply everywhere. First, global rating scales by trained assessors are at least as reliable as detailed checklists and often more valid, because they capture judgement rather than the ticking of steps (Regehr et al. 1998). Second, reliability rises with the number of independent observations far more than with the length of any one (van der Vleuten et al. 2012): six five-minute stations beat one thirty-minute performance. For computing, the live walkthrough in which a student explains and then </w:t>
      </w:r>
      <w:r>
        <w:lastRenderedPageBreak/>
        <w:t>modifies a section of their own code, chosen by the assessor, has become a standard response to AI code generation (Denny et al. 2024).</w:t>
      </w:r>
    </w:p>
    <w:p w14:paraId="133B514B" w14:textId="77777777" w:rsidR="00D16027" w:rsidRDefault="00000000">
      <w:pPr>
        <w:pStyle w:val="Heading2"/>
        <w:keepNext/>
      </w:pPr>
      <w:r>
        <w:t>10.6 Reliability and fairness</w:t>
      </w:r>
    </w:p>
    <w:p w14:paraId="65AA715A" w14:textId="77777777" w:rsidR="00D16027" w:rsidRDefault="00000000">
      <w:pPr>
        <w:spacing w:after="140"/>
      </w:pPr>
      <w:r>
        <w:t>Oral assessment is more exposed to assessor variability than marking a script against a scheme, and it is exposed to bias: halo effects, and the influence of accent, fluency, confidence and cultural norms about speaking to authority. Bloxham, Boyd and Orr (2011) show how variable marker judgement is even with written criteria; live judgement is at least as variable. The mitigations are well established. Use structured areas of enquiry and a rubric with behavioural descriptors. Separate content criteria from communication criteria and weight content more heavily. Calibrate assessors before each round using recorded examples. Record, and second-mark a sample. Use two assessors where stakes are high. Train assessors explicitly on bias, including the tendency to rate fluency as understanding. Publish the format, the areas of enquiry and the rubric to students well in advance.</w:t>
      </w:r>
    </w:p>
    <w:p w14:paraId="56CB71FF" w14:textId="77777777" w:rsidR="00D16027" w:rsidRDefault="00000000">
      <w:pPr>
        <w:spacing w:after="140"/>
      </w:pPr>
      <w:r>
        <w:t>Fairness also means adjustment. Students with anxiety, speech or hearing impairments, processing differences or limited proficiency in the language of instruction are entitled to reasonable adjustments, and Nieminen (2022) argues that inclusive design should anticipate them rather than wait for requests. Options that preserve the evidence include extra time, written prompts shown alongside spoken questions, permission to bring notes, a familiar assessor, a shorter format repeated, and a recorded response to released questions followed by a brief live follow-up. What should not happen is the substitution of an unsupervised essay, which removes the evidence the oral was designed to secure.</w:t>
      </w:r>
    </w:p>
    <w:p w14:paraId="55E1177B" w14:textId="77777777" w:rsidR="00D16027" w:rsidRDefault="00000000">
      <w:pPr>
        <w:pStyle w:val="Heading2"/>
        <w:keepNext/>
      </w:pPr>
      <w:r>
        <w:t>10.7 Scaling</w:t>
      </w:r>
    </w:p>
    <w:p w14:paraId="374EAD57" w14:textId="77777777" w:rsidR="00D16027" w:rsidRDefault="00000000">
      <w:pPr>
        <w:spacing w:after="140"/>
      </w:pPr>
      <w:r>
        <w:t>The objection to oral assessment is always time. Three hundred students at ten minutes each is fifty assessor-hours, before scheduling. Table 10.2 sets out the levers. The most important is sampling: state a policy under which a random proportion, plus any flagged cases and any student who requests one, are interviewed. Sampling at one in three is widely reported by practitioners to preserve most of the deterrent and evidential value at a third of the cost, provided students do not know in advance who will be called; controlled evidence on the optimal sampling rate is still lacking, and programmes should evaluate their own. Group formats put five or six students in a thirty-minute conversation with individual questioning. In-class rapid orals distribute two-minute conversations across a term, conducted by demonstrators or tutors during workshops, and are especially effective in laboratory and studio settings. Recorded video responses to released questions, with a live follow-up for a sample, combine scale with verification. Trained postgraduate assessors and, for lower-stakes formats, calibrated peers extend capacity. AI itself can generate scenario variants and question banks (Nikolic et al. 2023; Chapter 11), reducing preparation time without touching the live judgement.</w:t>
      </w:r>
    </w:p>
    <w:p w14:paraId="605CAC68" w14:textId="77777777" w:rsidR="00D16027" w:rsidRDefault="00000000">
      <w:pPr>
        <w:keepNext/>
        <w:spacing w:before="160" w:after="80"/>
      </w:pPr>
      <w:r>
        <w:rPr>
          <w:b/>
          <w:bCs/>
          <w:color w:val="1A4F7A"/>
          <w:sz w:val="20"/>
          <w:szCs w:val="20"/>
        </w:rPr>
        <w:t>Table 10.2  Scaling oral assessment (illustrative estimates; assessor time excludes scheduling and calibration)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1400"/>
        <w:gridCol w:w="3086"/>
      </w:tblGrid>
      <w:tr w:rsidR="00D16027" w14:paraId="2F9A3491" w14:textId="77777777">
        <w:tblPrEx>
          <w:tblCellMar>
            <w:top w:w="0" w:type="dxa"/>
            <w:bottom w:w="0" w:type="dxa"/>
          </w:tblCellMar>
        </w:tblPrEx>
        <w:trPr>
          <w:cantSplit/>
          <w:tblHeader/>
        </w:trPr>
        <w:tc>
          <w:tcPr>
            <w:tcW w:w="2800" w:type="dxa"/>
            <w:shd w:val="clear" w:color="auto" w:fill="2E75B6"/>
            <w:tcMar>
              <w:top w:w="70" w:type="dxa"/>
              <w:left w:w="100" w:type="dxa"/>
              <w:bottom w:w="70" w:type="dxa"/>
              <w:right w:w="100" w:type="dxa"/>
            </w:tcMar>
          </w:tcPr>
          <w:p w14:paraId="5E4F0EC3" w14:textId="77777777" w:rsidR="00D16027" w:rsidRDefault="00000000">
            <w:r>
              <w:rPr>
                <w:b/>
                <w:bCs/>
                <w:color w:val="FFFFFF"/>
                <w:sz w:val="19"/>
                <w:szCs w:val="19"/>
              </w:rPr>
              <w:t>Approach</w:t>
            </w:r>
          </w:p>
        </w:tc>
        <w:tc>
          <w:tcPr>
            <w:tcW w:w="2100" w:type="dxa"/>
            <w:shd w:val="clear" w:color="auto" w:fill="2E75B6"/>
            <w:tcMar>
              <w:top w:w="70" w:type="dxa"/>
              <w:left w:w="100" w:type="dxa"/>
              <w:bottom w:w="70" w:type="dxa"/>
              <w:right w:w="100" w:type="dxa"/>
            </w:tcMar>
          </w:tcPr>
          <w:p w14:paraId="19F627C8" w14:textId="77777777" w:rsidR="00D16027" w:rsidRDefault="00000000">
            <w:r>
              <w:rPr>
                <w:b/>
                <w:bCs/>
                <w:color w:val="FFFFFF"/>
                <w:sz w:val="19"/>
                <w:szCs w:val="19"/>
              </w:rPr>
              <w:t>Assessor time per 100 students</w:t>
            </w:r>
          </w:p>
        </w:tc>
        <w:tc>
          <w:tcPr>
            <w:tcW w:w="1400" w:type="dxa"/>
            <w:shd w:val="clear" w:color="auto" w:fill="2E75B6"/>
            <w:tcMar>
              <w:top w:w="70" w:type="dxa"/>
              <w:left w:w="100" w:type="dxa"/>
              <w:bottom w:w="70" w:type="dxa"/>
              <w:right w:w="100" w:type="dxa"/>
            </w:tcMar>
          </w:tcPr>
          <w:p w14:paraId="1360EE70" w14:textId="77777777" w:rsidR="00D16027" w:rsidRDefault="00000000">
            <w:r>
              <w:rPr>
                <w:b/>
                <w:bCs/>
                <w:color w:val="FFFFFF"/>
                <w:sz w:val="19"/>
                <w:szCs w:val="19"/>
              </w:rPr>
              <w:t>Resilience</w:t>
            </w:r>
          </w:p>
        </w:tc>
        <w:tc>
          <w:tcPr>
            <w:tcW w:w="3086" w:type="dxa"/>
            <w:shd w:val="clear" w:color="auto" w:fill="2E75B6"/>
            <w:tcMar>
              <w:top w:w="70" w:type="dxa"/>
              <w:left w:w="100" w:type="dxa"/>
              <w:bottom w:w="70" w:type="dxa"/>
              <w:right w:w="100" w:type="dxa"/>
            </w:tcMar>
          </w:tcPr>
          <w:p w14:paraId="08A7FCCF" w14:textId="77777777" w:rsidR="00D16027" w:rsidRDefault="00000000">
            <w:r>
              <w:rPr>
                <w:b/>
                <w:bCs/>
                <w:color w:val="FFFFFF"/>
                <w:sz w:val="19"/>
                <w:szCs w:val="19"/>
              </w:rPr>
              <w:t>Notes</w:t>
            </w:r>
          </w:p>
        </w:tc>
      </w:tr>
      <w:tr w:rsidR="00D16027" w14:paraId="06506449" w14:textId="77777777">
        <w:tblPrEx>
          <w:tblCellMar>
            <w:top w:w="0" w:type="dxa"/>
            <w:bottom w:w="0" w:type="dxa"/>
          </w:tblCellMar>
        </w:tblPrEx>
        <w:trPr>
          <w:cantSplit/>
        </w:trPr>
        <w:tc>
          <w:tcPr>
            <w:tcW w:w="2800" w:type="dxa"/>
            <w:tcMar>
              <w:top w:w="70" w:type="dxa"/>
              <w:left w:w="100" w:type="dxa"/>
              <w:bottom w:w="70" w:type="dxa"/>
              <w:right w:w="100" w:type="dxa"/>
            </w:tcMar>
          </w:tcPr>
          <w:p w14:paraId="49DF6E53" w14:textId="77777777" w:rsidR="00D16027" w:rsidRDefault="00000000">
            <w:r>
              <w:rPr>
                <w:sz w:val="19"/>
                <w:szCs w:val="19"/>
              </w:rPr>
              <w:t>Full individual viva (10 min)</w:t>
            </w:r>
          </w:p>
        </w:tc>
        <w:tc>
          <w:tcPr>
            <w:tcW w:w="2100" w:type="dxa"/>
            <w:tcMar>
              <w:top w:w="70" w:type="dxa"/>
              <w:left w:w="100" w:type="dxa"/>
              <w:bottom w:w="70" w:type="dxa"/>
              <w:right w:w="100" w:type="dxa"/>
            </w:tcMar>
          </w:tcPr>
          <w:p w14:paraId="1B984337" w14:textId="77777777" w:rsidR="00D16027" w:rsidRDefault="00000000">
            <w:r>
              <w:rPr>
                <w:sz w:val="19"/>
                <w:szCs w:val="19"/>
              </w:rPr>
              <w:t>17 hours</w:t>
            </w:r>
          </w:p>
        </w:tc>
        <w:tc>
          <w:tcPr>
            <w:tcW w:w="1400" w:type="dxa"/>
            <w:tcMar>
              <w:top w:w="70" w:type="dxa"/>
              <w:left w:w="100" w:type="dxa"/>
              <w:bottom w:w="70" w:type="dxa"/>
              <w:right w:w="100" w:type="dxa"/>
            </w:tcMar>
          </w:tcPr>
          <w:p w14:paraId="3B575F63" w14:textId="77777777" w:rsidR="00D16027" w:rsidRDefault="00000000">
            <w:r>
              <w:rPr>
                <w:sz w:val="19"/>
                <w:szCs w:val="19"/>
              </w:rPr>
              <w:t>Very high</w:t>
            </w:r>
          </w:p>
        </w:tc>
        <w:tc>
          <w:tcPr>
            <w:tcW w:w="3086" w:type="dxa"/>
            <w:tcMar>
              <w:top w:w="70" w:type="dxa"/>
              <w:left w:w="100" w:type="dxa"/>
              <w:bottom w:w="70" w:type="dxa"/>
              <w:right w:w="100" w:type="dxa"/>
            </w:tcMar>
          </w:tcPr>
          <w:p w14:paraId="21F31A9B" w14:textId="77777777" w:rsidR="00D16027" w:rsidRDefault="00000000">
            <w:r>
              <w:rPr>
                <w:sz w:val="19"/>
                <w:szCs w:val="19"/>
              </w:rPr>
              <w:t>Feasible for cohorts up to about 60, or for capstones and dissertations</w:t>
            </w:r>
          </w:p>
        </w:tc>
      </w:tr>
      <w:tr w:rsidR="00D16027" w14:paraId="57B1EC79" w14:textId="77777777">
        <w:tblPrEx>
          <w:tblCellMar>
            <w:top w:w="0" w:type="dxa"/>
            <w:bottom w:w="0" w:type="dxa"/>
          </w:tblCellMar>
        </w:tblPrEx>
        <w:trPr>
          <w:cantSplit/>
        </w:trPr>
        <w:tc>
          <w:tcPr>
            <w:tcW w:w="2800" w:type="dxa"/>
            <w:tcMar>
              <w:top w:w="70" w:type="dxa"/>
              <w:left w:w="100" w:type="dxa"/>
              <w:bottom w:w="70" w:type="dxa"/>
              <w:right w:w="100" w:type="dxa"/>
            </w:tcMar>
          </w:tcPr>
          <w:p w14:paraId="5523EBEE" w14:textId="77777777" w:rsidR="00D16027" w:rsidRDefault="00000000">
            <w:r>
              <w:rPr>
                <w:sz w:val="19"/>
                <w:szCs w:val="19"/>
              </w:rPr>
              <w:t>Sampled viva (1 in 3)</w:t>
            </w:r>
          </w:p>
        </w:tc>
        <w:tc>
          <w:tcPr>
            <w:tcW w:w="2100" w:type="dxa"/>
            <w:tcMar>
              <w:top w:w="70" w:type="dxa"/>
              <w:left w:w="100" w:type="dxa"/>
              <w:bottom w:w="70" w:type="dxa"/>
              <w:right w:w="100" w:type="dxa"/>
            </w:tcMar>
          </w:tcPr>
          <w:p w14:paraId="5E1EF821" w14:textId="77777777" w:rsidR="00D16027" w:rsidRDefault="00000000">
            <w:r>
              <w:rPr>
                <w:sz w:val="19"/>
                <w:szCs w:val="19"/>
              </w:rPr>
              <w:t>6 hours</w:t>
            </w:r>
          </w:p>
        </w:tc>
        <w:tc>
          <w:tcPr>
            <w:tcW w:w="1400" w:type="dxa"/>
            <w:tcMar>
              <w:top w:w="70" w:type="dxa"/>
              <w:left w:w="100" w:type="dxa"/>
              <w:bottom w:w="70" w:type="dxa"/>
              <w:right w:w="100" w:type="dxa"/>
            </w:tcMar>
          </w:tcPr>
          <w:p w14:paraId="6521EEB1" w14:textId="77777777" w:rsidR="00D16027" w:rsidRDefault="00000000">
            <w:r>
              <w:rPr>
                <w:sz w:val="19"/>
                <w:szCs w:val="19"/>
              </w:rPr>
              <w:t>High</w:t>
            </w:r>
          </w:p>
        </w:tc>
        <w:tc>
          <w:tcPr>
            <w:tcW w:w="3086" w:type="dxa"/>
            <w:tcMar>
              <w:top w:w="70" w:type="dxa"/>
              <w:left w:w="100" w:type="dxa"/>
              <w:bottom w:w="70" w:type="dxa"/>
              <w:right w:w="100" w:type="dxa"/>
            </w:tcMar>
          </w:tcPr>
          <w:p w14:paraId="61CEDAEF" w14:textId="77777777" w:rsidR="00D16027" w:rsidRDefault="00000000">
            <w:r>
              <w:rPr>
                <w:sz w:val="19"/>
                <w:szCs w:val="19"/>
              </w:rPr>
              <w:t>Publish the policy; random plus flagged plus opt-in</w:t>
            </w:r>
          </w:p>
        </w:tc>
      </w:tr>
      <w:tr w:rsidR="00D16027" w14:paraId="7CE73BA5" w14:textId="77777777">
        <w:tblPrEx>
          <w:tblCellMar>
            <w:top w:w="0" w:type="dxa"/>
            <w:bottom w:w="0" w:type="dxa"/>
          </w:tblCellMar>
        </w:tblPrEx>
        <w:trPr>
          <w:cantSplit/>
        </w:trPr>
        <w:tc>
          <w:tcPr>
            <w:tcW w:w="2800" w:type="dxa"/>
            <w:tcMar>
              <w:top w:w="70" w:type="dxa"/>
              <w:left w:w="100" w:type="dxa"/>
              <w:bottom w:w="70" w:type="dxa"/>
              <w:right w:w="100" w:type="dxa"/>
            </w:tcMar>
          </w:tcPr>
          <w:p w14:paraId="5FC9BC24" w14:textId="77777777" w:rsidR="00D16027" w:rsidRDefault="00000000">
            <w:r>
              <w:rPr>
                <w:sz w:val="19"/>
                <w:szCs w:val="19"/>
              </w:rPr>
              <w:t>Group oral (6 students, 30 min)</w:t>
            </w:r>
          </w:p>
        </w:tc>
        <w:tc>
          <w:tcPr>
            <w:tcW w:w="2100" w:type="dxa"/>
            <w:tcMar>
              <w:top w:w="70" w:type="dxa"/>
              <w:left w:w="100" w:type="dxa"/>
              <w:bottom w:w="70" w:type="dxa"/>
              <w:right w:w="100" w:type="dxa"/>
            </w:tcMar>
          </w:tcPr>
          <w:p w14:paraId="59439747" w14:textId="77777777" w:rsidR="00D16027" w:rsidRDefault="00000000">
            <w:r>
              <w:rPr>
                <w:sz w:val="19"/>
                <w:szCs w:val="19"/>
              </w:rPr>
              <w:t>8 hours</w:t>
            </w:r>
          </w:p>
        </w:tc>
        <w:tc>
          <w:tcPr>
            <w:tcW w:w="1400" w:type="dxa"/>
            <w:tcMar>
              <w:top w:w="70" w:type="dxa"/>
              <w:left w:w="100" w:type="dxa"/>
              <w:bottom w:w="70" w:type="dxa"/>
              <w:right w:w="100" w:type="dxa"/>
            </w:tcMar>
          </w:tcPr>
          <w:p w14:paraId="110F75B5" w14:textId="77777777" w:rsidR="00D16027" w:rsidRDefault="00000000">
            <w:r>
              <w:rPr>
                <w:sz w:val="19"/>
                <w:szCs w:val="19"/>
              </w:rPr>
              <w:t>High</w:t>
            </w:r>
          </w:p>
        </w:tc>
        <w:tc>
          <w:tcPr>
            <w:tcW w:w="3086" w:type="dxa"/>
            <w:tcMar>
              <w:top w:w="70" w:type="dxa"/>
              <w:left w:w="100" w:type="dxa"/>
              <w:bottom w:w="70" w:type="dxa"/>
              <w:right w:w="100" w:type="dxa"/>
            </w:tcMar>
          </w:tcPr>
          <w:p w14:paraId="19235E59" w14:textId="77777777" w:rsidR="00D16027" w:rsidRDefault="00000000">
            <w:r>
              <w:rPr>
                <w:sz w:val="19"/>
                <w:szCs w:val="19"/>
              </w:rPr>
              <w:t>Each student questioned individually within the group</w:t>
            </w:r>
          </w:p>
        </w:tc>
      </w:tr>
      <w:tr w:rsidR="00D16027" w14:paraId="034E86DD" w14:textId="77777777">
        <w:tblPrEx>
          <w:tblCellMar>
            <w:top w:w="0" w:type="dxa"/>
            <w:bottom w:w="0" w:type="dxa"/>
          </w:tblCellMar>
        </w:tblPrEx>
        <w:trPr>
          <w:cantSplit/>
        </w:trPr>
        <w:tc>
          <w:tcPr>
            <w:tcW w:w="2800" w:type="dxa"/>
            <w:tcMar>
              <w:top w:w="70" w:type="dxa"/>
              <w:left w:w="100" w:type="dxa"/>
              <w:bottom w:w="70" w:type="dxa"/>
              <w:right w:w="100" w:type="dxa"/>
            </w:tcMar>
          </w:tcPr>
          <w:p w14:paraId="4DE81570" w14:textId="77777777" w:rsidR="00D16027" w:rsidRDefault="00000000">
            <w:r>
              <w:rPr>
                <w:sz w:val="19"/>
                <w:szCs w:val="19"/>
              </w:rPr>
              <w:t>In-class rapid orals (2 min, across term)</w:t>
            </w:r>
          </w:p>
        </w:tc>
        <w:tc>
          <w:tcPr>
            <w:tcW w:w="2100" w:type="dxa"/>
            <w:tcMar>
              <w:top w:w="70" w:type="dxa"/>
              <w:left w:w="100" w:type="dxa"/>
              <w:bottom w:w="70" w:type="dxa"/>
              <w:right w:w="100" w:type="dxa"/>
            </w:tcMar>
          </w:tcPr>
          <w:p w14:paraId="5B8B4420" w14:textId="77777777" w:rsidR="00D16027" w:rsidRDefault="00000000">
            <w:r>
              <w:rPr>
                <w:sz w:val="19"/>
                <w:szCs w:val="19"/>
              </w:rPr>
              <w:t>3–4 hours, distributed</w:t>
            </w:r>
          </w:p>
        </w:tc>
        <w:tc>
          <w:tcPr>
            <w:tcW w:w="1400" w:type="dxa"/>
            <w:tcMar>
              <w:top w:w="70" w:type="dxa"/>
              <w:left w:w="100" w:type="dxa"/>
              <w:bottom w:w="70" w:type="dxa"/>
              <w:right w:w="100" w:type="dxa"/>
            </w:tcMar>
          </w:tcPr>
          <w:p w14:paraId="08C162AF" w14:textId="77777777" w:rsidR="00D16027" w:rsidRDefault="00000000">
            <w:r>
              <w:rPr>
                <w:sz w:val="19"/>
                <w:szCs w:val="19"/>
              </w:rPr>
              <w:t>Moderate to high</w:t>
            </w:r>
          </w:p>
        </w:tc>
        <w:tc>
          <w:tcPr>
            <w:tcW w:w="3086" w:type="dxa"/>
            <w:tcMar>
              <w:top w:w="70" w:type="dxa"/>
              <w:left w:w="100" w:type="dxa"/>
              <w:bottom w:w="70" w:type="dxa"/>
              <w:right w:w="100" w:type="dxa"/>
            </w:tcMar>
          </w:tcPr>
          <w:p w14:paraId="7DF38BFE" w14:textId="77777777" w:rsidR="00D16027" w:rsidRDefault="00000000">
            <w:r>
              <w:rPr>
                <w:sz w:val="19"/>
                <w:szCs w:val="19"/>
              </w:rPr>
              <w:t>Run by demonstrators; recorded on a checklist</w:t>
            </w:r>
          </w:p>
        </w:tc>
      </w:tr>
      <w:tr w:rsidR="00D16027" w14:paraId="4427B909" w14:textId="77777777">
        <w:tblPrEx>
          <w:tblCellMar>
            <w:top w:w="0" w:type="dxa"/>
            <w:bottom w:w="0" w:type="dxa"/>
          </w:tblCellMar>
        </w:tblPrEx>
        <w:trPr>
          <w:cantSplit/>
        </w:trPr>
        <w:tc>
          <w:tcPr>
            <w:tcW w:w="2800" w:type="dxa"/>
            <w:tcMar>
              <w:top w:w="70" w:type="dxa"/>
              <w:left w:w="100" w:type="dxa"/>
              <w:bottom w:w="70" w:type="dxa"/>
              <w:right w:w="100" w:type="dxa"/>
            </w:tcMar>
          </w:tcPr>
          <w:p w14:paraId="76987BDD" w14:textId="77777777" w:rsidR="00D16027" w:rsidRDefault="00000000">
            <w:r>
              <w:rPr>
                <w:sz w:val="19"/>
                <w:szCs w:val="19"/>
              </w:rPr>
              <w:t>Recorded response + sampled live follow-up</w:t>
            </w:r>
          </w:p>
        </w:tc>
        <w:tc>
          <w:tcPr>
            <w:tcW w:w="2100" w:type="dxa"/>
            <w:tcMar>
              <w:top w:w="70" w:type="dxa"/>
              <w:left w:w="100" w:type="dxa"/>
              <w:bottom w:w="70" w:type="dxa"/>
              <w:right w:w="100" w:type="dxa"/>
            </w:tcMar>
          </w:tcPr>
          <w:p w14:paraId="52D4B43D" w14:textId="77777777" w:rsidR="00D16027" w:rsidRDefault="00000000">
            <w:r>
              <w:rPr>
                <w:sz w:val="19"/>
                <w:szCs w:val="19"/>
              </w:rPr>
              <w:t>4 hours</w:t>
            </w:r>
          </w:p>
        </w:tc>
        <w:tc>
          <w:tcPr>
            <w:tcW w:w="1400" w:type="dxa"/>
            <w:tcMar>
              <w:top w:w="70" w:type="dxa"/>
              <w:left w:w="100" w:type="dxa"/>
              <w:bottom w:w="70" w:type="dxa"/>
              <w:right w:w="100" w:type="dxa"/>
            </w:tcMar>
          </w:tcPr>
          <w:p w14:paraId="451368BE" w14:textId="77777777" w:rsidR="00D16027" w:rsidRDefault="00000000">
            <w:r>
              <w:rPr>
                <w:sz w:val="19"/>
                <w:szCs w:val="19"/>
              </w:rPr>
              <w:t>Moderate to high</w:t>
            </w:r>
          </w:p>
        </w:tc>
        <w:tc>
          <w:tcPr>
            <w:tcW w:w="3086" w:type="dxa"/>
            <w:tcMar>
              <w:top w:w="70" w:type="dxa"/>
              <w:left w:w="100" w:type="dxa"/>
              <w:bottom w:w="70" w:type="dxa"/>
              <w:right w:w="100" w:type="dxa"/>
            </w:tcMar>
          </w:tcPr>
          <w:p w14:paraId="14A62009" w14:textId="77777777" w:rsidR="00D16027" w:rsidRDefault="00000000">
            <w:r>
              <w:rPr>
                <w:sz w:val="19"/>
                <w:szCs w:val="19"/>
              </w:rPr>
              <w:t>Questions released 24 hours ahead; follow-up for 1 in 4</w:t>
            </w:r>
          </w:p>
        </w:tc>
      </w:tr>
      <w:tr w:rsidR="00D16027" w14:paraId="6348027C" w14:textId="77777777">
        <w:tblPrEx>
          <w:tblCellMar>
            <w:top w:w="0" w:type="dxa"/>
            <w:bottom w:w="0" w:type="dxa"/>
          </w:tblCellMar>
        </w:tblPrEx>
        <w:trPr>
          <w:cantSplit/>
        </w:trPr>
        <w:tc>
          <w:tcPr>
            <w:tcW w:w="2800" w:type="dxa"/>
            <w:tcMar>
              <w:top w:w="70" w:type="dxa"/>
              <w:left w:w="100" w:type="dxa"/>
              <w:bottom w:w="70" w:type="dxa"/>
              <w:right w:w="100" w:type="dxa"/>
            </w:tcMar>
          </w:tcPr>
          <w:p w14:paraId="42F257D9" w14:textId="77777777" w:rsidR="00D16027" w:rsidRDefault="00000000">
            <w:r>
              <w:rPr>
                <w:sz w:val="19"/>
                <w:szCs w:val="19"/>
              </w:rPr>
              <w:lastRenderedPageBreak/>
              <w:t>Presentation with peer assessment</w:t>
            </w:r>
          </w:p>
        </w:tc>
        <w:tc>
          <w:tcPr>
            <w:tcW w:w="2100" w:type="dxa"/>
            <w:tcMar>
              <w:top w:w="70" w:type="dxa"/>
              <w:left w:w="100" w:type="dxa"/>
              <w:bottom w:w="70" w:type="dxa"/>
              <w:right w:w="100" w:type="dxa"/>
            </w:tcMar>
          </w:tcPr>
          <w:p w14:paraId="662107E8" w14:textId="77777777" w:rsidR="00D16027" w:rsidRDefault="00000000">
            <w:r>
              <w:rPr>
                <w:sz w:val="19"/>
                <w:szCs w:val="19"/>
              </w:rPr>
              <w:t>5 hours</w:t>
            </w:r>
          </w:p>
        </w:tc>
        <w:tc>
          <w:tcPr>
            <w:tcW w:w="1400" w:type="dxa"/>
            <w:tcMar>
              <w:top w:w="70" w:type="dxa"/>
              <w:left w:w="100" w:type="dxa"/>
              <w:bottom w:w="70" w:type="dxa"/>
              <w:right w:w="100" w:type="dxa"/>
            </w:tcMar>
          </w:tcPr>
          <w:p w14:paraId="1C393496" w14:textId="77777777" w:rsidR="00D16027" w:rsidRDefault="00000000">
            <w:r>
              <w:rPr>
                <w:sz w:val="19"/>
                <w:szCs w:val="19"/>
              </w:rPr>
              <w:t>Moderate</w:t>
            </w:r>
          </w:p>
        </w:tc>
        <w:tc>
          <w:tcPr>
            <w:tcW w:w="3086" w:type="dxa"/>
            <w:tcMar>
              <w:top w:w="70" w:type="dxa"/>
              <w:left w:w="100" w:type="dxa"/>
              <w:bottom w:w="70" w:type="dxa"/>
              <w:right w:w="100" w:type="dxa"/>
            </w:tcMar>
          </w:tcPr>
          <w:p w14:paraId="59A32825" w14:textId="77777777" w:rsidR="00D16027" w:rsidRDefault="00000000">
            <w:r>
              <w:rPr>
                <w:sz w:val="19"/>
                <w:szCs w:val="19"/>
              </w:rPr>
              <w:t>Tutor moderates peer marks; question period weighted</w:t>
            </w:r>
          </w:p>
        </w:tc>
      </w:tr>
    </w:tbl>
    <w:p w14:paraId="5C94303A" w14:textId="77777777" w:rsidR="00D16027" w:rsidRDefault="00D16027">
      <w:pPr>
        <w:spacing w:after="120"/>
      </w:pPr>
    </w:p>
    <w:p w14:paraId="3C0B1177" w14:textId="77777777" w:rsidR="00D16027" w:rsidRDefault="00000000">
      <w:pPr>
        <w:pStyle w:val="Heading2"/>
        <w:keepNext/>
      </w:pPr>
      <w:r>
        <w:t>10.8 Objections</w:t>
      </w:r>
    </w:p>
    <w:p w14:paraId="0FA9C764" w14:textId="77777777" w:rsidR="00D16027" w:rsidRDefault="00000000">
      <w:pPr>
        <w:spacing w:after="140"/>
      </w:pPr>
      <w:r>
        <w:t xml:space="preserve">The strongest objection to oral assessment is that it measures social confidence and cultural capital as much as understanding, and that adjustments cannot fully remove the disadvantage to students who are anxious, who speak the language of instruction as an additional language, or whose cultural norms discourage assertive speech with authority figures. Joughin (1998) acknowledged the concern; </w:t>
      </w:r>
      <w:proofErr w:type="spellStart"/>
      <w:r>
        <w:t>Huxham</w:t>
      </w:r>
      <w:proofErr w:type="spellEnd"/>
      <w:r>
        <w:t xml:space="preserve"> et al. (2012) found students nonetheless rating orals as fairer, but their sample was small and self-selecting. The honest position is that oral formats trade one set of biases (the advantage of native-like prose in unsupervised writing) for another, and that the second set is more visible and more amenable to design: separated criteria, content weighted over communication, calibration on bias, and alternative modes that preserve the evidence. Programmes should monitor outcomes by group after introducing orals (Chapter 16) rather than assume the trade is favourable. A second objection, that orals cannot be scaled, is answered in section 10.7 but only partly: the sampling and group formats proposed there rest on practitioner report rather than controlled evidence, and institutions adopting them should evaluate.</w:t>
      </w:r>
    </w:p>
    <w:p w14:paraId="7F5313E7" w14:textId="77777777" w:rsidR="00D16027" w:rsidRDefault="00000000">
      <w:pPr>
        <w:pStyle w:val="Heading2"/>
        <w:keepNext/>
      </w:pPr>
      <w:r>
        <w:t>10.9 Preparing students</w:t>
      </w:r>
    </w:p>
    <w:p w14:paraId="312F772F" w14:textId="77777777" w:rsidR="00D16027" w:rsidRDefault="00000000">
      <w:pPr>
        <w:spacing w:after="140"/>
      </w:pPr>
      <w:r>
        <w:t xml:space="preserve">Students perform badly in oral assessment when they meet it for the first time in a high-stakes setting. </w:t>
      </w:r>
      <w:proofErr w:type="spellStart"/>
      <w:r>
        <w:t>Huxham</w:t>
      </w:r>
      <w:proofErr w:type="spellEnd"/>
      <w:r>
        <w:t xml:space="preserve"> et al. (2012) found that attitudes improved markedly after experience. Programmes should therefore build oral assessment literacy from the first year: low-stakes formative orals in seminars, recorded exemplars with commentary, published rubrics and areas of enquiry, practice in giving and answering questions, and explicit explanation of why the format is used. Chan and Hu (2023) found students accepting of demanding formats when the rationale was clear. Anxiety should be named and addressed rather than treated as a reason to avoid the format: the capability to speak about one's work under questioning is a professional skill, and one that graduates report valuing (</w:t>
      </w:r>
      <w:proofErr w:type="spellStart"/>
      <w:r>
        <w:t>Sotiriadou</w:t>
      </w:r>
      <w:proofErr w:type="spellEnd"/>
      <w:r>
        <w:t xml:space="preserve"> et al. 2020).</w:t>
      </w:r>
    </w:p>
    <w:p w14:paraId="04FC2011"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Oral assessment at scale in four settings</w:t>
      </w:r>
    </w:p>
    <w:p w14:paraId="5766E56B" w14:textId="77777777" w:rsidR="00D16027" w:rsidRDefault="00000000">
      <w:pPr>
        <w:pBdr>
          <w:left w:val="single" w:sz="14" w:space="10" w:color="4E8A5E"/>
        </w:pBdr>
        <w:shd w:val="clear" w:color="auto" w:fill="EEF6EF"/>
        <w:spacing w:after="60"/>
      </w:pPr>
      <w:r>
        <w:rPr>
          <w:b/>
          <w:bCs/>
          <w:color w:val="333333"/>
          <w:sz w:val="20"/>
          <w:szCs w:val="20"/>
        </w:rPr>
        <w:t>First-year biology, 400 students.</w:t>
      </w:r>
      <w:r>
        <w:rPr>
          <w:color w:val="333333"/>
          <w:sz w:val="20"/>
          <w:szCs w:val="20"/>
        </w:rPr>
        <w:t xml:space="preserve"> During each of six laboratory sessions, demonstrators conduct two-minute "explain your result" conversations with a rotating third of the bench, recording a three-point judgement on a tablet. Every student is questioned twice across the term. The practical report is submitted but the rapid orals carry a quarter of the module mark and gate the report.</w:t>
      </w:r>
    </w:p>
    <w:p w14:paraId="217C3162" w14:textId="77777777" w:rsidR="00D16027" w:rsidRDefault="00000000">
      <w:pPr>
        <w:pBdr>
          <w:left w:val="single" w:sz="14" w:space="10" w:color="4E8A5E"/>
        </w:pBdr>
        <w:shd w:val="clear" w:color="auto" w:fill="EEF6EF"/>
        <w:spacing w:after="60"/>
      </w:pPr>
      <w:r>
        <w:rPr>
          <w:b/>
          <w:bCs/>
          <w:color w:val="333333"/>
          <w:sz w:val="20"/>
          <w:szCs w:val="20"/>
        </w:rPr>
        <w:t>MBA capstone.</w:t>
      </w:r>
      <w:r>
        <w:rPr>
          <w:color w:val="333333"/>
          <w:sz w:val="20"/>
          <w:szCs w:val="20"/>
        </w:rPr>
        <w:t xml:space="preserve"> An interactive oral in which each student presents a strategic recommendation to a "board" of two assessors playing named executives from the case company, then fields fifteen minutes of unscripted questions. AI is permitted in preparation at AIAS Level 3; the board's questions are drawn from areas of enquiry and target the reasoning behind the recommendation.</w:t>
      </w:r>
    </w:p>
    <w:p w14:paraId="347F4B94" w14:textId="77777777" w:rsidR="00D16027" w:rsidRDefault="00000000">
      <w:pPr>
        <w:pBdr>
          <w:left w:val="single" w:sz="14" w:space="10" w:color="4E8A5E"/>
        </w:pBdr>
        <w:shd w:val="clear" w:color="auto" w:fill="EEF6EF"/>
        <w:spacing w:after="60"/>
      </w:pPr>
      <w:r>
        <w:rPr>
          <w:b/>
          <w:bCs/>
          <w:color w:val="333333"/>
          <w:sz w:val="20"/>
          <w:szCs w:val="20"/>
        </w:rPr>
        <w:t>Music performance.</w:t>
      </w:r>
      <w:r>
        <w:rPr>
          <w:color w:val="333333"/>
          <w:sz w:val="20"/>
          <w:szCs w:val="20"/>
        </w:rPr>
        <w:t xml:space="preserve"> A performance jury followed by a ten-minute viva on interpretation: why this tempo, what alternatives were considered, how the performance changed over the semester with reference to the student's dated practice log.</w:t>
      </w:r>
    </w:p>
    <w:p w14:paraId="1283317A" w14:textId="77777777" w:rsidR="00D16027" w:rsidRDefault="00000000">
      <w:pPr>
        <w:pBdr>
          <w:left w:val="single" w:sz="14" w:space="10" w:color="4E8A5E"/>
        </w:pBdr>
        <w:shd w:val="clear" w:color="auto" w:fill="EEF6EF"/>
        <w:spacing w:after="200"/>
      </w:pPr>
      <w:r>
        <w:rPr>
          <w:b/>
          <w:bCs/>
          <w:color w:val="333333"/>
          <w:sz w:val="20"/>
          <w:szCs w:val="20"/>
        </w:rPr>
        <w:t>Second-year computing, 250 students.</w:t>
      </w:r>
      <w:r>
        <w:rPr>
          <w:color w:val="333333"/>
          <w:sz w:val="20"/>
          <w:szCs w:val="20"/>
        </w:rPr>
        <w:t xml:space="preserve"> A group project assessed through repository history and a fifteen-minute individual walkthrough, timetabled across two weeks with postgraduate assessors trained on a shared rubric; each student explains and modifies a section chosen on the day.</w:t>
      </w:r>
    </w:p>
    <w:p w14:paraId="4E0DDE73"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Add a sampled viva to an existing task</w:t>
      </w:r>
    </w:p>
    <w:p w14:paraId="051BC669"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Write a question bank in four tiers: account for a choice; justify a specific passage; apply to a new case; identify the weakest point. Ten questions per tier is enough for a cohort.</w:t>
      </w:r>
    </w:p>
    <w:p w14:paraId="15975B7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Decide the relationship to the mark (gate, moderate or component) and publish it in the brief.</w:t>
      </w:r>
    </w:p>
    <w:p w14:paraId="6A9C122F"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Set the sampling policy: proportion, random selection method, flagging criteria, opt-in. Publish it.</w:t>
      </w:r>
    </w:p>
    <w:p w14:paraId="007272E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Write a one-page rubric separating content from communication, with behavioural descriptors.</w:t>
      </w:r>
    </w:p>
    <w:p w14:paraId="41AE31D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lastRenderedPageBreak/>
        <w:t>Calibrate: assessors watch two recorded practice conversations and agree scores before the first live viva.</w:t>
      </w:r>
    </w:p>
    <w:p w14:paraId="52BA50CE"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Record every viva with consent, second-mark a sample, and keep the recordings until the appeals window closes.</w:t>
      </w:r>
    </w:p>
    <w:p w14:paraId="50BADC61" w14:textId="77777777" w:rsidR="00D16027" w:rsidRDefault="00000000">
      <w:pPr>
        <w:pStyle w:val="Heading2"/>
        <w:keepNext/>
      </w:pPr>
      <w:r>
        <w:t>What this means for you</w:t>
      </w:r>
    </w:p>
    <w:p w14:paraId="2BA5648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030D9EF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Add a sampled conversation to your most vulnerable unsupervised task this year. Ten minutes for one student in three changes what the task evidences.</w:t>
      </w:r>
    </w:p>
    <w:p w14:paraId="3C97B44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Separate content from communication in your rubric and weight content more heavily; fluency is not understanding.</w:t>
      </w:r>
    </w:p>
    <w:p w14:paraId="22ED00FD"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Run a formative oral before the summative one. Students who have done it once perform very differently.</w:t>
      </w:r>
    </w:p>
    <w:p w14:paraId="794B9C8F"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64C2120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Sequence oral assessment across the programme so that students meet it early, formatively, and often, before it carries high stakes.</w:t>
      </w:r>
    </w:p>
    <w:p w14:paraId="043BA9E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a common viva protocol, sampling policy and rubric structure so that assessors can be trained once and moderation is possible across modules.</w:t>
      </w:r>
    </w:p>
    <w:p w14:paraId="7FF1142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Plan rooms, recording and assessor capacity at programme level; oral assessment fails on logistics before it fails on design.</w:t>
      </w:r>
    </w:p>
    <w:p w14:paraId="5E9FCA5A"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3322CDF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institutional policy on oral assessment: recording, consent, sampling, adjustments, appeals, and the relationship between viva and mark.</w:t>
      </w:r>
    </w:p>
    <w:p w14:paraId="59444C7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Fund assessor training on structured questioning and bias, and the postgraduate assessor capacity that scaling depends on.</w:t>
      </w:r>
    </w:p>
    <w:p w14:paraId="2C35E22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reasonable-adjustment guidance addresses oral formats specifically, with alternatives that preserve the evidence.</w:t>
      </w:r>
    </w:p>
    <w:p w14:paraId="2A327845" w14:textId="77777777" w:rsidR="00D16027" w:rsidRDefault="00000000">
      <w:pPr>
        <w:pStyle w:val="Heading2"/>
        <w:keepNext/>
      </w:pPr>
      <w:r>
        <w:t>Key references for this chapter</w:t>
      </w:r>
    </w:p>
    <w:p w14:paraId="6D3CB113" w14:textId="77777777" w:rsidR="00D16027" w:rsidRDefault="00000000">
      <w:pPr>
        <w:pStyle w:val="ListParagraph"/>
        <w:numPr>
          <w:ilvl w:val="0"/>
          <w:numId w:val="3"/>
        </w:numPr>
        <w:spacing w:before="30" w:after="50"/>
      </w:pPr>
      <w:r>
        <w:rPr>
          <w:color w:val="333333"/>
          <w:sz w:val="19"/>
          <w:szCs w:val="19"/>
        </w:rPr>
        <w:t xml:space="preserve">Barrows, H.S. (1993) An overview of the uses of standardized patients for teaching and evaluating clinical skills. </w:t>
      </w:r>
      <w:r>
        <w:rPr>
          <w:i/>
          <w:iCs/>
          <w:color w:val="333333"/>
          <w:sz w:val="19"/>
          <w:szCs w:val="19"/>
        </w:rPr>
        <w:t>Academic Medicine</w:t>
      </w:r>
      <w:r>
        <w:rPr>
          <w:color w:val="333333"/>
          <w:sz w:val="19"/>
          <w:szCs w:val="19"/>
        </w:rPr>
        <w:t>, 68(6), 443–451.</w:t>
      </w:r>
    </w:p>
    <w:p w14:paraId="4C622714" w14:textId="77777777" w:rsidR="00D16027" w:rsidRDefault="00000000">
      <w:pPr>
        <w:pStyle w:val="ListParagraph"/>
        <w:numPr>
          <w:ilvl w:val="0"/>
          <w:numId w:val="3"/>
        </w:numPr>
        <w:spacing w:before="30" w:after="50"/>
      </w:pPr>
      <w:r>
        <w:rPr>
          <w:color w:val="333333"/>
          <w:sz w:val="19"/>
          <w:szCs w:val="19"/>
        </w:rPr>
        <w:t xml:space="preserve">Bloxham, S., Boyd, P. &amp; Orr, S. (2011) Mark my words: the role of assessment criteria in UK higher education grading practices. </w:t>
      </w:r>
      <w:r>
        <w:rPr>
          <w:i/>
          <w:iCs/>
          <w:color w:val="333333"/>
          <w:sz w:val="19"/>
          <w:szCs w:val="19"/>
        </w:rPr>
        <w:t>Studies in Higher Education</w:t>
      </w:r>
      <w:r>
        <w:rPr>
          <w:color w:val="333333"/>
          <w:sz w:val="19"/>
          <w:szCs w:val="19"/>
        </w:rPr>
        <w:t>, 36(6), 655–670.</w:t>
      </w:r>
    </w:p>
    <w:p w14:paraId="6C8209CC"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53BEC7A7" w14:textId="77777777" w:rsidR="00D16027" w:rsidRDefault="00000000">
      <w:pPr>
        <w:pStyle w:val="ListParagraph"/>
        <w:numPr>
          <w:ilvl w:val="0"/>
          <w:numId w:val="3"/>
        </w:numPr>
        <w:spacing w:before="30" w:after="50"/>
      </w:pPr>
      <w:r>
        <w:rPr>
          <w:color w:val="333333"/>
          <w:sz w:val="19"/>
          <w:szCs w:val="19"/>
        </w:rPr>
        <w:t xml:space="preserve">Denny, P. et al. (2024) Computing education in the era of generative AI. </w:t>
      </w:r>
      <w:r>
        <w:rPr>
          <w:i/>
          <w:iCs/>
          <w:color w:val="333333"/>
          <w:sz w:val="19"/>
          <w:szCs w:val="19"/>
        </w:rPr>
        <w:t>Communications of the ACM</w:t>
      </w:r>
      <w:r>
        <w:rPr>
          <w:color w:val="333333"/>
          <w:sz w:val="19"/>
          <w:szCs w:val="19"/>
        </w:rPr>
        <w:t>, 67(2), 56–67.</w:t>
      </w:r>
    </w:p>
    <w:p w14:paraId="58FE24E9" w14:textId="77777777" w:rsidR="00D16027" w:rsidRDefault="00000000">
      <w:pPr>
        <w:pStyle w:val="ListParagraph"/>
        <w:numPr>
          <w:ilvl w:val="0"/>
          <w:numId w:val="3"/>
        </w:numPr>
        <w:spacing w:before="30" w:after="50"/>
      </w:pPr>
      <w:r>
        <w:rPr>
          <w:color w:val="333333"/>
          <w:sz w:val="19"/>
          <w:szCs w:val="19"/>
        </w:rPr>
        <w:t xml:space="preserve">Falchikov, N. &amp; Goldfinch, J. (2000) Student peer assessment in higher education: a meta-analysis comparing peer and teacher marks. </w:t>
      </w:r>
      <w:r>
        <w:rPr>
          <w:i/>
          <w:iCs/>
          <w:color w:val="333333"/>
          <w:sz w:val="19"/>
          <w:szCs w:val="19"/>
        </w:rPr>
        <w:t>Review of Educational Research</w:t>
      </w:r>
      <w:r>
        <w:rPr>
          <w:color w:val="333333"/>
          <w:sz w:val="19"/>
          <w:szCs w:val="19"/>
        </w:rPr>
        <w:t>, 70(3), 287–322.</w:t>
      </w:r>
    </w:p>
    <w:p w14:paraId="28DAF748" w14:textId="77777777" w:rsidR="00D16027" w:rsidRDefault="00000000">
      <w:pPr>
        <w:pStyle w:val="ListParagraph"/>
        <w:numPr>
          <w:ilvl w:val="0"/>
          <w:numId w:val="3"/>
        </w:numPr>
        <w:spacing w:before="30" w:after="50"/>
      </w:pPr>
      <w:r>
        <w:rPr>
          <w:color w:val="333333"/>
          <w:sz w:val="19"/>
          <w:szCs w:val="19"/>
        </w:rPr>
        <w:t xml:space="preserve">Harden, R.M. &amp; Gleeson, F.A. (1979) Assessment of clinical competence using an objective structured clinical examination (OSCE). </w:t>
      </w:r>
      <w:r>
        <w:rPr>
          <w:i/>
          <w:iCs/>
          <w:color w:val="333333"/>
          <w:sz w:val="19"/>
          <w:szCs w:val="19"/>
        </w:rPr>
        <w:t>Medical Education</w:t>
      </w:r>
      <w:r>
        <w:rPr>
          <w:color w:val="333333"/>
          <w:sz w:val="19"/>
          <w:szCs w:val="19"/>
        </w:rPr>
        <w:t>, 13(1), 39–54.</w:t>
      </w:r>
    </w:p>
    <w:p w14:paraId="734D4990" w14:textId="77777777" w:rsidR="00D16027" w:rsidRDefault="00000000">
      <w:pPr>
        <w:pStyle w:val="ListParagraph"/>
        <w:numPr>
          <w:ilvl w:val="0"/>
          <w:numId w:val="3"/>
        </w:numPr>
        <w:spacing w:before="30" w:after="50"/>
      </w:pPr>
      <w:r>
        <w:rPr>
          <w:color w:val="333333"/>
          <w:sz w:val="19"/>
          <w:szCs w:val="19"/>
        </w:rPr>
        <w:t xml:space="preserve">Huxham, M., Campbell, F. &amp; Westwood, J. (2012) Oral versus written assessments: a test of student performance and attitudes. </w:t>
      </w:r>
      <w:r>
        <w:rPr>
          <w:i/>
          <w:iCs/>
          <w:color w:val="333333"/>
          <w:sz w:val="19"/>
          <w:szCs w:val="19"/>
        </w:rPr>
        <w:t>Assessment &amp; Evaluation in Higher Education</w:t>
      </w:r>
      <w:r>
        <w:rPr>
          <w:color w:val="333333"/>
          <w:sz w:val="19"/>
          <w:szCs w:val="19"/>
        </w:rPr>
        <w:t>, 37(1), 125–136.</w:t>
      </w:r>
    </w:p>
    <w:p w14:paraId="770C134B" w14:textId="77777777" w:rsidR="00D16027" w:rsidRDefault="00000000">
      <w:pPr>
        <w:pStyle w:val="ListParagraph"/>
        <w:numPr>
          <w:ilvl w:val="0"/>
          <w:numId w:val="3"/>
        </w:numPr>
        <w:spacing w:before="30" w:after="50"/>
      </w:pPr>
      <w:r>
        <w:rPr>
          <w:color w:val="333333"/>
          <w:sz w:val="19"/>
          <w:szCs w:val="19"/>
        </w:rPr>
        <w:t xml:space="preserve">Joughin, G. (1998) Dimensions of oral assessment. </w:t>
      </w:r>
      <w:r>
        <w:rPr>
          <w:i/>
          <w:iCs/>
          <w:color w:val="333333"/>
          <w:sz w:val="19"/>
          <w:szCs w:val="19"/>
        </w:rPr>
        <w:t>Assessment &amp; Evaluation in Higher Education</w:t>
      </w:r>
      <w:r>
        <w:rPr>
          <w:color w:val="333333"/>
          <w:sz w:val="19"/>
          <w:szCs w:val="19"/>
        </w:rPr>
        <w:t>, 23(4), 367–378.</w:t>
      </w:r>
    </w:p>
    <w:p w14:paraId="254D195C" w14:textId="77777777" w:rsidR="00D16027" w:rsidRDefault="00000000">
      <w:pPr>
        <w:pStyle w:val="ListParagraph"/>
        <w:numPr>
          <w:ilvl w:val="0"/>
          <w:numId w:val="3"/>
        </w:numPr>
        <w:spacing w:before="30" w:after="50"/>
      </w:pPr>
      <w:r>
        <w:rPr>
          <w:color w:val="333333"/>
          <w:sz w:val="19"/>
          <w:szCs w:val="19"/>
        </w:rPr>
        <w:t xml:space="preserve">Moorhouse, B.L., Yeo, M.A. &amp; Li, Y. (2023) Generative AI tools and assessment: guidelines of the world's top-ranking universities. </w:t>
      </w:r>
      <w:r>
        <w:rPr>
          <w:i/>
          <w:iCs/>
          <w:color w:val="333333"/>
          <w:sz w:val="19"/>
          <w:szCs w:val="19"/>
        </w:rPr>
        <w:t>Computers and Education Open</w:t>
      </w:r>
      <w:r>
        <w:rPr>
          <w:color w:val="333333"/>
          <w:sz w:val="19"/>
          <w:szCs w:val="19"/>
        </w:rPr>
        <w:t>, 5, 100151.</w:t>
      </w:r>
    </w:p>
    <w:p w14:paraId="19D2B4AB"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4369BA38"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4A19D5BA" w14:textId="77777777" w:rsidR="00D16027" w:rsidRDefault="00000000">
      <w:pPr>
        <w:pStyle w:val="ListParagraph"/>
        <w:numPr>
          <w:ilvl w:val="0"/>
          <w:numId w:val="3"/>
        </w:numPr>
        <w:spacing w:before="30" w:after="50"/>
      </w:pPr>
      <w:r>
        <w:rPr>
          <w:color w:val="333333"/>
          <w:sz w:val="19"/>
          <w:szCs w:val="19"/>
        </w:rPr>
        <w:lastRenderedPageBreak/>
        <w:t xml:space="preserve">Regehr, G., MacRae, H., Reznick, R.K. &amp; Szalay, D. (1998) Comparing the psychometric properties of checklists and global rating scales for assessing performance on an OSCE-format examination. </w:t>
      </w:r>
      <w:r>
        <w:rPr>
          <w:i/>
          <w:iCs/>
          <w:color w:val="333333"/>
          <w:sz w:val="19"/>
          <w:szCs w:val="19"/>
        </w:rPr>
        <w:t>Academic Medicine</w:t>
      </w:r>
      <w:r>
        <w:rPr>
          <w:color w:val="333333"/>
          <w:sz w:val="19"/>
          <w:szCs w:val="19"/>
        </w:rPr>
        <w:t>, 73(9), 993–997.</w:t>
      </w:r>
    </w:p>
    <w:p w14:paraId="5C29232D" w14:textId="77777777" w:rsidR="00D16027" w:rsidRDefault="00000000">
      <w:pPr>
        <w:pStyle w:val="ListParagraph"/>
        <w:numPr>
          <w:ilvl w:val="0"/>
          <w:numId w:val="3"/>
        </w:numPr>
        <w:spacing w:before="30" w:after="50"/>
      </w:pPr>
      <w:proofErr w:type="spellStart"/>
      <w:r>
        <w:rPr>
          <w:color w:val="333333"/>
          <w:sz w:val="19"/>
          <w:szCs w:val="19"/>
        </w:rPr>
        <w:t>Sotiriadou</w:t>
      </w:r>
      <w:proofErr w:type="spellEnd"/>
      <w:r>
        <w:rPr>
          <w:color w:val="333333"/>
          <w:sz w:val="19"/>
          <w:szCs w:val="19"/>
        </w:rPr>
        <w:t xml:space="preserve">, P., Logan, D., Daly, A. &amp; Guest, R. (2020) The role of authentic assessment to preserve academic integrity and promote skill development and employability. </w:t>
      </w:r>
      <w:r>
        <w:rPr>
          <w:i/>
          <w:iCs/>
          <w:color w:val="333333"/>
          <w:sz w:val="19"/>
          <w:szCs w:val="19"/>
        </w:rPr>
        <w:t>Studies in Higher Education</w:t>
      </w:r>
      <w:r>
        <w:rPr>
          <w:color w:val="333333"/>
          <w:sz w:val="19"/>
          <w:szCs w:val="19"/>
        </w:rPr>
        <w:t>, 45(11), 2132–2148.</w:t>
      </w:r>
    </w:p>
    <w:p w14:paraId="313750B0" w14:textId="77777777" w:rsidR="00D16027" w:rsidRDefault="00000000">
      <w:pPr>
        <w:pStyle w:val="ListParagraph"/>
        <w:numPr>
          <w:ilvl w:val="0"/>
          <w:numId w:val="3"/>
        </w:numPr>
        <w:spacing w:before="30" w:after="50"/>
      </w:pPr>
      <w:r>
        <w:rPr>
          <w:color w:val="333333"/>
          <w:sz w:val="19"/>
          <w:szCs w:val="19"/>
        </w:rPr>
        <w:t xml:space="preserve">Stray, C. (2001) The shift from oral to written examination: Cambridge and Oxford 1700–1900. </w:t>
      </w:r>
      <w:r>
        <w:rPr>
          <w:i/>
          <w:iCs/>
          <w:color w:val="333333"/>
          <w:sz w:val="19"/>
          <w:szCs w:val="19"/>
        </w:rPr>
        <w:t>Assessment in Education</w:t>
      </w:r>
      <w:r>
        <w:rPr>
          <w:color w:val="333333"/>
          <w:sz w:val="19"/>
          <w:szCs w:val="19"/>
        </w:rPr>
        <w:t>, 8(1), 33–50.</w:t>
      </w:r>
    </w:p>
    <w:p w14:paraId="321F3386" w14:textId="77777777" w:rsidR="00D16027" w:rsidRDefault="00000000">
      <w:pPr>
        <w:pStyle w:val="ListParagraph"/>
        <w:numPr>
          <w:ilvl w:val="0"/>
          <w:numId w:val="3"/>
        </w:numPr>
        <w:spacing w:before="30" w:after="50"/>
      </w:pPr>
      <w:r>
        <w:rPr>
          <w:color w:val="333333"/>
          <w:sz w:val="19"/>
          <w:szCs w:val="19"/>
        </w:rPr>
        <w:t xml:space="preserve">van der Vleuten, C.P.M. et al. (2012) A model for programmatic assessment fit for purpose. </w:t>
      </w:r>
      <w:r>
        <w:rPr>
          <w:i/>
          <w:iCs/>
          <w:color w:val="333333"/>
          <w:sz w:val="19"/>
          <w:szCs w:val="19"/>
        </w:rPr>
        <w:t>Medical Teacher</w:t>
      </w:r>
      <w:r>
        <w:rPr>
          <w:color w:val="333333"/>
          <w:sz w:val="19"/>
          <w:szCs w:val="19"/>
        </w:rPr>
        <w:t>, 34(3), 205–214.</w:t>
      </w:r>
    </w:p>
    <w:p w14:paraId="72086F5F" w14:textId="77777777" w:rsidR="00D16027" w:rsidRDefault="00000000">
      <w:pPr>
        <w:pStyle w:val="ListParagraph"/>
        <w:numPr>
          <w:ilvl w:val="0"/>
          <w:numId w:val="3"/>
        </w:numPr>
        <w:spacing w:before="30" w:after="50"/>
      </w:pPr>
      <w:r>
        <w:rPr>
          <w:color w:val="333333"/>
          <w:sz w:val="19"/>
          <w:szCs w:val="19"/>
        </w:rPr>
        <w:t xml:space="preserve">Ward, M., Crehan, M., Girme, L., Thangaraj, J. &amp; O'Riordan, F. (2025) </w:t>
      </w:r>
      <w:r>
        <w:rPr>
          <w:i/>
          <w:iCs/>
          <w:color w:val="333333"/>
          <w:sz w:val="19"/>
          <w:szCs w:val="19"/>
        </w:rPr>
        <w:t>Interactive Oral Assessment: A Model for Robust and Authentic Assessment Design</w:t>
      </w:r>
      <w:r>
        <w:rPr>
          <w:color w:val="333333"/>
          <w:sz w:val="19"/>
          <w:szCs w:val="19"/>
        </w:rPr>
        <w:t>. Dublin: Dublin City University / Quality and Qualifications Ireland.</w:t>
      </w:r>
    </w:p>
    <w:p w14:paraId="48A58B98" w14:textId="77777777" w:rsidR="00D16027" w:rsidRDefault="00000000">
      <w:pPr>
        <w:pStyle w:val="ListParagraph"/>
        <w:numPr>
          <w:ilvl w:val="0"/>
          <w:numId w:val="3"/>
        </w:numPr>
        <w:spacing w:before="30" w:after="50"/>
      </w:pPr>
      <w:r>
        <w:rPr>
          <w:color w:val="333333"/>
          <w:sz w:val="19"/>
          <w:szCs w:val="19"/>
        </w:rPr>
        <w:t xml:space="preserve">Ward, M., O'Riordan, F., Logan-Fleming, D., Cooke, D., Concannon-Gibney, T., Efthymiou, M. &amp; Watkins, N. (2024) Interactive oral assessment case studies: an innovative, academically rigorous, authentic assessment approach. </w:t>
      </w:r>
      <w:r>
        <w:rPr>
          <w:i/>
          <w:iCs/>
          <w:color w:val="333333"/>
          <w:sz w:val="19"/>
          <w:szCs w:val="19"/>
        </w:rPr>
        <w:t>Innovations in Education and Teaching International</w:t>
      </w:r>
      <w:r>
        <w:rPr>
          <w:color w:val="333333"/>
          <w:sz w:val="19"/>
          <w:szCs w:val="19"/>
        </w:rPr>
        <w:t>, 61(5), 930–947.</w:t>
      </w:r>
    </w:p>
    <w:p w14:paraId="11E91845" w14:textId="77777777" w:rsidR="00D16027" w:rsidRDefault="00000000">
      <w:r>
        <w:br w:type="page"/>
      </w:r>
    </w:p>
    <w:p w14:paraId="3654BE92" w14:textId="77777777" w:rsidR="00D16027" w:rsidRDefault="00D16027">
      <w:pPr>
        <w:spacing w:after="800"/>
      </w:pPr>
    </w:p>
    <w:p w14:paraId="6C1FC705" w14:textId="77777777" w:rsidR="00D16027" w:rsidRDefault="00000000">
      <w:pPr>
        <w:spacing w:after="60"/>
      </w:pPr>
      <w:r>
        <w:rPr>
          <w:b/>
          <w:bCs/>
          <w:vanish/>
          <w:color w:val="2E75B6"/>
          <w:sz w:val="30"/>
          <w:szCs w:val="30"/>
        </w:rPr>
        <w:t>PART IV</w:t>
      </w:r>
    </w:p>
    <w:p w14:paraId="1A22FECF" w14:textId="77777777" w:rsidR="00D16027" w:rsidRDefault="00000000">
      <w:pPr>
        <w:pStyle w:val="Heading1"/>
        <w:keepNext/>
        <w:pBdr>
          <w:bottom w:val="single" w:sz="12" w:space="6" w:color="2E75B6"/>
        </w:pBdr>
        <w:spacing w:after="200"/>
      </w:pPr>
      <w:r>
        <w:rPr>
          <w:sz w:val="48"/>
          <w:szCs w:val="48"/>
        </w:rPr>
        <w:t>Part IV: Designing AI-Integrated Assessments</w:t>
      </w:r>
    </w:p>
    <w:p w14:paraId="4B960591" w14:textId="77777777" w:rsidR="00D16027" w:rsidRDefault="00000000">
      <w:pPr>
        <w:spacing w:before="200" w:after="120"/>
      </w:pPr>
      <w:r>
        <w:rPr>
          <w:i/>
          <w:iCs/>
          <w:color w:val="555555"/>
          <w:sz w:val="23"/>
          <w:szCs w:val="23"/>
        </w:rPr>
        <w:t>Using AI within the assessment, using AI to improve feedback, and using AI in marking and moderation, each with the principles that keep it responsible.</w:t>
      </w:r>
    </w:p>
    <w:p w14:paraId="5560789F" w14:textId="77777777" w:rsidR="00D16027" w:rsidRDefault="00000000">
      <w:r>
        <w:br w:type="page"/>
      </w:r>
    </w:p>
    <w:p w14:paraId="710049A5" w14:textId="77777777" w:rsidR="00D16027" w:rsidRDefault="00000000">
      <w:pPr>
        <w:keepNext/>
        <w:spacing w:after="40"/>
      </w:pPr>
      <w:r>
        <w:rPr>
          <w:b/>
          <w:bCs/>
          <w:caps/>
          <w:color w:val="2E75B6"/>
          <w:sz w:val="22"/>
          <w:szCs w:val="22"/>
        </w:rPr>
        <w:lastRenderedPageBreak/>
        <w:t>CHAPTER 11</w:t>
      </w:r>
    </w:p>
    <w:p w14:paraId="33162FA2" w14:textId="77777777" w:rsidR="00D16027" w:rsidRDefault="00000000">
      <w:pPr>
        <w:pStyle w:val="Heading1"/>
        <w:keepNext/>
      </w:pPr>
      <w:r>
        <w:t>AI as a Tool Within the Assessment</w:t>
      </w:r>
    </w:p>
    <w:p w14:paraId="752E3AE1" w14:textId="77777777" w:rsidR="00D16027" w:rsidRDefault="00000000">
      <w:pPr>
        <w:pBdr>
          <w:left w:val="single" w:sz="14" w:space="10" w:color="2E75B6"/>
        </w:pBdr>
        <w:shd w:val="clear" w:color="auto" w:fill="EAF3FB"/>
        <w:spacing w:after="200"/>
      </w:pPr>
      <w:r>
        <w:rPr>
          <w:i/>
          <w:iCs/>
          <w:color w:val="333333"/>
        </w:rPr>
        <w:t>In many professional contexts graduates will be expected to use AI competently and critically. Assessments that require students to engage with AI, rather than prohibiting it, can assess valuable capabilities while remaining robust to substitution, because the student's judgement about the AI's output is what is assessed. This chapter is a practical guide to designing such tasks.</w:t>
      </w:r>
    </w:p>
    <w:p w14:paraId="0995D29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53BB858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Make the case for AI-integrated assessment on grounds of employability, AI literacy and evaluative judgement</w:t>
      </w:r>
    </w:p>
    <w:p w14:paraId="5BFD594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Design four types of integrated task: problem formulation and prompting, AI critique, defined human–AI collaboration, and declaration with reflection</w:t>
      </w:r>
    </w:p>
    <w:p w14:paraId="2156506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assessment criteria that describe quality when AI use is permitted or required</w:t>
      </w:r>
    </w:p>
    <w:p w14:paraId="0757834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Build guardrails against learning offloading, and protect data and equity</w:t>
      </w:r>
    </w:p>
    <w:p w14:paraId="4354A219" w14:textId="77777777" w:rsidR="00D16027" w:rsidRDefault="00000000">
      <w:pPr>
        <w:pStyle w:val="Heading2"/>
        <w:keepNext/>
      </w:pPr>
      <w:r>
        <w:t>11.1 The rationale</w:t>
      </w:r>
    </w:p>
    <w:p w14:paraId="20DB685C" w14:textId="77777777" w:rsidR="00D16027" w:rsidRDefault="00000000">
      <w:pPr>
        <w:spacing w:after="140"/>
      </w:pPr>
      <w:r>
        <w:t>The first of the two principles in the Australian regulator's expert report is that assessment should equip students to participate ethically and actively in a society pervaded by AI (Lodge et al. 2023). The Russell Group (2023) made AI literacy its first principle. UNESCO (2024) published competency frameworks for students and teachers. The reason is not fashion but the labour market: lawyers, clinicians, engineers, analysts, designers, teachers and journalists are already working with generative tools, and employers expect graduates to do so competently and with judgement. Students know this. Career relevance was the strongest motivation in Chan and Hu's (2023) survey, and the Digital Education Council (2024) found 48% of students feeling unprepared for an AI-enabled workplace. A programme that bans AI from every assessment leaves its graduates to learn the most consequential professional tool of their generation unsupervised.</w:t>
      </w:r>
    </w:p>
    <w:p w14:paraId="1C3F4BA5" w14:textId="77777777" w:rsidR="00D16027" w:rsidRDefault="00000000">
      <w:pPr>
        <w:spacing w:after="140"/>
      </w:pPr>
      <w:r>
        <w:t xml:space="preserve">Integration has a second justification that is evidential rather than vocational. When the object of assessment is the student's judgement about AI output, the task is resilient by construction: pasting a prompt and its answer does not complete it. Bearman and </w:t>
      </w:r>
      <w:proofErr w:type="spellStart"/>
      <w:r>
        <w:t>Ajjawi</w:t>
      </w:r>
      <w:proofErr w:type="spellEnd"/>
      <w:r>
        <w:t xml:space="preserve"> (2023) describe the pedagogy of working with a black box, and Bearman, Tai, Dawson, Boud and </w:t>
      </w:r>
      <w:proofErr w:type="spellStart"/>
      <w:r>
        <w:t>Ajjawi</w:t>
      </w:r>
      <w:proofErr w:type="spellEnd"/>
      <w:r>
        <w:t xml:space="preserve"> (2024) argue that evaluative judgement, the capacity to decide whether work is good and why (Tai et al. 2018), is the graduate capability that matters most in an AI-rich world. Integrated tasks are where it is developed and assessed.</w:t>
      </w:r>
    </w:p>
    <w:p w14:paraId="4345B196" w14:textId="77777777" w:rsidR="00D16027" w:rsidRDefault="00000000">
      <w:pPr>
        <w:pStyle w:val="Heading2"/>
        <w:keepNext/>
      </w:pPr>
      <w:r>
        <w:t>11.2 The design principle</w:t>
      </w:r>
    </w:p>
    <w:p w14:paraId="63BAAD9E" w14:textId="77777777" w:rsidR="00D16027" w:rsidRDefault="00000000">
      <w:pPr>
        <w:pBdr>
          <w:left w:val="single" w:sz="14" w:space="10" w:color="2E75B6"/>
        </w:pBdr>
        <w:shd w:val="clear" w:color="auto" w:fill="EAF3FB"/>
        <w:spacing w:before="80" w:after="160"/>
      </w:pPr>
      <w:r>
        <w:rPr>
          <w:b/>
          <w:bCs/>
          <w:color w:val="333333"/>
        </w:rPr>
        <w:t>The student must contribute what the AI cannot.</w:t>
      </w:r>
      <w:r>
        <w:rPr>
          <w:color w:val="333333"/>
        </w:rPr>
        <w:t xml:space="preserve"> In every integrated task, the brief specifies what the student adds: judgement about quality, specific context or data, verification against sources, ethical reasoning, or a decision they are accountable for. If a task can be completed by submitting a prompt and its output, it is not integrated; it is abdicated.</w:t>
      </w:r>
    </w:p>
    <w:p w14:paraId="0BA37658" w14:textId="77777777" w:rsidR="00D16027" w:rsidRDefault="00000000">
      <w:pPr>
        <w:spacing w:after="140"/>
      </w:pPr>
      <w:r>
        <w:t xml:space="preserve">Four contributions recur. </w:t>
      </w:r>
      <w:r>
        <w:rPr>
          <w:i/>
          <w:iCs/>
        </w:rPr>
        <w:t>Judgement</w:t>
      </w:r>
      <w:r>
        <w:t xml:space="preserve">: deciding whether the output is correct, complete, appropriate and good. </w:t>
      </w:r>
      <w:r>
        <w:rPr>
          <w:i/>
          <w:iCs/>
        </w:rPr>
        <w:t>Context</w:t>
      </w:r>
      <w:r>
        <w:t xml:space="preserve">: supplying what the model does not have, from the client, the data, the placement or the seminar. </w:t>
      </w:r>
      <w:r>
        <w:rPr>
          <w:i/>
          <w:iCs/>
        </w:rPr>
        <w:t>Verification</w:t>
      </w:r>
      <w:r>
        <w:t xml:space="preserve">: checking claims, sources and calculations against authorities the student can cite. </w:t>
      </w:r>
      <w:r>
        <w:rPr>
          <w:i/>
          <w:iCs/>
        </w:rPr>
        <w:t>Ethics and accountability</w:t>
      </w:r>
      <w:r>
        <w:t>: deciding what should and should not be delegated, and owning the result. Mollick and Mollick (2023) offer seven pedagogical roles for AI, from tutor and coach to simulator and student; the assessment task should name which role the AI plays and which the student retains.</w:t>
      </w:r>
    </w:p>
    <w:p w14:paraId="18FFCFAF" w14:textId="77777777" w:rsidR="00D16027" w:rsidRDefault="00000000">
      <w:pPr>
        <w:pStyle w:val="Heading2"/>
        <w:keepNext/>
      </w:pPr>
      <w:r>
        <w:t>11.3 Task type one: problem formulation and prompting</w:t>
      </w:r>
    </w:p>
    <w:p w14:paraId="28CF2B84" w14:textId="77777777" w:rsidR="00D16027" w:rsidRDefault="00000000">
      <w:pPr>
        <w:spacing w:after="140"/>
      </w:pPr>
      <w:r>
        <w:t xml:space="preserve">Prompting has been marketed as a skill in itself. The durable capability underneath it is older: specifying a problem precisely enough that a competent agent, human or artificial, can act on it. A good prompt states the role, the context, the constraints, the format and the criteria for success, and a good prompter iterates when the output falls short. Assessable artefacts include a prompt log with </w:t>
      </w:r>
      <w:r>
        <w:lastRenderedPageBreak/>
        <w:t>the rationale for each revision, a comparison of outputs across prompts with an explanation of the differences, and an account of why a prompt failed. Cardon et al. (2023) describe this as a component of AI literacy for professional writing. Two cautions. Models are increasingly good at inferring intent from vague prompts, so the surface skill is transient; assess problem formulation, which is not. And do not let the prompt log become a new generic product: require the log to be tied to a specific disciplinary problem and discussed.</w:t>
      </w:r>
    </w:p>
    <w:p w14:paraId="2EC5309C" w14:textId="77777777" w:rsidR="00D16027" w:rsidRDefault="00000000">
      <w:pPr>
        <w:pStyle w:val="Heading2"/>
        <w:keepNext/>
      </w:pPr>
      <w:r>
        <w:t>11.4 Task type two: AI critique and correction</w:t>
      </w:r>
    </w:p>
    <w:p w14:paraId="5DE6995A" w14:textId="77777777" w:rsidR="00D16027" w:rsidRDefault="00000000">
      <w:pPr>
        <w:spacing w:after="140"/>
      </w:pPr>
      <w:r>
        <w:t xml:space="preserve">The most robust integrated design gives students AI output and requires them to evaluate it. The output may be supplied by the tutor or generated by the student under instruction. The task is to identify errors, omissions, biases and unsupported claims; to verify against sources the student can cite; to correct; and to explain what the AI got wrong and why. Walters and Wilder (2023) showed how readily models fabricate references; asking students to check a generated bibliography against a library catalogue is a small but formative exercise. The design generalises across disciplines: a differential diagnosis to be audited against guidelines in medicine; an account of an event to be tested against primary sources in history; a contract clause to be redrafted in law; a statistical analysis with a planted error in quantitative methods; a machine translation to be post-edited with commentary in languages (Jang &amp; </w:t>
      </w:r>
      <w:proofErr w:type="spellStart"/>
      <w:r>
        <w:t>Sawaki</w:t>
      </w:r>
      <w:proofErr w:type="spellEnd"/>
      <w:r>
        <w:t xml:space="preserve"> 2025); a design calculation to be checked in engineering. Criteria reward the accuracy and completeness of error detection, the quality of verification, and the depth of the explanation. The student's judgement is the product.</w:t>
      </w:r>
    </w:p>
    <w:p w14:paraId="7295F2E0" w14:textId="77777777" w:rsidR="00D16027" w:rsidRDefault="00000000">
      <w:pPr>
        <w:pStyle w:val="Heading2"/>
        <w:keepNext/>
      </w:pPr>
      <w:r>
        <w:t>11.5 Task type three: defined human–AI collaboration</w:t>
      </w:r>
    </w:p>
    <w:p w14:paraId="7D936BC4" w14:textId="77777777" w:rsidR="00D16027" w:rsidRDefault="00000000">
      <w:pPr>
        <w:spacing w:after="140"/>
      </w:pPr>
      <w:r>
        <w:t xml:space="preserve">Here the student produces an artefact with AI assistance, and the brief specifies the division of labour. The student must supply the context, the data, the decisions or the ethical reasoning; the AI may draft, restructure, generate options or explain. What is assessed is the </w:t>
      </w:r>
      <w:r>
        <w:rPr>
          <w:i/>
          <w:iCs/>
        </w:rPr>
        <w:t>delta</w:t>
      </w:r>
      <w:r>
        <w:t>: the difference between the AI's contribution and the final artefact, and the reasoning behind it. Practical mechanisms include submitting the AI draft alongside the final with tracked changes; a decision log recording what was accepted, rejected and altered; and a conversation about a change the assessor selects. In computing, Denny et al. (2024) describe assessment shifting from writing code to specifying, reviewing and explaining it; a code review of AI-generated functions with a live walkthrough is now a standard design. In architecture and design, AI ideation followed by defended selection at the crit fits the same pattern. The AI Assessment Scale places these tasks at Level 4 (Perkins et al. 2024), and Furze et al. (2024) report that students found the explicitness of the division of labour clarifying rather than restrictive.</w:t>
      </w:r>
    </w:p>
    <w:p w14:paraId="1B9A29BA" w14:textId="77777777" w:rsidR="00D16027" w:rsidRDefault="00000000">
      <w:pPr>
        <w:pStyle w:val="Heading2"/>
        <w:keepNext/>
      </w:pPr>
      <w:r>
        <w:t>11.6 Task type four: declaration and reflection</w:t>
      </w:r>
    </w:p>
    <w:p w14:paraId="043F913A" w14:textId="77777777" w:rsidR="00D16027" w:rsidRDefault="00000000">
      <w:pPr>
        <w:spacing w:after="140"/>
      </w:pPr>
      <w:r>
        <w:t>Declaration is the minimum condition of honest integration and is discussed as an integrity mechanism in Chapter 15. As an assessed element it is more than a form. A structured declaration states which tools were used, for which parts of the work, how the output was used and how it was verified. A reflection asks what the AI did well, where it failed, what the student learned about the task by watching it fail, and what they would delegate next time. Fan et al. (2025) identify metacognitive laziness as the central learning risk of AI use; structured reflection on one's own use is the direct counter. Three design rules make declarations honest: keep them low-stakes and non-punitive, so that accuracy is not penalised; never treat a truthful declaration as evidence of misconduct; and assess the reflection on specificity, as with any reflective writing (Chapter 8).</w:t>
      </w:r>
    </w:p>
    <w:p w14:paraId="15B30A95" w14:textId="77777777" w:rsidR="00D16027" w:rsidRDefault="00000000">
      <w:pPr>
        <w:pStyle w:val="Heading2"/>
        <w:keepNext/>
      </w:pPr>
      <w:r>
        <w:t>11.7 Criteria for AI-integrated tasks</w:t>
      </w:r>
    </w:p>
    <w:p w14:paraId="10A9A590" w14:textId="77777777" w:rsidR="00D16027" w:rsidRDefault="00000000">
      <w:pPr>
        <w:spacing w:after="140"/>
      </w:pPr>
      <w:r>
        <w:t>Rubrics written for AI-free work do not transfer. When AI use is permitted, fluency, structure and coverage no longer discriminate, and criteria must describe the human contribution.</w:t>
      </w:r>
    </w:p>
    <w:p w14:paraId="574137F7" w14:textId="77777777" w:rsidR="00D16027" w:rsidRDefault="00000000">
      <w:pPr>
        <w:keepNext/>
        <w:spacing w:before="160" w:after="80"/>
      </w:pPr>
      <w:r>
        <w:rPr>
          <w:b/>
          <w:bCs/>
          <w:color w:val="1A4F7A"/>
          <w:sz w:val="20"/>
          <w:szCs w:val="20"/>
        </w:rPr>
        <w:lastRenderedPageBreak/>
        <w:t>Table 11.1  Criteria for AI-integrated tasks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3086"/>
      </w:tblGrid>
      <w:tr w:rsidR="00D16027" w14:paraId="3FC9704B" w14:textId="77777777">
        <w:tblPrEx>
          <w:tblCellMar>
            <w:top w:w="0" w:type="dxa"/>
            <w:bottom w:w="0" w:type="dxa"/>
          </w:tblCellMar>
        </w:tblPrEx>
        <w:trPr>
          <w:cantSplit/>
          <w:tblHeader/>
        </w:trPr>
        <w:tc>
          <w:tcPr>
            <w:tcW w:w="2300" w:type="dxa"/>
            <w:shd w:val="clear" w:color="auto" w:fill="2E75B6"/>
            <w:tcMar>
              <w:top w:w="70" w:type="dxa"/>
              <w:left w:w="100" w:type="dxa"/>
              <w:bottom w:w="70" w:type="dxa"/>
              <w:right w:w="100" w:type="dxa"/>
            </w:tcMar>
          </w:tcPr>
          <w:p w14:paraId="7C0CD079" w14:textId="77777777" w:rsidR="00D16027" w:rsidRDefault="00000000">
            <w:r>
              <w:rPr>
                <w:b/>
                <w:bCs/>
                <w:color w:val="FFFFFF"/>
                <w:sz w:val="19"/>
                <w:szCs w:val="19"/>
              </w:rPr>
              <w:t>Criterion</w:t>
            </w:r>
          </w:p>
        </w:tc>
        <w:tc>
          <w:tcPr>
            <w:tcW w:w="4000" w:type="dxa"/>
            <w:shd w:val="clear" w:color="auto" w:fill="2E75B6"/>
            <w:tcMar>
              <w:top w:w="70" w:type="dxa"/>
              <w:left w:w="100" w:type="dxa"/>
              <w:bottom w:w="70" w:type="dxa"/>
              <w:right w:w="100" w:type="dxa"/>
            </w:tcMar>
          </w:tcPr>
          <w:p w14:paraId="12A6B8AE" w14:textId="77777777" w:rsidR="00D16027" w:rsidRDefault="00000000">
            <w:r>
              <w:rPr>
                <w:b/>
                <w:bCs/>
                <w:color w:val="FFFFFF"/>
                <w:sz w:val="19"/>
                <w:szCs w:val="19"/>
              </w:rPr>
              <w:t>High standard looks like</w:t>
            </w:r>
          </w:p>
        </w:tc>
        <w:tc>
          <w:tcPr>
            <w:tcW w:w="3086" w:type="dxa"/>
            <w:shd w:val="clear" w:color="auto" w:fill="2E75B6"/>
            <w:tcMar>
              <w:top w:w="70" w:type="dxa"/>
              <w:left w:w="100" w:type="dxa"/>
              <w:bottom w:w="70" w:type="dxa"/>
              <w:right w:w="100" w:type="dxa"/>
            </w:tcMar>
          </w:tcPr>
          <w:p w14:paraId="2107B578" w14:textId="77777777" w:rsidR="00D16027" w:rsidRDefault="00000000">
            <w:r>
              <w:rPr>
                <w:b/>
                <w:bCs/>
                <w:color w:val="FFFFFF"/>
                <w:sz w:val="19"/>
                <w:szCs w:val="19"/>
              </w:rPr>
              <w:t>Evidence</w:t>
            </w:r>
          </w:p>
        </w:tc>
      </w:tr>
      <w:tr w:rsidR="00D16027" w14:paraId="0F029181" w14:textId="77777777">
        <w:tblPrEx>
          <w:tblCellMar>
            <w:top w:w="0" w:type="dxa"/>
            <w:bottom w:w="0" w:type="dxa"/>
          </w:tblCellMar>
        </w:tblPrEx>
        <w:trPr>
          <w:cantSplit/>
        </w:trPr>
        <w:tc>
          <w:tcPr>
            <w:tcW w:w="2300" w:type="dxa"/>
            <w:tcMar>
              <w:top w:w="70" w:type="dxa"/>
              <w:left w:w="100" w:type="dxa"/>
              <w:bottom w:w="70" w:type="dxa"/>
              <w:right w:w="100" w:type="dxa"/>
            </w:tcMar>
          </w:tcPr>
          <w:p w14:paraId="2DE5D3D3" w14:textId="77777777" w:rsidR="00D16027" w:rsidRDefault="00000000">
            <w:r>
              <w:rPr>
                <w:sz w:val="19"/>
                <w:szCs w:val="19"/>
              </w:rPr>
              <w:t>Problem formulation</w:t>
            </w:r>
          </w:p>
        </w:tc>
        <w:tc>
          <w:tcPr>
            <w:tcW w:w="4000" w:type="dxa"/>
            <w:tcMar>
              <w:top w:w="70" w:type="dxa"/>
              <w:left w:w="100" w:type="dxa"/>
              <w:bottom w:w="70" w:type="dxa"/>
              <w:right w:w="100" w:type="dxa"/>
            </w:tcMar>
          </w:tcPr>
          <w:p w14:paraId="64FC12AD" w14:textId="77777777" w:rsidR="00D16027" w:rsidRDefault="00000000">
            <w:r>
              <w:rPr>
                <w:sz w:val="19"/>
                <w:szCs w:val="19"/>
              </w:rPr>
              <w:t>The task is specified precisely; constraints and success criteria are explicit; prompts are revised in response to output</w:t>
            </w:r>
          </w:p>
        </w:tc>
        <w:tc>
          <w:tcPr>
            <w:tcW w:w="3086" w:type="dxa"/>
            <w:tcMar>
              <w:top w:w="70" w:type="dxa"/>
              <w:left w:w="100" w:type="dxa"/>
              <w:bottom w:w="70" w:type="dxa"/>
              <w:right w:w="100" w:type="dxa"/>
            </w:tcMar>
          </w:tcPr>
          <w:p w14:paraId="35656C90" w14:textId="77777777" w:rsidR="00D16027" w:rsidRDefault="00000000">
            <w:r>
              <w:rPr>
                <w:sz w:val="19"/>
                <w:szCs w:val="19"/>
              </w:rPr>
              <w:t>Prompt log with rationale; comparison of outputs</w:t>
            </w:r>
          </w:p>
        </w:tc>
      </w:tr>
      <w:tr w:rsidR="00D16027" w14:paraId="6FA22123" w14:textId="77777777">
        <w:tblPrEx>
          <w:tblCellMar>
            <w:top w:w="0" w:type="dxa"/>
            <w:bottom w:w="0" w:type="dxa"/>
          </w:tblCellMar>
        </w:tblPrEx>
        <w:trPr>
          <w:cantSplit/>
        </w:trPr>
        <w:tc>
          <w:tcPr>
            <w:tcW w:w="2300" w:type="dxa"/>
            <w:tcMar>
              <w:top w:w="70" w:type="dxa"/>
              <w:left w:w="100" w:type="dxa"/>
              <w:bottom w:w="70" w:type="dxa"/>
              <w:right w:w="100" w:type="dxa"/>
            </w:tcMar>
          </w:tcPr>
          <w:p w14:paraId="7094B663" w14:textId="77777777" w:rsidR="00D16027" w:rsidRDefault="00000000">
            <w:r>
              <w:rPr>
                <w:sz w:val="19"/>
                <w:szCs w:val="19"/>
              </w:rPr>
              <w:t>Critical evaluation of AI output</w:t>
            </w:r>
          </w:p>
        </w:tc>
        <w:tc>
          <w:tcPr>
            <w:tcW w:w="4000" w:type="dxa"/>
            <w:tcMar>
              <w:top w:w="70" w:type="dxa"/>
              <w:left w:w="100" w:type="dxa"/>
              <w:bottom w:w="70" w:type="dxa"/>
              <w:right w:w="100" w:type="dxa"/>
            </w:tcMar>
          </w:tcPr>
          <w:p w14:paraId="1425DA78" w14:textId="77777777" w:rsidR="00D16027" w:rsidRDefault="00000000">
            <w:r>
              <w:rPr>
                <w:sz w:val="19"/>
                <w:szCs w:val="19"/>
              </w:rPr>
              <w:t>Errors, omissions and biases are identified accurately and completely; judgements are justified</w:t>
            </w:r>
          </w:p>
        </w:tc>
        <w:tc>
          <w:tcPr>
            <w:tcW w:w="3086" w:type="dxa"/>
            <w:tcMar>
              <w:top w:w="70" w:type="dxa"/>
              <w:left w:w="100" w:type="dxa"/>
              <w:bottom w:w="70" w:type="dxa"/>
              <w:right w:w="100" w:type="dxa"/>
            </w:tcMar>
          </w:tcPr>
          <w:p w14:paraId="0B3AF3A8" w14:textId="77777777" w:rsidR="00D16027" w:rsidRDefault="00000000">
            <w:r>
              <w:rPr>
                <w:sz w:val="19"/>
                <w:szCs w:val="19"/>
              </w:rPr>
              <w:t>Annotated output; critique memo</w:t>
            </w:r>
          </w:p>
        </w:tc>
      </w:tr>
      <w:tr w:rsidR="00D16027" w14:paraId="1DBAC55C" w14:textId="77777777">
        <w:tblPrEx>
          <w:tblCellMar>
            <w:top w:w="0" w:type="dxa"/>
            <w:bottom w:w="0" w:type="dxa"/>
          </w:tblCellMar>
        </w:tblPrEx>
        <w:trPr>
          <w:cantSplit/>
        </w:trPr>
        <w:tc>
          <w:tcPr>
            <w:tcW w:w="2300" w:type="dxa"/>
            <w:tcMar>
              <w:top w:w="70" w:type="dxa"/>
              <w:left w:w="100" w:type="dxa"/>
              <w:bottom w:w="70" w:type="dxa"/>
              <w:right w:w="100" w:type="dxa"/>
            </w:tcMar>
          </w:tcPr>
          <w:p w14:paraId="39DE22E4" w14:textId="77777777" w:rsidR="00D16027" w:rsidRDefault="00000000">
            <w:r>
              <w:rPr>
                <w:sz w:val="19"/>
                <w:szCs w:val="19"/>
              </w:rPr>
              <w:t>Verification and sourcing</w:t>
            </w:r>
          </w:p>
        </w:tc>
        <w:tc>
          <w:tcPr>
            <w:tcW w:w="4000" w:type="dxa"/>
            <w:tcMar>
              <w:top w:w="70" w:type="dxa"/>
              <w:left w:w="100" w:type="dxa"/>
              <w:bottom w:w="70" w:type="dxa"/>
              <w:right w:w="100" w:type="dxa"/>
            </w:tcMar>
          </w:tcPr>
          <w:p w14:paraId="19ED6351" w14:textId="77777777" w:rsidR="00D16027" w:rsidRDefault="00000000">
            <w:r>
              <w:rPr>
                <w:sz w:val="19"/>
                <w:szCs w:val="19"/>
              </w:rPr>
              <w:t>Claims are checked against authorities the student cites; fabrications are caught</w:t>
            </w:r>
          </w:p>
        </w:tc>
        <w:tc>
          <w:tcPr>
            <w:tcW w:w="3086" w:type="dxa"/>
            <w:tcMar>
              <w:top w:w="70" w:type="dxa"/>
              <w:left w:w="100" w:type="dxa"/>
              <w:bottom w:w="70" w:type="dxa"/>
              <w:right w:w="100" w:type="dxa"/>
            </w:tcMar>
          </w:tcPr>
          <w:p w14:paraId="4307CFC6" w14:textId="77777777" w:rsidR="00D16027" w:rsidRDefault="00000000">
            <w:r>
              <w:rPr>
                <w:sz w:val="19"/>
                <w:szCs w:val="19"/>
              </w:rPr>
              <w:t>Verification log; corrected references</w:t>
            </w:r>
          </w:p>
        </w:tc>
      </w:tr>
      <w:tr w:rsidR="00D16027" w14:paraId="52C9C085" w14:textId="77777777">
        <w:tblPrEx>
          <w:tblCellMar>
            <w:top w:w="0" w:type="dxa"/>
            <w:bottom w:w="0" w:type="dxa"/>
          </w:tblCellMar>
        </w:tblPrEx>
        <w:trPr>
          <w:cantSplit/>
        </w:trPr>
        <w:tc>
          <w:tcPr>
            <w:tcW w:w="2300" w:type="dxa"/>
            <w:tcMar>
              <w:top w:w="70" w:type="dxa"/>
              <w:left w:w="100" w:type="dxa"/>
              <w:bottom w:w="70" w:type="dxa"/>
              <w:right w:w="100" w:type="dxa"/>
            </w:tcMar>
          </w:tcPr>
          <w:p w14:paraId="21321984" w14:textId="77777777" w:rsidR="00D16027" w:rsidRDefault="00000000">
            <w:r>
              <w:rPr>
                <w:sz w:val="19"/>
                <w:szCs w:val="19"/>
              </w:rPr>
              <w:t>Contribution beyond AI</w:t>
            </w:r>
          </w:p>
        </w:tc>
        <w:tc>
          <w:tcPr>
            <w:tcW w:w="4000" w:type="dxa"/>
            <w:tcMar>
              <w:top w:w="70" w:type="dxa"/>
              <w:left w:w="100" w:type="dxa"/>
              <w:bottom w:w="70" w:type="dxa"/>
              <w:right w:w="100" w:type="dxa"/>
            </w:tcMar>
          </w:tcPr>
          <w:p w14:paraId="1A098E2F" w14:textId="77777777" w:rsidR="00D16027" w:rsidRDefault="00000000">
            <w:r>
              <w:rPr>
                <w:sz w:val="19"/>
                <w:szCs w:val="19"/>
              </w:rPr>
              <w:t>Context, data, decisions or ethical reasoning that the AI could not supply are present and material</w:t>
            </w:r>
          </w:p>
        </w:tc>
        <w:tc>
          <w:tcPr>
            <w:tcW w:w="3086" w:type="dxa"/>
            <w:tcMar>
              <w:top w:w="70" w:type="dxa"/>
              <w:left w:w="100" w:type="dxa"/>
              <w:bottom w:w="70" w:type="dxa"/>
              <w:right w:w="100" w:type="dxa"/>
            </w:tcMar>
          </w:tcPr>
          <w:p w14:paraId="7BA06182" w14:textId="77777777" w:rsidR="00D16027" w:rsidRDefault="00000000">
            <w:r>
              <w:rPr>
                <w:sz w:val="19"/>
                <w:szCs w:val="19"/>
              </w:rPr>
              <w:t>Decision log; tracked changes; the delta</w:t>
            </w:r>
          </w:p>
        </w:tc>
      </w:tr>
      <w:tr w:rsidR="00D16027" w14:paraId="441F4E8F" w14:textId="77777777">
        <w:tblPrEx>
          <w:tblCellMar>
            <w:top w:w="0" w:type="dxa"/>
            <w:bottom w:w="0" w:type="dxa"/>
          </w:tblCellMar>
        </w:tblPrEx>
        <w:trPr>
          <w:cantSplit/>
        </w:trPr>
        <w:tc>
          <w:tcPr>
            <w:tcW w:w="2300" w:type="dxa"/>
            <w:tcMar>
              <w:top w:w="70" w:type="dxa"/>
              <w:left w:w="100" w:type="dxa"/>
              <w:bottom w:w="70" w:type="dxa"/>
              <w:right w:w="100" w:type="dxa"/>
            </w:tcMar>
          </w:tcPr>
          <w:p w14:paraId="20EB97BE" w14:textId="77777777" w:rsidR="00D16027" w:rsidRDefault="00000000">
            <w:r>
              <w:rPr>
                <w:sz w:val="19"/>
                <w:szCs w:val="19"/>
              </w:rPr>
              <w:t>Appropriate and ethical use</w:t>
            </w:r>
          </w:p>
        </w:tc>
        <w:tc>
          <w:tcPr>
            <w:tcW w:w="4000" w:type="dxa"/>
            <w:tcMar>
              <w:top w:w="70" w:type="dxa"/>
              <w:left w:w="100" w:type="dxa"/>
              <w:bottom w:w="70" w:type="dxa"/>
              <w:right w:w="100" w:type="dxa"/>
            </w:tcMar>
          </w:tcPr>
          <w:p w14:paraId="09291D4F" w14:textId="77777777" w:rsidR="00D16027" w:rsidRDefault="00000000">
            <w:r>
              <w:rPr>
                <w:sz w:val="19"/>
                <w:szCs w:val="19"/>
              </w:rPr>
              <w:t>AI is used where it adds value and not where it should not be; data and privacy rules are observed</w:t>
            </w:r>
          </w:p>
        </w:tc>
        <w:tc>
          <w:tcPr>
            <w:tcW w:w="3086" w:type="dxa"/>
            <w:tcMar>
              <w:top w:w="70" w:type="dxa"/>
              <w:left w:w="100" w:type="dxa"/>
              <w:bottom w:w="70" w:type="dxa"/>
              <w:right w:w="100" w:type="dxa"/>
            </w:tcMar>
          </w:tcPr>
          <w:p w14:paraId="0956058B" w14:textId="77777777" w:rsidR="00D16027" w:rsidRDefault="00000000">
            <w:r>
              <w:rPr>
                <w:sz w:val="19"/>
                <w:szCs w:val="19"/>
              </w:rPr>
              <w:t>Declaration; reflection</w:t>
            </w:r>
          </w:p>
        </w:tc>
      </w:tr>
      <w:tr w:rsidR="00D16027" w14:paraId="35033E55" w14:textId="77777777">
        <w:tblPrEx>
          <w:tblCellMar>
            <w:top w:w="0" w:type="dxa"/>
            <w:bottom w:w="0" w:type="dxa"/>
          </w:tblCellMar>
        </w:tblPrEx>
        <w:trPr>
          <w:cantSplit/>
        </w:trPr>
        <w:tc>
          <w:tcPr>
            <w:tcW w:w="2300" w:type="dxa"/>
            <w:tcMar>
              <w:top w:w="70" w:type="dxa"/>
              <w:left w:w="100" w:type="dxa"/>
              <w:bottom w:w="70" w:type="dxa"/>
              <w:right w:w="100" w:type="dxa"/>
            </w:tcMar>
          </w:tcPr>
          <w:p w14:paraId="00158C1C" w14:textId="77777777" w:rsidR="00D16027" w:rsidRDefault="00000000">
            <w:r>
              <w:rPr>
                <w:sz w:val="19"/>
                <w:szCs w:val="19"/>
              </w:rPr>
              <w:t>Transparency of process</w:t>
            </w:r>
          </w:p>
        </w:tc>
        <w:tc>
          <w:tcPr>
            <w:tcW w:w="4000" w:type="dxa"/>
            <w:tcMar>
              <w:top w:w="70" w:type="dxa"/>
              <w:left w:w="100" w:type="dxa"/>
              <w:bottom w:w="70" w:type="dxa"/>
              <w:right w:w="100" w:type="dxa"/>
            </w:tcMar>
          </w:tcPr>
          <w:p w14:paraId="55ACBE93" w14:textId="77777777" w:rsidR="00D16027" w:rsidRDefault="00000000">
            <w:r>
              <w:rPr>
                <w:sz w:val="19"/>
                <w:szCs w:val="19"/>
              </w:rPr>
              <w:t>The division of labour is documented accurately and specifically</w:t>
            </w:r>
          </w:p>
        </w:tc>
        <w:tc>
          <w:tcPr>
            <w:tcW w:w="3086" w:type="dxa"/>
            <w:tcMar>
              <w:top w:w="70" w:type="dxa"/>
              <w:left w:w="100" w:type="dxa"/>
              <w:bottom w:w="70" w:type="dxa"/>
              <w:right w:w="100" w:type="dxa"/>
            </w:tcMar>
          </w:tcPr>
          <w:p w14:paraId="5F17F447" w14:textId="77777777" w:rsidR="00D16027" w:rsidRDefault="00000000">
            <w:r>
              <w:rPr>
                <w:sz w:val="19"/>
                <w:szCs w:val="19"/>
              </w:rPr>
              <w:t>Structured declaration</w:t>
            </w:r>
          </w:p>
        </w:tc>
      </w:tr>
      <w:tr w:rsidR="00D16027" w14:paraId="4A4D2848" w14:textId="77777777">
        <w:tblPrEx>
          <w:tblCellMar>
            <w:top w:w="0" w:type="dxa"/>
            <w:bottom w:w="0" w:type="dxa"/>
          </w:tblCellMar>
        </w:tblPrEx>
        <w:trPr>
          <w:cantSplit/>
        </w:trPr>
        <w:tc>
          <w:tcPr>
            <w:tcW w:w="2300" w:type="dxa"/>
            <w:tcMar>
              <w:top w:w="70" w:type="dxa"/>
              <w:left w:w="100" w:type="dxa"/>
              <w:bottom w:w="70" w:type="dxa"/>
              <w:right w:w="100" w:type="dxa"/>
            </w:tcMar>
          </w:tcPr>
          <w:p w14:paraId="587B03FE" w14:textId="77777777" w:rsidR="00D16027" w:rsidRDefault="00000000">
            <w:r>
              <w:rPr>
                <w:sz w:val="19"/>
                <w:szCs w:val="19"/>
              </w:rPr>
              <w:t>Disciplinary quality of the final artefact</w:t>
            </w:r>
          </w:p>
        </w:tc>
        <w:tc>
          <w:tcPr>
            <w:tcW w:w="4000" w:type="dxa"/>
            <w:tcMar>
              <w:top w:w="70" w:type="dxa"/>
              <w:left w:w="100" w:type="dxa"/>
              <w:bottom w:w="70" w:type="dxa"/>
              <w:right w:w="100" w:type="dxa"/>
            </w:tcMar>
          </w:tcPr>
          <w:p w14:paraId="0254FB32" w14:textId="77777777" w:rsidR="00D16027" w:rsidRDefault="00000000">
            <w:r>
              <w:rPr>
                <w:sz w:val="19"/>
                <w:szCs w:val="19"/>
              </w:rPr>
              <w:t>The final work meets the discipline's standards, judged as if the student were accountable for every line</w:t>
            </w:r>
          </w:p>
        </w:tc>
        <w:tc>
          <w:tcPr>
            <w:tcW w:w="3086" w:type="dxa"/>
            <w:tcMar>
              <w:top w:w="70" w:type="dxa"/>
              <w:left w:w="100" w:type="dxa"/>
              <w:bottom w:w="70" w:type="dxa"/>
              <w:right w:w="100" w:type="dxa"/>
            </w:tcMar>
          </w:tcPr>
          <w:p w14:paraId="1135716D" w14:textId="77777777" w:rsidR="00D16027" w:rsidRDefault="00000000">
            <w:r>
              <w:rPr>
                <w:sz w:val="19"/>
                <w:szCs w:val="19"/>
              </w:rPr>
              <w:t>The artefact, defended in conversation</w:t>
            </w:r>
          </w:p>
        </w:tc>
      </w:tr>
    </w:tbl>
    <w:p w14:paraId="0D0F4028" w14:textId="77777777" w:rsidR="00D16027" w:rsidRDefault="00D16027">
      <w:pPr>
        <w:spacing w:after="120"/>
      </w:pPr>
    </w:p>
    <w:p w14:paraId="1D1CE486" w14:textId="77777777" w:rsidR="00D16027" w:rsidRDefault="00000000">
      <w:pPr>
        <w:pStyle w:val="Heading2"/>
        <w:keepNext/>
      </w:pPr>
      <w:r>
        <w:t>11.8 Guardrails</w:t>
      </w:r>
    </w:p>
    <w:p w14:paraId="78779FAD" w14:textId="77777777" w:rsidR="00D16027" w:rsidRDefault="00000000">
      <w:pPr>
        <w:spacing w:after="140"/>
      </w:pPr>
      <w:r>
        <w:t>Integration without guardrails offloads learning. Darvishi et al. (2024) found students relying on AI assistance rather than learning from it; Bastani et al. (2024) found unrestricted access improving practice performance while reducing later unassisted performance, and a tutoring-style version with guardrails removing the harm. Four design responses follow. Require an unassisted attempt first, submitted before AI is used, so that the student's own thinking exists and the comparison is available. Require explanation without AI: a conversation in which the student accounts for the work is the guardrail that cannot be prompted around. Keep secured evidence elsewhere in the programme, as the spectrum requires (Chapter 6). And scaffold: early integrated tasks should be structured and small, with the division of labour set by the tutor; later ones can leave the division to the student and assess the choice.</w:t>
      </w:r>
    </w:p>
    <w:p w14:paraId="20359621" w14:textId="77777777" w:rsidR="00D16027" w:rsidRDefault="00000000">
      <w:pPr>
        <w:spacing w:after="140"/>
      </w:pPr>
      <w:r>
        <w:t>Two further obligations apply. Data: students must not upload patient records, client documents, personal data or confidential material to public tools, and briefs should say so; institutional tools with appropriate contracts are the safe route (UNESCO 2023). Equity: an integrated task assumes access to the tool, and Chapter 16 argues that institutions which require AI use must provide it.</w:t>
      </w:r>
    </w:p>
    <w:p w14:paraId="42CD2137"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Integrated tasks in five disciplines</w:t>
      </w:r>
    </w:p>
    <w:p w14:paraId="528021C8" w14:textId="77777777" w:rsidR="00D16027" w:rsidRDefault="00000000">
      <w:pPr>
        <w:pBdr>
          <w:left w:val="single" w:sz="14" w:space="10" w:color="4E8A5E"/>
        </w:pBdr>
        <w:shd w:val="clear" w:color="auto" w:fill="EEF6EF"/>
        <w:spacing w:after="60"/>
      </w:pPr>
      <w:r>
        <w:rPr>
          <w:b/>
          <w:bCs/>
          <w:color w:val="333333"/>
          <w:sz w:val="20"/>
          <w:szCs w:val="20"/>
        </w:rPr>
        <w:t>Medicine.</w:t>
      </w:r>
      <w:r>
        <w:rPr>
          <w:color w:val="333333"/>
          <w:sz w:val="20"/>
          <w:szCs w:val="20"/>
        </w:rPr>
        <w:t xml:space="preserve"> Students generate an AI differential diagnosis and management plan for a case vignette, then audit it against current guidelines: which suggestions are supported, which are outdated, which are dangerous, and what is missing. The audit is assessed; the student defends two of their judgements in a short oral. AIAS Level 5.</w:t>
      </w:r>
    </w:p>
    <w:p w14:paraId="189CD797" w14:textId="77777777" w:rsidR="00D16027" w:rsidRDefault="00000000">
      <w:pPr>
        <w:pBdr>
          <w:left w:val="single" w:sz="14" w:space="10" w:color="4E8A5E"/>
        </w:pBdr>
        <w:shd w:val="clear" w:color="auto" w:fill="EEF6EF"/>
        <w:spacing w:after="60"/>
      </w:pPr>
      <w:r>
        <w:rPr>
          <w:b/>
          <w:bCs/>
          <w:color w:val="333333"/>
          <w:sz w:val="20"/>
          <w:szCs w:val="20"/>
        </w:rPr>
        <w:t>Software engineering.</w:t>
      </w:r>
      <w:r>
        <w:rPr>
          <w:color w:val="333333"/>
          <w:sz w:val="20"/>
          <w:szCs w:val="20"/>
        </w:rPr>
        <w:t xml:space="preserve"> Students submit an unassisted attempt at a specification, then implement it with AI assistance, recording in commit messages what was generated, accepted and rewritten. A code review of the AI-generated functions is submitted, and each student modifies a chosen function live. AIAS Level 4.</w:t>
      </w:r>
    </w:p>
    <w:p w14:paraId="54077ED7" w14:textId="77777777" w:rsidR="00D16027" w:rsidRDefault="00000000">
      <w:pPr>
        <w:pBdr>
          <w:left w:val="single" w:sz="14" w:space="10" w:color="4E8A5E"/>
        </w:pBdr>
        <w:shd w:val="clear" w:color="auto" w:fill="EEF6EF"/>
        <w:spacing w:after="60"/>
      </w:pPr>
      <w:r>
        <w:rPr>
          <w:b/>
          <w:bCs/>
          <w:color w:val="333333"/>
          <w:sz w:val="20"/>
          <w:szCs w:val="20"/>
        </w:rPr>
        <w:t>History.</w:t>
      </w:r>
      <w:r>
        <w:rPr>
          <w:color w:val="333333"/>
          <w:sz w:val="20"/>
          <w:szCs w:val="20"/>
        </w:rPr>
        <w:t xml:space="preserve"> Students obtain an AI narrative of a local event, then test it against three documents from the module's in-house archive, producing an annotated correction and a 600-word account of the narrative's characteristic errors. AIAS Level 5.</w:t>
      </w:r>
    </w:p>
    <w:p w14:paraId="3E99E6C8" w14:textId="77777777" w:rsidR="00D16027" w:rsidRDefault="00000000">
      <w:pPr>
        <w:pBdr>
          <w:left w:val="single" w:sz="14" w:space="10" w:color="4E8A5E"/>
        </w:pBdr>
        <w:shd w:val="clear" w:color="auto" w:fill="EEF6EF"/>
        <w:spacing w:after="60"/>
      </w:pPr>
      <w:r>
        <w:rPr>
          <w:b/>
          <w:bCs/>
          <w:color w:val="333333"/>
          <w:sz w:val="20"/>
          <w:szCs w:val="20"/>
        </w:rPr>
        <w:t>Product design.</w:t>
      </w:r>
      <w:r>
        <w:rPr>
          <w:color w:val="333333"/>
          <w:sz w:val="20"/>
          <w:szCs w:val="20"/>
        </w:rPr>
        <w:t xml:space="preserve"> AI image generation is used to produce twenty concept variants; the student selects three, develops one by hand and in CAD, and defends the selection and development at the crit with </w:t>
      </w:r>
      <w:r>
        <w:rPr>
          <w:color w:val="333333"/>
          <w:sz w:val="20"/>
          <w:szCs w:val="20"/>
        </w:rPr>
        <w:lastRenderedPageBreak/>
        <w:t>reference to user research they conducted. The concept sheet and decision log are submitted. AIAS Level 4.</w:t>
      </w:r>
    </w:p>
    <w:p w14:paraId="313756FB" w14:textId="77777777" w:rsidR="00D16027" w:rsidRDefault="00000000">
      <w:pPr>
        <w:pBdr>
          <w:left w:val="single" w:sz="14" w:space="10" w:color="4E8A5E"/>
        </w:pBdr>
        <w:shd w:val="clear" w:color="auto" w:fill="EEF6EF"/>
        <w:spacing w:after="200"/>
      </w:pPr>
      <w:r>
        <w:rPr>
          <w:b/>
          <w:bCs/>
          <w:color w:val="333333"/>
          <w:sz w:val="20"/>
          <w:szCs w:val="20"/>
        </w:rPr>
        <w:t>Translation studies.</w:t>
      </w:r>
      <w:r>
        <w:rPr>
          <w:color w:val="333333"/>
          <w:sz w:val="20"/>
          <w:szCs w:val="20"/>
        </w:rPr>
        <w:t xml:space="preserve"> Students post-edit a machine translation of a locally sourced text, submit the edited version with a commentary on register, error types and cultural mismatch, and discuss two decisions with the tutor (Jang &amp; </w:t>
      </w:r>
      <w:proofErr w:type="spellStart"/>
      <w:r>
        <w:rPr>
          <w:color w:val="333333"/>
          <w:sz w:val="20"/>
          <w:szCs w:val="20"/>
        </w:rPr>
        <w:t>Sawaki</w:t>
      </w:r>
      <w:proofErr w:type="spellEnd"/>
      <w:r>
        <w:rPr>
          <w:color w:val="333333"/>
          <w:sz w:val="20"/>
          <w:szCs w:val="20"/>
        </w:rPr>
        <w:t xml:space="preserve"> 2025). AIAS Level 4.</w:t>
      </w:r>
    </w:p>
    <w:p w14:paraId="3310AA3C"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Convert a prohibited task into an integrated one</w:t>
      </w:r>
    </w:p>
    <w:p w14:paraId="215F8B7A"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Take an unsupervised task currently labelled "no AI". Ask what the student is supposed to be contributing that the AI cannot: judgement, context, verification, ethics or decision.</w:t>
      </w:r>
    </w:p>
    <w:p w14:paraId="69768C54"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Choose the task type that makes that contribution the object of assessment: critique, defined collaboration, formulation or reflection.</w:t>
      </w:r>
    </w:p>
    <w:p w14:paraId="03F25786"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Rewrite the brief to name the AI's role and the student's, and the artefacts that will evidence each (prompt log, annotated output, decision log, declaration).</w:t>
      </w:r>
    </w:p>
    <w:p w14:paraId="03145D77"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Rewrite the criteria using Table 11.1. Remove criteria that AI satisfies trivially.</w:t>
      </w:r>
    </w:p>
    <w:p w14:paraId="3F525108"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the guardrails: unassisted first attempt, conversation, data rule, tool provision.</w:t>
      </w:r>
    </w:p>
    <w:p w14:paraId="53FB7F97"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Label the task with its AIAS level and one sentence of rationale.</w:t>
      </w:r>
    </w:p>
    <w:p w14:paraId="725AB2F9" w14:textId="77777777" w:rsidR="00D16027" w:rsidRDefault="00000000">
      <w:pPr>
        <w:pStyle w:val="Heading2"/>
        <w:keepNext/>
      </w:pPr>
      <w:r>
        <w:t>What this means for you</w:t>
      </w:r>
    </w:p>
    <w:p w14:paraId="1C90E29C"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7D5240B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Design one integrated task this year, starting with AI critique; it is the most resilient type and the easiest to mark.</w:t>
      </w:r>
    </w:p>
    <w:p w14:paraId="578A196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Rewrite the rubric before the task. Criteria written for AI-free work will reward the AI, not the student.</w:t>
      </w:r>
    </w:p>
    <w:p w14:paraId="67FD6BBE"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Require an unassisted attempt and a conversation. These two guardrails cost little and prevent most offloading.</w:t>
      </w:r>
    </w:p>
    <w:p w14:paraId="001B446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311ABD0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Sequence integration across the programme: structured critique in year one, defined collaboration in year two, student-chosen division of labour in the final year.</w:t>
      </w:r>
    </w:p>
    <w:p w14:paraId="69D2076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AI-literacy outcomes into the programme specification and map them to specific integrated tasks, so that the capability is assured rather than assumed.</w:t>
      </w:r>
    </w:p>
    <w:p w14:paraId="39724D6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that secured evidence exists elsewhere for every outcome an integrated task touches.</w:t>
      </w:r>
    </w:p>
    <w:p w14:paraId="710FA26F"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FD7637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Provide institutional AI tools with appropriate data-protection contracts, so that integrated tasks do not push students towards public tools with confidential material.</w:t>
      </w:r>
    </w:p>
    <w:p w14:paraId="051103FD"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a common declaration template and a non-punitive policy on honest declaration, so that transparency is rewarded rather than risked.</w:t>
      </w:r>
    </w:p>
    <w:p w14:paraId="78D2B655"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Recognise AI literacy as a graduate attribute in institutional strategy and quality processes, with the same seriousness as numeracy or communication.</w:t>
      </w:r>
    </w:p>
    <w:p w14:paraId="46A9C846" w14:textId="77777777" w:rsidR="00D16027" w:rsidRDefault="00000000">
      <w:pPr>
        <w:pStyle w:val="Heading2"/>
        <w:keepNext/>
      </w:pPr>
      <w:r>
        <w:t>Key references for this chapter</w:t>
      </w:r>
    </w:p>
    <w:p w14:paraId="7A7506C2" w14:textId="77777777" w:rsidR="00D16027" w:rsidRDefault="00000000">
      <w:pPr>
        <w:pStyle w:val="ListParagraph"/>
        <w:numPr>
          <w:ilvl w:val="0"/>
          <w:numId w:val="3"/>
        </w:numPr>
        <w:spacing w:before="30" w:after="50"/>
      </w:pPr>
      <w:r>
        <w:rPr>
          <w:color w:val="333333"/>
          <w:sz w:val="19"/>
          <w:szCs w:val="19"/>
        </w:rPr>
        <w:t xml:space="preserve">Bastani, H., Bastani, O., Sungu, A., Ge, H., </w:t>
      </w:r>
      <w:proofErr w:type="spellStart"/>
      <w:r>
        <w:rPr>
          <w:color w:val="333333"/>
          <w:sz w:val="19"/>
          <w:szCs w:val="19"/>
        </w:rPr>
        <w:t>Kabakcı</w:t>
      </w:r>
      <w:proofErr w:type="spellEnd"/>
      <w:r>
        <w:rPr>
          <w:color w:val="333333"/>
          <w:sz w:val="19"/>
          <w:szCs w:val="19"/>
        </w:rPr>
        <w:t xml:space="preserve">, Ö. &amp; Mariman, R. (2024) </w:t>
      </w:r>
      <w:r>
        <w:rPr>
          <w:i/>
          <w:iCs/>
          <w:color w:val="333333"/>
          <w:sz w:val="19"/>
          <w:szCs w:val="19"/>
        </w:rPr>
        <w:t>Generative AI Can Harm Learning</w:t>
      </w:r>
      <w:r>
        <w:rPr>
          <w:color w:val="333333"/>
          <w:sz w:val="19"/>
          <w:szCs w:val="19"/>
        </w:rPr>
        <w:t>. Wharton School Research Paper / SSRN 4895486.</w:t>
      </w:r>
    </w:p>
    <w:p w14:paraId="76913ECD" w14:textId="77777777" w:rsidR="00D16027" w:rsidRDefault="00000000">
      <w:pPr>
        <w:pStyle w:val="ListParagraph"/>
        <w:numPr>
          <w:ilvl w:val="0"/>
          <w:numId w:val="3"/>
        </w:numPr>
        <w:spacing w:before="30" w:after="50"/>
      </w:pPr>
      <w:r>
        <w:rPr>
          <w:color w:val="333333"/>
          <w:sz w:val="19"/>
          <w:szCs w:val="19"/>
        </w:rPr>
        <w:t xml:space="preserve">Bearman, M. &amp; </w:t>
      </w:r>
      <w:proofErr w:type="spellStart"/>
      <w:r>
        <w:rPr>
          <w:color w:val="333333"/>
          <w:sz w:val="19"/>
          <w:szCs w:val="19"/>
        </w:rPr>
        <w:t>Ajjawi</w:t>
      </w:r>
      <w:proofErr w:type="spellEnd"/>
      <w:r>
        <w:rPr>
          <w:color w:val="333333"/>
          <w:sz w:val="19"/>
          <w:szCs w:val="19"/>
        </w:rPr>
        <w:t xml:space="preserve">, R. (2023) Learning to work with the black box: pedagogy for a world with artificial intelligence. </w:t>
      </w:r>
      <w:r>
        <w:rPr>
          <w:i/>
          <w:iCs/>
          <w:color w:val="333333"/>
          <w:sz w:val="19"/>
          <w:szCs w:val="19"/>
        </w:rPr>
        <w:t>British Journal of Educational Technology</w:t>
      </w:r>
      <w:r>
        <w:rPr>
          <w:color w:val="333333"/>
          <w:sz w:val="19"/>
          <w:szCs w:val="19"/>
        </w:rPr>
        <w:t>, 54(5), 1160–1173.</w:t>
      </w:r>
    </w:p>
    <w:p w14:paraId="3D234844" w14:textId="77777777" w:rsidR="00D16027" w:rsidRDefault="00000000">
      <w:pPr>
        <w:pStyle w:val="ListParagraph"/>
        <w:numPr>
          <w:ilvl w:val="0"/>
          <w:numId w:val="3"/>
        </w:numPr>
        <w:spacing w:before="30" w:after="50"/>
      </w:pPr>
      <w:r>
        <w:rPr>
          <w:color w:val="333333"/>
          <w:sz w:val="19"/>
          <w:szCs w:val="19"/>
        </w:rPr>
        <w:t xml:space="preserve">Bearman, M., Tai, J., Dawson, P., Boud, D. &amp; </w:t>
      </w:r>
      <w:proofErr w:type="spellStart"/>
      <w:r>
        <w:rPr>
          <w:color w:val="333333"/>
          <w:sz w:val="19"/>
          <w:szCs w:val="19"/>
        </w:rPr>
        <w:t>Ajjawi</w:t>
      </w:r>
      <w:proofErr w:type="spellEnd"/>
      <w:r>
        <w:rPr>
          <w:color w:val="333333"/>
          <w:sz w:val="19"/>
          <w:szCs w:val="19"/>
        </w:rPr>
        <w:t xml:space="preserve">, R. (2024) Developing evaluative judgement for a time of generative artificial intelligence. </w:t>
      </w:r>
      <w:r>
        <w:rPr>
          <w:i/>
          <w:iCs/>
          <w:color w:val="333333"/>
          <w:sz w:val="19"/>
          <w:szCs w:val="19"/>
        </w:rPr>
        <w:t>Assessment &amp; Evaluation in Higher Education</w:t>
      </w:r>
      <w:r>
        <w:rPr>
          <w:color w:val="333333"/>
          <w:sz w:val="19"/>
          <w:szCs w:val="19"/>
        </w:rPr>
        <w:t>, 49(6), 893–905.</w:t>
      </w:r>
    </w:p>
    <w:p w14:paraId="0D98340B" w14:textId="77777777" w:rsidR="00D16027" w:rsidRDefault="00000000">
      <w:pPr>
        <w:pStyle w:val="ListParagraph"/>
        <w:numPr>
          <w:ilvl w:val="0"/>
          <w:numId w:val="3"/>
        </w:numPr>
        <w:spacing w:before="30" w:after="50"/>
      </w:pPr>
      <w:r>
        <w:rPr>
          <w:color w:val="333333"/>
          <w:sz w:val="19"/>
          <w:szCs w:val="19"/>
        </w:rPr>
        <w:t xml:space="preserve">Cardon, P., Fleischmann, C., Aritz, J., Logemann, M. &amp; </w:t>
      </w:r>
      <w:proofErr w:type="spellStart"/>
      <w:r>
        <w:rPr>
          <w:color w:val="333333"/>
          <w:sz w:val="19"/>
          <w:szCs w:val="19"/>
        </w:rPr>
        <w:t>Heidewald</w:t>
      </w:r>
      <w:proofErr w:type="spellEnd"/>
      <w:r>
        <w:rPr>
          <w:color w:val="333333"/>
          <w:sz w:val="19"/>
          <w:szCs w:val="19"/>
        </w:rPr>
        <w:t xml:space="preserve">, J. (2023) The challenges and opportunities of AI-assisted writing: developing AI literacy for the AI age. </w:t>
      </w:r>
      <w:r>
        <w:rPr>
          <w:i/>
          <w:iCs/>
          <w:color w:val="333333"/>
          <w:sz w:val="19"/>
          <w:szCs w:val="19"/>
        </w:rPr>
        <w:t>Business and Professional Communication Quarterly</w:t>
      </w:r>
      <w:r>
        <w:rPr>
          <w:color w:val="333333"/>
          <w:sz w:val="19"/>
          <w:szCs w:val="19"/>
        </w:rPr>
        <w:t>, 86(3), 257–295.</w:t>
      </w:r>
    </w:p>
    <w:p w14:paraId="23114D95"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69DA20D2" w14:textId="77777777" w:rsidR="00D16027" w:rsidRDefault="00000000">
      <w:pPr>
        <w:pStyle w:val="ListParagraph"/>
        <w:numPr>
          <w:ilvl w:val="0"/>
          <w:numId w:val="3"/>
        </w:numPr>
        <w:spacing w:before="30" w:after="50"/>
      </w:pPr>
      <w:r>
        <w:rPr>
          <w:color w:val="333333"/>
          <w:sz w:val="19"/>
          <w:szCs w:val="19"/>
        </w:rPr>
        <w:t xml:space="preserve">Darvishi, A., Khosravi, H., Sadiq, S., </w:t>
      </w:r>
      <w:proofErr w:type="spellStart"/>
      <w:r>
        <w:rPr>
          <w:color w:val="333333"/>
          <w:sz w:val="19"/>
          <w:szCs w:val="19"/>
        </w:rPr>
        <w:t>Gašević</w:t>
      </w:r>
      <w:proofErr w:type="spellEnd"/>
      <w:r>
        <w:rPr>
          <w:color w:val="333333"/>
          <w:sz w:val="19"/>
          <w:szCs w:val="19"/>
        </w:rPr>
        <w:t xml:space="preserve">, D. &amp; Siemens, G. (2024) Impact of AI assistance on student agency. </w:t>
      </w:r>
      <w:r>
        <w:rPr>
          <w:i/>
          <w:iCs/>
          <w:color w:val="333333"/>
          <w:sz w:val="19"/>
          <w:szCs w:val="19"/>
        </w:rPr>
        <w:t>Computers &amp; Education</w:t>
      </w:r>
      <w:r>
        <w:rPr>
          <w:color w:val="333333"/>
          <w:sz w:val="19"/>
          <w:szCs w:val="19"/>
        </w:rPr>
        <w:t>, 210, 104967.</w:t>
      </w:r>
    </w:p>
    <w:p w14:paraId="702A145E" w14:textId="77777777" w:rsidR="00D16027" w:rsidRDefault="00000000">
      <w:pPr>
        <w:pStyle w:val="ListParagraph"/>
        <w:numPr>
          <w:ilvl w:val="0"/>
          <w:numId w:val="3"/>
        </w:numPr>
        <w:spacing w:before="30" w:after="50"/>
      </w:pPr>
      <w:r>
        <w:rPr>
          <w:color w:val="333333"/>
          <w:sz w:val="19"/>
          <w:szCs w:val="19"/>
        </w:rPr>
        <w:lastRenderedPageBreak/>
        <w:t xml:space="preserve">Denny, P. et al. (2024) Computing education in the era of generative AI. </w:t>
      </w:r>
      <w:r>
        <w:rPr>
          <w:i/>
          <w:iCs/>
          <w:color w:val="333333"/>
          <w:sz w:val="19"/>
          <w:szCs w:val="19"/>
        </w:rPr>
        <w:t>Communications of the ACM</w:t>
      </w:r>
      <w:r>
        <w:rPr>
          <w:color w:val="333333"/>
          <w:sz w:val="19"/>
          <w:szCs w:val="19"/>
        </w:rPr>
        <w:t>, 67(2), 56–67.</w:t>
      </w:r>
    </w:p>
    <w:p w14:paraId="195C5290" w14:textId="77777777" w:rsidR="00D16027" w:rsidRDefault="00000000">
      <w:pPr>
        <w:pStyle w:val="ListParagraph"/>
        <w:numPr>
          <w:ilvl w:val="0"/>
          <w:numId w:val="3"/>
        </w:numPr>
        <w:spacing w:before="30" w:after="50"/>
      </w:pPr>
      <w:r>
        <w:rPr>
          <w:color w:val="333333"/>
          <w:sz w:val="19"/>
          <w:szCs w:val="19"/>
        </w:rPr>
        <w:t xml:space="preserve">Digital Education Council (2024) </w:t>
      </w:r>
      <w:r>
        <w:rPr>
          <w:i/>
          <w:iCs/>
          <w:color w:val="333333"/>
          <w:sz w:val="19"/>
          <w:szCs w:val="19"/>
        </w:rPr>
        <w:t>Global AI Student Survey 2024</w:t>
      </w:r>
      <w:r>
        <w:rPr>
          <w:color w:val="333333"/>
          <w:sz w:val="19"/>
          <w:szCs w:val="19"/>
        </w:rPr>
        <w:t>.</w:t>
      </w:r>
    </w:p>
    <w:p w14:paraId="05D80DE5" w14:textId="77777777" w:rsidR="00D16027" w:rsidRDefault="00000000">
      <w:pPr>
        <w:pStyle w:val="ListParagraph"/>
        <w:numPr>
          <w:ilvl w:val="0"/>
          <w:numId w:val="3"/>
        </w:numPr>
        <w:spacing w:before="30" w:after="50"/>
      </w:pPr>
      <w:r>
        <w:rPr>
          <w:color w:val="333333"/>
          <w:sz w:val="19"/>
          <w:szCs w:val="19"/>
        </w:rPr>
        <w:t xml:space="preserve">Fan, Y. et al. (2025) Beware of metacognitive laziness: effects of generative artificial intelligence on learning motivation, processes, and performance. </w:t>
      </w:r>
      <w:r>
        <w:rPr>
          <w:i/>
          <w:iCs/>
          <w:color w:val="333333"/>
          <w:sz w:val="19"/>
          <w:szCs w:val="19"/>
        </w:rPr>
        <w:t>British Journal of Educational Technology</w:t>
      </w:r>
      <w:r>
        <w:rPr>
          <w:color w:val="333333"/>
          <w:sz w:val="19"/>
          <w:szCs w:val="19"/>
        </w:rPr>
        <w:t>, 56(2), 489–530.</w:t>
      </w:r>
    </w:p>
    <w:p w14:paraId="4C99CAC7" w14:textId="77777777" w:rsidR="00D16027" w:rsidRDefault="00000000">
      <w:pPr>
        <w:pStyle w:val="ListParagraph"/>
        <w:numPr>
          <w:ilvl w:val="0"/>
          <w:numId w:val="3"/>
        </w:numPr>
        <w:spacing w:before="30" w:after="50"/>
      </w:pPr>
      <w:r>
        <w:rPr>
          <w:color w:val="333333"/>
          <w:sz w:val="19"/>
          <w:szCs w:val="19"/>
        </w:rPr>
        <w:t xml:space="preserve">Furze, L., Perkins, M., Roe, J. &amp; </w:t>
      </w:r>
      <w:proofErr w:type="spellStart"/>
      <w:r>
        <w:rPr>
          <w:color w:val="333333"/>
          <w:sz w:val="19"/>
          <w:szCs w:val="19"/>
        </w:rPr>
        <w:t>MacVaugh</w:t>
      </w:r>
      <w:proofErr w:type="spellEnd"/>
      <w:r>
        <w:rPr>
          <w:color w:val="333333"/>
          <w:sz w:val="19"/>
          <w:szCs w:val="19"/>
        </w:rPr>
        <w:t xml:space="preserve">, J. (2024) The AI Assessment Scale (AIAS) in action: a pilot implementation of GenAI-supported assessment. </w:t>
      </w:r>
      <w:r>
        <w:rPr>
          <w:i/>
          <w:iCs/>
          <w:color w:val="333333"/>
          <w:sz w:val="19"/>
          <w:szCs w:val="19"/>
        </w:rPr>
        <w:t>Australasian Journal of Educational Technology</w:t>
      </w:r>
      <w:r>
        <w:rPr>
          <w:color w:val="333333"/>
          <w:sz w:val="19"/>
          <w:szCs w:val="19"/>
        </w:rPr>
        <w:t>, 40(4), 38–55.</w:t>
      </w:r>
    </w:p>
    <w:p w14:paraId="43052429" w14:textId="77777777" w:rsidR="00D16027" w:rsidRDefault="00000000">
      <w:pPr>
        <w:pStyle w:val="ListParagraph"/>
        <w:numPr>
          <w:ilvl w:val="0"/>
          <w:numId w:val="3"/>
        </w:numPr>
        <w:spacing w:before="30" w:after="50"/>
      </w:pPr>
      <w:r>
        <w:rPr>
          <w:color w:val="333333"/>
          <w:sz w:val="19"/>
          <w:szCs w:val="19"/>
        </w:rPr>
        <w:t xml:space="preserve">Jang, E.E. &amp; </w:t>
      </w:r>
      <w:proofErr w:type="spellStart"/>
      <w:r>
        <w:rPr>
          <w:color w:val="333333"/>
          <w:sz w:val="19"/>
          <w:szCs w:val="19"/>
        </w:rPr>
        <w:t>Sawaki</w:t>
      </w:r>
      <w:proofErr w:type="spellEnd"/>
      <w:r>
        <w:rPr>
          <w:color w:val="333333"/>
          <w:sz w:val="19"/>
          <w:szCs w:val="19"/>
        </w:rPr>
        <w:t xml:space="preserve">, Y. (2025) Advancing language assessment in the era of the AI revolution. </w:t>
      </w:r>
      <w:r>
        <w:rPr>
          <w:i/>
          <w:iCs/>
          <w:color w:val="333333"/>
          <w:sz w:val="19"/>
          <w:szCs w:val="19"/>
        </w:rPr>
        <w:t>Language Testing</w:t>
      </w:r>
      <w:r>
        <w:rPr>
          <w:color w:val="333333"/>
          <w:sz w:val="19"/>
          <w:szCs w:val="19"/>
        </w:rPr>
        <w:t xml:space="preserve"> (advance online).</w:t>
      </w:r>
    </w:p>
    <w:p w14:paraId="37491A01"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0A775B6D" w14:textId="77777777" w:rsidR="00D16027" w:rsidRDefault="00000000">
      <w:pPr>
        <w:pStyle w:val="ListParagraph"/>
        <w:numPr>
          <w:ilvl w:val="0"/>
          <w:numId w:val="3"/>
        </w:numPr>
        <w:spacing w:before="30" w:after="50"/>
      </w:pPr>
      <w:r>
        <w:rPr>
          <w:color w:val="333333"/>
          <w:sz w:val="19"/>
          <w:szCs w:val="19"/>
        </w:rPr>
        <w:t xml:space="preserve">Mollick, E.R. &amp; Mollick, L. (2023) </w:t>
      </w:r>
      <w:r>
        <w:rPr>
          <w:i/>
          <w:iCs/>
          <w:color w:val="333333"/>
          <w:sz w:val="19"/>
          <w:szCs w:val="19"/>
        </w:rPr>
        <w:t>Assigning AI: Seven Approaches for Students, with Prompts</w:t>
      </w:r>
      <w:r>
        <w:rPr>
          <w:color w:val="333333"/>
          <w:sz w:val="19"/>
          <w:szCs w:val="19"/>
        </w:rPr>
        <w:t>. Wharton School / SSRN 4475995.</w:t>
      </w:r>
    </w:p>
    <w:p w14:paraId="1FFB2DE1" w14:textId="77777777" w:rsidR="00D16027" w:rsidRDefault="00000000">
      <w:pPr>
        <w:pStyle w:val="ListParagraph"/>
        <w:numPr>
          <w:ilvl w:val="0"/>
          <w:numId w:val="3"/>
        </w:numPr>
        <w:spacing w:before="30" w:after="50"/>
      </w:pPr>
      <w:r>
        <w:rPr>
          <w:color w:val="333333"/>
          <w:sz w:val="19"/>
          <w:szCs w:val="19"/>
        </w:rPr>
        <w:t xml:space="preserve">Perkins, M., Furze, L., Roe, J. &amp; </w:t>
      </w:r>
      <w:proofErr w:type="spellStart"/>
      <w:r>
        <w:rPr>
          <w:color w:val="333333"/>
          <w:sz w:val="19"/>
          <w:szCs w:val="19"/>
        </w:rPr>
        <w:t>MacVaugh</w:t>
      </w:r>
      <w:proofErr w:type="spellEnd"/>
      <w:r>
        <w:rPr>
          <w:color w:val="333333"/>
          <w:sz w:val="19"/>
          <w:szCs w:val="19"/>
        </w:rPr>
        <w:t xml:space="preserve">, J. (2024) The Artificial Intelligence Assessment Scale (AIAS). </w:t>
      </w:r>
      <w:r>
        <w:rPr>
          <w:i/>
          <w:iCs/>
          <w:color w:val="333333"/>
          <w:sz w:val="19"/>
          <w:szCs w:val="19"/>
        </w:rPr>
        <w:t>Journal of University Teaching and Learning Practice</w:t>
      </w:r>
      <w:r>
        <w:rPr>
          <w:color w:val="333333"/>
          <w:sz w:val="19"/>
          <w:szCs w:val="19"/>
        </w:rPr>
        <w:t>, 21(6).</w:t>
      </w:r>
    </w:p>
    <w:p w14:paraId="021BDCF2" w14:textId="77777777" w:rsidR="00D16027" w:rsidRDefault="00000000">
      <w:pPr>
        <w:pStyle w:val="ListParagraph"/>
        <w:numPr>
          <w:ilvl w:val="0"/>
          <w:numId w:val="3"/>
        </w:numPr>
        <w:spacing w:before="30" w:after="50"/>
      </w:pPr>
      <w:r>
        <w:rPr>
          <w:color w:val="333333"/>
          <w:sz w:val="19"/>
          <w:szCs w:val="19"/>
        </w:rPr>
        <w:t xml:space="preserve">Russell Group (2023) </w:t>
      </w:r>
      <w:r>
        <w:rPr>
          <w:i/>
          <w:iCs/>
          <w:color w:val="333333"/>
          <w:sz w:val="19"/>
          <w:szCs w:val="19"/>
        </w:rPr>
        <w:t>Russell Group Principles on the Use of Generative AI Tools in Education</w:t>
      </w:r>
      <w:r>
        <w:rPr>
          <w:color w:val="333333"/>
          <w:sz w:val="19"/>
          <w:szCs w:val="19"/>
        </w:rPr>
        <w:t>. London: Russell Group.</w:t>
      </w:r>
    </w:p>
    <w:p w14:paraId="01F7D8FB"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Boud, D., Dawson, P. &amp; Panadero, E. (2018) Developing evaluative judgement. </w:t>
      </w:r>
      <w:r>
        <w:rPr>
          <w:i/>
          <w:iCs/>
          <w:color w:val="333333"/>
          <w:sz w:val="19"/>
          <w:szCs w:val="19"/>
        </w:rPr>
        <w:t>Higher Education</w:t>
      </w:r>
      <w:r>
        <w:rPr>
          <w:color w:val="333333"/>
          <w:sz w:val="19"/>
          <w:szCs w:val="19"/>
        </w:rPr>
        <w:t>, 76(3), 467–481.</w:t>
      </w:r>
    </w:p>
    <w:p w14:paraId="1C4BB6FB" w14:textId="77777777" w:rsidR="00D16027" w:rsidRDefault="00000000">
      <w:pPr>
        <w:pStyle w:val="ListParagraph"/>
        <w:numPr>
          <w:ilvl w:val="0"/>
          <w:numId w:val="3"/>
        </w:numPr>
        <w:spacing w:before="30" w:after="50"/>
      </w:pPr>
      <w:r>
        <w:rPr>
          <w:color w:val="333333"/>
          <w:sz w:val="19"/>
          <w:szCs w:val="19"/>
        </w:rPr>
        <w:t xml:space="preserve">UNESCO (2023) </w:t>
      </w:r>
      <w:r>
        <w:rPr>
          <w:i/>
          <w:iCs/>
          <w:color w:val="333333"/>
          <w:sz w:val="19"/>
          <w:szCs w:val="19"/>
        </w:rPr>
        <w:t>Guidance for Generative AI in Education and Research</w:t>
      </w:r>
      <w:r>
        <w:rPr>
          <w:color w:val="333333"/>
          <w:sz w:val="19"/>
          <w:szCs w:val="19"/>
        </w:rPr>
        <w:t>. Paris: UNESCO.</w:t>
      </w:r>
    </w:p>
    <w:p w14:paraId="1FB78296" w14:textId="77777777" w:rsidR="00D16027" w:rsidRDefault="00000000">
      <w:pPr>
        <w:pStyle w:val="ListParagraph"/>
        <w:numPr>
          <w:ilvl w:val="0"/>
          <w:numId w:val="3"/>
        </w:numPr>
        <w:spacing w:before="30" w:after="50"/>
      </w:pPr>
      <w:r>
        <w:rPr>
          <w:color w:val="333333"/>
          <w:sz w:val="19"/>
          <w:szCs w:val="19"/>
        </w:rPr>
        <w:t xml:space="preserve">UNESCO (2024) </w:t>
      </w:r>
      <w:r>
        <w:rPr>
          <w:i/>
          <w:iCs/>
          <w:color w:val="333333"/>
          <w:sz w:val="19"/>
          <w:szCs w:val="19"/>
        </w:rPr>
        <w:t>AI Competency Framework for Students</w:t>
      </w:r>
      <w:r>
        <w:rPr>
          <w:color w:val="333333"/>
          <w:sz w:val="19"/>
          <w:szCs w:val="19"/>
        </w:rPr>
        <w:t xml:space="preserve"> and </w:t>
      </w:r>
      <w:r>
        <w:rPr>
          <w:i/>
          <w:iCs/>
          <w:color w:val="333333"/>
          <w:sz w:val="19"/>
          <w:szCs w:val="19"/>
        </w:rPr>
        <w:t>AI Competency Framework for Teachers</w:t>
      </w:r>
      <w:r>
        <w:rPr>
          <w:color w:val="333333"/>
          <w:sz w:val="19"/>
          <w:szCs w:val="19"/>
        </w:rPr>
        <w:t>. Paris: UNESCO.</w:t>
      </w:r>
    </w:p>
    <w:p w14:paraId="5E198AA9" w14:textId="77777777" w:rsidR="00D16027" w:rsidRDefault="00000000">
      <w:pPr>
        <w:pStyle w:val="ListParagraph"/>
        <w:numPr>
          <w:ilvl w:val="0"/>
          <w:numId w:val="3"/>
        </w:numPr>
        <w:spacing w:before="30" w:after="50"/>
      </w:pPr>
      <w:r>
        <w:rPr>
          <w:color w:val="333333"/>
          <w:sz w:val="19"/>
          <w:szCs w:val="19"/>
        </w:rPr>
        <w:t xml:space="preserve">Walters, W.H. &amp; Wilder, E.I. (2023) Fabrication and errors in the bibliographic citations generated by ChatGPT. </w:t>
      </w:r>
      <w:r>
        <w:rPr>
          <w:i/>
          <w:iCs/>
          <w:color w:val="333333"/>
          <w:sz w:val="19"/>
          <w:szCs w:val="19"/>
        </w:rPr>
        <w:t>Scientific Reports</w:t>
      </w:r>
      <w:r>
        <w:rPr>
          <w:color w:val="333333"/>
          <w:sz w:val="19"/>
          <w:szCs w:val="19"/>
        </w:rPr>
        <w:t>, 13, 14045.</w:t>
      </w:r>
    </w:p>
    <w:p w14:paraId="14E94AE4" w14:textId="77777777" w:rsidR="00D16027" w:rsidRDefault="00000000">
      <w:r>
        <w:br w:type="page"/>
      </w:r>
    </w:p>
    <w:p w14:paraId="54EAC9F8" w14:textId="77777777" w:rsidR="00D16027" w:rsidRDefault="00000000">
      <w:pPr>
        <w:keepNext/>
        <w:spacing w:after="40"/>
      </w:pPr>
      <w:r>
        <w:rPr>
          <w:b/>
          <w:bCs/>
          <w:caps/>
          <w:color w:val="2E75B6"/>
          <w:sz w:val="22"/>
          <w:szCs w:val="22"/>
        </w:rPr>
        <w:lastRenderedPageBreak/>
        <w:t>CHAPTER 12</w:t>
      </w:r>
    </w:p>
    <w:p w14:paraId="4E531153" w14:textId="77777777" w:rsidR="00D16027" w:rsidRDefault="00000000">
      <w:pPr>
        <w:pStyle w:val="Heading1"/>
        <w:keepNext/>
      </w:pPr>
      <w:r>
        <w:t>Using AI to Generate Better Feedback</w:t>
      </w:r>
    </w:p>
    <w:p w14:paraId="63CC7C02" w14:textId="77777777" w:rsidR="00D16027" w:rsidRDefault="00000000">
      <w:pPr>
        <w:pBdr>
          <w:left w:val="single" w:sz="14" w:space="10" w:color="2E75B6"/>
        </w:pBdr>
        <w:shd w:val="clear" w:color="auto" w:fill="EAF3FB"/>
        <w:spacing w:after="200"/>
      </w:pPr>
      <w:r>
        <w:rPr>
          <w:i/>
          <w:iCs/>
          <w:color w:val="333333"/>
        </w:rPr>
        <w:t>Feedback is among the most powerful influences on learning and among the most resource-intensive parts of assessment. Generative AI offers real potential to increase the quantity, speed and specificity of formative feedback. This chapter examines the evidence, sets out hybrid designs that keep the educator's judgement where it matters, and states the principles for doing this responsibly.</w:t>
      </w:r>
    </w:p>
    <w:p w14:paraId="36BE5748"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3F2736F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Describe the feedback gap and which parts of it AI can and cannot close</w:t>
      </w:r>
    </w:p>
    <w:p w14:paraId="5E74FC2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Weigh the evidence on the quality and effects of AI-generated feedback</w:t>
      </w:r>
    </w:p>
    <w:p w14:paraId="48FA03C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Design hybrid human–AI feedback loops for formative and summative contexts</w:t>
      </w:r>
    </w:p>
    <w:p w14:paraId="3A7028E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Apply principles of transparency, alignment, human authorship, equity and privacy</w:t>
      </w:r>
    </w:p>
    <w:p w14:paraId="7BDD5165" w14:textId="77777777" w:rsidR="00D16027" w:rsidRDefault="00000000">
      <w:pPr>
        <w:pStyle w:val="Heading2"/>
        <w:keepNext/>
      </w:pPr>
      <w:r>
        <w:t>12.1 The feedback gap</w:t>
      </w:r>
    </w:p>
    <w:p w14:paraId="74889416" w14:textId="77777777" w:rsidR="00D16027" w:rsidRDefault="00000000">
      <w:pPr>
        <w:spacing w:after="140"/>
      </w:pPr>
      <w:r>
        <w:t>Feedback has one of the largest effects on learning of any educational intervention (Hattie &amp; Timperley 2007), and its mechanism is well understood: it works when it helps a learner close the gap between current and desired performance (Sadler 1989), when it supports self-regulation (Nicol &amp; Macfarlane-Dick 2006), and when the learner has the opportunity and the disposition to use it (Carless &amp; Boud 2018; Winstone &amp; Carless 2019). Gibbs and Simpson (2004) listed the conditions: feedback must be timely, specific, understandable and acted upon. Henderson et al. (2021) added that it must be designed as a process across a course rather than an event at the end of a task.</w:t>
      </w:r>
    </w:p>
    <w:p w14:paraId="36A60EB2" w14:textId="77777777" w:rsidR="00D16027" w:rsidRDefault="00000000">
      <w:pPr>
        <w:spacing w:after="140"/>
      </w:pPr>
      <w:r>
        <w:t>Higher education routinely fails these conditions. Feedback has consistently been among the lowest-scoring dimensions of the UK National Student Survey since the survey began. Students report comments that arrive after the module has ended, that address the work rather than the next piece of work, and that are too general to act on. The cause is not indifference but arithmetic: a tutor with 150 scripts cannot write 150 detailed, individual, forward-looking commentaries in the time allowed. Boud and Molloy (2013) argued that the answer was to redesign feedback as dialogue and to make students active in seeking and using it. AI does not change that argument; it changes the arithmetic.</w:t>
      </w:r>
    </w:p>
    <w:p w14:paraId="1B8EA280" w14:textId="77777777" w:rsidR="00D16027" w:rsidRDefault="00000000">
      <w:pPr>
        <w:pStyle w:val="Heading2"/>
        <w:keepNext/>
      </w:pPr>
      <w:r>
        <w:t>12.2 What the evidence says</w:t>
      </w:r>
    </w:p>
    <w:p w14:paraId="49FCC830" w14:textId="77777777" w:rsidR="00D16027" w:rsidRDefault="00000000">
      <w:pPr>
        <w:spacing w:after="140"/>
      </w:pPr>
      <w:r>
        <w:t xml:space="preserve">Studies of AI-generated feedback have accumulated quickly and point in a consistent direction. Dai et al. (2023) compared ChatGPT feedback on student assignments with instructor feedback and found the AI's comments more detailed, more consistent across students, and more readable, while agreeing with the instructor's assessment of the work in most cases. </w:t>
      </w:r>
      <w:proofErr w:type="spellStart"/>
      <w:r>
        <w:t>Steiss</w:t>
      </w:r>
      <w:proofErr w:type="spellEnd"/>
      <w:r>
        <w:t xml:space="preserve"> et al. (2024), in the most careful comparison to date, had trained raters evaluate human and ChatGPT feedback on 200 secondary-school essays against five criteria: humans outperformed the AI on four, but the AI was comparable on alignment with the rubric criteria, was produced in a fraction of the time, and was most accurate for weaker essays; its feedback on strong essays was less accurate and less supportive in tone. Meyer et al. (2024) found in a randomised study that AI-generated feedback on argumentative writing increased students' revision, motivation and positive emotion relative to no feedback. Escalante et al. (2023), working with second-language writers, found no difference in learning gains between AI and human feedback and a cohort almost evenly split in preference: those who preferred AI valued speed and detail; those who preferred the tutor valued relationship and trust.</w:t>
      </w:r>
    </w:p>
    <w:p w14:paraId="0198C26B" w14:textId="77777777" w:rsidR="00D16027" w:rsidRDefault="00000000">
      <w:pPr>
        <w:spacing w:after="140"/>
      </w:pPr>
      <w:r>
        <w:t>Two cautions sit alongside these findings. Darvishi et al. (2024) found that students given AI assistance with feedback tasks relied on it rather than learned from it, and Yan et al. (2024) identify hallucination as a persistent risk: AI feedback can be confidently wrong about content, cite rules that do not exist, or praise an argument that misreads the source. The evidence therefore supports a specific conclusion. AI feedback is a good first pass, especially on lower-performing work and against explicit criteria; it is a poor final word, especially on strong work, on disciplinary substance and on anything relational.</w:t>
      </w:r>
    </w:p>
    <w:p w14:paraId="5C672257" w14:textId="77777777" w:rsidR="00D16027" w:rsidRDefault="00000000">
      <w:pPr>
        <w:keepNext/>
        <w:spacing w:before="160" w:after="80"/>
      </w:pPr>
      <w:r>
        <w:rPr>
          <w:b/>
          <w:bCs/>
          <w:color w:val="1A4F7A"/>
          <w:sz w:val="20"/>
          <w:szCs w:val="20"/>
        </w:rPr>
        <w:lastRenderedPageBreak/>
        <w:t>Table 12.1  Where AI feedback helps and where it does not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93"/>
      </w:tblGrid>
      <w:tr w:rsidR="00D16027" w14:paraId="4F21F97D" w14:textId="77777777">
        <w:tblPrEx>
          <w:tblCellMar>
            <w:top w:w="0" w:type="dxa"/>
            <w:bottom w:w="0" w:type="dxa"/>
          </w:tblCellMar>
        </w:tblPrEx>
        <w:trPr>
          <w:cantSplit/>
          <w:tblHeader/>
        </w:trPr>
        <w:tc>
          <w:tcPr>
            <w:tcW w:w="4693" w:type="dxa"/>
            <w:shd w:val="clear" w:color="auto" w:fill="2E75B6"/>
            <w:tcMar>
              <w:top w:w="70" w:type="dxa"/>
              <w:left w:w="100" w:type="dxa"/>
              <w:bottom w:w="70" w:type="dxa"/>
              <w:right w:w="100" w:type="dxa"/>
            </w:tcMar>
          </w:tcPr>
          <w:p w14:paraId="7B9D4888" w14:textId="77777777" w:rsidR="00D16027" w:rsidRDefault="00000000">
            <w:r>
              <w:rPr>
                <w:b/>
                <w:bCs/>
                <w:color w:val="FFFFFF"/>
                <w:sz w:val="19"/>
                <w:szCs w:val="19"/>
              </w:rPr>
              <w:t>AI feedback is well suited to</w:t>
            </w:r>
          </w:p>
        </w:tc>
        <w:tc>
          <w:tcPr>
            <w:tcW w:w="4693" w:type="dxa"/>
            <w:shd w:val="clear" w:color="auto" w:fill="2E75B6"/>
            <w:tcMar>
              <w:top w:w="70" w:type="dxa"/>
              <w:left w:w="100" w:type="dxa"/>
              <w:bottom w:w="70" w:type="dxa"/>
              <w:right w:w="100" w:type="dxa"/>
            </w:tcMar>
          </w:tcPr>
          <w:p w14:paraId="5BF48869" w14:textId="77777777" w:rsidR="00D16027" w:rsidRDefault="00000000">
            <w:r>
              <w:rPr>
                <w:b/>
                <w:bCs/>
                <w:color w:val="FFFFFF"/>
                <w:sz w:val="19"/>
                <w:szCs w:val="19"/>
              </w:rPr>
              <w:t>AI feedback is poorly suited to</w:t>
            </w:r>
          </w:p>
        </w:tc>
      </w:tr>
      <w:tr w:rsidR="00D16027" w14:paraId="5115455B" w14:textId="77777777">
        <w:tblPrEx>
          <w:tblCellMar>
            <w:top w:w="0" w:type="dxa"/>
            <w:bottom w:w="0" w:type="dxa"/>
          </w:tblCellMar>
        </w:tblPrEx>
        <w:trPr>
          <w:cantSplit/>
        </w:trPr>
        <w:tc>
          <w:tcPr>
            <w:tcW w:w="4693" w:type="dxa"/>
            <w:tcMar>
              <w:top w:w="70" w:type="dxa"/>
              <w:left w:w="100" w:type="dxa"/>
              <w:bottom w:w="70" w:type="dxa"/>
              <w:right w:w="100" w:type="dxa"/>
            </w:tcMar>
          </w:tcPr>
          <w:p w14:paraId="656D05FA" w14:textId="77777777" w:rsidR="00D16027" w:rsidRDefault="00000000">
            <w:r>
              <w:rPr>
                <w:sz w:val="19"/>
                <w:szCs w:val="19"/>
              </w:rPr>
              <w:t>First-pass comments on drafts against a rubric</w:t>
            </w:r>
          </w:p>
        </w:tc>
        <w:tc>
          <w:tcPr>
            <w:tcW w:w="4693" w:type="dxa"/>
            <w:tcMar>
              <w:top w:w="70" w:type="dxa"/>
              <w:left w:w="100" w:type="dxa"/>
              <w:bottom w:w="70" w:type="dxa"/>
              <w:right w:w="100" w:type="dxa"/>
            </w:tcMar>
          </w:tcPr>
          <w:p w14:paraId="228B324C" w14:textId="77777777" w:rsidR="00D16027" w:rsidRDefault="00000000">
            <w:r>
              <w:rPr>
                <w:sz w:val="19"/>
                <w:szCs w:val="19"/>
              </w:rPr>
              <w:t>Final judgement on disciplinary quality at the top end</w:t>
            </w:r>
          </w:p>
        </w:tc>
      </w:tr>
      <w:tr w:rsidR="00D16027" w14:paraId="6F908C96" w14:textId="77777777">
        <w:tblPrEx>
          <w:tblCellMar>
            <w:top w:w="0" w:type="dxa"/>
            <w:bottom w:w="0" w:type="dxa"/>
          </w:tblCellMar>
        </w:tblPrEx>
        <w:trPr>
          <w:cantSplit/>
        </w:trPr>
        <w:tc>
          <w:tcPr>
            <w:tcW w:w="4693" w:type="dxa"/>
            <w:tcMar>
              <w:top w:w="70" w:type="dxa"/>
              <w:left w:w="100" w:type="dxa"/>
              <w:bottom w:w="70" w:type="dxa"/>
              <w:right w:w="100" w:type="dxa"/>
            </w:tcMar>
          </w:tcPr>
          <w:p w14:paraId="3812934B" w14:textId="77777777" w:rsidR="00D16027" w:rsidRDefault="00000000">
            <w:r>
              <w:rPr>
                <w:sz w:val="19"/>
                <w:szCs w:val="19"/>
              </w:rPr>
              <w:t>Structure, clarity, coherence and language</w:t>
            </w:r>
          </w:p>
        </w:tc>
        <w:tc>
          <w:tcPr>
            <w:tcW w:w="4693" w:type="dxa"/>
            <w:tcMar>
              <w:top w:w="70" w:type="dxa"/>
              <w:left w:w="100" w:type="dxa"/>
              <w:bottom w:w="70" w:type="dxa"/>
              <w:right w:w="100" w:type="dxa"/>
            </w:tcMar>
          </w:tcPr>
          <w:p w14:paraId="3BA978EA" w14:textId="77777777" w:rsidR="00D16027" w:rsidRDefault="00000000">
            <w:r>
              <w:rPr>
                <w:sz w:val="19"/>
                <w:szCs w:val="19"/>
              </w:rPr>
              <w:t>Substantive correctness where the AI may hallucinate</w:t>
            </w:r>
          </w:p>
        </w:tc>
      </w:tr>
      <w:tr w:rsidR="00D16027" w14:paraId="1BD50C33" w14:textId="77777777">
        <w:tblPrEx>
          <w:tblCellMar>
            <w:top w:w="0" w:type="dxa"/>
            <w:bottom w:w="0" w:type="dxa"/>
          </w:tblCellMar>
        </w:tblPrEx>
        <w:trPr>
          <w:cantSplit/>
        </w:trPr>
        <w:tc>
          <w:tcPr>
            <w:tcW w:w="4693" w:type="dxa"/>
            <w:tcMar>
              <w:top w:w="70" w:type="dxa"/>
              <w:left w:w="100" w:type="dxa"/>
              <w:bottom w:w="70" w:type="dxa"/>
              <w:right w:w="100" w:type="dxa"/>
            </w:tcMar>
          </w:tcPr>
          <w:p w14:paraId="176E3FB2" w14:textId="77777777" w:rsidR="00D16027" w:rsidRDefault="00000000">
            <w:r>
              <w:rPr>
                <w:sz w:val="19"/>
                <w:szCs w:val="19"/>
              </w:rPr>
              <w:t>Consistency across a large cohort</w:t>
            </w:r>
          </w:p>
        </w:tc>
        <w:tc>
          <w:tcPr>
            <w:tcW w:w="4693" w:type="dxa"/>
            <w:tcMar>
              <w:top w:w="70" w:type="dxa"/>
              <w:left w:w="100" w:type="dxa"/>
              <w:bottom w:w="70" w:type="dxa"/>
              <w:right w:w="100" w:type="dxa"/>
            </w:tcMar>
          </w:tcPr>
          <w:p w14:paraId="7B8E4409" w14:textId="77777777" w:rsidR="00D16027" w:rsidRDefault="00000000">
            <w:r>
              <w:rPr>
                <w:sz w:val="19"/>
                <w:szCs w:val="19"/>
              </w:rPr>
              <w:t>Knowing the student: what they tried last time, what they need to hear</w:t>
            </w:r>
          </w:p>
        </w:tc>
      </w:tr>
      <w:tr w:rsidR="00D16027" w14:paraId="3F13874C" w14:textId="77777777">
        <w:tblPrEx>
          <w:tblCellMar>
            <w:top w:w="0" w:type="dxa"/>
            <w:bottom w:w="0" w:type="dxa"/>
          </w:tblCellMar>
        </w:tblPrEx>
        <w:trPr>
          <w:cantSplit/>
        </w:trPr>
        <w:tc>
          <w:tcPr>
            <w:tcW w:w="4693" w:type="dxa"/>
            <w:tcMar>
              <w:top w:w="70" w:type="dxa"/>
              <w:left w:w="100" w:type="dxa"/>
              <w:bottom w:w="70" w:type="dxa"/>
              <w:right w:w="100" w:type="dxa"/>
            </w:tcMar>
          </w:tcPr>
          <w:p w14:paraId="5741CEFA" w14:textId="77777777" w:rsidR="00D16027" w:rsidRDefault="00000000">
            <w:r>
              <w:rPr>
                <w:sz w:val="19"/>
                <w:szCs w:val="19"/>
              </w:rPr>
              <w:t>Speed: feedback while the task is still live</w:t>
            </w:r>
          </w:p>
        </w:tc>
        <w:tc>
          <w:tcPr>
            <w:tcW w:w="4693" w:type="dxa"/>
            <w:tcMar>
              <w:top w:w="70" w:type="dxa"/>
              <w:left w:w="100" w:type="dxa"/>
              <w:bottom w:w="70" w:type="dxa"/>
              <w:right w:w="100" w:type="dxa"/>
            </w:tcMar>
          </w:tcPr>
          <w:p w14:paraId="12AE2D7B" w14:textId="77777777" w:rsidR="00D16027" w:rsidRDefault="00000000">
            <w:r>
              <w:rPr>
                <w:sz w:val="19"/>
                <w:szCs w:val="19"/>
              </w:rPr>
              <w:t>The relational and motivational dimension of feedback</w:t>
            </w:r>
          </w:p>
        </w:tc>
      </w:tr>
      <w:tr w:rsidR="00D16027" w14:paraId="4EDC6C53" w14:textId="77777777">
        <w:tblPrEx>
          <w:tblCellMar>
            <w:top w:w="0" w:type="dxa"/>
            <w:bottom w:w="0" w:type="dxa"/>
          </w:tblCellMar>
        </w:tblPrEx>
        <w:trPr>
          <w:cantSplit/>
        </w:trPr>
        <w:tc>
          <w:tcPr>
            <w:tcW w:w="4693" w:type="dxa"/>
            <w:tcMar>
              <w:top w:w="70" w:type="dxa"/>
              <w:left w:w="100" w:type="dxa"/>
              <w:bottom w:w="70" w:type="dxa"/>
              <w:right w:w="100" w:type="dxa"/>
            </w:tcMar>
          </w:tcPr>
          <w:p w14:paraId="6B3A509D" w14:textId="77777777" w:rsidR="00D16027" w:rsidRDefault="00000000">
            <w:r>
              <w:rPr>
                <w:sz w:val="19"/>
                <w:szCs w:val="19"/>
              </w:rPr>
              <w:t>Generating questions that prompt revision</w:t>
            </w:r>
          </w:p>
        </w:tc>
        <w:tc>
          <w:tcPr>
            <w:tcW w:w="4693" w:type="dxa"/>
            <w:tcMar>
              <w:top w:w="70" w:type="dxa"/>
              <w:left w:w="100" w:type="dxa"/>
              <w:bottom w:w="70" w:type="dxa"/>
              <w:right w:w="100" w:type="dxa"/>
            </w:tcMar>
          </w:tcPr>
          <w:p w14:paraId="3733875B" w14:textId="77777777" w:rsidR="00D16027" w:rsidRDefault="00000000">
            <w:r>
              <w:rPr>
                <w:sz w:val="19"/>
                <w:szCs w:val="19"/>
              </w:rPr>
              <w:t>Summative decisions and borderline cases</w:t>
            </w:r>
          </w:p>
        </w:tc>
      </w:tr>
      <w:tr w:rsidR="00D16027" w14:paraId="3786488D" w14:textId="77777777">
        <w:tblPrEx>
          <w:tblCellMar>
            <w:top w:w="0" w:type="dxa"/>
            <w:bottom w:w="0" w:type="dxa"/>
          </w:tblCellMar>
        </w:tblPrEx>
        <w:trPr>
          <w:cantSplit/>
        </w:trPr>
        <w:tc>
          <w:tcPr>
            <w:tcW w:w="4693" w:type="dxa"/>
            <w:tcMar>
              <w:top w:w="70" w:type="dxa"/>
              <w:left w:w="100" w:type="dxa"/>
              <w:bottom w:w="70" w:type="dxa"/>
              <w:right w:w="100" w:type="dxa"/>
            </w:tcMar>
          </w:tcPr>
          <w:p w14:paraId="793483D1" w14:textId="77777777" w:rsidR="00D16027" w:rsidRDefault="00000000">
            <w:r>
              <w:rPr>
                <w:sz w:val="19"/>
                <w:szCs w:val="19"/>
              </w:rPr>
              <w:t>Exemplar feedback that a tutor personalises</w:t>
            </w:r>
          </w:p>
        </w:tc>
        <w:tc>
          <w:tcPr>
            <w:tcW w:w="4693" w:type="dxa"/>
            <w:tcMar>
              <w:top w:w="70" w:type="dxa"/>
              <w:left w:w="100" w:type="dxa"/>
              <w:bottom w:w="70" w:type="dxa"/>
              <w:right w:w="100" w:type="dxa"/>
            </w:tcMar>
          </w:tcPr>
          <w:p w14:paraId="6EB1D6B1" w14:textId="77777777" w:rsidR="00D16027" w:rsidRDefault="00000000">
            <w:r>
              <w:rPr>
                <w:sz w:val="19"/>
                <w:szCs w:val="19"/>
              </w:rPr>
              <w:t>Creative, argumentative and original work where quality is contested</w:t>
            </w:r>
          </w:p>
        </w:tc>
      </w:tr>
    </w:tbl>
    <w:p w14:paraId="359A13A1" w14:textId="77777777" w:rsidR="00D16027" w:rsidRDefault="00D16027">
      <w:pPr>
        <w:spacing w:after="120"/>
      </w:pPr>
    </w:p>
    <w:p w14:paraId="72EFC91F" w14:textId="77777777" w:rsidR="00D16027" w:rsidRDefault="00000000">
      <w:pPr>
        <w:pStyle w:val="Heading2"/>
        <w:keepNext/>
      </w:pPr>
      <w:r>
        <w:t>12.3 Hybrid designs</w:t>
      </w:r>
    </w:p>
    <w:p w14:paraId="7403AEF5" w14:textId="77777777" w:rsidR="00D16027" w:rsidRDefault="00000000">
      <w:pPr>
        <w:spacing w:after="140"/>
      </w:pPr>
      <w:proofErr w:type="spellStart"/>
      <w:r>
        <w:t>Banihashem</w:t>
      </w:r>
      <w:proofErr w:type="spellEnd"/>
      <w:r>
        <w:t xml:space="preserve"> et al. (2025) propose a pedagogical framework for hybrid intelligent feedback in which AI and human contributions are deliberately allocated rather than left to default. Five designs are in use.</w:t>
      </w:r>
    </w:p>
    <w:p w14:paraId="4C5BE138" w14:textId="77777777" w:rsidR="00D16027" w:rsidRDefault="00000000">
      <w:pPr>
        <w:spacing w:after="140"/>
      </w:pPr>
      <w:r>
        <w:rPr>
          <w:b/>
          <w:bCs/>
        </w:rPr>
        <w:t>AI first pass, tutor second.</w:t>
      </w:r>
      <w:r>
        <w:t xml:space="preserve"> The AI generates criterion-referenced comments on every submission; the tutor reviews, corrects, deletes and adds the judgement and the personal note. Time per script falls; the tutor's attention shifts from writing to editing and from the routine to the substantive.</w:t>
      </w:r>
    </w:p>
    <w:p w14:paraId="7BDBF0B1" w14:textId="77777777" w:rsidR="00D16027" w:rsidRDefault="00000000">
      <w:pPr>
        <w:spacing w:after="140"/>
      </w:pPr>
      <w:r>
        <w:rPr>
          <w:b/>
          <w:bCs/>
        </w:rPr>
        <w:t>Student-initiated feedback on drafts.</w:t>
      </w:r>
      <w:r>
        <w:t xml:space="preserve"> Students run their own draft through an institutional tool configured with the rubric, before submission, and submit a short response: what the feedback said, what they changed, what they disagreed with. This is assessment as learning (Earl 2003) and builds feedback literacy; the response sheet is process evidence (Chapter 8).</w:t>
      </w:r>
    </w:p>
    <w:p w14:paraId="3FAD9DDA" w14:textId="77777777" w:rsidR="00D16027" w:rsidRDefault="00000000">
      <w:pPr>
        <w:spacing w:after="140"/>
      </w:pPr>
      <w:r>
        <w:rPr>
          <w:b/>
          <w:bCs/>
        </w:rPr>
        <w:t>Exemplar bank.</w:t>
      </w:r>
      <w:r>
        <w:t xml:space="preserve"> The tutor uses AI to generate a bank of feedback comments at each grade band for each criterion, then personalises from the bank. Consistency rises; the tutor's voice is preserved.</w:t>
      </w:r>
    </w:p>
    <w:p w14:paraId="028D8F3D" w14:textId="77777777" w:rsidR="00D16027" w:rsidRDefault="00000000">
      <w:pPr>
        <w:spacing w:after="140"/>
      </w:pPr>
      <w:r>
        <w:rPr>
          <w:b/>
          <w:bCs/>
        </w:rPr>
        <w:t>Feedback dialogue.</w:t>
      </w:r>
      <w:r>
        <w:t xml:space="preserve"> After receiving tutor feedback, the student uses an AI tool to interrogate it: what does this comment mean, how would I act on it, show me an example. The tutor's feedback becomes the start of a conversation rather than its end, which is what Boud and Molloy (2013) asked for.</w:t>
      </w:r>
    </w:p>
    <w:p w14:paraId="0BBCBEE0" w14:textId="77777777" w:rsidR="00D16027" w:rsidRDefault="00000000">
      <w:pPr>
        <w:spacing w:after="140"/>
      </w:pPr>
      <w:r>
        <w:rPr>
          <w:b/>
          <w:bCs/>
        </w:rPr>
        <w:t>Quality and consistency check.</w:t>
      </w:r>
      <w:r>
        <w:t xml:space="preserve"> AI reviews the tutor's feedback across a cohort for alignment with the rubric, actionability and consistency between markers, flagging comments that are generic or misaligned. This is moderation support, and Chapter 13 develops it.</w:t>
      </w:r>
    </w:p>
    <w:p w14:paraId="62F35531" w14:textId="77777777" w:rsidR="00D16027" w:rsidRDefault="00000000">
      <w:pPr>
        <w:spacing w:after="140"/>
      </w:pPr>
      <w:r>
        <w:t>In every design the allocation is explicit and the human retains the decisions that carry stakes. Practical set-up matters: the tool is prompted with the outcomes, the rubric, exemplars and the desired tone and format (questions rather than corrections; three priorities rather than twenty comments); outputs are tested on a sample before rollout; and the tool is an institutional one under a data-protection agreement, because student work is personal data and must not be pasted into a public service without a lawful basis.</w:t>
      </w:r>
    </w:p>
    <w:p w14:paraId="2C182404" w14:textId="77777777" w:rsidR="00D16027" w:rsidRDefault="00000000">
      <w:pPr>
        <w:pStyle w:val="Heading2"/>
        <w:keepNext/>
      </w:pPr>
      <w:r>
        <w:t>12.4 Principles for responsible AI feedback</w:t>
      </w:r>
    </w:p>
    <w:p w14:paraId="352A753C" w14:textId="77777777" w:rsidR="00D16027" w:rsidRDefault="00000000">
      <w:pPr>
        <w:pStyle w:val="ListParagraph"/>
        <w:numPr>
          <w:ilvl w:val="0"/>
          <w:numId w:val="6"/>
        </w:numPr>
        <w:spacing w:before="40" w:after="70"/>
      </w:pPr>
      <w:r>
        <w:rPr>
          <w:b/>
          <w:bCs/>
        </w:rPr>
        <w:t>Transparency.</w:t>
      </w:r>
      <w:r>
        <w:t xml:space="preserve"> Students are told, in the brief and on the feedback itself, when and how AI contributed. Chan (2023) found transparency the most consistent expectation across students and staff; concealment, when discovered, destroys the trust that makes feedback usable.</w:t>
      </w:r>
    </w:p>
    <w:p w14:paraId="38E05916" w14:textId="77777777" w:rsidR="00D16027" w:rsidRDefault="00000000">
      <w:pPr>
        <w:pStyle w:val="ListParagraph"/>
        <w:numPr>
          <w:ilvl w:val="0"/>
          <w:numId w:val="6"/>
        </w:numPr>
        <w:spacing w:before="40" w:after="70"/>
      </w:pPr>
      <w:r>
        <w:rPr>
          <w:b/>
          <w:bCs/>
        </w:rPr>
        <w:t>Alignment.</w:t>
      </w:r>
      <w:r>
        <w:t xml:space="preserve"> AI feedback is generated against the module's outcomes and rubric, not against the model's own sense of good writing. Unaligned feedback pulls students towards a generic standard and away from the discipline's.</w:t>
      </w:r>
    </w:p>
    <w:p w14:paraId="11C6761D" w14:textId="77777777" w:rsidR="00D16027" w:rsidRDefault="00000000">
      <w:pPr>
        <w:pStyle w:val="ListParagraph"/>
        <w:numPr>
          <w:ilvl w:val="0"/>
          <w:numId w:val="6"/>
        </w:numPr>
        <w:spacing w:before="40" w:after="70"/>
      </w:pPr>
      <w:r>
        <w:rPr>
          <w:b/>
          <w:bCs/>
        </w:rPr>
        <w:lastRenderedPageBreak/>
        <w:t>Proportionate human review.</w:t>
      </w:r>
      <w:r>
        <w:t xml:space="preserve"> The higher the stakes, the more the human reads. Formative comments on early drafts can be lightly reviewed; anything that affects a grade is read in full.</w:t>
      </w:r>
    </w:p>
    <w:p w14:paraId="05ADF734" w14:textId="77777777" w:rsidR="00D16027" w:rsidRDefault="00000000">
      <w:pPr>
        <w:pStyle w:val="ListParagraph"/>
        <w:numPr>
          <w:ilvl w:val="0"/>
          <w:numId w:val="6"/>
        </w:numPr>
        <w:spacing w:before="40" w:after="70"/>
      </w:pPr>
      <w:r>
        <w:rPr>
          <w:b/>
          <w:bCs/>
        </w:rPr>
        <w:t>Human authorship of summative feedback.</w:t>
      </w:r>
      <w:r>
        <w:t xml:space="preserve"> The feedback that accompanies a mark should be the tutor's. </w:t>
      </w:r>
      <w:proofErr w:type="spellStart"/>
      <w:r>
        <w:t>Steiss</w:t>
      </w:r>
      <w:proofErr w:type="spellEnd"/>
      <w:r>
        <w:t xml:space="preserve"> et al. (2024) show AI is least reliable on strong work, and summative feedback is where relationship and judgement matter most.</w:t>
      </w:r>
    </w:p>
    <w:p w14:paraId="7DF12FFF" w14:textId="77777777" w:rsidR="00D16027" w:rsidRDefault="00000000">
      <w:pPr>
        <w:pStyle w:val="ListParagraph"/>
        <w:numPr>
          <w:ilvl w:val="0"/>
          <w:numId w:val="6"/>
        </w:numPr>
        <w:spacing w:before="40" w:after="70"/>
      </w:pPr>
      <w:r>
        <w:rPr>
          <w:b/>
          <w:bCs/>
        </w:rPr>
        <w:t>Equity.</w:t>
      </w:r>
      <w:r>
        <w:t xml:space="preserve"> AI feedback may respond differently to different writing styles and to writers in a second language; the detector bias Liang et al. (2023) documented has analogues in feedback tools. Check outputs across the cohort for systematic differences before relying on them.</w:t>
      </w:r>
    </w:p>
    <w:p w14:paraId="28CB4CFD" w14:textId="77777777" w:rsidR="00D16027" w:rsidRDefault="00000000">
      <w:pPr>
        <w:pStyle w:val="ListParagraph"/>
        <w:numPr>
          <w:ilvl w:val="0"/>
          <w:numId w:val="6"/>
        </w:numPr>
        <w:spacing w:before="40" w:after="70"/>
      </w:pPr>
      <w:r>
        <w:rPr>
          <w:b/>
          <w:bCs/>
        </w:rPr>
        <w:t>Privacy.</w:t>
      </w:r>
      <w:r>
        <w:t xml:space="preserve"> Student work is processed only in tools with an institutional agreement, and students are told.</w:t>
      </w:r>
    </w:p>
    <w:p w14:paraId="1A55496C" w14:textId="77777777" w:rsidR="00D16027" w:rsidRDefault="00000000">
      <w:pPr>
        <w:pStyle w:val="ListParagraph"/>
        <w:numPr>
          <w:ilvl w:val="0"/>
          <w:numId w:val="6"/>
        </w:numPr>
        <w:spacing w:before="40" w:after="70"/>
      </w:pPr>
      <w:r>
        <w:rPr>
          <w:b/>
          <w:bCs/>
        </w:rPr>
        <w:t>Agency.</w:t>
      </w:r>
      <w:r>
        <w:t xml:space="preserve"> Feedback is designed to be used: response sheets, dialogue, revision opportunities. AI that produces more feedback that is never acted on has widened the gap, not closed it (Carless &amp; Boud 2018).</w:t>
      </w:r>
    </w:p>
    <w:p w14:paraId="54EE80F6" w14:textId="77777777" w:rsidR="00D16027" w:rsidRDefault="00000000">
      <w:pPr>
        <w:pStyle w:val="Heading2"/>
        <w:keepNext/>
      </w:pPr>
      <w:r>
        <w:t>12.5 Student perspectives</w:t>
      </w:r>
    </w:p>
    <w:p w14:paraId="5CD63734" w14:textId="77777777" w:rsidR="00D16027" w:rsidRDefault="00000000">
      <w:pPr>
        <w:spacing w:after="140"/>
      </w:pPr>
      <w:r>
        <w:t>Students are neither hostile to AI feedback nor uncritical of it. They value speed, detail and availability; Escalante et al. (2023) and Chan and Hu (2023) both record this. They also report what makes feedback feel hollow: comments that could apply to anyone, praise that does not match the mark, and the sense that no one read the work. AI feedback that is generic reproduces exactly those failures at scale. The designs above succeed when the AI's contribution is specific to the student's text and the tutor's contribution is visibly present. Cope and Kalantzis (2019) argue that the promise of AI-supported feedback is not automation but a shift in the educator's role from writing every comment to designing the feedback environment and intervening where judgement is needed. Students notice the difference.</w:t>
      </w:r>
    </w:p>
    <w:p w14:paraId="2110BDEE" w14:textId="77777777" w:rsidR="00D16027" w:rsidRDefault="00000000">
      <w:pPr>
        <w:pStyle w:val="Heading2"/>
        <w:keepNext/>
      </w:pPr>
      <w:r>
        <w:t>12.6 A caution on homogenisation</w:t>
      </w:r>
    </w:p>
    <w:p w14:paraId="1A53067D" w14:textId="77777777" w:rsidR="00D16027" w:rsidRDefault="00000000">
      <w:pPr>
        <w:spacing w:after="140"/>
      </w:pPr>
      <w:r>
        <w:t>A subtler risk deserves naming. If a cohort revises repeatedly towards feedback generated by the same model, their writing converges on the model's preferences: its structures, its transitions, its hedges. Chapter 3 noted preprint evidence of structural convergence in AI-augmented essays (</w:t>
      </w:r>
      <w:proofErr w:type="spellStart"/>
      <w:r>
        <w:t>Inoshita</w:t>
      </w:r>
      <w:proofErr w:type="spellEnd"/>
      <w:r>
        <w:t xml:space="preserve"> et al. 2026), and the same study found that more specific prompting reduced the effect. Disciplines that value distinctive voice, contested argument or unconventional form should prompt feedback tools to preserve the student's choices rather than normalise them, should prefer question-based feedback to directive correction, and should keep the tutor's judgement about voice in human hands.</w:t>
      </w:r>
    </w:p>
    <w:p w14:paraId="7E2CB7A2"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Hybrid feedback in four settings</w:t>
      </w:r>
    </w:p>
    <w:p w14:paraId="148DB3F8" w14:textId="77777777" w:rsidR="00D16027" w:rsidRDefault="00000000">
      <w:pPr>
        <w:pBdr>
          <w:left w:val="single" w:sz="14" w:space="10" w:color="4E8A5E"/>
        </w:pBdr>
        <w:shd w:val="clear" w:color="auto" w:fill="EEF6EF"/>
        <w:spacing w:after="60"/>
      </w:pPr>
      <w:r>
        <w:rPr>
          <w:b/>
          <w:bCs/>
          <w:color w:val="333333"/>
          <w:sz w:val="20"/>
          <w:szCs w:val="20"/>
        </w:rPr>
        <w:t>First-year academic writing, 600 students.</w:t>
      </w:r>
      <w:r>
        <w:rPr>
          <w:color w:val="333333"/>
          <w:sz w:val="20"/>
          <w:szCs w:val="20"/>
        </w:rPr>
        <w:t xml:space="preserve"> Students submit a draft to an institutional tool configured with the rubric and receive three prioritised questions within minutes; they submit a 200-word response with the final essay. Tutors mark the final and read the response. The design's aims are to reduce feedback time per script by around a third and to increase the proportion of feedback students report acting on; both are measured after the first cycle.</w:t>
      </w:r>
    </w:p>
    <w:p w14:paraId="1B3DFD26" w14:textId="77777777" w:rsidR="00D16027" w:rsidRDefault="00000000">
      <w:pPr>
        <w:pBdr>
          <w:left w:val="single" w:sz="14" w:space="10" w:color="4E8A5E"/>
        </w:pBdr>
        <w:shd w:val="clear" w:color="auto" w:fill="EEF6EF"/>
        <w:spacing w:after="60"/>
      </w:pPr>
      <w:r>
        <w:rPr>
          <w:b/>
          <w:bCs/>
          <w:color w:val="333333"/>
          <w:sz w:val="20"/>
          <w:szCs w:val="20"/>
        </w:rPr>
        <w:t>Engineering design reports.</w:t>
      </w:r>
      <w:r>
        <w:rPr>
          <w:color w:val="333333"/>
          <w:sz w:val="20"/>
          <w:szCs w:val="20"/>
        </w:rPr>
        <w:t xml:space="preserve"> AI generates criterion-by-criterion comments on each report; the tutor reviews every comment, corrects technical errors, and adds a paragraph on the design judgement. Students are told which comments were AI-generated and reviewed.</w:t>
      </w:r>
    </w:p>
    <w:p w14:paraId="34255C4B" w14:textId="77777777" w:rsidR="00D16027" w:rsidRDefault="00000000">
      <w:pPr>
        <w:pBdr>
          <w:left w:val="single" w:sz="14" w:space="10" w:color="4E8A5E"/>
        </w:pBdr>
        <w:shd w:val="clear" w:color="auto" w:fill="EEF6EF"/>
        <w:spacing w:after="60"/>
      </w:pPr>
      <w:r>
        <w:rPr>
          <w:b/>
          <w:bCs/>
          <w:color w:val="333333"/>
          <w:sz w:val="20"/>
          <w:szCs w:val="20"/>
        </w:rPr>
        <w:t>Second-language writing.</w:t>
      </w:r>
      <w:r>
        <w:rPr>
          <w:color w:val="333333"/>
          <w:sz w:val="20"/>
          <w:szCs w:val="20"/>
        </w:rPr>
        <w:t xml:space="preserve"> Following Escalante et al. (2023), students choose weekly between AI and tutor feedback on short pieces and reflect at term's end on which helped more and why. The reflection is assessed; the choice is not.</w:t>
      </w:r>
    </w:p>
    <w:p w14:paraId="185279A6" w14:textId="77777777" w:rsidR="00D16027" w:rsidRDefault="00000000">
      <w:pPr>
        <w:pBdr>
          <w:left w:val="single" w:sz="14" w:space="10" w:color="4E8A5E"/>
        </w:pBdr>
        <w:shd w:val="clear" w:color="auto" w:fill="EEF6EF"/>
        <w:spacing w:after="200"/>
      </w:pPr>
      <w:r>
        <w:rPr>
          <w:b/>
          <w:bCs/>
          <w:color w:val="333333"/>
          <w:sz w:val="20"/>
          <w:szCs w:val="20"/>
        </w:rPr>
        <w:t>Nursing reflective practice.</w:t>
      </w:r>
      <w:r>
        <w:rPr>
          <w:color w:val="333333"/>
          <w:sz w:val="20"/>
          <w:szCs w:val="20"/>
        </w:rPr>
        <w:t xml:space="preserve"> AI is not used to comment on the reflective content, which is personal and where hallucinated interpretation would be harmful. It is used to generate three probing questions per entry that the practice assessor reviews and selects from for the placement conversation.</w:t>
      </w:r>
    </w:p>
    <w:p w14:paraId="2F1184F6"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Pilot AI-assisted formative feedback on one task</w:t>
      </w:r>
    </w:p>
    <w:p w14:paraId="4E2698EC"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Choose a formative task with a clear rubric and a large cohort. Confirm an institutional tool is available under a data-protection agreement.</w:t>
      </w:r>
    </w:p>
    <w:p w14:paraId="39C5817B"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lastRenderedPageBreak/>
        <w:t>Configure the tool with outcomes, rubric, two exemplars and a format instruction: three prioritised questions, not a list of corrections.</w:t>
      </w:r>
    </w:p>
    <w:p w14:paraId="69052D2A"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Run it on twenty scripts from a previous cohort. Compare with the tutor feedback given at the time. Check for errors, generic comments and any pattern by writing style or language background.</w:t>
      </w:r>
    </w:p>
    <w:p w14:paraId="06A28A2A"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Decide the hybrid design (first pass, student-initiated, or exemplar bank) and the human review rule.</w:t>
      </w:r>
    </w:p>
    <w:p w14:paraId="249B21EF"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Tell students exactly what the AI does, what the tutor does, and how to respond. Require a feedback response.</w:t>
      </w:r>
    </w:p>
    <w:p w14:paraId="6E719BE6"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Evaluate after one cycle: time per script, student use of feedback, and student and tutor perceptions. Adjust or stop.</w:t>
      </w:r>
    </w:p>
    <w:p w14:paraId="1776AABD" w14:textId="77777777" w:rsidR="00D16027" w:rsidRDefault="00000000">
      <w:pPr>
        <w:pStyle w:val="Heading2"/>
        <w:keepNext/>
      </w:pPr>
      <w:r>
        <w:t>What this means for you</w:t>
      </w:r>
    </w:p>
    <w:p w14:paraId="3E80C297"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6CB601F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AI where the evidence supports it: first-pass, criterion-referenced comments on drafts, especially for weaker work. Keep the summative comment yours.</w:t>
      </w:r>
    </w:p>
    <w:p w14:paraId="1D75EB7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Prompt for questions, not corrections, and for three priorities, not twenty. Feedback students can act on is worth more than feedback that is complete.</w:t>
      </w:r>
    </w:p>
    <w:p w14:paraId="4FD64D5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Tell students what you did. Transparency costs one sentence and protects everything else.</w:t>
      </w:r>
    </w:p>
    <w:p w14:paraId="6B6266D6"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3910043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Agree a programme-level feedback design: which tasks use AI first pass, which are human-only, and how students learn to respond to feedback in year one.</w:t>
      </w:r>
    </w:p>
    <w:p w14:paraId="367EC88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Provide rubric templates and configuration prompts so that every module's AI feedback is aligned to the same standards and voice.</w:t>
      </w:r>
    </w:p>
    <w:p w14:paraId="38DF2035"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Monitor feedback quality and equity across the programme using the tools described in Chapter 13, and report to students what was found.</w:t>
      </w:r>
    </w:p>
    <w:p w14:paraId="62E36A31"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496DCAF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Procure institutional AI tools with data-protection agreements suitable for processing student work, and prohibit the use of public tools for that purpose.</w:t>
      </w:r>
    </w:p>
    <w:p w14:paraId="140F640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Publish an institutional statement on AI in feedback: transparency, human authorship of summative feedback, equity monitoring and privacy.</w:t>
      </w:r>
    </w:p>
    <w:p w14:paraId="2D7D50A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Treat the time released by AI first-pass feedback as time for dialogue and design, not as a reduction in contact, and say so in workload models.</w:t>
      </w:r>
    </w:p>
    <w:p w14:paraId="3B8B4CDD" w14:textId="77777777" w:rsidR="00D16027" w:rsidRDefault="00000000">
      <w:pPr>
        <w:pStyle w:val="Heading2"/>
        <w:keepNext/>
      </w:pPr>
      <w:r>
        <w:t>Key references for this chapter</w:t>
      </w:r>
    </w:p>
    <w:p w14:paraId="6A109758" w14:textId="77777777" w:rsidR="00D16027" w:rsidRDefault="00000000">
      <w:pPr>
        <w:pStyle w:val="ListParagraph"/>
        <w:numPr>
          <w:ilvl w:val="0"/>
          <w:numId w:val="3"/>
        </w:numPr>
        <w:spacing w:before="30" w:after="50"/>
      </w:pPr>
      <w:proofErr w:type="spellStart"/>
      <w:r>
        <w:rPr>
          <w:color w:val="333333"/>
          <w:sz w:val="19"/>
          <w:szCs w:val="19"/>
        </w:rPr>
        <w:t>Banihashem</w:t>
      </w:r>
      <w:proofErr w:type="spellEnd"/>
      <w:r>
        <w:rPr>
          <w:color w:val="333333"/>
          <w:sz w:val="19"/>
          <w:szCs w:val="19"/>
        </w:rPr>
        <w:t xml:space="preserve">, S.K. et al. (2025) A pedagogical framework for hybrid intelligent feedback. </w:t>
      </w:r>
      <w:r>
        <w:rPr>
          <w:i/>
          <w:iCs/>
          <w:color w:val="333333"/>
          <w:sz w:val="19"/>
          <w:szCs w:val="19"/>
        </w:rPr>
        <w:t>Innovations in Education and Teaching International</w:t>
      </w:r>
      <w:r>
        <w:rPr>
          <w:color w:val="333333"/>
          <w:sz w:val="19"/>
          <w:szCs w:val="19"/>
        </w:rPr>
        <w:t xml:space="preserve"> (advance online).</w:t>
      </w:r>
    </w:p>
    <w:p w14:paraId="198AFBBD" w14:textId="77777777" w:rsidR="00D16027" w:rsidRDefault="00000000">
      <w:pPr>
        <w:pStyle w:val="ListParagraph"/>
        <w:numPr>
          <w:ilvl w:val="0"/>
          <w:numId w:val="3"/>
        </w:numPr>
        <w:spacing w:before="30" w:after="50"/>
      </w:pPr>
      <w:r>
        <w:rPr>
          <w:color w:val="333333"/>
          <w:sz w:val="19"/>
          <w:szCs w:val="19"/>
        </w:rPr>
        <w:t xml:space="preserve">Boud, D. &amp; Molloy, E. (2013) Rethinking models of feedback for learning: the challenge of design. </w:t>
      </w:r>
      <w:r>
        <w:rPr>
          <w:i/>
          <w:iCs/>
          <w:color w:val="333333"/>
          <w:sz w:val="19"/>
          <w:szCs w:val="19"/>
        </w:rPr>
        <w:t>Assessment &amp; Evaluation in Higher Education</w:t>
      </w:r>
      <w:r>
        <w:rPr>
          <w:color w:val="333333"/>
          <w:sz w:val="19"/>
          <w:szCs w:val="19"/>
        </w:rPr>
        <w:t>, 38(6), 698–712.</w:t>
      </w:r>
    </w:p>
    <w:p w14:paraId="03E8434D" w14:textId="77777777" w:rsidR="00D16027" w:rsidRDefault="00000000">
      <w:pPr>
        <w:pStyle w:val="ListParagraph"/>
        <w:numPr>
          <w:ilvl w:val="0"/>
          <w:numId w:val="3"/>
        </w:numPr>
        <w:spacing w:before="30" w:after="50"/>
      </w:pPr>
      <w:r>
        <w:rPr>
          <w:color w:val="333333"/>
          <w:sz w:val="19"/>
          <w:szCs w:val="19"/>
        </w:rPr>
        <w:t xml:space="preserve">Carless, D. &amp; Boud, D. (2018) The development of student feedback literacy. </w:t>
      </w:r>
      <w:r>
        <w:rPr>
          <w:i/>
          <w:iCs/>
          <w:color w:val="333333"/>
          <w:sz w:val="19"/>
          <w:szCs w:val="19"/>
        </w:rPr>
        <w:t>Assessment &amp; Evaluation in Higher Education</w:t>
      </w:r>
      <w:r>
        <w:rPr>
          <w:color w:val="333333"/>
          <w:sz w:val="19"/>
          <w:szCs w:val="19"/>
        </w:rPr>
        <w:t>, 43(8), 1315–1325.</w:t>
      </w:r>
    </w:p>
    <w:p w14:paraId="006A98F3"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147A49B1"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3269D39C" w14:textId="77777777" w:rsidR="00D16027" w:rsidRDefault="00000000">
      <w:pPr>
        <w:pStyle w:val="ListParagraph"/>
        <w:numPr>
          <w:ilvl w:val="0"/>
          <w:numId w:val="3"/>
        </w:numPr>
        <w:spacing w:before="30" w:after="50"/>
      </w:pPr>
      <w:r>
        <w:rPr>
          <w:color w:val="333333"/>
          <w:sz w:val="19"/>
          <w:szCs w:val="19"/>
        </w:rPr>
        <w:t xml:space="preserve">Cope, B. &amp; Kalantzis, M. (2019) Education 2.0: artificial intelligence and the end of the test. </w:t>
      </w:r>
      <w:r>
        <w:rPr>
          <w:i/>
          <w:iCs/>
          <w:color w:val="333333"/>
          <w:sz w:val="19"/>
          <w:szCs w:val="19"/>
        </w:rPr>
        <w:t>Beijing International Review of Education</w:t>
      </w:r>
      <w:r>
        <w:rPr>
          <w:color w:val="333333"/>
          <w:sz w:val="19"/>
          <w:szCs w:val="19"/>
        </w:rPr>
        <w:t>, 1(2–3), 528–543.</w:t>
      </w:r>
    </w:p>
    <w:p w14:paraId="20E7D184" w14:textId="77777777" w:rsidR="00D16027" w:rsidRDefault="00000000">
      <w:pPr>
        <w:pStyle w:val="ListParagraph"/>
        <w:numPr>
          <w:ilvl w:val="0"/>
          <w:numId w:val="3"/>
        </w:numPr>
        <w:spacing w:before="30" w:after="50"/>
      </w:pPr>
      <w:r>
        <w:rPr>
          <w:color w:val="333333"/>
          <w:sz w:val="19"/>
          <w:szCs w:val="19"/>
        </w:rPr>
        <w:t xml:space="preserve">Dai, W., Lin, J., Jin, H., Li, T., Tsai, Y.-S., </w:t>
      </w:r>
      <w:proofErr w:type="spellStart"/>
      <w:r>
        <w:rPr>
          <w:color w:val="333333"/>
          <w:sz w:val="19"/>
          <w:szCs w:val="19"/>
        </w:rPr>
        <w:t>Gašević</w:t>
      </w:r>
      <w:proofErr w:type="spellEnd"/>
      <w:r>
        <w:rPr>
          <w:color w:val="333333"/>
          <w:sz w:val="19"/>
          <w:szCs w:val="19"/>
        </w:rPr>
        <w:t xml:space="preserve">, D. &amp; Chen, G. (2023) Can large language models provide feedback to students? A case study on ChatGPT. </w:t>
      </w:r>
      <w:r>
        <w:rPr>
          <w:i/>
          <w:iCs/>
          <w:color w:val="333333"/>
          <w:sz w:val="19"/>
          <w:szCs w:val="19"/>
        </w:rPr>
        <w:t>Proceedings of IEEE ICALT</w:t>
      </w:r>
      <w:r>
        <w:rPr>
          <w:color w:val="333333"/>
          <w:sz w:val="19"/>
          <w:szCs w:val="19"/>
        </w:rPr>
        <w:t>, 323–325.</w:t>
      </w:r>
    </w:p>
    <w:p w14:paraId="785D7BDF" w14:textId="77777777" w:rsidR="00D16027" w:rsidRDefault="00000000">
      <w:pPr>
        <w:pStyle w:val="ListParagraph"/>
        <w:numPr>
          <w:ilvl w:val="0"/>
          <w:numId w:val="3"/>
        </w:numPr>
        <w:spacing w:before="30" w:after="50"/>
      </w:pPr>
      <w:r>
        <w:rPr>
          <w:color w:val="333333"/>
          <w:sz w:val="19"/>
          <w:szCs w:val="19"/>
        </w:rPr>
        <w:t xml:space="preserve">Darvishi, A., Khosravi, H., Sadiq, S., </w:t>
      </w:r>
      <w:proofErr w:type="spellStart"/>
      <w:r>
        <w:rPr>
          <w:color w:val="333333"/>
          <w:sz w:val="19"/>
          <w:szCs w:val="19"/>
        </w:rPr>
        <w:t>Gašević</w:t>
      </w:r>
      <w:proofErr w:type="spellEnd"/>
      <w:r>
        <w:rPr>
          <w:color w:val="333333"/>
          <w:sz w:val="19"/>
          <w:szCs w:val="19"/>
        </w:rPr>
        <w:t xml:space="preserve">, D. &amp; Siemens, G. (2024) Impact of AI assistance on student agency. </w:t>
      </w:r>
      <w:r>
        <w:rPr>
          <w:i/>
          <w:iCs/>
          <w:color w:val="333333"/>
          <w:sz w:val="19"/>
          <w:szCs w:val="19"/>
        </w:rPr>
        <w:t>Computers &amp; Education</w:t>
      </w:r>
      <w:r>
        <w:rPr>
          <w:color w:val="333333"/>
          <w:sz w:val="19"/>
          <w:szCs w:val="19"/>
        </w:rPr>
        <w:t>, 210, 104967.</w:t>
      </w:r>
    </w:p>
    <w:p w14:paraId="35660413" w14:textId="77777777" w:rsidR="00D16027" w:rsidRDefault="00000000">
      <w:pPr>
        <w:pStyle w:val="ListParagraph"/>
        <w:numPr>
          <w:ilvl w:val="0"/>
          <w:numId w:val="3"/>
        </w:numPr>
        <w:spacing w:before="30" w:after="50"/>
      </w:pPr>
      <w:r>
        <w:rPr>
          <w:color w:val="333333"/>
          <w:sz w:val="19"/>
          <w:szCs w:val="19"/>
        </w:rPr>
        <w:t xml:space="preserve">Earl, L. (2003) </w:t>
      </w:r>
      <w:r>
        <w:rPr>
          <w:i/>
          <w:iCs/>
          <w:color w:val="333333"/>
          <w:sz w:val="19"/>
          <w:szCs w:val="19"/>
        </w:rPr>
        <w:t>Assessment as Learning</w:t>
      </w:r>
      <w:r>
        <w:rPr>
          <w:color w:val="333333"/>
          <w:sz w:val="19"/>
          <w:szCs w:val="19"/>
        </w:rPr>
        <w:t>. Thousand Oaks, CA: Corwin.</w:t>
      </w:r>
    </w:p>
    <w:p w14:paraId="25B717E8" w14:textId="77777777" w:rsidR="00D16027" w:rsidRDefault="00000000">
      <w:pPr>
        <w:pStyle w:val="ListParagraph"/>
        <w:numPr>
          <w:ilvl w:val="0"/>
          <w:numId w:val="3"/>
        </w:numPr>
        <w:spacing w:before="30" w:after="50"/>
      </w:pPr>
      <w:r>
        <w:rPr>
          <w:color w:val="333333"/>
          <w:sz w:val="19"/>
          <w:szCs w:val="19"/>
        </w:rPr>
        <w:t xml:space="preserve">Escalante, J., Pack, A. &amp; Barrett, A. (2023) AI-generated feedback on writing: insights into efficacy and ENL student preference. </w:t>
      </w:r>
      <w:r>
        <w:rPr>
          <w:i/>
          <w:iCs/>
          <w:color w:val="333333"/>
          <w:sz w:val="19"/>
          <w:szCs w:val="19"/>
        </w:rPr>
        <w:t>International Journal of Educational Technology in Higher Education</w:t>
      </w:r>
      <w:r>
        <w:rPr>
          <w:color w:val="333333"/>
          <w:sz w:val="19"/>
          <w:szCs w:val="19"/>
        </w:rPr>
        <w:t>, 20, 57.</w:t>
      </w:r>
    </w:p>
    <w:p w14:paraId="7C1CF24C" w14:textId="77777777" w:rsidR="00D16027" w:rsidRDefault="00000000">
      <w:pPr>
        <w:pStyle w:val="ListParagraph"/>
        <w:numPr>
          <w:ilvl w:val="0"/>
          <w:numId w:val="3"/>
        </w:numPr>
        <w:spacing w:before="30" w:after="50"/>
      </w:pPr>
      <w:r>
        <w:rPr>
          <w:color w:val="333333"/>
          <w:sz w:val="19"/>
          <w:szCs w:val="19"/>
        </w:rPr>
        <w:lastRenderedPageBreak/>
        <w:t xml:space="preserve">Gibbs, G. &amp; Simpson, C. (2004) Conditions under which assessment supports students' learning. </w:t>
      </w:r>
      <w:r>
        <w:rPr>
          <w:i/>
          <w:iCs/>
          <w:color w:val="333333"/>
          <w:sz w:val="19"/>
          <w:szCs w:val="19"/>
        </w:rPr>
        <w:t>Learning and Teaching in Higher Education</w:t>
      </w:r>
      <w:r>
        <w:rPr>
          <w:color w:val="333333"/>
          <w:sz w:val="19"/>
          <w:szCs w:val="19"/>
        </w:rPr>
        <w:t>, 1, 3–31.</w:t>
      </w:r>
    </w:p>
    <w:p w14:paraId="7D8857B3" w14:textId="77777777" w:rsidR="00D16027" w:rsidRDefault="00000000">
      <w:pPr>
        <w:pStyle w:val="ListParagraph"/>
        <w:numPr>
          <w:ilvl w:val="0"/>
          <w:numId w:val="3"/>
        </w:numPr>
        <w:spacing w:before="30" w:after="50"/>
      </w:pPr>
      <w:r>
        <w:rPr>
          <w:color w:val="333333"/>
          <w:sz w:val="19"/>
          <w:szCs w:val="19"/>
        </w:rPr>
        <w:t xml:space="preserve">Hattie, J. &amp; Timperley, H. (2007) The power of feedback. </w:t>
      </w:r>
      <w:r>
        <w:rPr>
          <w:i/>
          <w:iCs/>
          <w:color w:val="333333"/>
          <w:sz w:val="19"/>
          <w:szCs w:val="19"/>
        </w:rPr>
        <w:t>Review of Educational Research</w:t>
      </w:r>
      <w:r>
        <w:rPr>
          <w:color w:val="333333"/>
          <w:sz w:val="19"/>
          <w:szCs w:val="19"/>
        </w:rPr>
        <w:t>, 77(1), 81–112.</w:t>
      </w:r>
    </w:p>
    <w:p w14:paraId="7299653C" w14:textId="77777777" w:rsidR="00D16027" w:rsidRDefault="00000000">
      <w:pPr>
        <w:pStyle w:val="ListParagraph"/>
        <w:numPr>
          <w:ilvl w:val="0"/>
          <w:numId w:val="3"/>
        </w:numPr>
        <w:spacing w:before="30" w:after="50"/>
      </w:pPr>
      <w:r>
        <w:rPr>
          <w:color w:val="333333"/>
          <w:sz w:val="19"/>
          <w:szCs w:val="19"/>
        </w:rPr>
        <w:t xml:space="preserve">Henderson, M., Ryan, T., Boud, D., Dawson, P., Phillips, M., Molloy, E. &amp; Mahoney, P. (2021) The usefulness of feedback. </w:t>
      </w:r>
      <w:r>
        <w:rPr>
          <w:i/>
          <w:iCs/>
          <w:color w:val="333333"/>
          <w:sz w:val="19"/>
          <w:szCs w:val="19"/>
        </w:rPr>
        <w:t>Active Learning in Higher Education</w:t>
      </w:r>
      <w:r>
        <w:rPr>
          <w:color w:val="333333"/>
          <w:sz w:val="19"/>
          <w:szCs w:val="19"/>
        </w:rPr>
        <w:t>, 22(3), 229–243.</w:t>
      </w:r>
    </w:p>
    <w:p w14:paraId="01CDAEB4" w14:textId="77777777" w:rsidR="00D16027" w:rsidRDefault="00000000">
      <w:pPr>
        <w:pStyle w:val="ListParagraph"/>
        <w:numPr>
          <w:ilvl w:val="0"/>
          <w:numId w:val="3"/>
        </w:numPr>
        <w:spacing w:before="30" w:after="50"/>
      </w:pPr>
      <w:r>
        <w:rPr>
          <w:color w:val="333333"/>
          <w:sz w:val="19"/>
          <w:szCs w:val="19"/>
        </w:rPr>
        <w:t>Inoshita, K., Omura, M., Yamanaka, T., Maeda, G. &amp; Tsuji, K. (2026) Does AI homogenize student thinking? A multi-dimensional analysis of structural convergence in AI-augmented essays. arXiv:2603.21228 (preprint).</w:t>
      </w:r>
    </w:p>
    <w:p w14:paraId="4AB3E544"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726F2C2E" w14:textId="77777777" w:rsidR="00D16027" w:rsidRDefault="00000000">
      <w:pPr>
        <w:pStyle w:val="ListParagraph"/>
        <w:numPr>
          <w:ilvl w:val="0"/>
          <w:numId w:val="3"/>
        </w:numPr>
        <w:spacing w:before="30" w:after="50"/>
      </w:pPr>
      <w:r>
        <w:rPr>
          <w:color w:val="333333"/>
          <w:sz w:val="19"/>
          <w:szCs w:val="19"/>
        </w:rPr>
        <w:t xml:space="preserve">Meyer, J., Jansen, T., Schiller, R., Liebenow, L.W., Steinbach, M., Horbach, A. &amp; Fleckenstein, J. (2024) Using LLMs to bring evidence-based feedback into the classroom: AI-generated feedback increases secondary students' text revision, motivation, and positive emotions. </w:t>
      </w:r>
      <w:r>
        <w:rPr>
          <w:i/>
          <w:iCs/>
          <w:color w:val="333333"/>
          <w:sz w:val="19"/>
          <w:szCs w:val="19"/>
        </w:rPr>
        <w:t>Computers and Education: Artificial Intelligence</w:t>
      </w:r>
      <w:r>
        <w:rPr>
          <w:color w:val="333333"/>
          <w:sz w:val="19"/>
          <w:szCs w:val="19"/>
        </w:rPr>
        <w:t>, 6, 100199.</w:t>
      </w:r>
    </w:p>
    <w:p w14:paraId="2DFEE6AF" w14:textId="77777777" w:rsidR="00D16027" w:rsidRDefault="00000000">
      <w:pPr>
        <w:pStyle w:val="ListParagraph"/>
        <w:numPr>
          <w:ilvl w:val="0"/>
          <w:numId w:val="3"/>
        </w:numPr>
        <w:spacing w:before="30" w:after="50"/>
      </w:pPr>
      <w:r>
        <w:rPr>
          <w:color w:val="333333"/>
          <w:sz w:val="19"/>
          <w:szCs w:val="19"/>
        </w:rPr>
        <w:t xml:space="preserve">Nicol, D.J. &amp; Macfarlane-Dick, D. (2006) Formative assessment and self-regulated learning. </w:t>
      </w:r>
      <w:r>
        <w:rPr>
          <w:i/>
          <w:iCs/>
          <w:color w:val="333333"/>
          <w:sz w:val="19"/>
          <w:szCs w:val="19"/>
        </w:rPr>
        <w:t>Studies in Higher Education</w:t>
      </w:r>
      <w:r>
        <w:rPr>
          <w:color w:val="333333"/>
          <w:sz w:val="19"/>
          <w:szCs w:val="19"/>
        </w:rPr>
        <w:t>, 31(2), 199–218.</w:t>
      </w:r>
    </w:p>
    <w:p w14:paraId="26E498B9" w14:textId="77777777" w:rsidR="00D16027" w:rsidRDefault="00000000">
      <w:pPr>
        <w:pStyle w:val="ListParagraph"/>
        <w:numPr>
          <w:ilvl w:val="0"/>
          <w:numId w:val="3"/>
        </w:numPr>
        <w:spacing w:before="30" w:after="50"/>
      </w:pPr>
      <w:r>
        <w:rPr>
          <w:color w:val="333333"/>
          <w:sz w:val="19"/>
          <w:szCs w:val="19"/>
        </w:rPr>
        <w:t xml:space="preserve">Sadler, D.R. (1989) Formative assessment and the design of instructional systems. </w:t>
      </w:r>
      <w:r>
        <w:rPr>
          <w:i/>
          <w:iCs/>
          <w:color w:val="333333"/>
          <w:sz w:val="19"/>
          <w:szCs w:val="19"/>
        </w:rPr>
        <w:t>Instructional Science</w:t>
      </w:r>
      <w:r>
        <w:rPr>
          <w:color w:val="333333"/>
          <w:sz w:val="19"/>
          <w:szCs w:val="19"/>
        </w:rPr>
        <w:t>, 18(2), 119–144.</w:t>
      </w:r>
    </w:p>
    <w:p w14:paraId="2AC3C02F" w14:textId="77777777" w:rsidR="00D16027" w:rsidRDefault="00000000">
      <w:pPr>
        <w:pStyle w:val="ListParagraph"/>
        <w:numPr>
          <w:ilvl w:val="0"/>
          <w:numId w:val="3"/>
        </w:numPr>
        <w:spacing w:before="30" w:after="50"/>
      </w:pPr>
      <w:proofErr w:type="spellStart"/>
      <w:r>
        <w:rPr>
          <w:color w:val="333333"/>
          <w:sz w:val="19"/>
          <w:szCs w:val="19"/>
        </w:rPr>
        <w:t>Steiss</w:t>
      </w:r>
      <w:proofErr w:type="spellEnd"/>
      <w:r>
        <w:rPr>
          <w:color w:val="333333"/>
          <w:sz w:val="19"/>
          <w:szCs w:val="19"/>
        </w:rPr>
        <w:t xml:space="preserve">, J. et al. (2024) Comparing the quality of human and ChatGPT feedback of students' writing. </w:t>
      </w:r>
      <w:r>
        <w:rPr>
          <w:i/>
          <w:iCs/>
          <w:color w:val="333333"/>
          <w:sz w:val="19"/>
          <w:szCs w:val="19"/>
        </w:rPr>
        <w:t>Learning and Instruction</w:t>
      </w:r>
      <w:r>
        <w:rPr>
          <w:color w:val="333333"/>
          <w:sz w:val="19"/>
          <w:szCs w:val="19"/>
        </w:rPr>
        <w:t>, 91, 101894.</w:t>
      </w:r>
    </w:p>
    <w:p w14:paraId="32B08FC9" w14:textId="77777777" w:rsidR="00D16027" w:rsidRDefault="00000000">
      <w:pPr>
        <w:pStyle w:val="ListParagraph"/>
        <w:numPr>
          <w:ilvl w:val="0"/>
          <w:numId w:val="3"/>
        </w:numPr>
        <w:spacing w:before="30" w:after="50"/>
      </w:pPr>
      <w:r>
        <w:rPr>
          <w:color w:val="333333"/>
          <w:sz w:val="19"/>
          <w:szCs w:val="19"/>
        </w:rPr>
        <w:t xml:space="preserve">Winstone, N. &amp; Carless, D. (2019) </w:t>
      </w:r>
      <w:r>
        <w:rPr>
          <w:i/>
          <w:iCs/>
          <w:color w:val="333333"/>
          <w:sz w:val="19"/>
          <w:szCs w:val="19"/>
        </w:rPr>
        <w:t>Designing Effective Feedback Processes in Higher Education</w:t>
      </w:r>
      <w:r>
        <w:rPr>
          <w:color w:val="333333"/>
          <w:sz w:val="19"/>
          <w:szCs w:val="19"/>
        </w:rPr>
        <w:t>. London: Routledge.</w:t>
      </w:r>
    </w:p>
    <w:p w14:paraId="3A88DB26" w14:textId="77777777" w:rsidR="00D16027" w:rsidRDefault="00000000">
      <w:pPr>
        <w:pStyle w:val="ListParagraph"/>
        <w:numPr>
          <w:ilvl w:val="0"/>
          <w:numId w:val="3"/>
        </w:numPr>
        <w:spacing w:before="30" w:after="50"/>
      </w:pPr>
      <w:r>
        <w:rPr>
          <w:color w:val="333333"/>
          <w:sz w:val="19"/>
          <w:szCs w:val="19"/>
        </w:rPr>
        <w:t xml:space="preserve">Yan, L. et al. (2024) Practical and ethical challenges of large language models in education: a systematic scoping review. </w:t>
      </w:r>
      <w:r>
        <w:rPr>
          <w:i/>
          <w:iCs/>
          <w:color w:val="333333"/>
          <w:sz w:val="19"/>
          <w:szCs w:val="19"/>
        </w:rPr>
        <w:t>British Journal of Educational Technology</w:t>
      </w:r>
      <w:r>
        <w:rPr>
          <w:color w:val="333333"/>
          <w:sz w:val="19"/>
          <w:szCs w:val="19"/>
        </w:rPr>
        <w:t>, 55(1), 90–112.</w:t>
      </w:r>
    </w:p>
    <w:p w14:paraId="2F4C256F" w14:textId="77777777" w:rsidR="00D16027" w:rsidRDefault="00000000">
      <w:r>
        <w:br w:type="page"/>
      </w:r>
    </w:p>
    <w:p w14:paraId="1744EAFE" w14:textId="77777777" w:rsidR="00D16027" w:rsidRDefault="00000000">
      <w:pPr>
        <w:keepNext/>
        <w:spacing w:after="40"/>
      </w:pPr>
      <w:r>
        <w:rPr>
          <w:b/>
          <w:bCs/>
          <w:caps/>
          <w:color w:val="2E75B6"/>
          <w:sz w:val="22"/>
          <w:szCs w:val="22"/>
        </w:rPr>
        <w:lastRenderedPageBreak/>
        <w:t>CHAPTER 13</w:t>
      </w:r>
    </w:p>
    <w:p w14:paraId="49F7D9AE" w14:textId="77777777" w:rsidR="00D16027" w:rsidRDefault="00000000">
      <w:pPr>
        <w:pStyle w:val="Heading1"/>
        <w:keepNext/>
      </w:pPr>
      <w:r>
        <w:t>AI-Assisted Marking and Moderation</w:t>
      </w:r>
    </w:p>
    <w:p w14:paraId="4466C605" w14:textId="77777777" w:rsidR="00D16027" w:rsidRDefault="00000000">
      <w:pPr>
        <w:pBdr>
          <w:left w:val="single" w:sz="14" w:space="10" w:color="2E75B6"/>
        </w:pBdr>
        <w:shd w:val="clear" w:color="auto" w:fill="EAF3FB"/>
        <w:spacing w:after="200"/>
      </w:pPr>
      <w:r>
        <w:rPr>
          <w:i/>
          <w:iCs/>
          <w:color w:val="333333"/>
        </w:rPr>
        <w:t>The prospect of AI-assisted grading attracts strong interest and strong concern. This chapter offers a realistic, research-informed account of what automated and AI-assisted marking can and cannot do, where it can be used responsibly, how it can support moderation, and what governance students are owed when an algorithm touches their grade.</w:t>
      </w:r>
    </w:p>
    <w:p w14:paraId="35C7978B"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450D6E4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Understand how automated essay scoring and LLM grading work and what they actually measure</w:t>
      </w:r>
    </w:p>
    <w:p w14:paraId="2F4CC89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Weigh the evidence on accuracy, reliability, manipulation and bias</w:t>
      </w:r>
    </w:p>
    <w:p w14:paraId="2FB88CD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Identify the uses that are defensible: structured tasks, first-pass with review, and moderation support</w:t>
      </w:r>
    </w:p>
    <w:p w14:paraId="56010115"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Set governance that meets legal and ethical obligations: transparency, human oversight and recourse</w:t>
      </w:r>
    </w:p>
    <w:p w14:paraId="7F9353B3" w14:textId="77777777" w:rsidR="00D16027" w:rsidRDefault="00000000">
      <w:pPr>
        <w:pStyle w:val="Heading2"/>
        <w:keepNext/>
      </w:pPr>
      <w:r>
        <w:t>13.1 Where automated marking came from</w:t>
      </w:r>
    </w:p>
    <w:p w14:paraId="51FEE865" w14:textId="77777777" w:rsidR="00D16027" w:rsidRDefault="00000000">
      <w:pPr>
        <w:spacing w:after="140"/>
      </w:pPr>
      <w:r>
        <w:t>Automated essay scoring (AES) is older than most people assume. Page (1966) built the first system, and by the 2000s commercial engines such as e-rater (Attali &amp; Burstein 2006) were scoring high-stakes tests including the GMAT and TOEFL alongside human raters. These systems worked by measuring features that correlate with quality (length, vocabulary sophistication, syntactic variety, discourse markers) and calibrating against human scores. On large samples of standard prompts they matched human-human agreement (</w:t>
      </w:r>
      <w:proofErr w:type="spellStart"/>
      <w:r>
        <w:t>Shermis</w:t>
      </w:r>
      <w:proofErr w:type="spellEnd"/>
      <w:r>
        <w:t xml:space="preserve"> &amp; Hamner 2013). Their critics made two durable points. Perelman (2014) showed that the engines rewarded length and lexical ornament and could be fooled by fluent nonsense; the US National Council of Teachers of English (2013) argued that machine scoring measured proxies for writing rather than writing. In the language of Chapter 5, AES achieved reliability without validity: consistent judgements about the wrong thing.</w:t>
      </w:r>
    </w:p>
    <w:p w14:paraId="3B2659F6" w14:textId="77777777" w:rsidR="00D16027" w:rsidRDefault="00000000">
      <w:pPr>
        <w:pStyle w:val="Heading2"/>
        <w:keepNext/>
      </w:pPr>
      <w:r>
        <w:t>13.2 LLM grading: the evidence</w:t>
      </w:r>
    </w:p>
    <w:p w14:paraId="49560217" w14:textId="77777777" w:rsidR="00D16027" w:rsidRDefault="00000000">
      <w:pPr>
        <w:spacing w:after="140"/>
      </w:pPr>
      <w:r>
        <w:t xml:space="preserve">Large language models grade differently. Rather than extracting features, they read the text and produce a judgement in response to a prompt containing the rubric. The evidence on how well they do is now substantial and fairly consistent. Mizumoto and Eguchi (2023) had GPT-3.5 score 12,100 TOEFL essays and found moderate agreement with human raters, improved by supplying linguistic features alongside the text; they recommended the model as a complement to human scoring rather than a replacement. Later comparisons with GPT-4 show closer agreement but still fall short of consistently replicating expert raters, particularly at the top of the scale and on argumentation. </w:t>
      </w:r>
      <w:proofErr w:type="spellStart"/>
      <w:r>
        <w:t>Kortemeyer</w:t>
      </w:r>
      <w:proofErr w:type="spellEnd"/>
      <w:r>
        <w:t xml:space="preserve"> (2023) tested AI grading of introductory physics solutions and found it feasible for well-structured problems but unreliable on partial credit and on the reasoning steps that distinguish a near-miss from a misunderstanding. Bulut et al. (2024) review the field and identify accuracy on structured tasks, inconsistency across runs, sensitivity to prompt wording, and opacity as its defining characteristics; Trajkovski and Hayes (2025) propose frameworks for AI-assisted assessment that keep the human decision central; Jang and </w:t>
      </w:r>
      <w:proofErr w:type="spellStart"/>
      <w:r>
        <w:t>Sawaki</w:t>
      </w:r>
      <w:proofErr w:type="spellEnd"/>
      <w:r>
        <w:t xml:space="preserve"> (2025) show AI expanding what language assessment can measure, including spoken interaction, while cautioning about construct drift.</w:t>
      </w:r>
    </w:p>
    <w:p w14:paraId="039B1064" w14:textId="77777777" w:rsidR="00D16027" w:rsidRDefault="00000000">
      <w:pPr>
        <w:spacing w:after="140"/>
      </w:pPr>
      <w:r>
        <w:t xml:space="preserve">Three further findings matter for practice. First, LLM grades vary between runs on identical input, so a single pass is not a reliable score (Bulut et al. 2024). Second, the models can be manipulated: Milani et al. (2025) showed that hidden instructions embedded in a submission could distort grades under naive set-ups, and </w:t>
      </w:r>
      <w:proofErr w:type="spellStart"/>
      <w:r>
        <w:t>Wanjura</w:t>
      </w:r>
      <w:proofErr w:type="spellEnd"/>
      <w:r>
        <w:t xml:space="preserve"> et al. (2026), across some 40,000 grading trials, found that although current frontier models largely resisted such injections, older and smaller models inflated scores by nearly twenty percentage points on average; the risk depends on the model and the set-up, and students know the technique. Third, the models have stylistic preferences, and work that resembles their own output tends to score well, creating a loop in which students learn to write like the grader. None of these is fatal to assisted use; all of them are fatal to unassisted use.</w:t>
      </w:r>
    </w:p>
    <w:p w14:paraId="6ED06C3F" w14:textId="77777777" w:rsidR="00D16027" w:rsidRDefault="00000000">
      <w:pPr>
        <w:pBdr>
          <w:left w:val="single" w:sz="14" w:space="10" w:color="2E75B6"/>
        </w:pBdr>
        <w:shd w:val="clear" w:color="auto" w:fill="EAF3FB"/>
        <w:spacing w:before="80" w:after="160"/>
      </w:pPr>
      <w:r>
        <w:rPr>
          <w:b/>
          <w:bCs/>
          <w:color w:val="333333"/>
        </w:rPr>
        <w:t>The central caution is reliability without validity.</w:t>
      </w:r>
      <w:r>
        <w:rPr>
          <w:color w:val="333333"/>
        </w:rPr>
        <w:t xml:space="preserve"> An AI grader can be consistent and still be measuring fluency, length or resemblance to its own prose rather than the capability the outcome </w:t>
      </w:r>
      <w:r>
        <w:rPr>
          <w:color w:val="333333"/>
        </w:rPr>
        <w:lastRenderedPageBreak/>
        <w:t>names. Agreement with human marks on a sample is the minimum evidence required before any assisted use, and it must be re-checked when the model changes.</w:t>
      </w:r>
    </w:p>
    <w:p w14:paraId="4CD59543" w14:textId="77777777" w:rsidR="00D16027" w:rsidRDefault="00000000">
      <w:pPr>
        <w:pStyle w:val="Heading2"/>
        <w:keepNext/>
      </w:pPr>
      <w:r>
        <w:t>13.3 Bias and equity</w:t>
      </w:r>
    </w:p>
    <w:p w14:paraId="38CC063B" w14:textId="77777777" w:rsidR="00D16027" w:rsidRDefault="00000000">
      <w:pPr>
        <w:spacing w:after="140"/>
      </w:pPr>
      <w:r>
        <w:t xml:space="preserve">Automated scoring has a documented equity record. Bridgeman, Trapani and Attali (2012) found systematic differences between human and machine scores by gender, ethnicity and country of origin on high-stakes writing tests; the machine tended to score some groups of non-native writers higher and others lower than humans did, in ways that tracked surface features. LLM graders inherit analogous risks. The detector bias against non-native English writers documented by Liang et al. (2023) arose from models treating lower lexical richness as a signal; a grader that uses similar cues will penalise the same students. Stylistic preferences may disadvantage writers whose disciplinary or cultural conventions differ from the training corpus. Holmes and </w:t>
      </w:r>
      <w:proofErr w:type="spellStart"/>
      <w:r>
        <w:t>Porayska-Pomsta</w:t>
      </w:r>
      <w:proofErr w:type="spellEnd"/>
      <w:r>
        <w:t xml:space="preserve"> (2022) place these concerns within a broader ethics of AI in education, and the practical implication is direct: an equity review, comparing AI and human marks across groups on a representative sample, is a precondition of deployment, not an afterthought (Chapter 16).</w:t>
      </w:r>
    </w:p>
    <w:p w14:paraId="0617C593" w14:textId="77777777" w:rsidR="00D16027" w:rsidRDefault="00000000">
      <w:pPr>
        <w:pStyle w:val="Heading2"/>
        <w:keepNext/>
      </w:pPr>
      <w:r>
        <w:t>13.4 Where AI-assisted marking is defensible</w:t>
      </w:r>
    </w:p>
    <w:p w14:paraId="59035E76" w14:textId="77777777" w:rsidR="00D16027" w:rsidRDefault="00000000">
      <w:pPr>
        <w:spacing w:after="140"/>
      </w:pPr>
      <w:r>
        <w:t>The evidence supports a narrow but useful set of applications, all with a human in the loop.</w:t>
      </w:r>
    </w:p>
    <w:p w14:paraId="714BA856" w14:textId="77777777" w:rsidR="00D16027" w:rsidRDefault="00000000">
      <w:pPr>
        <w:keepNext/>
        <w:spacing w:before="160" w:after="80"/>
      </w:pPr>
      <w:r>
        <w:rPr>
          <w:b/>
          <w:bCs/>
          <w:color w:val="1A4F7A"/>
          <w:sz w:val="20"/>
          <w:szCs w:val="20"/>
        </w:rPr>
        <w:t>Table 13.1  Suitability of AI-assisted marking by task type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3186"/>
      </w:tblGrid>
      <w:tr w:rsidR="00D16027" w14:paraId="766A8AF0" w14:textId="77777777">
        <w:tblPrEx>
          <w:tblCellMar>
            <w:top w:w="0" w:type="dxa"/>
            <w:bottom w:w="0" w:type="dxa"/>
          </w:tblCellMar>
        </w:tblPrEx>
        <w:trPr>
          <w:cantSplit/>
          <w:tblHeader/>
        </w:trPr>
        <w:tc>
          <w:tcPr>
            <w:tcW w:w="3600" w:type="dxa"/>
            <w:shd w:val="clear" w:color="auto" w:fill="2E75B6"/>
            <w:tcMar>
              <w:top w:w="70" w:type="dxa"/>
              <w:left w:w="100" w:type="dxa"/>
              <w:bottom w:w="70" w:type="dxa"/>
              <w:right w:w="100" w:type="dxa"/>
            </w:tcMar>
          </w:tcPr>
          <w:p w14:paraId="7E85D26A" w14:textId="77777777" w:rsidR="00D16027" w:rsidRDefault="00000000">
            <w:r>
              <w:rPr>
                <w:b/>
                <w:bCs/>
                <w:color w:val="FFFFFF"/>
                <w:sz w:val="19"/>
                <w:szCs w:val="19"/>
              </w:rPr>
              <w:t>Task type</w:t>
            </w:r>
          </w:p>
        </w:tc>
        <w:tc>
          <w:tcPr>
            <w:tcW w:w="2600" w:type="dxa"/>
            <w:shd w:val="clear" w:color="auto" w:fill="2E75B6"/>
            <w:tcMar>
              <w:top w:w="70" w:type="dxa"/>
              <w:left w:w="100" w:type="dxa"/>
              <w:bottom w:w="70" w:type="dxa"/>
              <w:right w:w="100" w:type="dxa"/>
            </w:tcMar>
          </w:tcPr>
          <w:p w14:paraId="6EE6315A" w14:textId="77777777" w:rsidR="00D16027" w:rsidRDefault="00000000">
            <w:r>
              <w:rPr>
                <w:b/>
                <w:bCs/>
                <w:color w:val="FFFFFF"/>
                <w:sz w:val="19"/>
                <w:szCs w:val="19"/>
              </w:rPr>
              <w:t>Suitability</w:t>
            </w:r>
          </w:p>
        </w:tc>
        <w:tc>
          <w:tcPr>
            <w:tcW w:w="3186" w:type="dxa"/>
            <w:shd w:val="clear" w:color="auto" w:fill="2E75B6"/>
            <w:tcMar>
              <w:top w:w="70" w:type="dxa"/>
              <w:left w:w="100" w:type="dxa"/>
              <w:bottom w:w="70" w:type="dxa"/>
              <w:right w:w="100" w:type="dxa"/>
            </w:tcMar>
          </w:tcPr>
          <w:p w14:paraId="10004BD9" w14:textId="77777777" w:rsidR="00D16027" w:rsidRDefault="00000000">
            <w:r>
              <w:rPr>
                <w:b/>
                <w:bCs/>
                <w:color w:val="FFFFFF"/>
                <w:sz w:val="19"/>
                <w:szCs w:val="19"/>
              </w:rPr>
              <w:t>Safeguard</w:t>
            </w:r>
          </w:p>
        </w:tc>
      </w:tr>
      <w:tr w:rsidR="00D16027" w14:paraId="653FC9BD" w14:textId="77777777">
        <w:tblPrEx>
          <w:tblCellMar>
            <w:top w:w="0" w:type="dxa"/>
            <w:bottom w:w="0" w:type="dxa"/>
          </w:tblCellMar>
        </w:tblPrEx>
        <w:trPr>
          <w:cantSplit/>
        </w:trPr>
        <w:tc>
          <w:tcPr>
            <w:tcW w:w="3600" w:type="dxa"/>
            <w:tcMar>
              <w:top w:w="70" w:type="dxa"/>
              <w:left w:w="100" w:type="dxa"/>
              <w:bottom w:w="70" w:type="dxa"/>
              <w:right w:w="100" w:type="dxa"/>
            </w:tcMar>
          </w:tcPr>
          <w:p w14:paraId="7061017C" w14:textId="77777777" w:rsidR="00D16027" w:rsidRDefault="00000000">
            <w:r>
              <w:rPr>
                <w:sz w:val="19"/>
                <w:szCs w:val="19"/>
              </w:rPr>
              <w:t>Objective items (MCQ, numerical answers, code against unit tests)</w:t>
            </w:r>
          </w:p>
        </w:tc>
        <w:tc>
          <w:tcPr>
            <w:tcW w:w="2600" w:type="dxa"/>
            <w:tcMar>
              <w:top w:w="70" w:type="dxa"/>
              <w:left w:w="100" w:type="dxa"/>
              <w:bottom w:w="70" w:type="dxa"/>
              <w:right w:w="100" w:type="dxa"/>
            </w:tcMar>
          </w:tcPr>
          <w:p w14:paraId="5482EC41" w14:textId="77777777" w:rsidR="00D16027" w:rsidRDefault="00000000">
            <w:r>
              <w:rPr>
                <w:sz w:val="19"/>
                <w:szCs w:val="19"/>
              </w:rPr>
              <w:t>High; long-established automation</w:t>
            </w:r>
          </w:p>
        </w:tc>
        <w:tc>
          <w:tcPr>
            <w:tcW w:w="3186" w:type="dxa"/>
            <w:tcMar>
              <w:top w:w="70" w:type="dxa"/>
              <w:left w:w="100" w:type="dxa"/>
              <w:bottom w:w="70" w:type="dxa"/>
              <w:right w:w="100" w:type="dxa"/>
            </w:tcMar>
          </w:tcPr>
          <w:p w14:paraId="3DAE5D58" w14:textId="77777777" w:rsidR="00D16027" w:rsidRDefault="00000000">
            <w:r>
              <w:rPr>
                <w:sz w:val="19"/>
                <w:szCs w:val="19"/>
              </w:rPr>
              <w:t>Human review of item quality and of flagged anomalies</w:t>
            </w:r>
          </w:p>
        </w:tc>
      </w:tr>
      <w:tr w:rsidR="00D16027" w14:paraId="7E9AE70B" w14:textId="77777777">
        <w:tblPrEx>
          <w:tblCellMar>
            <w:top w:w="0" w:type="dxa"/>
            <w:bottom w:w="0" w:type="dxa"/>
          </w:tblCellMar>
        </w:tblPrEx>
        <w:trPr>
          <w:cantSplit/>
        </w:trPr>
        <w:tc>
          <w:tcPr>
            <w:tcW w:w="3600" w:type="dxa"/>
            <w:tcMar>
              <w:top w:w="70" w:type="dxa"/>
              <w:left w:w="100" w:type="dxa"/>
              <w:bottom w:w="70" w:type="dxa"/>
              <w:right w:w="100" w:type="dxa"/>
            </w:tcMar>
          </w:tcPr>
          <w:p w14:paraId="5B2B5085" w14:textId="77777777" w:rsidR="00D16027" w:rsidRDefault="00000000">
            <w:r>
              <w:rPr>
                <w:sz w:val="19"/>
                <w:szCs w:val="19"/>
              </w:rPr>
              <w:t>Short answers against a model answer</w:t>
            </w:r>
          </w:p>
        </w:tc>
        <w:tc>
          <w:tcPr>
            <w:tcW w:w="2600" w:type="dxa"/>
            <w:tcMar>
              <w:top w:w="70" w:type="dxa"/>
              <w:left w:w="100" w:type="dxa"/>
              <w:bottom w:w="70" w:type="dxa"/>
              <w:right w:w="100" w:type="dxa"/>
            </w:tcMar>
          </w:tcPr>
          <w:p w14:paraId="27BCD7A2" w14:textId="77777777" w:rsidR="00D16027" w:rsidRDefault="00000000">
            <w:r>
              <w:rPr>
                <w:sz w:val="19"/>
                <w:szCs w:val="19"/>
              </w:rPr>
              <w:t>Moderate to high for first pass</w:t>
            </w:r>
          </w:p>
        </w:tc>
        <w:tc>
          <w:tcPr>
            <w:tcW w:w="3186" w:type="dxa"/>
            <w:tcMar>
              <w:top w:w="70" w:type="dxa"/>
              <w:left w:w="100" w:type="dxa"/>
              <w:bottom w:w="70" w:type="dxa"/>
              <w:right w:w="100" w:type="dxa"/>
            </w:tcMar>
          </w:tcPr>
          <w:p w14:paraId="12A9291D" w14:textId="77777777" w:rsidR="00D16027" w:rsidRDefault="00000000">
            <w:r>
              <w:rPr>
                <w:sz w:val="19"/>
                <w:szCs w:val="19"/>
              </w:rPr>
              <w:t>Human marks all borderline and all zero-scored responses; agreement checked on a sample</w:t>
            </w:r>
          </w:p>
        </w:tc>
      </w:tr>
      <w:tr w:rsidR="00D16027" w14:paraId="3A61CCF6" w14:textId="77777777">
        <w:tblPrEx>
          <w:tblCellMar>
            <w:top w:w="0" w:type="dxa"/>
            <w:bottom w:w="0" w:type="dxa"/>
          </w:tblCellMar>
        </w:tblPrEx>
        <w:trPr>
          <w:cantSplit/>
        </w:trPr>
        <w:tc>
          <w:tcPr>
            <w:tcW w:w="3600" w:type="dxa"/>
            <w:tcMar>
              <w:top w:w="70" w:type="dxa"/>
              <w:left w:w="100" w:type="dxa"/>
              <w:bottom w:w="70" w:type="dxa"/>
              <w:right w:w="100" w:type="dxa"/>
            </w:tcMar>
          </w:tcPr>
          <w:p w14:paraId="179E82F7" w14:textId="77777777" w:rsidR="00D16027" w:rsidRDefault="00000000">
            <w:r>
              <w:rPr>
                <w:sz w:val="19"/>
                <w:szCs w:val="19"/>
              </w:rPr>
              <w:t>Language accuracy and mechanics</w:t>
            </w:r>
          </w:p>
        </w:tc>
        <w:tc>
          <w:tcPr>
            <w:tcW w:w="2600" w:type="dxa"/>
            <w:tcMar>
              <w:top w:w="70" w:type="dxa"/>
              <w:left w:w="100" w:type="dxa"/>
              <w:bottom w:w="70" w:type="dxa"/>
              <w:right w:w="100" w:type="dxa"/>
            </w:tcMar>
          </w:tcPr>
          <w:p w14:paraId="3712FBD9" w14:textId="77777777" w:rsidR="00D16027" w:rsidRDefault="00000000">
            <w:r>
              <w:rPr>
                <w:sz w:val="19"/>
                <w:szCs w:val="19"/>
              </w:rPr>
              <w:t>Moderate for formative use</w:t>
            </w:r>
          </w:p>
        </w:tc>
        <w:tc>
          <w:tcPr>
            <w:tcW w:w="3186" w:type="dxa"/>
            <w:tcMar>
              <w:top w:w="70" w:type="dxa"/>
              <w:left w:w="100" w:type="dxa"/>
              <w:bottom w:w="70" w:type="dxa"/>
              <w:right w:w="100" w:type="dxa"/>
            </w:tcMar>
          </w:tcPr>
          <w:p w14:paraId="6E547D8F" w14:textId="77777777" w:rsidR="00D16027" w:rsidRDefault="00000000">
            <w:r>
              <w:rPr>
                <w:sz w:val="19"/>
                <w:szCs w:val="19"/>
              </w:rPr>
              <w:t>Formative only; human judgement on substance</w:t>
            </w:r>
          </w:p>
        </w:tc>
      </w:tr>
      <w:tr w:rsidR="00D16027" w14:paraId="45FF8C8F" w14:textId="77777777">
        <w:tblPrEx>
          <w:tblCellMar>
            <w:top w:w="0" w:type="dxa"/>
            <w:bottom w:w="0" w:type="dxa"/>
          </w:tblCellMar>
        </w:tblPrEx>
        <w:trPr>
          <w:cantSplit/>
        </w:trPr>
        <w:tc>
          <w:tcPr>
            <w:tcW w:w="3600" w:type="dxa"/>
            <w:tcMar>
              <w:top w:w="70" w:type="dxa"/>
              <w:left w:w="100" w:type="dxa"/>
              <w:bottom w:w="70" w:type="dxa"/>
              <w:right w:w="100" w:type="dxa"/>
            </w:tcMar>
          </w:tcPr>
          <w:p w14:paraId="5500D681" w14:textId="77777777" w:rsidR="00D16027" w:rsidRDefault="00000000">
            <w:r>
              <w:rPr>
                <w:sz w:val="19"/>
                <w:szCs w:val="19"/>
              </w:rPr>
              <w:t>Structured reports against a detailed rubric</w:t>
            </w:r>
          </w:p>
        </w:tc>
        <w:tc>
          <w:tcPr>
            <w:tcW w:w="2600" w:type="dxa"/>
            <w:tcMar>
              <w:top w:w="70" w:type="dxa"/>
              <w:left w:w="100" w:type="dxa"/>
              <w:bottom w:w="70" w:type="dxa"/>
              <w:right w:w="100" w:type="dxa"/>
            </w:tcMar>
          </w:tcPr>
          <w:p w14:paraId="1C31E43D" w14:textId="77777777" w:rsidR="00D16027" w:rsidRDefault="00000000">
            <w:r>
              <w:rPr>
                <w:sz w:val="19"/>
                <w:szCs w:val="19"/>
              </w:rPr>
              <w:t>Moderate for first pass on lower bands</w:t>
            </w:r>
          </w:p>
        </w:tc>
        <w:tc>
          <w:tcPr>
            <w:tcW w:w="3186" w:type="dxa"/>
            <w:tcMar>
              <w:top w:w="70" w:type="dxa"/>
              <w:left w:w="100" w:type="dxa"/>
              <w:bottom w:w="70" w:type="dxa"/>
              <w:right w:w="100" w:type="dxa"/>
            </w:tcMar>
          </w:tcPr>
          <w:p w14:paraId="410DB5AD" w14:textId="77777777" w:rsidR="00D16027" w:rsidRDefault="00000000">
            <w:r>
              <w:rPr>
                <w:sz w:val="19"/>
                <w:szCs w:val="19"/>
              </w:rPr>
              <w:t>Human reads every script; AI comments are advisory</w:t>
            </w:r>
          </w:p>
        </w:tc>
      </w:tr>
      <w:tr w:rsidR="00D16027" w14:paraId="1266541D" w14:textId="77777777">
        <w:tblPrEx>
          <w:tblCellMar>
            <w:top w:w="0" w:type="dxa"/>
            <w:bottom w:w="0" w:type="dxa"/>
          </w:tblCellMar>
        </w:tblPrEx>
        <w:trPr>
          <w:cantSplit/>
        </w:trPr>
        <w:tc>
          <w:tcPr>
            <w:tcW w:w="3600" w:type="dxa"/>
            <w:tcMar>
              <w:top w:w="70" w:type="dxa"/>
              <w:left w:w="100" w:type="dxa"/>
              <w:bottom w:w="70" w:type="dxa"/>
              <w:right w:w="100" w:type="dxa"/>
            </w:tcMar>
          </w:tcPr>
          <w:p w14:paraId="77C01433" w14:textId="77777777" w:rsidR="00D16027" w:rsidRDefault="00000000">
            <w:r>
              <w:rPr>
                <w:sz w:val="19"/>
                <w:szCs w:val="19"/>
              </w:rPr>
              <w:t>Extended argument, creative and original work</w:t>
            </w:r>
          </w:p>
        </w:tc>
        <w:tc>
          <w:tcPr>
            <w:tcW w:w="2600" w:type="dxa"/>
            <w:tcMar>
              <w:top w:w="70" w:type="dxa"/>
              <w:left w:w="100" w:type="dxa"/>
              <w:bottom w:w="70" w:type="dxa"/>
              <w:right w:w="100" w:type="dxa"/>
            </w:tcMar>
          </w:tcPr>
          <w:p w14:paraId="1ED3E8F5" w14:textId="77777777" w:rsidR="00D16027" w:rsidRDefault="00000000">
            <w:r>
              <w:rPr>
                <w:sz w:val="19"/>
                <w:szCs w:val="19"/>
              </w:rPr>
              <w:t>Low</w:t>
            </w:r>
          </w:p>
        </w:tc>
        <w:tc>
          <w:tcPr>
            <w:tcW w:w="3186" w:type="dxa"/>
            <w:tcMar>
              <w:top w:w="70" w:type="dxa"/>
              <w:left w:w="100" w:type="dxa"/>
              <w:bottom w:w="70" w:type="dxa"/>
              <w:right w:w="100" w:type="dxa"/>
            </w:tcMar>
          </w:tcPr>
          <w:p w14:paraId="429CBF5E" w14:textId="77777777" w:rsidR="00D16027" w:rsidRDefault="00000000">
            <w:r>
              <w:rPr>
                <w:sz w:val="19"/>
                <w:szCs w:val="19"/>
              </w:rPr>
              <w:t>Human marking; AI used only for moderation support</w:t>
            </w:r>
          </w:p>
        </w:tc>
      </w:tr>
      <w:tr w:rsidR="00D16027" w14:paraId="4ACE78C8" w14:textId="77777777">
        <w:tblPrEx>
          <w:tblCellMar>
            <w:top w:w="0" w:type="dxa"/>
            <w:bottom w:w="0" w:type="dxa"/>
          </w:tblCellMar>
        </w:tblPrEx>
        <w:trPr>
          <w:cantSplit/>
        </w:trPr>
        <w:tc>
          <w:tcPr>
            <w:tcW w:w="3600" w:type="dxa"/>
            <w:tcMar>
              <w:top w:w="70" w:type="dxa"/>
              <w:left w:w="100" w:type="dxa"/>
              <w:bottom w:w="70" w:type="dxa"/>
              <w:right w:w="100" w:type="dxa"/>
            </w:tcMar>
          </w:tcPr>
          <w:p w14:paraId="7AB5A3A4" w14:textId="77777777" w:rsidR="00D16027" w:rsidRDefault="00000000">
            <w:r>
              <w:rPr>
                <w:sz w:val="19"/>
                <w:szCs w:val="19"/>
              </w:rPr>
              <w:t>High-stakes, gateway and borderline decisions</w:t>
            </w:r>
          </w:p>
        </w:tc>
        <w:tc>
          <w:tcPr>
            <w:tcW w:w="2600" w:type="dxa"/>
            <w:tcMar>
              <w:top w:w="70" w:type="dxa"/>
              <w:left w:w="100" w:type="dxa"/>
              <w:bottom w:w="70" w:type="dxa"/>
              <w:right w:w="100" w:type="dxa"/>
            </w:tcMar>
          </w:tcPr>
          <w:p w14:paraId="2553B2E1" w14:textId="77777777" w:rsidR="00D16027" w:rsidRDefault="00000000">
            <w:r>
              <w:rPr>
                <w:sz w:val="19"/>
                <w:szCs w:val="19"/>
              </w:rPr>
              <w:t>Not suitable</w:t>
            </w:r>
          </w:p>
        </w:tc>
        <w:tc>
          <w:tcPr>
            <w:tcW w:w="3186" w:type="dxa"/>
            <w:tcMar>
              <w:top w:w="70" w:type="dxa"/>
              <w:left w:w="100" w:type="dxa"/>
              <w:bottom w:w="70" w:type="dxa"/>
              <w:right w:w="100" w:type="dxa"/>
            </w:tcMar>
          </w:tcPr>
          <w:p w14:paraId="17023596" w14:textId="77777777" w:rsidR="00D16027" w:rsidRDefault="00000000">
            <w:r>
              <w:rPr>
                <w:sz w:val="19"/>
                <w:szCs w:val="19"/>
              </w:rPr>
              <w:t>Human decision, documented</w:t>
            </w:r>
          </w:p>
        </w:tc>
      </w:tr>
    </w:tbl>
    <w:p w14:paraId="6DFC80D2" w14:textId="77777777" w:rsidR="00D16027" w:rsidRDefault="00D16027">
      <w:pPr>
        <w:spacing w:after="120"/>
      </w:pPr>
    </w:p>
    <w:p w14:paraId="0AE6F546" w14:textId="77777777" w:rsidR="00D16027" w:rsidRDefault="00000000">
      <w:pPr>
        <w:spacing w:after="140"/>
      </w:pPr>
      <w:r>
        <w:t>The pattern is clear. The more structured the task, the lower the stakes, and the more explicit the criteria, the more AI can contribute. The further a task moves towards judgement, originality and disciplinary nuance, and the higher its stakes, the less it should. In every case the AI's output is advisory and the human's decision is recorded.</w:t>
      </w:r>
    </w:p>
    <w:p w14:paraId="595C3101" w14:textId="77777777" w:rsidR="00D16027" w:rsidRDefault="00000000">
      <w:pPr>
        <w:pStyle w:val="Heading2"/>
        <w:keepNext/>
      </w:pPr>
      <w:r>
        <w:t>13.5 AI for moderation support</w:t>
      </w:r>
    </w:p>
    <w:p w14:paraId="40D0E481" w14:textId="77777777" w:rsidR="00D16027" w:rsidRDefault="00000000">
      <w:pPr>
        <w:spacing w:after="140"/>
      </w:pPr>
      <w:r>
        <w:t>The most valuable and least controversial use of AI in marking is not to mark but to support the humans who do. Bloxham, Boyd and Orr (2011) showed how much markers vary even with shared criteria, and Sadler (2009) explained why criteria cannot eliminate the variation. AI can act as a tireless second reader: flagging scripts where the mark and the feedback appear misaligned; identifying outliers in a marker's distribution relative to colleagues; detecting drift over a long marking session; checking that feedback comments address the rubric; and generating calibration materials, such as annotated exemplars at each band, for marker training. It can also summarise feedback across a cohort so that module leaders see which criteria students most often miss. None of these touches a student's grade directly, all of them improve the reliability of human judgement, and all can be introduced without the governance burden that grading itself requires.</w:t>
      </w:r>
    </w:p>
    <w:p w14:paraId="28DB0D58" w14:textId="77777777" w:rsidR="00D16027" w:rsidRDefault="00000000">
      <w:pPr>
        <w:pStyle w:val="Heading2"/>
        <w:keepNext/>
      </w:pPr>
      <w:r>
        <w:lastRenderedPageBreak/>
        <w:t>13.6 Governance and transparency</w:t>
      </w:r>
    </w:p>
    <w:p w14:paraId="769BB2B2" w14:textId="77777777" w:rsidR="00D16027" w:rsidRDefault="00000000">
      <w:pPr>
        <w:spacing w:after="140"/>
      </w:pPr>
      <w:r>
        <w:t>Where AI does contribute to a grade, institutions have obligations that are ethical and, increasingly, legal. The European Union's AI Act (2024) classifies AI systems used to evaluate learning outcomes in education as high-risk (Annex III), requiring human oversight, transparency to those affected, and documented risk management, with the obligations phasing in through 2026 and 2027 for providers and deployers within its jurisdiction; similar principles appear in UNESCO's (2023) guidance and in the US Department of Education's (2023) insistence on humans in the loop. Chan (2023) identifies governance as the dimension of institutional AI policy most often neglected. The following are minimum requirements.</w:t>
      </w:r>
    </w:p>
    <w:p w14:paraId="4E234CAD" w14:textId="77777777" w:rsidR="00D16027" w:rsidRDefault="00000000">
      <w:pPr>
        <w:pStyle w:val="ListParagraph"/>
        <w:numPr>
          <w:ilvl w:val="0"/>
          <w:numId w:val="2"/>
        </w:numPr>
        <w:spacing w:before="40" w:after="40"/>
      </w:pPr>
      <w:r>
        <w:rPr>
          <w:b/>
          <w:bCs/>
        </w:rPr>
        <w:t>Students are told,</w:t>
      </w:r>
      <w:r>
        <w:t xml:space="preserve"> in advance and in the brief, that AI contributes to marking, what it does, and what the human does.</w:t>
      </w:r>
    </w:p>
    <w:p w14:paraId="3B4165FC" w14:textId="77777777" w:rsidR="00D16027" w:rsidRDefault="00000000">
      <w:pPr>
        <w:pStyle w:val="ListParagraph"/>
        <w:numPr>
          <w:ilvl w:val="0"/>
          <w:numId w:val="2"/>
        </w:numPr>
        <w:spacing w:before="40" w:after="40"/>
      </w:pPr>
      <w:r>
        <w:rPr>
          <w:b/>
          <w:bCs/>
        </w:rPr>
        <w:t>A human is accountable</w:t>
      </w:r>
      <w:r>
        <w:t xml:space="preserve"> for every mark and can explain it; AI output is advisory and recorded as such.</w:t>
      </w:r>
    </w:p>
    <w:p w14:paraId="56F245EB" w14:textId="77777777" w:rsidR="00D16027" w:rsidRDefault="00000000">
      <w:pPr>
        <w:pStyle w:val="ListParagraph"/>
        <w:numPr>
          <w:ilvl w:val="0"/>
          <w:numId w:val="2"/>
        </w:numPr>
        <w:spacing w:before="40" w:after="40"/>
      </w:pPr>
      <w:r>
        <w:rPr>
          <w:b/>
          <w:bCs/>
        </w:rPr>
        <w:t>Recourse exists:</w:t>
      </w:r>
      <w:r>
        <w:t xml:space="preserve"> any student may request human re-marking of AI-assisted work without penalty.</w:t>
      </w:r>
    </w:p>
    <w:p w14:paraId="27712C41" w14:textId="77777777" w:rsidR="00D16027" w:rsidRDefault="00000000">
      <w:pPr>
        <w:pStyle w:val="ListParagraph"/>
        <w:numPr>
          <w:ilvl w:val="0"/>
          <w:numId w:val="2"/>
        </w:numPr>
        <w:spacing w:before="40" w:after="40"/>
      </w:pPr>
      <w:r>
        <w:rPr>
          <w:b/>
          <w:bCs/>
        </w:rPr>
        <w:t>Data protection is secured:</w:t>
      </w:r>
      <w:r>
        <w:t xml:space="preserve"> student work is processed only in tools with an institutional agreement, and retention and access are documented.</w:t>
      </w:r>
    </w:p>
    <w:p w14:paraId="3BBB71F6" w14:textId="77777777" w:rsidR="00D16027" w:rsidRDefault="00000000">
      <w:pPr>
        <w:pStyle w:val="ListParagraph"/>
        <w:numPr>
          <w:ilvl w:val="0"/>
          <w:numId w:val="2"/>
        </w:numPr>
        <w:spacing w:before="40" w:after="40"/>
      </w:pPr>
      <w:r>
        <w:rPr>
          <w:b/>
          <w:bCs/>
        </w:rPr>
        <w:t>Validation is evidenced:</w:t>
      </w:r>
      <w:r>
        <w:t xml:space="preserve"> agreement with human marks on a representative sample, and an equity review across groups, are on file before use and repeated when the model or the task changes.</w:t>
      </w:r>
    </w:p>
    <w:p w14:paraId="210FB4A0" w14:textId="77777777" w:rsidR="00D16027" w:rsidRDefault="00000000">
      <w:pPr>
        <w:pStyle w:val="ListParagraph"/>
        <w:numPr>
          <w:ilvl w:val="0"/>
          <w:numId w:val="2"/>
        </w:numPr>
        <w:spacing w:before="40" w:after="40"/>
      </w:pPr>
      <w:r>
        <w:rPr>
          <w:b/>
          <w:bCs/>
        </w:rPr>
        <w:t>Audit is possible:</w:t>
      </w:r>
      <w:r>
        <w:t xml:space="preserve"> prompts, model versions and outputs are logged so that decisions can be reconstructed on appeal.</w:t>
      </w:r>
    </w:p>
    <w:p w14:paraId="729111D3" w14:textId="77777777" w:rsidR="00D16027" w:rsidRDefault="00000000">
      <w:pPr>
        <w:pStyle w:val="Heading2"/>
        <w:keepNext/>
      </w:pPr>
      <w:r>
        <w:t>13.7 A protocol for responsible use</w:t>
      </w:r>
    </w:p>
    <w:p w14:paraId="4265B23B" w14:textId="77777777" w:rsidR="00D16027" w:rsidRDefault="00000000">
      <w:pPr>
        <w:pStyle w:val="ListParagraph"/>
        <w:numPr>
          <w:ilvl w:val="0"/>
          <w:numId w:val="7"/>
        </w:numPr>
        <w:spacing w:before="40" w:after="70"/>
      </w:pPr>
      <w:r>
        <w:rPr>
          <w:b/>
          <w:bCs/>
        </w:rPr>
        <w:t>State the purpose.</w:t>
      </w:r>
      <w:r>
        <w:t xml:space="preserve"> First-pass marking, moderation support or feedback generation? Each has different risks and different governance.</w:t>
      </w:r>
    </w:p>
    <w:p w14:paraId="52734E89" w14:textId="77777777" w:rsidR="00D16027" w:rsidRDefault="00000000">
      <w:pPr>
        <w:pStyle w:val="ListParagraph"/>
        <w:numPr>
          <w:ilvl w:val="0"/>
          <w:numId w:val="7"/>
        </w:numPr>
        <w:spacing w:before="40" w:after="70"/>
      </w:pPr>
      <w:r>
        <w:rPr>
          <w:b/>
          <w:bCs/>
        </w:rPr>
        <w:t>Check suitability</w:t>
      </w:r>
      <w:r>
        <w:t xml:space="preserve"> against Table 13.1. If the task is extended argument or high stakes, stop at moderation support.</w:t>
      </w:r>
    </w:p>
    <w:p w14:paraId="2C98B417" w14:textId="77777777" w:rsidR="00D16027" w:rsidRDefault="00000000">
      <w:pPr>
        <w:pStyle w:val="ListParagraph"/>
        <w:numPr>
          <w:ilvl w:val="0"/>
          <w:numId w:val="7"/>
        </w:numPr>
        <w:spacing w:before="40" w:after="70"/>
      </w:pPr>
      <w:r>
        <w:rPr>
          <w:b/>
          <w:bCs/>
        </w:rPr>
        <w:t>Use an institutional tool</w:t>
      </w:r>
      <w:r>
        <w:t xml:space="preserve"> with data-protection cover; never a public service.</w:t>
      </w:r>
    </w:p>
    <w:p w14:paraId="7941936B" w14:textId="77777777" w:rsidR="00D16027" w:rsidRDefault="00000000">
      <w:pPr>
        <w:pStyle w:val="ListParagraph"/>
        <w:numPr>
          <w:ilvl w:val="0"/>
          <w:numId w:val="7"/>
        </w:numPr>
        <w:spacing w:before="40" w:after="70"/>
      </w:pPr>
      <w:r>
        <w:rPr>
          <w:b/>
          <w:bCs/>
        </w:rPr>
        <w:t>Pilot against human marks</w:t>
      </w:r>
      <w:r>
        <w:t xml:space="preserve"> on at least fifty scripts from a previous cohort. Report agreement (quadratic weighted kappa or equivalent) and the pattern of disagreement by band.</w:t>
      </w:r>
    </w:p>
    <w:p w14:paraId="63C1717F" w14:textId="77777777" w:rsidR="00D16027" w:rsidRDefault="00000000">
      <w:pPr>
        <w:pStyle w:val="ListParagraph"/>
        <w:numPr>
          <w:ilvl w:val="0"/>
          <w:numId w:val="7"/>
        </w:numPr>
        <w:spacing w:before="40" w:after="70"/>
      </w:pPr>
      <w:r>
        <w:rPr>
          <w:b/>
          <w:bCs/>
        </w:rPr>
        <w:t>Run the equity review:</w:t>
      </w:r>
      <w:r>
        <w:t xml:space="preserve"> compare AI and human marks by language background, disability disclosure and other available groupings. Do not proceed if systematic differences appear.</w:t>
      </w:r>
    </w:p>
    <w:p w14:paraId="0F2BF845" w14:textId="77777777" w:rsidR="00D16027" w:rsidRDefault="00000000">
      <w:pPr>
        <w:pStyle w:val="ListParagraph"/>
        <w:numPr>
          <w:ilvl w:val="0"/>
          <w:numId w:val="7"/>
        </w:numPr>
        <w:spacing w:before="40" w:after="70"/>
      </w:pPr>
      <w:r>
        <w:rPr>
          <w:b/>
          <w:bCs/>
        </w:rPr>
        <w:t>Set the human review rule:</w:t>
      </w:r>
      <w:r>
        <w:t xml:space="preserve"> which scripts are read in full (all borderline, all top band, a random sample) and who is accountable.</w:t>
      </w:r>
    </w:p>
    <w:p w14:paraId="24E02E75" w14:textId="77777777" w:rsidR="00D16027" w:rsidRDefault="00000000">
      <w:pPr>
        <w:pStyle w:val="ListParagraph"/>
        <w:numPr>
          <w:ilvl w:val="0"/>
          <w:numId w:val="7"/>
        </w:numPr>
        <w:spacing w:before="40" w:after="70"/>
      </w:pPr>
      <w:r>
        <w:rPr>
          <w:b/>
          <w:bCs/>
        </w:rPr>
        <w:t>Publish the transparency statement</w:t>
      </w:r>
      <w:r>
        <w:t xml:space="preserve"> to students, including the right to human re-marking.</w:t>
      </w:r>
    </w:p>
    <w:p w14:paraId="47630B9B" w14:textId="77777777" w:rsidR="00D16027" w:rsidRDefault="00000000">
      <w:pPr>
        <w:pStyle w:val="ListParagraph"/>
        <w:numPr>
          <w:ilvl w:val="0"/>
          <w:numId w:val="7"/>
        </w:numPr>
        <w:spacing w:before="40" w:after="70"/>
      </w:pPr>
      <w:r>
        <w:rPr>
          <w:b/>
          <w:bCs/>
        </w:rPr>
        <w:t>Log and review:</w:t>
      </w:r>
      <w:r>
        <w:t xml:space="preserve"> record prompts, model versions and outputs; re-validate each year and whenever the model changes.</w:t>
      </w:r>
    </w:p>
    <w:p w14:paraId="3DC10FA0"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AI in marking and moderation: four settings</w:t>
      </w:r>
    </w:p>
    <w:p w14:paraId="3281508E" w14:textId="77777777" w:rsidR="00D16027" w:rsidRDefault="00000000">
      <w:pPr>
        <w:pBdr>
          <w:left w:val="single" w:sz="14" w:space="10" w:color="4E8A5E"/>
        </w:pBdr>
        <w:shd w:val="clear" w:color="auto" w:fill="EEF6EF"/>
        <w:spacing w:after="60"/>
      </w:pPr>
      <w:r>
        <w:rPr>
          <w:b/>
          <w:bCs/>
          <w:color w:val="333333"/>
          <w:sz w:val="20"/>
          <w:szCs w:val="20"/>
        </w:rPr>
        <w:t>Introductory programming, 500 students.</w:t>
      </w:r>
      <w:r>
        <w:rPr>
          <w:color w:val="333333"/>
          <w:sz w:val="20"/>
          <w:szCs w:val="20"/>
        </w:rPr>
        <w:t xml:space="preserve"> Code is </w:t>
      </w:r>
      <w:proofErr w:type="spellStart"/>
      <w:r>
        <w:rPr>
          <w:color w:val="333333"/>
          <w:sz w:val="20"/>
          <w:szCs w:val="20"/>
        </w:rPr>
        <w:t>autograded</w:t>
      </w:r>
      <w:proofErr w:type="spellEnd"/>
      <w:r>
        <w:rPr>
          <w:color w:val="333333"/>
          <w:sz w:val="20"/>
          <w:szCs w:val="20"/>
        </w:rPr>
        <w:t xml:space="preserve"> against unit tests, as it has been for years; an AI layer now generates an explanatory comment for each failed test, reviewed by demonstrators before release. Human markers read every submission that fails more than half its tests and every submission flagged for possible prompt injection.</w:t>
      </w:r>
    </w:p>
    <w:p w14:paraId="25FC32DA" w14:textId="77777777" w:rsidR="00D16027" w:rsidRDefault="00000000">
      <w:pPr>
        <w:pBdr>
          <w:left w:val="single" w:sz="14" w:space="10" w:color="4E8A5E"/>
        </w:pBdr>
        <w:shd w:val="clear" w:color="auto" w:fill="EEF6EF"/>
        <w:spacing w:after="60"/>
      </w:pPr>
      <w:r>
        <w:rPr>
          <w:b/>
          <w:bCs/>
          <w:color w:val="333333"/>
          <w:sz w:val="20"/>
          <w:szCs w:val="20"/>
        </w:rPr>
        <w:t>Chemistry short answers.</w:t>
      </w:r>
      <w:r>
        <w:rPr>
          <w:color w:val="333333"/>
          <w:sz w:val="20"/>
          <w:szCs w:val="20"/>
        </w:rPr>
        <w:t xml:space="preserve"> An AI first pass marks against model answers; every response marked zero or within two marks of a grade boundary is marked by a human, as is a random fifth of the rest. Agreement is reported to the exam board each year.</w:t>
      </w:r>
    </w:p>
    <w:p w14:paraId="573791D0" w14:textId="77777777" w:rsidR="00D16027" w:rsidRDefault="00000000">
      <w:pPr>
        <w:pBdr>
          <w:left w:val="single" w:sz="14" w:space="10" w:color="4E8A5E"/>
        </w:pBdr>
        <w:shd w:val="clear" w:color="auto" w:fill="EEF6EF"/>
        <w:spacing w:after="60"/>
      </w:pPr>
      <w:r>
        <w:rPr>
          <w:b/>
          <w:bCs/>
          <w:color w:val="333333"/>
          <w:sz w:val="20"/>
          <w:szCs w:val="20"/>
        </w:rPr>
        <w:t>Business essays.</w:t>
      </w:r>
      <w:r>
        <w:rPr>
          <w:color w:val="333333"/>
          <w:sz w:val="20"/>
          <w:szCs w:val="20"/>
        </w:rPr>
        <w:t xml:space="preserve"> Humans mark. AI reads the marked scripts and flags cases where the feedback and the mark appear inconsistent, and identifies each marker's distribution relative to the team. The module leader reviews flags before moderation.</w:t>
      </w:r>
    </w:p>
    <w:p w14:paraId="09E1B062" w14:textId="77777777" w:rsidR="00D16027" w:rsidRDefault="00000000">
      <w:pPr>
        <w:pBdr>
          <w:left w:val="single" w:sz="14" w:space="10" w:color="4E8A5E"/>
        </w:pBdr>
        <w:shd w:val="clear" w:color="auto" w:fill="EEF6EF"/>
        <w:spacing w:after="200"/>
      </w:pPr>
      <w:r>
        <w:rPr>
          <w:b/>
          <w:bCs/>
          <w:color w:val="333333"/>
          <w:sz w:val="20"/>
          <w:szCs w:val="20"/>
        </w:rPr>
        <w:lastRenderedPageBreak/>
        <w:t>Language assessment.</w:t>
      </w:r>
      <w:r>
        <w:rPr>
          <w:color w:val="333333"/>
          <w:sz w:val="20"/>
          <w:szCs w:val="20"/>
        </w:rPr>
        <w:t xml:space="preserve"> AI scores grammatical accuracy in formative writing tasks and provides immediate feedback; summative writing and all speaking assessment are human-marked, with AI used only to generate calibration exemplars for the marking team.</w:t>
      </w:r>
    </w:p>
    <w:p w14:paraId="32384E95"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Before you let AI near a grade</w:t>
      </w:r>
    </w:p>
    <w:p w14:paraId="352B7FB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Write down what the AI will decide and what the human will decide. If you cannot, do not proceed.</w:t>
      </w:r>
    </w:p>
    <w:p w14:paraId="60CEBA2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Run the pilot: fifty scripts, human and AI marks, agreement statistic, disagreement pattern by band.</w:t>
      </w:r>
    </w:p>
    <w:p w14:paraId="75C7AED2"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Run the equity review across whatever groupings your data allows. Look for systematic gaps, not averages.</w:t>
      </w:r>
    </w:p>
    <w:p w14:paraId="088AB3E4"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Draft the one-paragraph transparency statement for students, including the right to human re-marking. If you would be uncomfortable publishing it, do not proceed.</w:t>
      </w:r>
    </w:p>
    <w:p w14:paraId="4C23E035"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Set the human review rule and name the accountable marker.</w:t>
      </w:r>
    </w:p>
    <w:p w14:paraId="175D3BCE"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Diary the annual re-validation.</w:t>
      </w:r>
    </w:p>
    <w:p w14:paraId="6ECC0C8C" w14:textId="77777777" w:rsidR="00D16027" w:rsidRDefault="00000000">
      <w:pPr>
        <w:pStyle w:val="Heading2"/>
        <w:keepNext/>
      </w:pPr>
      <w:r>
        <w:t>What this means for you</w:t>
      </w:r>
    </w:p>
    <w:p w14:paraId="250A5856"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18EBB04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AI for moderation support before you use it for marking; the gains are real and the risks are small.</w:t>
      </w:r>
    </w:p>
    <w:p w14:paraId="24D6C09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If you use a first pass, read every borderline and every top-band script yourself, and tell students what you did.</w:t>
      </w:r>
    </w:p>
    <w:p w14:paraId="5DA6C25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Re-check agreement whenever the model changes. Last year's validation does not transfer.</w:t>
      </w:r>
    </w:p>
    <w:p w14:paraId="617B2008"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4B88C03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a programme-level rule on where AI-assisted marking is permitted, using Table 13.1, so that module leads are not making the decision alone.</w:t>
      </w:r>
    </w:p>
    <w:p w14:paraId="58434B6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AI moderation support across the programme to improve consistency between markers and modules, and report the results to the exam board.</w:t>
      </w:r>
    </w:p>
    <w:p w14:paraId="28B1BD6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Ensure that any AI-assisted marking is validated and equity-reviewed before the first cohort is marked, with the evidence on file for external examiners.</w:t>
      </w:r>
    </w:p>
    <w:p w14:paraId="45BC480D"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6324EB9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institutional policy on AI in marking that meets the EU AI Act's requirements for high-risk systems whether or not the institution is within its jurisdiction: human oversight, transparency, recourse, validation and audit.</w:t>
      </w:r>
    </w:p>
    <w:p w14:paraId="1A6E1982"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Procure tools with the data-protection and logging capabilities that governance requires; consumer tools do not have them.</w:t>
      </w:r>
    </w:p>
    <w:p w14:paraId="0CD53F0F"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Establish an equity review requirement for any automated or AI-assisted marking, with reporting to the body responsible for access and participation.</w:t>
      </w:r>
    </w:p>
    <w:p w14:paraId="6BE0EA14" w14:textId="77777777" w:rsidR="00D16027" w:rsidRDefault="00000000">
      <w:pPr>
        <w:pStyle w:val="Heading2"/>
        <w:keepNext/>
      </w:pPr>
      <w:r>
        <w:t>Key references for this chapter</w:t>
      </w:r>
    </w:p>
    <w:p w14:paraId="2E80F3FB" w14:textId="77777777" w:rsidR="00D16027" w:rsidRDefault="00000000">
      <w:pPr>
        <w:pStyle w:val="ListParagraph"/>
        <w:numPr>
          <w:ilvl w:val="0"/>
          <w:numId w:val="3"/>
        </w:numPr>
        <w:spacing w:before="30" w:after="50"/>
      </w:pPr>
      <w:r>
        <w:rPr>
          <w:color w:val="333333"/>
          <w:sz w:val="19"/>
          <w:szCs w:val="19"/>
        </w:rPr>
        <w:t xml:space="preserve">Attali, Y. &amp; Burstein, J. (2006) Automated essay scoring with e-rater V.2. </w:t>
      </w:r>
      <w:r>
        <w:rPr>
          <w:i/>
          <w:iCs/>
          <w:color w:val="333333"/>
          <w:sz w:val="19"/>
          <w:szCs w:val="19"/>
        </w:rPr>
        <w:t>Journal of Technology, Learning, and Assessment</w:t>
      </w:r>
      <w:r>
        <w:rPr>
          <w:color w:val="333333"/>
          <w:sz w:val="19"/>
          <w:szCs w:val="19"/>
        </w:rPr>
        <w:t>, 4(3).</w:t>
      </w:r>
    </w:p>
    <w:p w14:paraId="241CC19F" w14:textId="77777777" w:rsidR="00D16027" w:rsidRDefault="00000000">
      <w:pPr>
        <w:pStyle w:val="ListParagraph"/>
        <w:numPr>
          <w:ilvl w:val="0"/>
          <w:numId w:val="3"/>
        </w:numPr>
        <w:spacing w:before="30" w:after="50"/>
      </w:pPr>
      <w:r>
        <w:rPr>
          <w:color w:val="333333"/>
          <w:sz w:val="19"/>
          <w:szCs w:val="19"/>
        </w:rPr>
        <w:t xml:space="preserve">Bloxham, S., Boyd, P. &amp; Orr, S. (2011) Mark my words. </w:t>
      </w:r>
      <w:r>
        <w:rPr>
          <w:i/>
          <w:iCs/>
          <w:color w:val="333333"/>
          <w:sz w:val="19"/>
          <w:szCs w:val="19"/>
        </w:rPr>
        <w:t>Studies in Higher Education</w:t>
      </w:r>
      <w:r>
        <w:rPr>
          <w:color w:val="333333"/>
          <w:sz w:val="19"/>
          <w:szCs w:val="19"/>
        </w:rPr>
        <w:t>, 36(6), 655–670.</w:t>
      </w:r>
    </w:p>
    <w:p w14:paraId="7E3CB7A4" w14:textId="77777777" w:rsidR="00D16027" w:rsidRDefault="00000000">
      <w:pPr>
        <w:pStyle w:val="ListParagraph"/>
        <w:numPr>
          <w:ilvl w:val="0"/>
          <w:numId w:val="3"/>
        </w:numPr>
        <w:spacing w:before="30" w:after="50"/>
      </w:pPr>
      <w:r>
        <w:rPr>
          <w:color w:val="333333"/>
          <w:sz w:val="19"/>
          <w:szCs w:val="19"/>
        </w:rPr>
        <w:t xml:space="preserve">Bridgeman, B., Trapani, C. &amp; Attali, Y. (2012) Comparison of human and machine scoring of essays: differences by gender, ethnicity, and country. </w:t>
      </w:r>
      <w:r>
        <w:rPr>
          <w:i/>
          <w:iCs/>
          <w:color w:val="333333"/>
          <w:sz w:val="19"/>
          <w:szCs w:val="19"/>
        </w:rPr>
        <w:t>Applied Measurement in Education</w:t>
      </w:r>
      <w:r>
        <w:rPr>
          <w:color w:val="333333"/>
          <w:sz w:val="19"/>
          <w:szCs w:val="19"/>
        </w:rPr>
        <w:t>, 25(1), 27–40.</w:t>
      </w:r>
    </w:p>
    <w:p w14:paraId="7A5E0855" w14:textId="77777777" w:rsidR="00D16027" w:rsidRDefault="00000000">
      <w:pPr>
        <w:pStyle w:val="ListParagraph"/>
        <w:numPr>
          <w:ilvl w:val="0"/>
          <w:numId w:val="3"/>
        </w:numPr>
        <w:spacing w:before="30" w:after="50"/>
      </w:pPr>
      <w:r>
        <w:rPr>
          <w:color w:val="333333"/>
          <w:sz w:val="19"/>
          <w:szCs w:val="19"/>
        </w:rPr>
        <w:t xml:space="preserve">Bulut, O., Beiting-Parrish, M., Casabianca, J.M., Slater, S.C., Jiao, H., Song, D., Ormerod, C.M., </w:t>
      </w:r>
      <w:proofErr w:type="spellStart"/>
      <w:r>
        <w:rPr>
          <w:color w:val="333333"/>
          <w:sz w:val="19"/>
          <w:szCs w:val="19"/>
        </w:rPr>
        <w:t>Fabiyi</w:t>
      </w:r>
      <w:proofErr w:type="spellEnd"/>
      <w:r>
        <w:rPr>
          <w:color w:val="333333"/>
          <w:sz w:val="19"/>
          <w:szCs w:val="19"/>
        </w:rPr>
        <w:t>, D.G., Ivan, R., Walsh, C., Rios, O., Wilson, J., Yildirim-</w:t>
      </w:r>
      <w:proofErr w:type="spellStart"/>
      <w:r>
        <w:rPr>
          <w:color w:val="333333"/>
          <w:sz w:val="19"/>
          <w:szCs w:val="19"/>
        </w:rPr>
        <w:t>Erbasli</w:t>
      </w:r>
      <w:proofErr w:type="spellEnd"/>
      <w:r>
        <w:rPr>
          <w:color w:val="333333"/>
          <w:sz w:val="19"/>
          <w:szCs w:val="19"/>
        </w:rPr>
        <w:t xml:space="preserve">, S.N., </w:t>
      </w:r>
      <w:proofErr w:type="spellStart"/>
      <w:r>
        <w:rPr>
          <w:color w:val="333333"/>
          <w:sz w:val="19"/>
          <w:szCs w:val="19"/>
        </w:rPr>
        <w:t>Wongvorachan</w:t>
      </w:r>
      <w:proofErr w:type="spellEnd"/>
      <w:r>
        <w:rPr>
          <w:color w:val="333333"/>
          <w:sz w:val="19"/>
          <w:szCs w:val="19"/>
        </w:rPr>
        <w:t xml:space="preserve">, T., Liu, J.X., Tan, B. &amp; </w:t>
      </w:r>
      <w:proofErr w:type="spellStart"/>
      <w:r>
        <w:rPr>
          <w:color w:val="333333"/>
          <w:sz w:val="19"/>
          <w:szCs w:val="19"/>
        </w:rPr>
        <w:t>Morilova</w:t>
      </w:r>
      <w:proofErr w:type="spellEnd"/>
      <w:r>
        <w:rPr>
          <w:color w:val="333333"/>
          <w:sz w:val="19"/>
          <w:szCs w:val="19"/>
        </w:rPr>
        <w:t>, P. (2024) The rise of artificial intelligence in educational measurement: opportunities and ethical challenges. arXiv:2406.18900.</w:t>
      </w:r>
    </w:p>
    <w:p w14:paraId="0472AB87"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3E2B1D41" w14:textId="77777777" w:rsidR="00D16027" w:rsidRDefault="00000000">
      <w:pPr>
        <w:pStyle w:val="ListParagraph"/>
        <w:numPr>
          <w:ilvl w:val="0"/>
          <w:numId w:val="3"/>
        </w:numPr>
        <w:spacing w:before="30" w:after="50"/>
      </w:pPr>
      <w:r>
        <w:rPr>
          <w:color w:val="333333"/>
          <w:sz w:val="19"/>
          <w:szCs w:val="19"/>
        </w:rPr>
        <w:t xml:space="preserve">European Union (2024) Regulation (EU) 2024/1689 laying down harmonised rules on artificial intelligence (Artificial Intelligence Act). </w:t>
      </w:r>
      <w:r>
        <w:rPr>
          <w:i/>
          <w:iCs/>
          <w:color w:val="333333"/>
          <w:sz w:val="19"/>
          <w:szCs w:val="19"/>
        </w:rPr>
        <w:t>Official Journal of the European Union</w:t>
      </w:r>
      <w:r>
        <w:rPr>
          <w:color w:val="333333"/>
          <w:sz w:val="19"/>
          <w:szCs w:val="19"/>
        </w:rPr>
        <w:t>.</w:t>
      </w:r>
    </w:p>
    <w:p w14:paraId="170E1DD5" w14:textId="77777777" w:rsidR="00D16027" w:rsidRDefault="00000000">
      <w:pPr>
        <w:pStyle w:val="ListParagraph"/>
        <w:numPr>
          <w:ilvl w:val="0"/>
          <w:numId w:val="3"/>
        </w:numPr>
        <w:spacing w:before="30" w:after="50"/>
      </w:pPr>
      <w:r>
        <w:rPr>
          <w:color w:val="333333"/>
          <w:sz w:val="19"/>
          <w:szCs w:val="19"/>
        </w:rPr>
        <w:lastRenderedPageBreak/>
        <w:t xml:space="preserve">Holmes, W. &amp; </w:t>
      </w:r>
      <w:proofErr w:type="spellStart"/>
      <w:r>
        <w:rPr>
          <w:color w:val="333333"/>
          <w:sz w:val="19"/>
          <w:szCs w:val="19"/>
        </w:rPr>
        <w:t>Porayska-Pomsta</w:t>
      </w:r>
      <w:proofErr w:type="spellEnd"/>
      <w:r>
        <w:rPr>
          <w:color w:val="333333"/>
          <w:sz w:val="19"/>
          <w:szCs w:val="19"/>
        </w:rPr>
        <w:t xml:space="preserve">, K. (eds.) (2022) </w:t>
      </w:r>
      <w:r>
        <w:rPr>
          <w:i/>
          <w:iCs/>
          <w:color w:val="333333"/>
          <w:sz w:val="19"/>
          <w:szCs w:val="19"/>
        </w:rPr>
        <w:t>The Ethics of Artificial Intelligence in Education</w:t>
      </w:r>
      <w:r>
        <w:rPr>
          <w:color w:val="333333"/>
          <w:sz w:val="19"/>
          <w:szCs w:val="19"/>
        </w:rPr>
        <w:t>. London: Routledge.</w:t>
      </w:r>
    </w:p>
    <w:p w14:paraId="139B3858" w14:textId="77777777" w:rsidR="00D16027" w:rsidRDefault="00000000">
      <w:pPr>
        <w:pStyle w:val="ListParagraph"/>
        <w:numPr>
          <w:ilvl w:val="0"/>
          <w:numId w:val="3"/>
        </w:numPr>
        <w:spacing w:before="30" w:after="50"/>
      </w:pPr>
      <w:r>
        <w:rPr>
          <w:color w:val="333333"/>
          <w:sz w:val="19"/>
          <w:szCs w:val="19"/>
        </w:rPr>
        <w:t xml:space="preserve">Jang, E.E. &amp; </w:t>
      </w:r>
      <w:proofErr w:type="spellStart"/>
      <w:r>
        <w:rPr>
          <w:color w:val="333333"/>
          <w:sz w:val="19"/>
          <w:szCs w:val="19"/>
        </w:rPr>
        <w:t>Sawaki</w:t>
      </w:r>
      <w:proofErr w:type="spellEnd"/>
      <w:r>
        <w:rPr>
          <w:color w:val="333333"/>
          <w:sz w:val="19"/>
          <w:szCs w:val="19"/>
        </w:rPr>
        <w:t xml:space="preserve">, Y. (2025) Advancing language assessment in the era of the AI revolution. </w:t>
      </w:r>
      <w:r>
        <w:rPr>
          <w:i/>
          <w:iCs/>
          <w:color w:val="333333"/>
          <w:sz w:val="19"/>
          <w:szCs w:val="19"/>
        </w:rPr>
        <w:t>Language Testing</w:t>
      </w:r>
      <w:r>
        <w:rPr>
          <w:color w:val="333333"/>
          <w:sz w:val="19"/>
          <w:szCs w:val="19"/>
        </w:rPr>
        <w:t xml:space="preserve"> (advance online).</w:t>
      </w:r>
    </w:p>
    <w:p w14:paraId="44CD31C7" w14:textId="77777777" w:rsidR="00D16027" w:rsidRDefault="00000000">
      <w:pPr>
        <w:pStyle w:val="ListParagraph"/>
        <w:numPr>
          <w:ilvl w:val="0"/>
          <w:numId w:val="3"/>
        </w:numPr>
        <w:spacing w:before="30" w:after="50"/>
      </w:pPr>
      <w:proofErr w:type="spellStart"/>
      <w:r>
        <w:rPr>
          <w:color w:val="333333"/>
          <w:sz w:val="19"/>
          <w:szCs w:val="19"/>
        </w:rPr>
        <w:t>Kortemeyer</w:t>
      </w:r>
      <w:proofErr w:type="spellEnd"/>
      <w:r>
        <w:rPr>
          <w:color w:val="333333"/>
          <w:sz w:val="19"/>
          <w:szCs w:val="19"/>
        </w:rPr>
        <w:t xml:space="preserve">, G. (2023) Toward AI grading of student problem solutions in introductory physics: a feasibility study. </w:t>
      </w:r>
      <w:r>
        <w:rPr>
          <w:i/>
          <w:iCs/>
          <w:color w:val="333333"/>
          <w:sz w:val="19"/>
          <w:szCs w:val="19"/>
        </w:rPr>
        <w:t>Physical Review Physics Education Research</w:t>
      </w:r>
      <w:r>
        <w:rPr>
          <w:color w:val="333333"/>
          <w:sz w:val="19"/>
          <w:szCs w:val="19"/>
        </w:rPr>
        <w:t>, 19(2), 020163.</w:t>
      </w:r>
    </w:p>
    <w:p w14:paraId="0EFB86C6"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626E077C" w14:textId="77777777" w:rsidR="00D16027" w:rsidRDefault="00000000">
      <w:pPr>
        <w:pStyle w:val="ListParagraph"/>
        <w:numPr>
          <w:ilvl w:val="0"/>
          <w:numId w:val="3"/>
        </w:numPr>
        <w:spacing w:before="30" w:after="50"/>
      </w:pPr>
      <w:r>
        <w:rPr>
          <w:color w:val="333333"/>
          <w:sz w:val="19"/>
          <w:szCs w:val="19"/>
        </w:rPr>
        <w:t xml:space="preserve">Milani, A., Franzoni, V., Florindi, E., </w:t>
      </w:r>
      <w:proofErr w:type="spellStart"/>
      <w:r>
        <w:rPr>
          <w:color w:val="333333"/>
          <w:sz w:val="19"/>
          <w:szCs w:val="19"/>
        </w:rPr>
        <w:t>Omarbekova</w:t>
      </w:r>
      <w:proofErr w:type="spellEnd"/>
      <w:r>
        <w:rPr>
          <w:color w:val="333333"/>
          <w:sz w:val="19"/>
          <w:szCs w:val="19"/>
        </w:rPr>
        <w:t xml:space="preserve">, A., </w:t>
      </w:r>
      <w:proofErr w:type="spellStart"/>
      <w:r>
        <w:rPr>
          <w:color w:val="333333"/>
          <w:sz w:val="19"/>
          <w:szCs w:val="19"/>
        </w:rPr>
        <w:t>Bekmanova</w:t>
      </w:r>
      <w:proofErr w:type="spellEnd"/>
      <w:r>
        <w:rPr>
          <w:color w:val="333333"/>
          <w:sz w:val="19"/>
          <w:szCs w:val="19"/>
        </w:rPr>
        <w:t xml:space="preserve">, G. &amp; </w:t>
      </w:r>
      <w:proofErr w:type="spellStart"/>
      <w:r>
        <w:rPr>
          <w:color w:val="333333"/>
          <w:sz w:val="19"/>
          <w:szCs w:val="19"/>
        </w:rPr>
        <w:t>Yergesh</w:t>
      </w:r>
      <w:proofErr w:type="spellEnd"/>
      <w:r>
        <w:rPr>
          <w:color w:val="333333"/>
          <w:sz w:val="19"/>
          <w:szCs w:val="19"/>
        </w:rPr>
        <w:t xml:space="preserve">, B. (2025) When AI is fooled: hidden risks in LLM-assisted grading. </w:t>
      </w:r>
      <w:r>
        <w:rPr>
          <w:i/>
          <w:iCs/>
          <w:color w:val="333333"/>
          <w:sz w:val="19"/>
          <w:szCs w:val="19"/>
        </w:rPr>
        <w:t>Education Sciences</w:t>
      </w:r>
      <w:r>
        <w:rPr>
          <w:color w:val="333333"/>
          <w:sz w:val="19"/>
          <w:szCs w:val="19"/>
        </w:rPr>
        <w:t>, 15(11), 1419.</w:t>
      </w:r>
    </w:p>
    <w:p w14:paraId="32220AAC" w14:textId="77777777" w:rsidR="00D16027" w:rsidRDefault="00000000">
      <w:pPr>
        <w:pStyle w:val="ListParagraph"/>
        <w:numPr>
          <w:ilvl w:val="0"/>
          <w:numId w:val="3"/>
        </w:numPr>
        <w:spacing w:before="30" w:after="50"/>
      </w:pPr>
      <w:r>
        <w:rPr>
          <w:color w:val="333333"/>
          <w:sz w:val="19"/>
          <w:szCs w:val="19"/>
        </w:rPr>
        <w:t xml:space="preserve">Mizumoto, A. &amp; Eguchi, M. (2023) Exploring the potential of using an AI language model for automated essay scoring. </w:t>
      </w:r>
      <w:r>
        <w:rPr>
          <w:i/>
          <w:iCs/>
          <w:color w:val="333333"/>
          <w:sz w:val="19"/>
          <w:szCs w:val="19"/>
        </w:rPr>
        <w:t>Research Methods in Applied Linguistics</w:t>
      </w:r>
      <w:r>
        <w:rPr>
          <w:color w:val="333333"/>
          <w:sz w:val="19"/>
          <w:szCs w:val="19"/>
        </w:rPr>
        <w:t>, 2(2), 100050.</w:t>
      </w:r>
    </w:p>
    <w:p w14:paraId="5F002E2B" w14:textId="77777777" w:rsidR="00D16027" w:rsidRDefault="00000000">
      <w:pPr>
        <w:pStyle w:val="ListParagraph"/>
        <w:numPr>
          <w:ilvl w:val="0"/>
          <w:numId w:val="3"/>
        </w:numPr>
        <w:spacing w:before="30" w:after="50"/>
      </w:pPr>
      <w:r>
        <w:rPr>
          <w:color w:val="333333"/>
          <w:sz w:val="19"/>
          <w:szCs w:val="19"/>
        </w:rPr>
        <w:t xml:space="preserve">National Council of Teachers of English (2013) </w:t>
      </w:r>
      <w:r>
        <w:rPr>
          <w:i/>
          <w:iCs/>
          <w:color w:val="333333"/>
          <w:sz w:val="19"/>
          <w:szCs w:val="19"/>
        </w:rPr>
        <w:t>Position Statement on Machine Scoring</w:t>
      </w:r>
      <w:r>
        <w:rPr>
          <w:color w:val="333333"/>
          <w:sz w:val="19"/>
          <w:szCs w:val="19"/>
        </w:rPr>
        <w:t>. Urbana, IL: NCTE.</w:t>
      </w:r>
    </w:p>
    <w:p w14:paraId="24F7FE9D" w14:textId="77777777" w:rsidR="00D16027" w:rsidRDefault="00000000">
      <w:pPr>
        <w:pStyle w:val="ListParagraph"/>
        <w:numPr>
          <w:ilvl w:val="0"/>
          <w:numId w:val="3"/>
        </w:numPr>
        <w:spacing w:before="30" w:after="50"/>
      </w:pPr>
      <w:r>
        <w:rPr>
          <w:color w:val="333333"/>
          <w:sz w:val="19"/>
          <w:szCs w:val="19"/>
        </w:rPr>
        <w:t xml:space="preserve">Page, E.B. (1966) The imminence of grading essays by computer. </w:t>
      </w:r>
      <w:r>
        <w:rPr>
          <w:i/>
          <w:iCs/>
          <w:color w:val="333333"/>
          <w:sz w:val="19"/>
          <w:szCs w:val="19"/>
        </w:rPr>
        <w:t xml:space="preserve">Phi Delta </w:t>
      </w:r>
      <w:proofErr w:type="spellStart"/>
      <w:r>
        <w:rPr>
          <w:i/>
          <w:iCs/>
          <w:color w:val="333333"/>
          <w:sz w:val="19"/>
          <w:szCs w:val="19"/>
        </w:rPr>
        <w:t>Kappan</w:t>
      </w:r>
      <w:proofErr w:type="spellEnd"/>
      <w:r>
        <w:rPr>
          <w:color w:val="333333"/>
          <w:sz w:val="19"/>
          <w:szCs w:val="19"/>
        </w:rPr>
        <w:t>, 47(5), 238–243.</w:t>
      </w:r>
    </w:p>
    <w:p w14:paraId="58EFA274" w14:textId="77777777" w:rsidR="00D16027" w:rsidRDefault="00000000">
      <w:pPr>
        <w:pStyle w:val="ListParagraph"/>
        <w:numPr>
          <w:ilvl w:val="0"/>
          <w:numId w:val="3"/>
        </w:numPr>
        <w:spacing w:before="30" w:after="50"/>
      </w:pPr>
      <w:r>
        <w:rPr>
          <w:color w:val="333333"/>
          <w:sz w:val="19"/>
          <w:szCs w:val="19"/>
        </w:rPr>
        <w:t xml:space="preserve">Perelman, L. (2014) When "the state of the art" is counting words. </w:t>
      </w:r>
      <w:r>
        <w:rPr>
          <w:i/>
          <w:iCs/>
          <w:color w:val="333333"/>
          <w:sz w:val="19"/>
          <w:szCs w:val="19"/>
        </w:rPr>
        <w:t>Assessing Writing</w:t>
      </w:r>
      <w:r>
        <w:rPr>
          <w:color w:val="333333"/>
          <w:sz w:val="19"/>
          <w:szCs w:val="19"/>
        </w:rPr>
        <w:t>, 21, 104–111.</w:t>
      </w:r>
    </w:p>
    <w:p w14:paraId="7C3818AC" w14:textId="77777777" w:rsidR="00D16027" w:rsidRDefault="00000000">
      <w:pPr>
        <w:pStyle w:val="ListParagraph"/>
        <w:numPr>
          <w:ilvl w:val="0"/>
          <w:numId w:val="3"/>
        </w:numPr>
        <w:spacing w:before="30" w:after="50"/>
      </w:pPr>
      <w:r>
        <w:rPr>
          <w:color w:val="333333"/>
          <w:sz w:val="19"/>
          <w:szCs w:val="19"/>
        </w:rPr>
        <w:t xml:space="preserve">Sadler, D.R. (2009) Indeterminacy in the use of preset criteria for assessment and grading. </w:t>
      </w:r>
      <w:r>
        <w:rPr>
          <w:i/>
          <w:iCs/>
          <w:color w:val="333333"/>
          <w:sz w:val="19"/>
          <w:szCs w:val="19"/>
        </w:rPr>
        <w:t>Assessment &amp; Evaluation in Higher Education</w:t>
      </w:r>
      <w:r>
        <w:rPr>
          <w:color w:val="333333"/>
          <w:sz w:val="19"/>
          <w:szCs w:val="19"/>
        </w:rPr>
        <w:t>, 34(2), 159–179.</w:t>
      </w:r>
    </w:p>
    <w:p w14:paraId="0F178B34" w14:textId="77777777" w:rsidR="00D16027" w:rsidRDefault="00000000">
      <w:pPr>
        <w:pStyle w:val="ListParagraph"/>
        <w:numPr>
          <w:ilvl w:val="0"/>
          <w:numId w:val="3"/>
        </w:numPr>
        <w:spacing w:before="30" w:after="50"/>
      </w:pPr>
      <w:proofErr w:type="spellStart"/>
      <w:r>
        <w:rPr>
          <w:color w:val="333333"/>
          <w:sz w:val="19"/>
          <w:szCs w:val="19"/>
        </w:rPr>
        <w:t>Shermis</w:t>
      </w:r>
      <w:proofErr w:type="spellEnd"/>
      <w:r>
        <w:rPr>
          <w:color w:val="333333"/>
          <w:sz w:val="19"/>
          <w:szCs w:val="19"/>
        </w:rPr>
        <w:t xml:space="preserve">, M.D. &amp; Hamner, B. (2013) Contrasting state-of-the-art automated scoring of essays. In M.D. </w:t>
      </w:r>
      <w:proofErr w:type="spellStart"/>
      <w:r>
        <w:rPr>
          <w:color w:val="333333"/>
          <w:sz w:val="19"/>
          <w:szCs w:val="19"/>
        </w:rPr>
        <w:t>Shermis</w:t>
      </w:r>
      <w:proofErr w:type="spellEnd"/>
      <w:r>
        <w:rPr>
          <w:color w:val="333333"/>
          <w:sz w:val="19"/>
          <w:szCs w:val="19"/>
        </w:rPr>
        <w:t xml:space="preserve"> &amp; J. Burstein (eds.) </w:t>
      </w:r>
      <w:r>
        <w:rPr>
          <w:i/>
          <w:iCs/>
          <w:color w:val="333333"/>
          <w:sz w:val="19"/>
          <w:szCs w:val="19"/>
        </w:rPr>
        <w:t>Handbook of Automated Essay Evaluation</w:t>
      </w:r>
      <w:r>
        <w:rPr>
          <w:color w:val="333333"/>
          <w:sz w:val="19"/>
          <w:szCs w:val="19"/>
        </w:rPr>
        <w:t xml:space="preserve"> (pp. 313–346). New York: Routledge.</w:t>
      </w:r>
    </w:p>
    <w:p w14:paraId="1544022A" w14:textId="77777777" w:rsidR="00D16027" w:rsidRDefault="00000000">
      <w:pPr>
        <w:pStyle w:val="ListParagraph"/>
        <w:numPr>
          <w:ilvl w:val="0"/>
          <w:numId w:val="3"/>
        </w:numPr>
        <w:spacing w:before="30" w:after="50"/>
      </w:pPr>
      <w:r>
        <w:rPr>
          <w:color w:val="333333"/>
          <w:sz w:val="19"/>
          <w:szCs w:val="19"/>
        </w:rPr>
        <w:t xml:space="preserve">Trajkovski, G. &amp; Hayes, H. (2025) </w:t>
      </w:r>
      <w:r>
        <w:rPr>
          <w:i/>
          <w:iCs/>
          <w:color w:val="333333"/>
          <w:sz w:val="19"/>
          <w:szCs w:val="19"/>
        </w:rPr>
        <w:t>AI-Assisted Assessment in Education</w:t>
      </w:r>
      <w:r>
        <w:rPr>
          <w:color w:val="333333"/>
          <w:sz w:val="19"/>
          <w:szCs w:val="19"/>
        </w:rPr>
        <w:t>. Cham: Springer.</w:t>
      </w:r>
    </w:p>
    <w:p w14:paraId="6D13C88A" w14:textId="77777777" w:rsidR="00D16027" w:rsidRDefault="00000000">
      <w:pPr>
        <w:pStyle w:val="ListParagraph"/>
        <w:numPr>
          <w:ilvl w:val="0"/>
          <w:numId w:val="3"/>
        </w:numPr>
        <w:spacing w:before="30" w:after="50"/>
      </w:pPr>
      <w:r>
        <w:rPr>
          <w:color w:val="333333"/>
          <w:sz w:val="19"/>
          <w:szCs w:val="19"/>
        </w:rPr>
        <w:t xml:space="preserve">UNESCO (2023) </w:t>
      </w:r>
      <w:r>
        <w:rPr>
          <w:i/>
          <w:iCs/>
          <w:color w:val="333333"/>
          <w:sz w:val="19"/>
          <w:szCs w:val="19"/>
        </w:rPr>
        <w:t>Guidance for Generative AI in Education and Research</w:t>
      </w:r>
      <w:r>
        <w:rPr>
          <w:color w:val="333333"/>
          <w:sz w:val="19"/>
          <w:szCs w:val="19"/>
        </w:rPr>
        <w:t>. Paris: UNESCO.</w:t>
      </w:r>
    </w:p>
    <w:p w14:paraId="2B015AAF" w14:textId="77777777" w:rsidR="00D16027" w:rsidRDefault="00000000">
      <w:pPr>
        <w:pStyle w:val="ListParagraph"/>
        <w:numPr>
          <w:ilvl w:val="0"/>
          <w:numId w:val="3"/>
        </w:numPr>
        <w:spacing w:before="30" w:after="50"/>
      </w:pPr>
      <w:r>
        <w:rPr>
          <w:color w:val="333333"/>
          <w:sz w:val="19"/>
          <w:szCs w:val="19"/>
        </w:rPr>
        <w:t xml:space="preserve">US Department of Education, Office of Educational Technology (2023) </w:t>
      </w:r>
      <w:r>
        <w:rPr>
          <w:i/>
          <w:iCs/>
          <w:color w:val="333333"/>
          <w:sz w:val="19"/>
          <w:szCs w:val="19"/>
        </w:rPr>
        <w:t>Artificial Intelligence and the Future of Teaching and Learning</w:t>
      </w:r>
      <w:r>
        <w:rPr>
          <w:color w:val="333333"/>
          <w:sz w:val="19"/>
          <w:szCs w:val="19"/>
        </w:rPr>
        <w:t>. Washington, DC.</w:t>
      </w:r>
    </w:p>
    <w:p w14:paraId="6E00AB7C" w14:textId="77777777" w:rsidR="00D16027" w:rsidRDefault="00000000">
      <w:pPr>
        <w:pStyle w:val="ListParagraph"/>
        <w:numPr>
          <w:ilvl w:val="0"/>
          <w:numId w:val="3"/>
        </w:numPr>
        <w:spacing w:before="30" w:after="50"/>
      </w:pPr>
      <w:proofErr w:type="spellStart"/>
      <w:r>
        <w:rPr>
          <w:color w:val="333333"/>
          <w:sz w:val="19"/>
          <w:szCs w:val="19"/>
        </w:rPr>
        <w:t>Wanjura</w:t>
      </w:r>
      <w:proofErr w:type="spellEnd"/>
      <w:r>
        <w:rPr>
          <w:color w:val="333333"/>
          <w:sz w:val="19"/>
          <w:szCs w:val="19"/>
        </w:rPr>
        <w:t xml:space="preserve">, B., Shapiro, D., Mollick, E., Mollick, L. &amp; Meincke, L. (2026) </w:t>
      </w:r>
      <w:r>
        <w:rPr>
          <w:i/>
          <w:iCs/>
          <w:color w:val="333333"/>
          <w:sz w:val="19"/>
          <w:szCs w:val="19"/>
        </w:rPr>
        <w:t>This Is an Excellent Paper: The Effects of Prompt Injection on Grading</w:t>
      </w:r>
      <w:r>
        <w:rPr>
          <w:color w:val="333333"/>
          <w:sz w:val="19"/>
          <w:szCs w:val="19"/>
        </w:rPr>
        <w:t>. Prompting Science Report 5. Wharton Generative AI Labs / SSRN.</w:t>
      </w:r>
    </w:p>
    <w:p w14:paraId="2ABFB1EE" w14:textId="77777777" w:rsidR="00D16027" w:rsidRDefault="00000000">
      <w:r>
        <w:br w:type="page"/>
      </w:r>
    </w:p>
    <w:p w14:paraId="1719B0EF" w14:textId="77777777" w:rsidR="00D16027" w:rsidRDefault="00D16027">
      <w:pPr>
        <w:spacing w:after="800"/>
      </w:pPr>
    </w:p>
    <w:p w14:paraId="4FA58083" w14:textId="77777777" w:rsidR="00D16027" w:rsidRDefault="00000000">
      <w:pPr>
        <w:spacing w:after="60"/>
      </w:pPr>
      <w:r>
        <w:rPr>
          <w:b/>
          <w:bCs/>
          <w:vanish/>
          <w:color w:val="2E75B6"/>
          <w:sz w:val="30"/>
          <w:szCs w:val="30"/>
        </w:rPr>
        <w:t>PART V</w:t>
      </w:r>
    </w:p>
    <w:p w14:paraId="1B400A91" w14:textId="77777777" w:rsidR="00D16027" w:rsidRDefault="00000000">
      <w:pPr>
        <w:pStyle w:val="Heading1"/>
        <w:keepNext/>
        <w:pBdr>
          <w:bottom w:val="single" w:sz="12" w:space="6" w:color="2E75B6"/>
        </w:pBdr>
        <w:spacing w:after="200"/>
      </w:pPr>
      <w:r>
        <w:rPr>
          <w:sz w:val="48"/>
          <w:szCs w:val="48"/>
        </w:rPr>
        <w:t>Part V: Implementation and Institutional Context</w:t>
      </w:r>
    </w:p>
    <w:p w14:paraId="02E22283" w14:textId="77777777" w:rsidR="00D16027" w:rsidRDefault="00000000">
      <w:pPr>
        <w:spacing w:before="200" w:after="120"/>
      </w:pPr>
      <w:r>
        <w:rPr>
          <w:i/>
          <w:iCs/>
          <w:color w:val="555555"/>
          <w:sz w:val="23"/>
          <w:szCs w:val="23"/>
        </w:rPr>
        <w:t>Auditing and redesigning what you have, reimagining integrity, building in equity, and making change stick within real institutions.</w:t>
      </w:r>
    </w:p>
    <w:p w14:paraId="3852BA28" w14:textId="77777777" w:rsidR="00D16027" w:rsidRDefault="00000000">
      <w:r>
        <w:br w:type="page"/>
      </w:r>
    </w:p>
    <w:p w14:paraId="58BC5DB5" w14:textId="77777777" w:rsidR="00D16027" w:rsidRDefault="00000000">
      <w:pPr>
        <w:keepNext/>
        <w:spacing w:after="40"/>
      </w:pPr>
      <w:r>
        <w:rPr>
          <w:b/>
          <w:bCs/>
          <w:caps/>
          <w:color w:val="2E75B6"/>
          <w:sz w:val="22"/>
          <w:szCs w:val="22"/>
        </w:rPr>
        <w:lastRenderedPageBreak/>
        <w:t>CHAPTER 14</w:t>
      </w:r>
    </w:p>
    <w:p w14:paraId="4D63DD0B" w14:textId="77777777" w:rsidR="00D16027" w:rsidRDefault="00000000">
      <w:pPr>
        <w:pStyle w:val="Heading1"/>
        <w:keepNext/>
      </w:pPr>
      <w:r>
        <w:t>Auditing and Redesigning Your Current Assessments</w:t>
      </w:r>
    </w:p>
    <w:p w14:paraId="0B23C53E" w14:textId="77777777" w:rsidR="00D16027" w:rsidRDefault="00000000">
      <w:pPr>
        <w:pBdr>
          <w:left w:val="single" w:sz="14" w:space="10" w:color="2E75B6"/>
        </w:pBdr>
        <w:shd w:val="clear" w:color="auto" w:fill="EAF3FB"/>
        <w:spacing w:after="200"/>
      </w:pPr>
      <w:r>
        <w:rPr>
          <w:i/>
          <w:iCs/>
          <w:color w:val="333333"/>
        </w:rPr>
        <w:t>Theory is only useful if it translates into action. This chapter consolidates the tools from earlier chapters into a single workflow that educators and programme teams can apply directly to an existing assessment portfolio: identifying vulnerabilities, prioritising, planning redesigns that are principled and feasible, and avoiding the changes that look like reform but are not.</w:t>
      </w:r>
    </w:p>
    <w:p w14:paraId="7652919E"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58A9602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the AI Assessment Audit end to end on a module or a programme</w:t>
      </w:r>
    </w:p>
    <w:p w14:paraId="74DA4E1E"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Prioritise redesign using vulnerability, stakes and urgency</w:t>
      </w:r>
    </w:p>
    <w:p w14:paraId="75F3DD9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the Redesign Planning Template to move from diagnosis to a resourced plan</w:t>
      </w:r>
    </w:p>
    <w:p w14:paraId="2787E981"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Recognise cosmetic changes that do not address vulnerability, and plan realistically for workload, timelines and evaluation</w:t>
      </w:r>
    </w:p>
    <w:p w14:paraId="2415CE03" w14:textId="77777777" w:rsidR="00D16027" w:rsidRDefault="00000000">
      <w:pPr>
        <w:pStyle w:val="Heading2"/>
        <w:keepNext/>
      </w:pPr>
      <w:r>
        <w:t>14.1 The audit in eight steps</w:t>
      </w:r>
    </w:p>
    <w:p w14:paraId="738CFBE3" w14:textId="77777777" w:rsidR="00D16027" w:rsidRDefault="00000000">
      <w:pPr>
        <w:spacing w:after="140"/>
      </w:pPr>
      <w:r>
        <w:t>Earlier chapters introduced the tools one at a time: the four-question audit (Chapter 1), the empirical protocol (Chapter 2), the outcome stress test and evidence map (Chapter 4), the vulnerability score (Chapter 5) and the positioning diagnostic (Chapter 6). Together they form a single process. A module can be audited in an afternoon by two colleagues; a programme in a day by the programme team. The Australian regulator required every institution to produce a credible assessment action plan on this basis (Lodge et al. 2023, 2025), and the same discipline serves a department well whether or not a regulator demands it.</w:t>
      </w:r>
    </w:p>
    <w:p w14:paraId="02A83984" w14:textId="77777777" w:rsidR="00D16027" w:rsidRDefault="00000000">
      <w:pPr>
        <w:pStyle w:val="ListParagraph"/>
        <w:numPr>
          <w:ilvl w:val="0"/>
          <w:numId w:val="8"/>
        </w:numPr>
        <w:spacing w:before="40" w:after="70"/>
      </w:pPr>
      <w:r>
        <w:rPr>
          <w:b/>
          <w:bCs/>
        </w:rPr>
        <w:t>Inventory.</w:t>
      </w:r>
      <w:r>
        <w:t xml:space="preserve"> List every summative task with its weighting, stated outcome, conditions of production, current AI permission (if any) and cohort size. Most programmes are surprised by the count.</w:t>
      </w:r>
    </w:p>
    <w:p w14:paraId="0AB32EC9" w14:textId="77777777" w:rsidR="00D16027" w:rsidRDefault="00000000">
      <w:pPr>
        <w:pStyle w:val="ListParagraph"/>
        <w:numPr>
          <w:ilvl w:val="0"/>
          <w:numId w:val="8"/>
        </w:numPr>
        <w:spacing w:before="40" w:after="70"/>
      </w:pPr>
      <w:r>
        <w:rPr>
          <w:b/>
          <w:bCs/>
        </w:rPr>
        <w:t>Purpose.</w:t>
      </w:r>
      <w:r>
        <w:t xml:space="preserve"> For each task, record whether it primarily certifies, primarily supports learning, or both, and if both, which part must be secure (Chapter 1).</w:t>
      </w:r>
    </w:p>
    <w:p w14:paraId="1716807C" w14:textId="77777777" w:rsidR="00D16027" w:rsidRDefault="00000000">
      <w:pPr>
        <w:pStyle w:val="ListParagraph"/>
        <w:numPr>
          <w:ilvl w:val="0"/>
          <w:numId w:val="8"/>
        </w:numPr>
        <w:spacing w:before="40" w:after="70"/>
      </w:pPr>
      <w:r>
        <w:rPr>
          <w:b/>
          <w:bCs/>
        </w:rPr>
        <w:t>Alignment.</w:t>
      </w:r>
      <w:r>
        <w:t xml:space="preserve"> Check that the task requires the student to do what the outcome says. Note any gap between the outcome's verb and the task's real demand (Chapter 4).</w:t>
      </w:r>
    </w:p>
    <w:p w14:paraId="554BC6A4" w14:textId="77777777" w:rsidR="00D16027" w:rsidRDefault="00000000">
      <w:pPr>
        <w:pStyle w:val="ListParagraph"/>
        <w:numPr>
          <w:ilvl w:val="0"/>
          <w:numId w:val="8"/>
        </w:numPr>
        <w:spacing w:before="40" w:after="70"/>
      </w:pPr>
      <w:r>
        <w:rPr>
          <w:b/>
          <w:bCs/>
        </w:rPr>
        <w:t>Vulnerability score.</w:t>
      </w:r>
      <w:r>
        <w:t xml:space="preserve"> Rate each task on the six dimensions of Table 5.1 and record the band.</w:t>
      </w:r>
    </w:p>
    <w:p w14:paraId="5710559C" w14:textId="77777777" w:rsidR="00D16027" w:rsidRDefault="00000000">
      <w:pPr>
        <w:pStyle w:val="ListParagraph"/>
        <w:numPr>
          <w:ilvl w:val="0"/>
          <w:numId w:val="8"/>
        </w:numPr>
        <w:spacing w:before="40" w:after="70"/>
      </w:pPr>
      <w:r>
        <w:rPr>
          <w:b/>
          <w:bCs/>
        </w:rPr>
        <w:t>Empirical test.</w:t>
      </w:r>
      <w:r>
        <w:t xml:space="preserve"> Run the highest-scoring tasks, and any task with a weighting above 40%, through two current AI tools and mark the output blind (Chapter 2). The result overrides the score.</w:t>
      </w:r>
    </w:p>
    <w:p w14:paraId="28B12388" w14:textId="77777777" w:rsidR="00D16027" w:rsidRDefault="00000000">
      <w:pPr>
        <w:pStyle w:val="ListParagraph"/>
        <w:numPr>
          <w:ilvl w:val="0"/>
          <w:numId w:val="8"/>
        </w:numPr>
        <w:spacing w:before="40" w:after="70"/>
      </w:pPr>
      <w:r>
        <w:rPr>
          <w:b/>
          <w:bCs/>
        </w:rPr>
        <w:t>Position.</w:t>
      </w:r>
      <w:r>
        <w:t xml:space="preserve"> Place each task on the spectrum using the two-question diagnostic (Table 6.2). Flag every task in the unintended position: unsupervised, generic and prohibited but unsecured.</w:t>
      </w:r>
    </w:p>
    <w:p w14:paraId="2EACD46D" w14:textId="77777777" w:rsidR="00D16027" w:rsidRDefault="00000000">
      <w:pPr>
        <w:pStyle w:val="ListParagraph"/>
        <w:numPr>
          <w:ilvl w:val="0"/>
          <w:numId w:val="8"/>
        </w:numPr>
        <w:spacing w:before="40" w:after="70"/>
      </w:pPr>
      <w:r>
        <w:rPr>
          <w:b/>
          <w:bCs/>
        </w:rPr>
        <w:t>Prioritise.</w:t>
      </w:r>
      <w:r>
        <w:t xml:space="preserve"> Plot vulnerability against stakes; apply the urgency factors in section 14.2.</w:t>
      </w:r>
    </w:p>
    <w:p w14:paraId="375E2008" w14:textId="77777777" w:rsidR="00D16027" w:rsidRDefault="00000000">
      <w:pPr>
        <w:pStyle w:val="ListParagraph"/>
        <w:numPr>
          <w:ilvl w:val="0"/>
          <w:numId w:val="8"/>
        </w:numPr>
        <w:spacing w:before="40" w:after="70"/>
      </w:pPr>
      <w:r>
        <w:rPr>
          <w:b/>
          <w:bCs/>
        </w:rPr>
        <w:t>Programme coverage.</w:t>
      </w:r>
      <w:r>
        <w:t xml:space="preserve"> Confirm that every programme outcome is assured at least once in the excluded or resilient zone, and that AI-related outcomes are assessed in the integrated zone (Chapter 6). Gaps here are programme-level priorities regardless of any single task's score.</w:t>
      </w:r>
    </w:p>
    <w:p w14:paraId="30FFA2DB" w14:textId="77777777" w:rsidR="00D16027" w:rsidRDefault="00000000">
      <w:pPr>
        <w:keepNext/>
        <w:spacing w:before="160" w:after="80"/>
      </w:pPr>
      <w:r>
        <w:rPr>
          <w:b/>
          <w:bCs/>
          <w:color w:val="1A4F7A"/>
          <w:sz w:val="20"/>
          <w:szCs w:val="20"/>
        </w:rPr>
        <w:t>Table 14.1  The audit record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86"/>
      </w:tblGrid>
      <w:tr w:rsidR="00D16027" w14:paraId="2C347891" w14:textId="77777777">
        <w:tblPrEx>
          <w:tblCellMar>
            <w:top w:w="0" w:type="dxa"/>
            <w:bottom w:w="0" w:type="dxa"/>
          </w:tblCellMar>
        </w:tblPrEx>
        <w:trPr>
          <w:cantSplit/>
          <w:tblHeader/>
        </w:trPr>
        <w:tc>
          <w:tcPr>
            <w:tcW w:w="3600" w:type="dxa"/>
            <w:shd w:val="clear" w:color="auto" w:fill="2E75B6"/>
            <w:tcMar>
              <w:top w:w="70" w:type="dxa"/>
              <w:left w:w="100" w:type="dxa"/>
              <w:bottom w:w="70" w:type="dxa"/>
              <w:right w:w="100" w:type="dxa"/>
            </w:tcMar>
          </w:tcPr>
          <w:p w14:paraId="5A177E21" w14:textId="77777777" w:rsidR="00D16027" w:rsidRDefault="00000000">
            <w:r>
              <w:rPr>
                <w:b/>
                <w:bCs/>
                <w:color w:val="FFFFFF"/>
                <w:sz w:val="19"/>
                <w:szCs w:val="19"/>
              </w:rPr>
              <w:t>Column</w:t>
            </w:r>
          </w:p>
        </w:tc>
        <w:tc>
          <w:tcPr>
            <w:tcW w:w="5786" w:type="dxa"/>
            <w:shd w:val="clear" w:color="auto" w:fill="2E75B6"/>
            <w:tcMar>
              <w:top w:w="70" w:type="dxa"/>
              <w:left w:w="100" w:type="dxa"/>
              <w:bottom w:w="70" w:type="dxa"/>
              <w:right w:w="100" w:type="dxa"/>
            </w:tcMar>
          </w:tcPr>
          <w:p w14:paraId="524E9845" w14:textId="77777777" w:rsidR="00D16027" w:rsidRDefault="00000000">
            <w:r>
              <w:rPr>
                <w:b/>
                <w:bCs/>
                <w:color w:val="FFFFFF"/>
                <w:sz w:val="19"/>
                <w:szCs w:val="19"/>
              </w:rPr>
              <w:t>Content</w:t>
            </w:r>
          </w:p>
        </w:tc>
      </w:tr>
      <w:tr w:rsidR="00D16027" w14:paraId="2DAE02A9" w14:textId="77777777">
        <w:tblPrEx>
          <w:tblCellMar>
            <w:top w:w="0" w:type="dxa"/>
            <w:bottom w:w="0" w:type="dxa"/>
          </w:tblCellMar>
        </w:tblPrEx>
        <w:trPr>
          <w:cantSplit/>
        </w:trPr>
        <w:tc>
          <w:tcPr>
            <w:tcW w:w="3600" w:type="dxa"/>
            <w:tcMar>
              <w:top w:w="70" w:type="dxa"/>
              <w:left w:w="100" w:type="dxa"/>
              <w:bottom w:w="70" w:type="dxa"/>
              <w:right w:w="100" w:type="dxa"/>
            </w:tcMar>
          </w:tcPr>
          <w:p w14:paraId="740222EC" w14:textId="77777777" w:rsidR="00D16027" w:rsidRDefault="00000000">
            <w:r>
              <w:rPr>
                <w:sz w:val="19"/>
                <w:szCs w:val="19"/>
              </w:rPr>
              <w:t>Task, module, year, weighting, cohort</w:t>
            </w:r>
          </w:p>
        </w:tc>
        <w:tc>
          <w:tcPr>
            <w:tcW w:w="5786" w:type="dxa"/>
            <w:tcMar>
              <w:top w:w="70" w:type="dxa"/>
              <w:left w:w="100" w:type="dxa"/>
              <w:bottom w:w="70" w:type="dxa"/>
              <w:right w:w="100" w:type="dxa"/>
            </w:tcMar>
          </w:tcPr>
          <w:p w14:paraId="1102A62F" w14:textId="77777777" w:rsidR="00D16027" w:rsidRDefault="00000000">
            <w:r>
              <w:rPr>
                <w:sz w:val="19"/>
                <w:szCs w:val="19"/>
              </w:rPr>
              <w:t>Basic identification</w:t>
            </w:r>
          </w:p>
        </w:tc>
      </w:tr>
      <w:tr w:rsidR="00D16027" w14:paraId="753F4796" w14:textId="77777777">
        <w:tblPrEx>
          <w:tblCellMar>
            <w:top w:w="0" w:type="dxa"/>
            <w:bottom w:w="0" w:type="dxa"/>
          </w:tblCellMar>
        </w:tblPrEx>
        <w:trPr>
          <w:cantSplit/>
        </w:trPr>
        <w:tc>
          <w:tcPr>
            <w:tcW w:w="3600" w:type="dxa"/>
            <w:tcMar>
              <w:top w:w="70" w:type="dxa"/>
              <w:left w:w="100" w:type="dxa"/>
              <w:bottom w:w="70" w:type="dxa"/>
              <w:right w:w="100" w:type="dxa"/>
            </w:tcMar>
          </w:tcPr>
          <w:p w14:paraId="07A8DFF8" w14:textId="77777777" w:rsidR="00D16027" w:rsidRDefault="00000000">
            <w:r>
              <w:rPr>
                <w:sz w:val="19"/>
                <w:szCs w:val="19"/>
              </w:rPr>
              <w:t>Outcome(s) assessed</w:t>
            </w:r>
          </w:p>
        </w:tc>
        <w:tc>
          <w:tcPr>
            <w:tcW w:w="5786" w:type="dxa"/>
            <w:tcMar>
              <w:top w:w="70" w:type="dxa"/>
              <w:left w:w="100" w:type="dxa"/>
              <w:bottom w:w="70" w:type="dxa"/>
              <w:right w:w="100" w:type="dxa"/>
            </w:tcMar>
          </w:tcPr>
          <w:p w14:paraId="74A4E703" w14:textId="77777777" w:rsidR="00D16027" w:rsidRDefault="00000000">
            <w:r>
              <w:rPr>
                <w:sz w:val="19"/>
                <w:szCs w:val="19"/>
              </w:rPr>
              <w:t>As stated; note alignment gaps</w:t>
            </w:r>
          </w:p>
        </w:tc>
      </w:tr>
      <w:tr w:rsidR="00D16027" w14:paraId="76959D7F" w14:textId="77777777">
        <w:tblPrEx>
          <w:tblCellMar>
            <w:top w:w="0" w:type="dxa"/>
            <w:bottom w:w="0" w:type="dxa"/>
          </w:tblCellMar>
        </w:tblPrEx>
        <w:trPr>
          <w:cantSplit/>
        </w:trPr>
        <w:tc>
          <w:tcPr>
            <w:tcW w:w="3600" w:type="dxa"/>
            <w:tcMar>
              <w:top w:w="70" w:type="dxa"/>
              <w:left w:w="100" w:type="dxa"/>
              <w:bottom w:w="70" w:type="dxa"/>
              <w:right w:w="100" w:type="dxa"/>
            </w:tcMar>
          </w:tcPr>
          <w:p w14:paraId="17AA3C1B" w14:textId="77777777" w:rsidR="00D16027" w:rsidRDefault="00000000">
            <w:r>
              <w:rPr>
                <w:sz w:val="19"/>
                <w:szCs w:val="19"/>
              </w:rPr>
              <w:t>Purpose</w:t>
            </w:r>
          </w:p>
        </w:tc>
        <w:tc>
          <w:tcPr>
            <w:tcW w:w="5786" w:type="dxa"/>
            <w:tcMar>
              <w:top w:w="70" w:type="dxa"/>
              <w:left w:w="100" w:type="dxa"/>
              <w:bottom w:w="70" w:type="dxa"/>
              <w:right w:w="100" w:type="dxa"/>
            </w:tcMar>
          </w:tcPr>
          <w:p w14:paraId="78D09FF6" w14:textId="77777777" w:rsidR="00D16027" w:rsidRDefault="00000000">
            <w:r>
              <w:rPr>
                <w:sz w:val="19"/>
                <w:szCs w:val="19"/>
              </w:rPr>
              <w:t>Certify / learn / both (secure part named)</w:t>
            </w:r>
          </w:p>
        </w:tc>
      </w:tr>
      <w:tr w:rsidR="00D16027" w14:paraId="123849CB" w14:textId="77777777">
        <w:tblPrEx>
          <w:tblCellMar>
            <w:top w:w="0" w:type="dxa"/>
            <w:bottom w:w="0" w:type="dxa"/>
          </w:tblCellMar>
        </w:tblPrEx>
        <w:trPr>
          <w:cantSplit/>
        </w:trPr>
        <w:tc>
          <w:tcPr>
            <w:tcW w:w="3600" w:type="dxa"/>
            <w:tcMar>
              <w:top w:w="70" w:type="dxa"/>
              <w:left w:w="100" w:type="dxa"/>
              <w:bottom w:w="70" w:type="dxa"/>
              <w:right w:w="100" w:type="dxa"/>
            </w:tcMar>
          </w:tcPr>
          <w:p w14:paraId="64C7F829" w14:textId="77777777" w:rsidR="00D16027" w:rsidRDefault="00000000">
            <w:r>
              <w:rPr>
                <w:sz w:val="19"/>
                <w:szCs w:val="19"/>
              </w:rPr>
              <w:t>Conditions and AI permission</w:t>
            </w:r>
          </w:p>
        </w:tc>
        <w:tc>
          <w:tcPr>
            <w:tcW w:w="5786" w:type="dxa"/>
            <w:tcMar>
              <w:top w:w="70" w:type="dxa"/>
              <w:left w:w="100" w:type="dxa"/>
              <w:bottom w:w="70" w:type="dxa"/>
              <w:right w:w="100" w:type="dxa"/>
            </w:tcMar>
          </w:tcPr>
          <w:p w14:paraId="668833CE" w14:textId="77777777" w:rsidR="00D16027" w:rsidRDefault="00000000">
            <w:r>
              <w:rPr>
                <w:sz w:val="19"/>
                <w:szCs w:val="19"/>
              </w:rPr>
              <w:t>Supervised, unsupervised, dialogic; AIAS level if labelled</w:t>
            </w:r>
          </w:p>
        </w:tc>
      </w:tr>
      <w:tr w:rsidR="00D16027" w14:paraId="77DAED59" w14:textId="77777777">
        <w:tblPrEx>
          <w:tblCellMar>
            <w:top w:w="0" w:type="dxa"/>
            <w:bottom w:w="0" w:type="dxa"/>
          </w:tblCellMar>
        </w:tblPrEx>
        <w:trPr>
          <w:cantSplit/>
        </w:trPr>
        <w:tc>
          <w:tcPr>
            <w:tcW w:w="3600" w:type="dxa"/>
            <w:tcMar>
              <w:top w:w="70" w:type="dxa"/>
              <w:left w:w="100" w:type="dxa"/>
              <w:bottom w:w="70" w:type="dxa"/>
              <w:right w:w="100" w:type="dxa"/>
            </w:tcMar>
          </w:tcPr>
          <w:p w14:paraId="1473B010" w14:textId="77777777" w:rsidR="00D16027" w:rsidRDefault="00000000">
            <w:r>
              <w:rPr>
                <w:sz w:val="19"/>
                <w:szCs w:val="19"/>
              </w:rPr>
              <w:lastRenderedPageBreak/>
              <w:t>Vulnerability score and band</w:t>
            </w:r>
          </w:p>
        </w:tc>
        <w:tc>
          <w:tcPr>
            <w:tcW w:w="5786" w:type="dxa"/>
            <w:tcMar>
              <w:top w:w="70" w:type="dxa"/>
              <w:left w:w="100" w:type="dxa"/>
              <w:bottom w:w="70" w:type="dxa"/>
              <w:right w:w="100" w:type="dxa"/>
            </w:tcMar>
          </w:tcPr>
          <w:p w14:paraId="35361BF2" w14:textId="77777777" w:rsidR="00D16027" w:rsidRDefault="00000000">
            <w:r>
              <w:rPr>
                <w:sz w:val="19"/>
                <w:szCs w:val="19"/>
              </w:rPr>
              <w:t>Six dimensions, 0–12</w:t>
            </w:r>
          </w:p>
        </w:tc>
      </w:tr>
      <w:tr w:rsidR="00D16027" w14:paraId="7FE5E4BB" w14:textId="77777777">
        <w:tblPrEx>
          <w:tblCellMar>
            <w:top w:w="0" w:type="dxa"/>
            <w:bottom w:w="0" w:type="dxa"/>
          </w:tblCellMar>
        </w:tblPrEx>
        <w:trPr>
          <w:cantSplit/>
        </w:trPr>
        <w:tc>
          <w:tcPr>
            <w:tcW w:w="3600" w:type="dxa"/>
            <w:tcMar>
              <w:top w:w="70" w:type="dxa"/>
              <w:left w:w="100" w:type="dxa"/>
              <w:bottom w:w="70" w:type="dxa"/>
              <w:right w:w="100" w:type="dxa"/>
            </w:tcMar>
          </w:tcPr>
          <w:p w14:paraId="24D078C1" w14:textId="77777777" w:rsidR="00D16027" w:rsidRDefault="00000000">
            <w:r>
              <w:rPr>
                <w:sz w:val="19"/>
                <w:szCs w:val="19"/>
              </w:rPr>
              <w:t>Empirical test result</w:t>
            </w:r>
          </w:p>
        </w:tc>
        <w:tc>
          <w:tcPr>
            <w:tcW w:w="5786" w:type="dxa"/>
            <w:tcMar>
              <w:top w:w="70" w:type="dxa"/>
              <w:left w:w="100" w:type="dxa"/>
              <w:bottom w:w="70" w:type="dxa"/>
              <w:right w:w="100" w:type="dxa"/>
            </w:tcMar>
          </w:tcPr>
          <w:p w14:paraId="6CB53CAF" w14:textId="77777777" w:rsidR="00D16027" w:rsidRDefault="00000000">
            <w:r>
              <w:rPr>
                <w:sz w:val="19"/>
                <w:szCs w:val="19"/>
              </w:rPr>
              <w:t>Grade awarded to AI output; failure points</w:t>
            </w:r>
          </w:p>
        </w:tc>
      </w:tr>
      <w:tr w:rsidR="00D16027" w14:paraId="4F4D5AB8" w14:textId="77777777">
        <w:tblPrEx>
          <w:tblCellMar>
            <w:top w:w="0" w:type="dxa"/>
            <w:bottom w:w="0" w:type="dxa"/>
          </w:tblCellMar>
        </w:tblPrEx>
        <w:trPr>
          <w:cantSplit/>
        </w:trPr>
        <w:tc>
          <w:tcPr>
            <w:tcW w:w="3600" w:type="dxa"/>
            <w:tcMar>
              <w:top w:w="70" w:type="dxa"/>
              <w:left w:w="100" w:type="dxa"/>
              <w:bottom w:w="70" w:type="dxa"/>
              <w:right w:w="100" w:type="dxa"/>
            </w:tcMar>
          </w:tcPr>
          <w:p w14:paraId="3184CE26" w14:textId="77777777" w:rsidR="00D16027" w:rsidRDefault="00000000">
            <w:r>
              <w:rPr>
                <w:sz w:val="19"/>
                <w:szCs w:val="19"/>
              </w:rPr>
              <w:t>Position</w:t>
            </w:r>
          </w:p>
        </w:tc>
        <w:tc>
          <w:tcPr>
            <w:tcW w:w="5786" w:type="dxa"/>
            <w:tcMar>
              <w:top w:w="70" w:type="dxa"/>
              <w:left w:w="100" w:type="dxa"/>
              <w:bottom w:w="70" w:type="dxa"/>
              <w:right w:w="100" w:type="dxa"/>
            </w:tcMar>
          </w:tcPr>
          <w:p w14:paraId="4EE55727" w14:textId="77777777" w:rsidR="00D16027" w:rsidRDefault="00000000">
            <w:r>
              <w:rPr>
                <w:sz w:val="19"/>
                <w:szCs w:val="19"/>
              </w:rPr>
              <w:t>Excluded / resilient / integrated / unintended</w:t>
            </w:r>
          </w:p>
        </w:tc>
      </w:tr>
      <w:tr w:rsidR="00D16027" w14:paraId="330CA1BF" w14:textId="77777777">
        <w:tblPrEx>
          <w:tblCellMar>
            <w:top w:w="0" w:type="dxa"/>
            <w:bottom w:w="0" w:type="dxa"/>
          </w:tblCellMar>
        </w:tblPrEx>
        <w:trPr>
          <w:cantSplit/>
        </w:trPr>
        <w:tc>
          <w:tcPr>
            <w:tcW w:w="3600" w:type="dxa"/>
            <w:tcMar>
              <w:top w:w="70" w:type="dxa"/>
              <w:left w:w="100" w:type="dxa"/>
              <w:bottom w:w="70" w:type="dxa"/>
              <w:right w:w="100" w:type="dxa"/>
            </w:tcMar>
          </w:tcPr>
          <w:p w14:paraId="659E1FBB" w14:textId="77777777" w:rsidR="00D16027" w:rsidRDefault="00000000">
            <w:r>
              <w:rPr>
                <w:sz w:val="19"/>
                <w:szCs w:val="19"/>
              </w:rPr>
              <w:t>Priority</w:t>
            </w:r>
          </w:p>
        </w:tc>
        <w:tc>
          <w:tcPr>
            <w:tcW w:w="5786" w:type="dxa"/>
            <w:tcMar>
              <w:top w:w="70" w:type="dxa"/>
              <w:left w:w="100" w:type="dxa"/>
              <w:bottom w:w="70" w:type="dxa"/>
              <w:right w:w="100" w:type="dxa"/>
            </w:tcMar>
          </w:tcPr>
          <w:p w14:paraId="7E342F6F" w14:textId="77777777" w:rsidR="00D16027" w:rsidRDefault="00000000">
            <w:r>
              <w:rPr>
                <w:sz w:val="19"/>
                <w:szCs w:val="19"/>
              </w:rPr>
              <w:t>High / medium / low, with reason</w:t>
            </w:r>
          </w:p>
        </w:tc>
      </w:tr>
      <w:tr w:rsidR="00D16027" w14:paraId="3D16F399" w14:textId="77777777">
        <w:tblPrEx>
          <w:tblCellMar>
            <w:top w:w="0" w:type="dxa"/>
            <w:bottom w:w="0" w:type="dxa"/>
          </w:tblCellMar>
        </w:tblPrEx>
        <w:trPr>
          <w:cantSplit/>
        </w:trPr>
        <w:tc>
          <w:tcPr>
            <w:tcW w:w="3600" w:type="dxa"/>
            <w:tcMar>
              <w:top w:w="70" w:type="dxa"/>
              <w:left w:w="100" w:type="dxa"/>
              <w:bottom w:w="70" w:type="dxa"/>
              <w:right w:w="100" w:type="dxa"/>
            </w:tcMar>
          </w:tcPr>
          <w:p w14:paraId="06A5EFF0" w14:textId="77777777" w:rsidR="00D16027" w:rsidRDefault="00000000">
            <w:r>
              <w:rPr>
                <w:sz w:val="19"/>
                <w:szCs w:val="19"/>
              </w:rPr>
              <w:t>Notes</w:t>
            </w:r>
          </w:p>
        </w:tc>
        <w:tc>
          <w:tcPr>
            <w:tcW w:w="5786" w:type="dxa"/>
            <w:tcMar>
              <w:top w:w="70" w:type="dxa"/>
              <w:left w:w="100" w:type="dxa"/>
              <w:bottom w:w="70" w:type="dxa"/>
              <w:right w:w="100" w:type="dxa"/>
            </w:tcMar>
          </w:tcPr>
          <w:p w14:paraId="26F26B9B" w14:textId="77777777" w:rsidR="00D16027" w:rsidRDefault="00000000">
            <w:r>
              <w:rPr>
                <w:sz w:val="19"/>
                <w:szCs w:val="19"/>
              </w:rPr>
              <w:t>Accreditation constraints, appeals history, upcoming review</w:t>
            </w:r>
          </w:p>
        </w:tc>
      </w:tr>
    </w:tbl>
    <w:p w14:paraId="348C09B4" w14:textId="77777777" w:rsidR="00D16027" w:rsidRDefault="00D16027">
      <w:pPr>
        <w:spacing w:after="120"/>
      </w:pPr>
    </w:p>
    <w:p w14:paraId="7B5CFF0D" w14:textId="77777777" w:rsidR="00D16027" w:rsidRDefault="00000000">
      <w:pPr>
        <w:keepNext/>
        <w:spacing w:before="160" w:after="60"/>
        <w:jc w:val="center"/>
      </w:pPr>
      <w:r>
        <w:rPr>
          <w:noProof/>
        </w:rPr>
        <w:drawing>
          <wp:inline distT="0" distB="0" distL="0" distR="0" wp14:anchorId="06BD8D17" wp14:editId="30DA6666">
            <wp:extent cx="4752975" cy="2181225"/>
            <wp:effectExtent l="0" t="0" r="0" b="0"/>
            <wp:docPr id="2001526956" name="Picture 200152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181225"/>
                    </a:xfrm>
                    <a:prstGeom prst="rect">
                      <a:avLst/>
                    </a:prstGeom>
                  </pic:spPr>
                </pic:pic>
              </a:graphicData>
            </a:graphic>
          </wp:inline>
        </w:drawing>
      </w:r>
    </w:p>
    <w:p w14:paraId="39B18C8F" w14:textId="77777777" w:rsidR="00D16027" w:rsidRDefault="00000000">
      <w:pPr>
        <w:spacing w:after="200"/>
        <w:jc w:val="center"/>
      </w:pPr>
      <w:r>
        <w:rPr>
          <w:i/>
          <w:iCs/>
          <w:color w:val="1A4F7A"/>
          <w:sz w:val="19"/>
          <w:szCs w:val="19"/>
        </w:rPr>
        <w:t>Figure 14.1  The audit and redesign workflow</w:t>
      </w:r>
    </w:p>
    <w:p w14:paraId="6B6A2715" w14:textId="77777777" w:rsidR="00D16027" w:rsidRDefault="00000000">
      <w:pPr>
        <w:pStyle w:val="Heading2"/>
        <w:keepNext/>
      </w:pPr>
      <w:r>
        <w:t>14.2 Prioritising</w:t>
      </w:r>
    </w:p>
    <w:p w14:paraId="626A485D" w14:textId="77777777" w:rsidR="00D16027" w:rsidRDefault="00000000">
      <w:pPr>
        <w:spacing w:after="140"/>
      </w:pPr>
      <w:r>
        <w:t>Not every task needs redesign, and attempting all of them at once guarantees that none is done well. The vulnerability-by-stakes grid gives the first cut. Tasks that are high on both are the priority; tasks that are vulnerable but low-stakes can often be left as formative practice, with their summative weight moved elsewhere; tasks that are already secure need nothing on AI grounds, though they may still need attention for inclusion. Four urgency factors then adjust the order. Accreditation: a task that a professional body relies on must be secure first. Cohort size: vulnerability in a task taken by 800 students matters more than in one taken by 20. Appeals and complaints history: a task that has generated misconduct cases is already costing time. Review cycle: a module due for revalidation offers a low-cost window for change. A realistic rate is two or three substantial redesigns per programme per year, coordinated so that students meet consistent expectations.</w:t>
      </w:r>
    </w:p>
    <w:p w14:paraId="2266FBD1" w14:textId="77777777" w:rsidR="00D16027" w:rsidRDefault="00000000">
      <w:pPr>
        <w:pStyle w:val="Heading2"/>
        <w:keepNext/>
      </w:pPr>
      <w:r>
        <w:t>14.3 The Redesign Planning Template</w:t>
      </w:r>
    </w:p>
    <w:p w14:paraId="63D74735" w14:textId="77777777" w:rsidR="00D16027" w:rsidRDefault="00000000">
      <w:pPr>
        <w:spacing w:after="140"/>
      </w:pPr>
      <w:r>
        <w:t>Diagnosis becomes action through a plan that names the change, the reason, the resource and the measure of success. The template below is the document that goes to the programme team, the external examiner and, where required, the validation panel.</w:t>
      </w:r>
    </w:p>
    <w:p w14:paraId="54D3A4A1" w14:textId="77777777" w:rsidR="00D16027" w:rsidRDefault="00000000">
      <w:pPr>
        <w:keepNext/>
        <w:spacing w:before="160" w:after="80"/>
      </w:pPr>
      <w:r>
        <w:rPr>
          <w:b/>
          <w:bCs/>
          <w:color w:val="1A4F7A"/>
          <w:sz w:val="20"/>
          <w:szCs w:val="20"/>
        </w:rPr>
        <w:t>Table 14.2  The Redesign Planning Template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D16027" w14:paraId="212EB168" w14:textId="77777777">
        <w:tblPrEx>
          <w:tblCellMar>
            <w:top w:w="0" w:type="dxa"/>
            <w:bottom w:w="0" w:type="dxa"/>
          </w:tblCellMar>
        </w:tblPrEx>
        <w:trPr>
          <w:cantSplit/>
          <w:tblHeader/>
        </w:trPr>
        <w:tc>
          <w:tcPr>
            <w:tcW w:w="3000" w:type="dxa"/>
            <w:shd w:val="clear" w:color="auto" w:fill="2E75B6"/>
            <w:tcMar>
              <w:top w:w="70" w:type="dxa"/>
              <w:left w:w="100" w:type="dxa"/>
              <w:bottom w:w="70" w:type="dxa"/>
              <w:right w:w="100" w:type="dxa"/>
            </w:tcMar>
          </w:tcPr>
          <w:p w14:paraId="565F8F4D" w14:textId="77777777" w:rsidR="00D16027" w:rsidRDefault="00000000">
            <w:r>
              <w:rPr>
                <w:b/>
                <w:bCs/>
                <w:color w:val="FFFFFF"/>
                <w:sz w:val="19"/>
                <w:szCs w:val="19"/>
              </w:rPr>
              <w:t>Field</w:t>
            </w:r>
          </w:p>
        </w:tc>
        <w:tc>
          <w:tcPr>
            <w:tcW w:w="6386" w:type="dxa"/>
            <w:shd w:val="clear" w:color="auto" w:fill="2E75B6"/>
            <w:tcMar>
              <w:top w:w="70" w:type="dxa"/>
              <w:left w:w="100" w:type="dxa"/>
              <w:bottom w:w="70" w:type="dxa"/>
              <w:right w:w="100" w:type="dxa"/>
            </w:tcMar>
          </w:tcPr>
          <w:p w14:paraId="2B095C82" w14:textId="77777777" w:rsidR="00D16027" w:rsidRDefault="00000000">
            <w:r>
              <w:rPr>
                <w:b/>
                <w:bCs/>
                <w:color w:val="FFFFFF"/>
                <w:sz w:val="19"/>
                <w:szCs w:val="19"/>
              </w:rPr>
              <w:t>What to record</w:t>
            </w:r>
          </w:p>
        </w:tc>
      </w:tr>
      <w:tr w:rsidR="00D16027" w14:paraId="3EA1CE8E" w14:textId="77777777">
        <w:tblPrEx>
          <w:tblCellMar>
            <w:top w:w="0" w:type="dxa"/>
            <w:bottom w:w="0" w:type="dxa"/>
          </w:tblCellMar>
        </w:tblPrEx>
        <w:trPr>
          <w:cantSplit/>
        </w:trPr>
        <w:tc>
          <w:tcPr>
            <w:tcW w:w="3000" w:type="dxa"/>
            <w:tcMar>
              <w:top w:w="70" w:type="dxa"/>
              <w:left w:w="100" w:type="dxa"/>
              <w:bottom w:w="70" w:type="dxa"/>
              <w:right w:w="100" w:type="dxa"/>
            </w:tcMar>
          </w:tcPr>
          <w:p w14:paraId="1758B5E1" w14:textId="77777777" w:rsidR="00D16027" w:rsidRDefault="00000000">
            <w:r>
              <w:rPr>
                <w:sz w:val="19"/>
                <w:szCs w:val="19"/>
              </w:rPr>
              <w:t>Task and diagnosis</w:t>
            </w:r>
          </w:p>
        </w:tc>
        <w:tc>
          <w:tcPr>
            <w:tcW w:w="6386" w:type="dxa"/>
            <w:tcMar>
              <w:top w:w="70" w:type="dxa"/>
              <w:left w:w="100" w:type="dxa"/>
              <w:bottom w:w="70" w:type="dxa"/>
              <w:right w:w="100" w:type="dxa"/>
            </w:tcMar>
          </w:tcPr>
          <w:p w14:paraId="41463D13" w14:textId="77777777" w:rsidR="00D16027" w:rsidRDefault="00000000">
            <w:r>
              <w:rPr>
                <w:sz w:val="19"/>
                <w:szCs w:val="19"/>
              </w:rPr>
              <w:t>Which validity threat (irrelevant variance, under-representation), which zone now, empirical test result</w:t>
            </w:r>
          </w:p>
        </w:tc>
      </w:tr>
      <w:tr w:rsidR="00D16027" w14:paraId="4425D2A0" w14:textId="77777777">
        <w:tblPrEx>
          <w:tblCellMar>
            <w:top w:w="0" w:type="dxa"/>
            <w:bottom w:w="0" w:type="dxa"/>
          </w:tblCellMar>
        </w:tblPrEx>
        <w:trPr>
          <w:cantSplit/>
        </w:trPr>
        <w:tc>
          <w:tcPr>
            <w:tcW w:w="3000" w:type="dxa"/>
            <w:tcMar>
              <w:top w:w="70" w:type="dxa"/>
              <w:left w:w="100" w:type="dxa"/>
              <w:bottom w:w="70" w:type="dxa"/>
              <w:right w:w="100" w:type="dxa"/>
            </w:tcMar>
          </w:tcPr>
          <w:p w14:paraId="607DF074" w14:textId="77777777" w:rsidR="00D16027" w:rsidRDefault="00000000">
            <w:r>
              <w:rPr>
                <w:sz w:val="19"/>
                <w:szCs w:val="19"/>
              </w:rPr>
              <w:t>Target zone and AIAS level</w:t>
            </w:r>
          </w:p>
        </w:tc>
        <w:tc>
          <w:tcPr>
            <w:tcW w:w="6386" w:type="dxa"/>
            <w:tcMar>
              <w:top w:w="70" w:type="dxa"/>
              <w:left w:w="100" w:type="dxa"/>
              <w:bottom w:w="70" w:type="dxa"/>
              <w:right w:w="100" w:type="dxa"/>
            </w:tcMar>
          </w:tcPr>
          <w:p w14:paraId="5A7E8E4C" w14:textId="77777777" w:rsidR="00D16027" w:rsidRDefault="00000000">
            <w:r>
              <w:rPr>
                <w:sz w:val="19"/>
                <w:szCs w:val="19"/>
              </w:rPr>
              <w:t>Excluded, resilient or integrated; the level and a one-sentence rationale for students</w:t>
            </w:r>
          </w:p>
        </w:tc>
      </w:tr>
      <w:tr w:rsidR="00D16027" w14:paraId="3F9DC2C4" w14:textId="77777777">
        <w:tblPrEx>
          <w:tblCellMar>
            <w:top w:w="0" w:type="dxa"/>
            <w:bottom w:w="0" w:type="dxa"/>
          </w:tblCellMar>
        </w:tblPrEx>
        <w:trPr>
          <w:cantSplit/>
        </w:trPr>
        <w:tc>
          <w:tcPr>
            <w:tcW w:w="3000" w:type="dxa"/>
            <w:tcMar>
              <w:top w:w="70" w:type="dxa"/>
              <w:left w:w="100" w:type="dxa"/>
              <w:bottom w:w="70" w:type="dxa"/>
              <w:right w:w="100" w:type="dxa"/>
            </w:tcMar>
          </w:tcPr>
          <w:p w14:paraId="7A0E15DE" w14:textId="77777777" w:rsidR="00D16027" w:rsidRDefault="00000000">
            <w:r>
              <w:rPr>
                <w:sz w:val="19"/>
                <w:szCs w:val="19"/>
              </w:rPr>
              <w:t>Design lever(s)</w:t>
            </w:r>
          </w:p>
        </w:tc>
        <w:tc>
          <w:tcPr>
            <w:tcW w:w="6386" w:type="dxa"/>
            <w:tcMar>
              <w:top w:w="70" w:type="dxa"/>
              <w:left w:w="100" w:type="dxa"/>
              <w:bottom w:w="70" w:type="dxa"/>
              <w:right w:w="100" w:type="dxa"/>
            </w:tcMar>
          </w:tcPr>
          <w:p w14:paraId="0969EC60" w14:textId="77777777" w:rsidR="00D16027" w:rsidRDefault="00000000">
            <w:r>
              <w:rPr>
                <w:sz w:val="19"/>
                <w:szCs w:val="19"/>
              </w:rPr>
              <w:t>Secured conditions; process evidence; context specificity; dialogue; integration (Chapters 7–11)</w:t>
            </w:r>
          </w:p>
        </w:tc>
      </w:tr>
      <w:tr w:rsidR="00D16027" w14:paraId="4AC57D2F" w14:textId="77777777">
        <w:tblPrEx>
          <w:tblCellMar>
            <w:top w:w="0" w:type="dxa"/>
            <w:bottom w:w="0" w:type="dxa"/>
          </w:tblCellMar>
        </w:tblPrEx>
        <w:trPr>
          <w:cantSplit/>
        </w:trPr>
        <w:tc>
          <w:tcPr>
            <w:tcW w:w="3000" w:type="dxa"/>
            <w:tcMar>
              <w:top w:w="70" w:type="dxa"/>
              <w:left w:w="100" w:type="dxa"/>
              <w:bottom w:w="70" w:type="dxa"/>
              <w:right w:w="100" w:type="dxa"/>
            </w:tcMar>
          </w:tcPr>
          <w:p w14:paraId="2245B345" w14:textId="77777777" w:rsidR="00D16027" w:rsidRDefault="00000000">
            <w:r>
              <w:rPr>
                <w:sz w:val="19"/>
                <w:szCs w:val="19"/>
              </w:rPr>
              <w:t>Revised outcome and conditions</w:t>
            </w:r>
          </w:p>
        </w:tc>
        <w:tc>
          <w:tcPr>
            <w:tcW w:w="6386" w:type="dxa"/>
            <w:tcMar>
              <w:top w:w="70" w:type="dxa"/>
              <w:left w:w="100" w:type="dxa"/>
              <w:bottom w:w="70" w:type="dxa"/>
              <w:right w:w="100" w:type="dxa"/>
            </w:tcMar>
          </w:tcPr>
          <w:p w14:paraId="66FB1E47" w14:textId="77777777" w:rsidR="00D16027" w:rsidRDefault="00000000">
            <w:r>
              <w:rPr>
                <w:sz w:val="19"/>
                <w:szCs w:val="19"/>
              </w:rPr>
              <w:t>The four-part outcome with its conditions clause (Chapter 4)</w:t>
            </w:r>
          </w:p>
        </w:tc>
      </w:tr>
      <w:tr w:rsidR="00D16027" w14:paraId="1D0B92E9" w14:textId="77777777">
        <w:tblPrEx>
          <w:tblCellMar>
            <w:top w:w="0" w:type="dxa"/>
            <w:bottom w:w="0" w:type="dxa"/>
          </w:tblCellMar>
        </w:tblPrEx>
        <w:trPr>
          <w:cantSplit/>
        </w:trPr>
        <w:tc>
          <w:tcPr>
            <w:tcW w:w="3000" w:type="dxa"/>
            <w:tcMar>
              <w:top w:w="70" w:type="dxa"/>
              <w:left w:w="100" w:type="dxa"/>
              <w:bottom w:w="70" w:type="dxa"/>
              <w:right w:w="100" w:type="dxa"/>
            </w:tcMar>
          </w:tcPr>
          <w:p w14:paraId="1560436D" w14:textId="77777777" w:rsidR="00D16027" w:rsidRDefault="00000000">
            <w:r>
              <w:rPr>
                <w:sz w:val="19"/>
                <w:szCs w:val="19"/>
              </w:rPr>
              <w:lastRenderedPageBreak/>
              <w:t>Artefacts and verification</w:t>
            </w:r>
          </w:p>
        </w:tc>
        <w:tc>
          <w:tcPr>
            <w:tcW w:w="6386" w:type="dxa"/>
            <w:tcMar>
              <w:top w:w="70" w:type="dxa"/>
              <w:left w:w="100" w:type="dxa"/>
              <w:bottom w:w="70" w:type="dxa"/>
              <w:right w:w="100" w:type="dxa"/>
            </w:tcMar>
          </w:tcPr>
          <w:p w14:paraId="29076DC9" w14:textId="77777777" w:rsidR="00D16027" w:rsidRDefault="00000000">
            <w:r>
              <w:rPr>
                <w:sz w:val="19"/>
                <w:szCs w:val="19"/>
              </w:rPr>
              <w:t>What the student submits; what is contemporaneous; who talks to whom, for how long, on what sampling basis</w:t>
            </w:r>
          </w:p>
        </w:tc>
      </w:tr>
      <w:tr w:rsidR="00D16027" w14:paraId="27DB57BD" w14:textId="77777777">
        <w:tblPrEx>
          <w:tblCellMar>
            <w:top w:w="0" w:type="dxa"/>
            <w:bottom w:w="0" w:type="dxa"/>
          </w:tblCellMar>
        </w:tblPrEx>
        <w:trPr>
          <w:cantSplit/>
        </w:trPr>
        <w:tc>
          <w:tcPr>
            <w:tcW w:w="3000" w:type="dxa"/>
            <w:tcMar>
              <w:top w:w="70" w:type="dxa"/>
              <w:left w:w="100" w:type="dxa"/>
              <w:bottom w:w="70" w:type="dxa"/>
              <w:right w:w="100" w:type="dxa"/>
            </w:tcMar>
          </w:tcPr>
          <w:p w14:paraId="600FB4C8" w14:textId="77777777" w:rsidR="00D16027" w:rsidRDefault="00000000">
            <w:r>
              <w:rPr>
                <w:sz w:val="19"/>
                <w:szCs w:val="19"/>
              </w:rPr>
              <w:t>Equity check</w:t>
            </w:r>
          </w:p>
        </w:tc>
        <w:tc>
          <w:tcPr>
            <w:tcW w:w="6386" w:type="dxa"/>
            <w:tcMar>
              <w:top w:w="70" w:type="dxa"/>
              <w:left w:w="100" w:type="dxa"/>
              <w:bottom w:w="70" w:type="dxa"/>
              <w:right w:w="100" w:type="dxa"/>
            </w:tcMar>
          </w:tcPr>
          <w:p w14:paraId="55974914" w14:textId="77777777" w:rsidR="00D16027" w:rsidRDefault="00000000">
            <w:r>
              <w:rPr>
                <w:sz w:val="19"/>
                <w:szCs w:val="19"/>
              </w:rPr>
              <w:t>Access, literacy, language, disability, side-effects of the new format; adjustments and alternatives (Chapter 16)</w:t>
            </w:r>
          </w:p>
        </w:tc>
      </w:tr>
      <w:tr w:rsidR="00D16027" w14:paraId="3AE588E5" w14:textId="77777777">
        <w:tblPrEx>
          <w:tblCellMar>
            <w:top w:w="0" w:type="dxa"/>
            <w:bottom w:w="0" w:type="dxa"/>
          </w:tblCellMar>
        </w:tblPrEx>
        <w:trPr>
          <w:cantSplit/>
        </w:trPr>
        <w:tc>
          <w:tcPr>
            <w:tcW w:w="3000" w:type="dxa"/>
            <w:tcMar>
              <w:top w:w="70" w:type="dxa"/>
              <w:left w:w="100" w:type="dxa"/>
              <w:bottom w:w="70" w:type="dxa"/>
              <w:right w:w="100" w:type="dxa"/>
            </w:tcMar>
          </w:tcPr>
          <w:p w14:paraId="24C1AE7A" w14:textId="77777777" w:rsidR="00D16027" w:rsidRDefault="00000000">
            <w:r>
              <w:rPr>
                <w:sz w:val="19"/>
                <w:szCs w:val="19"/>
              </w:rPr>
              <w:t>Workload, before and after</w:t>
            </w:r>
          </w:p>
        </w:tc>
        <w:tc>
          <w:tcPr>
            <w:tcW w:w="6386" w:type="dxa"/>
            <w:tcMar>
              <w:top w:w="70" w:type="dxa"/>
              <w:left w:w="100" w:type="dxa"/>
              <w:bottom w:w="70" w:type="dxa"/>
              <w:right w:w="100" w:type="dxa"/>
            </w:tcMar>
          </w:tcPr>
          <w:p w14:paraId="354F365E" w14:textId="77777777" w:rsidR="00D16027" w:rsidRDefault="00000000">
            <w:r>
              <w:rPr>
                <w:sz w:val="19"/>
                <w:szCs w:val="19"/>
              </w:rPr>
              <w:t>Student hours; staff hours for setting, marking, conversations and moderation. The after figure must not exceed the before figure without explicit justification</w:t>
            </w:r>
          </w:p>
        </w:tc>
      </w:tr>
      <w:tr w:rsidR="00D16027" w14:paraId="56D85BC1" w14:textId="77777777">
        <w:tblPrEx>
          <w:tblCellMar>
            <w:top w:w="0" w:type="dxa"/>
            <w:bottom w:w="0" w:type="dxa"/>
          </w:tblCellMar>
        </w:tblPrEx>
        <w:trPr>
          <w:cantSplit/>
        </w:trPr>
        <w:tc>
          <w:tcPr>
            <w:tcW w:w="3000" w:type="dxa"/>
            <w:tcMar>
              <w:top w:w="70" w:type="dxa"/>
              <w:left w:w="100" w:type="dxa"/>
              <w:bottom w:w="70" w:type="dxa"/>
              <w:right w:w="100" w:type="dxa"/>
            </w:tcMar>
          </w:tcPr>
          <w:p w14:paraId="12C17D61" w14:textId="77777777" w:rsidR="00D16027" w:rsidRDefault="00000000">
            <w:r>
              <w:rPr>
                <w:sz w:val="19"/>
                <w:szCs w:val="19"/>
              </w:rPr>
              <w:t>What is removed</w:t>
            </w:r>
          </w:p>
        </w:tc>
        <w:tc>
          <w:tcPr>
            <w:tcW w:w="6386" w:type="dxa"/>
            <w:tcMar>
              <w:top w:w="70" w:type="dxa"/>
              <w:left w:w="100" w:type="dxa"/>
              <w:bottom w:w="70" w:type="dxa"/>
              <w:right w:w="100" w:type="dxa"/>
            </w:tcMar>
          </w:tcPr>
          <w:p w14:paraId="23F3B0F5" w14:textId="77777777" w:rsidR="00D16027" w:rsidRDefault="00000000">
            <w:r>
              <w:rPr>
                <w:sz w:val="19"/>
                <w:szCs w:val="19"/>
              </w:rPr>
              <w:t>The task, stage or word count that goes, so that total assessment volume does not rise</w:t>
            </w:r>
          </w:p>
        </w:tc>
      </w:tr>
      <w:tr w:rsidR="00D16027" w14:paraId="1E896B74" w14:textId="77777777">
        <w:tblPrEx>
          <w:tblCellMar>
            <w:top w:w="0" w:type="dxa"/>
            <w:bottom w:w="0" w:type="dxa"/>
          </w:tblCellMar>
        </w:tblPrEx>
        <w:trPr>
          <w:cantSplit/>
        </w:trPr>
        <w:tc>
          <w:tcPr>
            <w:tcW w:w="3000" w:type="dxa"/>
            <w:tcMar>
              <w:top w:w="70" w:type="dxa"/>
              <w:left w:w="100" w:type="dxa"/>
              <w:bottom w:w="70" w:type="dxa"/>
              <w:right w:w="100" w:type="dxa"/>
            </w:tcMar>
          </w:tcPr>
          <w:p w14:paraId="4544D028" w14:textId="77777777" w:rsidR="00D16027" w:rsidRDefault="00000000">
            <w:r>
              <w:rPr>
                <w:sz w:val="19"/>
                <w:szCs w:val="19"/>
              </w:rPr>
              <w:t>Standardisation and moderation</w:t>
            </w:r>
          </w:p>
        </w:tc>
        <w:tc>
          <w:tcPr>
            <w:tcW w:w="6386" w:type="dxa"/>
            <w:tcMar>
              <w:top w:w="70" w:type="dxa"/>
              <w:left w:w="100" w:type="dxa"/>
              <w:bottom w:w="70" w:type="dxa"/>
              <w:right w:w="100" w:type="dxa"/>
            </w:tcMar>
          </w:tcPr>
          <w:p w14:paraId="7BF26E96" w14:textId="77777777" w:rsidR="00D16027" w:rsidRDefault="00000000">
            <w:r>
              <w:rPr>
                <w:sz w:val="19"/>
                <w:szCs w:val="19"/>
              </w:rPr>
              <w:t>Common criteria; exemplars; sampling; recording; second marking</w:t>
            </w:r>
          </w:p>
        </w:tc>
      </w:tr>
      <w:tr w:rsidR="00D16027" w14:paraId="1105FAC7" w14:textId="77777777">
        <w:tblPrEx>
          <w:tblCellMar>
            <w:top w:w="0" w:type="dxa"/>
            <w:bottom w:w="0" w:type="dxa"/>
          </w:tblCellMar>
        </w:tblPrEx>
        <w:trPr>
          <w:cantSplit/>
        </w:trPr>
        <w:tc>
          <w:tcPr>
            <w:tcW w:w="3000" w:type="dxa"/>
            <w:tcMar>
              <w:top w:w="70" w:type="dxa"/>
              <w:left w:w="100" w:type="dxa"/>
              <w:bottom w:w="70" w:type="dxa"/>
              <w:right w:w="100" w:type="dxa"/>
            </w:tcMar>
          </w:tcPr>
          <w:p w14:paraId="18EBF777" w14:textId="77777777" w:rsidR="00D16027" w:rsidRDefault="00000000">
            <w:r>
              <w:rPr>
                <w:sz w:val="19"/>
                <w:szCs w:val="19"/>
              </w:rPr>
              <w:t>Timeline and approvals</w:t>
            </w:r>
          </w:p>
        </w:tc>
        <w:tc>
          <w:tcPr>
            <w:tcW w:w="6386" w:type="dxa"/>
            <w:tcMar>
              <w:top w:w="70" w:type="dxa"/>
              <w:left w:w="100" w:type="dxa"/>
              <w:bottom w:w="70" w:type="dxa"/>
              <w:right w:w="100" w:type="dxa"/>
            </w:tcMar>
          </w:tcPr>
          <w:p w14:paraId="2F815E28" w14:textId="77777777" w:rsidR="00D16027" w:rsidRDefault="00000000">
            <w:r>
              <w:rPr>
                <w:sz w:val="19"/>
                <w:szCs w:val="19"/>
              </w:rPr>
              <w:t>Minor or major modification; validation date; external examiner notification; student communication</w:t>
            </w:r>
          </w:p>
        </w:tc>
      </w:tr>
      <w:tr w:rsidR="00D16027" w14:paraId="580361B9" w14:textId="77777777">
        <w:tblPrEx>
          <w:tblCellMar>
            <w:top w:w="0" w:type="dxa"/>
            <w:bottom w:w="0" w:type="dxa"/>
          </w:tblCellMar>
        </w:tblPrEx>
        <w:trPr>
          <w:cantSplit/>
        </w:trPr>
        <w:tc>
          <w:tcPr>
            <w:tcW w:w="3000" w:type="dxa"/>
            <w:tcMar>
              <w:top w:w="70" w:type="dxa"/>
              <w:left w:w="100" w:type="dxa"/>
              <w:bottom w:w="70" w:type="dxa"/>
              <w:right w:w="100" w:type="dxa"/>
            </w:tcMar>
          </w:tcPr>
          <w:p w14:paraId="2D725A65" w14:textId="77777777" w:rsidR="00D16027" w:rsidRDefault="00000000">
            <w:r>
              <w:rPr>
                <w:sz w:val="19"/>
                <w:szCs w:val="19"/>
              </w:rPr>
              <w:t>Owner</w:t>
            </w:r>
          </w:p>
        </w:tc>
        <w:tc>
          <w:tcPr>
            <w:tcW w:w="6386" w:type="dxa"/>
            <w:tcMar>
              <w:top w:w="70" w:type="dxa"/>
              <w:left w:w="100" w:type="dxa"/>
              <w:bottom w:w="70" w:type="dxa"/>
              <w:right w:w="100" w:type="dxa"/>
            </w:tcMar>
          </w:tcPr>
          <w:p w14:paraId="17028DB7" w14:textId="77777777" w:rsidR="00D16027" w:rsidRDefault="00000000">
            <w:r>
              <w:rPr>
                <w:sz w:val="19"/>
                <w:szCs w:val="19"/>
              </w:rPr>
              <w:t>The person accountable for delivery and evaluation</w:t>
            </w:r>
          </w:p>
        </w:tc>
      </w:tr>
      <w:tr w:rsidR="00D16027" w14:paraId="7B8D081B" w14:textId="77777777">
        <w:tblPrEx>
          <w:tblCellMar>
            <w:top w:w="0" w:type="dxa"/>
            <w:bottom w:w="0" w:type="dxa"/>
          </w:tblCellMar>
        </w:tblPrEx>
        <w:trPr>
          <w:cantSplit/>
        </w:trPr>
        <w:tc>
          <w:tcPr>
            <w:tcW w:w="3000" w:type="dxa"/>
            <w:tcMar>
              <w:top w:w="70" w:type="dxa"/>
              <w:left w:w="100" w:type="dxa"/>
              <w:bottom w:w="70" w:type="dxa"/>
              <w:right w:w="100" w:type="dxa"/>
            </w:tcMar>
          </w:tcPr>
          <w:p w14:paraId="14C8D18C" w14:textId="77777777" w:rsidR="00D16027" w:rsidRDefault="00000000">
            <w:r>
              <w:rPr>
                <w:sz w:val="19"/>
                <w:szCs w:val="19"/>
              </w:rPr>
              <w:t>Evaluation</w:t>
            </w:r>
          </w:p>
        </w:tc>
        <w:tc>
          <w:tcPr>
            <w:tcW w:w="6386" w:type="dxa"/>
            <w:tcMar>
              <w:top w:w="70" w:type="dxa"/>
              <w:left w:w="100" w:type="dxa"/>
              <w:bottom w:w="70" w:type="dxa"/>
              <w:right w:w="100" w:type="dxa"/>
            </w:tcMar>
          </w:tcPr>
          <w:p w14:paraId="771BAB71" w14:textId="77777777" w:rsidR="00D16027" w:rsidRDefault="00000000">
            <w:r>
              <w:rPr>
                <w:sz w:val="19"/>
                <w:szCs w:val="19"/>
              </w:rPr>
              <w:t>What will be measured after the first cycle: AI test result, mark distribution, student feedback, conversation outcomes, appeals, staff time</w:t>
            </w:r>
          </w:p>
        </w:tc>
      </w:tr>
    </w:tbl>
    <w:p w14:paraId="6C7CEFF6" w14:textId="77777777" w:rsidR="00D16027" w:rsidRDefault="00D16027">
      <w:pPr>
        <w:spacing w:after="120"/>
      </w:pPr>
    </w:p>
    <w:p w14:paraId="100EAFD3" w14:textId="77777777" w:rsidR="00D16027" w:rsidRDefault="00000000">
      <w:pPr>
        <w:pStyle w:val="Heading2"/>
        <w:keepNext/>
      </w:pPr>
      <w:r>
        <w:t>14.4 Common pitfalls</w:t>
      </w:r>
    </w:p>
    <w:p w14:paraId="1E7BE415" w14:textId="77777777" w:rsidR="00D16027" w:rsidRDefault="00000000">
      <w:pPr>
        <w:spacing w:after="140"/>
      </w:pPr>
      <w:r>
        <w:t>Corbin, Dawson and Liu (2025) distinguish discursive changes, which alter what we say about a task, from structural changes, which alter what the task evidences. Most failed redesigns are discursive changes that look structural. Table 14.3 lists the most common.</w:t>
      </w:r>
    </w:p>
    <w:p w14:paraId="11E9B679" w14:textId="77777777" w:rsidR="00D16027" w:rsidRDefault="00000000">
      <w:pPr>
        <w:keepNext/>
        <w:spacing w:before="160" w:after="80"/>
      </w:pPr>
      <w:r>
        <w:rPr>
          <w:b/>
          <w:bCs/>
          <w:color w:val="1A4F7A"/>
          <w:sz w:val="20"/>
          <w:szCs w:val="20"/>
        </w:rPr>
        <w:t>Table 14.3  Cosmetic changes and their structural alternatives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486"/>
      </w:tblGrid>
      <w:tr w:rsidR="00D16027" w14:paraId="3A29A7F1" w14:textId="77777777">
        <w:tblPrEx>
          <w:tblCellMar>
            <w:top w:w="0" w:type="dxa"/>
            <w:bottom w:w="0" w:type="dxa"/>
          </w:tblCellMar>
        </w:tblPrEx>
        <w:trPr>
          <w:cantSplit/>
          <w:tblHeader/>
        </w:trPr>
        <w:tc>
          <w:tcPr>
            <w:tcW w:w="2600" w:type="dxa"/>
            <w:shd w:val="clear" w:color="auto" w:fill="2E75B6"/>
            <w:tcMar>
              <w:top w:w="70" w:type="dxa"/>
              <w:left w:w="100" w:type="dxa"/>
              <w:bottom w:w="70" w:type="dxa"/>
              <w:right w:w="100" w:type="dxa"/>
            </w:tcMar>
          </w:tcPr>
          <w:p w14:paraId="4E0A0650" w14:textId="77777777" w:rsidR="00D16027" w:rsidRDefault="00000000">
            <w:r>
              <w:rPr>
                <w:b/>
                <w:bCs/>
                <w:color w:val="FFFFFF"/>
                <w:sz w:val="19"/>
                <w:szCs w:val="19"/>
              </w:rPr>
              <w:t>Cosmetic change</w:t>
            </w:r>
          </w:p>
        </w:tc>
        <w:tc>
          <w:tcPr>
            <w:tcW w:w="3300" w:type="dxa"/>
            <w:shd w:val="clear" w:color="auto" w:fill="2E75B6"/>
            <w:tcMar>
              <w:top w:w="70" w:type="dxa"/>
              <w:left w:w="100" w:type="dxa"/>
              <w:bottom w:w="70" w:type="dxa"/>
              <w:right w:w="100" w:type="dxa"/>
            </w:tcMar>
          </w:tcPr>
          <w:p w14:paraId="71A11A67" w14:textId="77777777" w:rsidR="00D16027" w:rsidRDefault="00000000">
            <w:r>
              <w:rPr>
                <w:b/>
                <w:bCs/>
                <w:color w:val="FFFFFF"/>
                <w:sz w:val="19"/>
                <w:szCs w:val="19"/>
              </w:rPr>
              <w:t>Why it fails</w:t>
            </w:r>
          </w:p>
        </w:tc>
        <w:tc>
          <w:tcPr>
            <w:tcW w:w="3486" w:type="dxa"/>
            <w:shd w:val="clear" w:color="auto" w:fill="2E75B6"/>
            <w:tcMar>
              <w:top w:w="70" w:type="dxa"/>
              <w:left w:w="100" w:type="dxa"/>
              <w:bottom w:w="70" w:type="dxa"/>
              <w:right w:w="100" w:type="dxa"/>
            </w:tcMar>
          </w:tcPr>
          <w:p w14:paraId="4C7EDE79" w14:textId="77777777" w:rsidR="00D16027" w:rsidRDefault="00000000">
            <w:r>
              <w:rPr>
                <w:b/>
                <w:bCs/>
                <w:color w:val="FFFFFF"/>
                <w:sz w:val="19"/>
                <w:szCs w:val="19"/>
              </w:rPr>
              <w:t>Structural alternative</w:t>
            </w:r>
          </w:p>
        </w:tc>
      </w:tr>
      <w:tr w:rsidR="00D16027" w14:paraId="3B725660" w14:textId="77777777">
        <w:tblPrEx>
          <w:tblCellMar>
            <w:top w:w="0" w:type="dxa"/>
            <w:bottom w:w="0" w:type="dxa"/>
          </w:tblCellMar>
        </w:tblPrEx>
        <w:trPr>
          <w:cantSplit/>
        </w:trPr>
        <w:tc>
          <w:tcPr>
            <w:tcW w:w="2600" w:type="dxa"/>
            <w:tcMar>
              <w:top w:w="70" w:type="dxa"/>
              <w:left w:w="100" w:type="dxa"/>
              <w:bottom w:w="70" w:type="dxa"/>
              <w:right w:w="100" w:type="dxa"/>
            </w:tcMar>
          </w:tcPr>
          <w:p w14:paraId="6B1C962D" w14:textId="77777777" w:rsidR="00D16027" w:rsidRDefault="00000000">
            <w:r>
              <w:rPr>
                <w:sz w:val="19"/>
                <w:szCs w:val="19"/>
              </w:rPr>
              <w:t>Adding "AI is not permitted" to the brief</w:t>
            </w:r>
          </w:p>
        </w:tc>
        <w:tc>
          <w:tcPr>
            <w:tcW w:w="3300" w:type="dxa"/>
            <w:tcMar>
              <w:top w:w="70" w:type="dxa"/>
              <w:left w:w="100" w:type="dxa"/>
              <w:bottom w:w="70" w:type="dxa"/>
              <w:right w:w="100" w:type="dxa"/>
            </w:tcMar>
          </w:tcPr>
          <w:p w14:paraId="42BA1D15" w14:textId="77777777" w:rsidR="00D16027" w:rsidRDefault="00000000">
            <w:r>
              <w:rPr>
                <w:sz w:val="19"/>
                <w:szCs w:val="19"/>
              </w:rPr>
              <w:t>Unenforceable; leaves the task in the unintended position</w:t>
            </w:r>
          </w:p>
        </w:tc>
        <w:tc>
          <w:tcPr>
            <w:tcW w:w="3486" w:type="dxa"/>
            <w:tcMar>
              <w:top w:w="70" w:type="dxa"/>
              <w:left w:w="100" w:type="dxa"/>
              <w:bottom w:w="70" w:type="dxa"/>
              <w:right w:w="100" w:type="dxa"/>
            </w:tcMar>
          </w:tcPr>
          <w:p w14:paraId="78FA7548" w14:textId="77777777" w:rsidR="00D16027" w:rsidRDefault="00000000">
            <w:r>
              <w:rPr>
                <w:sz w:val="19"/>
                <w:szCs w:val="19"/>
              </w:rPr>
              <w:t>Secure the conditions, or design the evidence so AI cannot substitute for it</w:t>
            </w:r>
          </w:p>
        </w:tc>
      </w:tr>
      <w:tr w:rsidR="00D16027" w14:paraId="336A2475" w14:textId="77777777">
        <w:tblPrEx>
          <w:tblCellMar>
            <w:top w:w="0" w:type="dxa"/>
            <w:bottom w:w="0" w:type="dxa"/>
          </w:tblCellMar>
        </w:tblPrEx>
        <w:trPr>
          <w:cantSplit/>
        </w:trPr>
        <w:tc>
          <w:tcPr>
            <w:tcW w:w="2600" w:type="dxa"/>
            <w:tcMar>
              <w:top w:w="70" w:type="dxa"/>
              <w:left w:w="100" w:type="dxa"/>
              <w:bottom w:w="70" w:type="dxa"/>
              <w:right w:w="100" w:type="dxa"/>
            </w:tcMar>
          </w:tcPr>
          <w:p w14:paraId="2C68673C" w14:textId="77777777" w:rsidR="00D16027" w:rsidRDefault="00000000">
            <w:r>
              <w:rPr>
                <w:sz w:val="19"/>
                <w:szCs w:val="19"/>
              </w:rPr>
              <w:t>Requiring "personal reflection" without anchors</w:t>
            </w:r>
          </w:p>
        </w:tc>
        <w:tc>
          <w:tcPr>
            <w:tcW w:w="3300" w:type="dxa"/>
            <w:tcMar>
              <w:top w:w="70" w:type="dxa"/>
              <w:left w:w="100" w:type="dxa"/>
              <w:bottom w:w="70" w:type="dxa"/>
              <w:right w:w="100" w:type="dxa"/>
            </w:tcMar>
          </w:tcPr>
          <w:p w14:paraId="3C4D31C7" w14:textId="77777777" w:rsidR="00D16027" w:rsidRDefault="00000000">
            <w:r>
              <w:rPr>
                <w:sz w:val="19"/>
                <w:szCs w:val="19"/>
              </w:rPr>
              <w:t>Generic reflection is AI's native genre</w:t>
            </w:r>
          </w:p>
        </w:tc>
        <w:tc>
          <w:tcPr>
            <w:tcW w:w="3486" w:type="dxa"/>
            <w:tcMar>
              <w:top w:w="70" w:type="dxa"/>
              <w:left w:w="100" w:type="dxa"/>
              <w:bottom w:w="70" w:type="dxa"/>
              <w:right w:w="100" w:type="dxa"/>
            </w:tcMar>
          </w:tcPr>
          <w:p w14:paraId="787B75FB" w14:textId="77777777" w:rsidR="00D16027" w:rsidRDefault="00000000">
            <w:r>
              <w:rPr>
                <w:sz w:val="19"/>
                <w:szCs w:val="19"/>
              </w:rPr>
              <w:t>Anchor to dated incidents and artefacts; assess specificity; discuss it (Chapter 8)</w:t>
            </w:r>
          </w:p>
        </w:tc>
      </w:tr>
      <w:tr w:rsidR="00D16027" w14:paraId="2AF5176A" w14:textId="77777777">
        <w:tblPrEx>
          <w:tblCellMar>
            <w:top w:w="0" w:type="dxa"/>
            <w:bottom w:w="0" w:type="dxa"/>
          </w:tblCellMar>
        </w:tblPrEx>
        <w:trPr>
          <w:cantSplit/>
        </w:trPr>
        <w:tc>
          <w:tcPr>
            <w:tcW w:w="2600" w:type="dxa"/>
            <w:tcMar>
              <w:top w:w="70" w:type="dxa"/>
              <w:left w:w="100" w:type="dxa"/>
              <w:bottom w:w="70" w:type="dxa"/>
              <w:right w:w="100" w:type="dxa"/>
            </w:tcMar>
          </w:tcPr>
          <w:p w14:paraId="0A05632A" w14:textId="77777777" w:rsidR="00D16027" w:rsidRDefault="00000000">
            <w:r>
              <w:rPr>
                <w:sz w:val="19"/>
                <w:szCs w:val="19"/>
              </w:rPr>
              <w:t>Changing the essay title every year</w:t>
            </w:r>
          </w:p>
        </w:tc>
        <w:tc>
          <w:tcPr>
            <w:tcW w:w="3300" w:type="dxa"/>
            <w:tcMar>
              <w:top w:w="70" w:type="dxa"/>
              <w:left w:w="100" w:type="dxa"/>
              <w:bottom w:w="70" w:type="dxa"/>
              <w:right w:w="100" w:type="dxa"/>
            </w:tcMar>
          </w:tcPr>
          <w:p w14:paraId="0BBA00C0" w14:textId="77777777" w:rsidR="00D16027" w:rsidRDefault="00000000">
            <w:r>
              <w:rPr>
                <w:sz w:val="19"/>
                <w:szCs w:val="19"/>
              </w:rPr>
              <w:t>AI has never seen this year's title either, and does not need to</w:t>
            </w:r>
          </w:p>
        </w:tc>
        <w:tc>
          <w:tcPr>
            <w:tcW w:w="3486" w:type="dxa"/>
            <w:tcMar>
              <w:top w:w="70" w:type="dxa"/>
              <w:left w:w="100" w:type="dxa"/>
              <w:bottom w:w="70" w:type="dxa"/>
              <w:right w:w="100" w:type="dxa"/>
            </w:tcMar>
          </w:tcPr>
          <w:p w14:paraId="79BB8BF4" w14:textId="77777777" w:rsidR="00D16027" w:rsidRDefault="00000000">
            <w:r>
              <w:rPr>
                <w:sz w:val="19"/>
                <w:szCs w:val="19"/>
              </w:rPr>
              <w:t>Change the conditions, not the topic</w:t>
            </w:r>
          </w:p>
        </w:tc>
      </w:tr>
      <w:tr w:rsidR="00D16027" w14:paraId="103B1E50" w14:textId="77777777">
        <w:tblPrEx>
          <w:tblCellMar>
            <w:top w:w="0" w:type="dxa"/>
            <w:bottom w:w="0" w:type="dxa"/>
          </w:tblCellMar>
        </w:tblPrEx>
        <w:trPr>
          <w:cantSplit/>
        </w:trPr>
        <w:tc>
          <w:tcPr>
            <w:tcW w:w="2600" w:type="dxa"/>
            <w:tcMar>
              <w:top w:w="70" w:type="dxa"/>
              <w:left w:w="100" w:type="dxa"/>
              <w:bottom w:w="70" w:type="dxa"/>
              <w:right w:w="100" w:type="dxa"/>
            </w:tcMar>
          </w:tcPr>
          <w:p w14:paraId="178FF615" w14:textId="77777777" w:rsidR="00D16027" w:rsidRDefault="00000000">
            <w:r>
              <w:rPr>
                <w:sz w:val="19"/>
                <w:szCs w:val="19"/>
              </w:rPr>
              <w:t>Requiring recent sources or in-house readings</w:t>
            </w:r>
          </w:p>
        </w:tc>
        <w:tc>
          <w:tcPr>
            <w:tcW w:w="3300" w:type="dxa"/>
            <w:tcMar>
              <w:top w:w="70" w:type="dxa"/>
              <w:left w:w="100" w:type="dxa"/>
              <w:bottom w:w="70" w:type="dxa"/>
              <w:right w:w="100" w:type="dxa"/>
            </w:tcMar>
          </w:tcPr>
          <w:p w14:paraId="08E03C6E" w14:textId="77777777" w:rsidR="00D16027" w:rsidRDefault="00000000">
            <w:r>
              <w:rPr>
                <w:sz w:val="19"/>
                <w:szCs w:val="19"/>
              </w:rPr>
              <w:t>Retrieval-enabled tools read them</w:t>
            </w:r>
          </w:p>
        </w:tc>
        <w:tc>
          <w:tcPr>
            <w:tcW w:w="3486" w:type="dxa"/>
            <w:tcMar>
              <w:top w:w="70" w:type="dxa"/>
              <w:left w:w="100" w:type="dxa"/>
              <w:bottom w:w="70" w:type="dxa"/>
              <w:right w:w="100" w:type="dxa"/>
            </w:tcMar>
          </w:tcPr>
          <w:p w14:paraId="1D7AEF4D" w14:textId="77777777" w:rsidR="00D16027" w:rsidRDefault="00000000">
            <w:r>
              <w:rPr>
                <w:sz w:val="19"/>
                <w:szCs w:val="19"/>
              </w:rPr>
              <w:t>Use student-specific data and dialogue; readings are a support, not a barrier</w:t>
            </w:r>
          </w:p>
        </w:tc>
      </w:tr>
      <w:tr w:rsidR="00D16027" w14:paraId="7E46A4D8" w14:textId="77777777">
        <w:tblPrEx>
          <w:tblCellMar>
            <w:top w:w="0" w:type="dxa"/>
            <w:bottom w:w="0" w:type="dxa"/>
          </w:tblCellMar>
        </w:tblPrEx>
        <w:trPr>
          <w:cantSplit/>
        </w:trPr>
        <w:tc>
          <w:tcPr>
            <w:tcW w:w="2600" w:type="dxa"/>
            <w:tcMar>
              <w:top w:w="70" w:type="dxa"/>
              <w:left w:w="100" w:type="dxa"/>
              <w:bottom w:w="70" w:type="dxa"/>
              <w:right w:w="100" w:type="dxa"/>
            </w:tcMar>
          </w:tcPr>
          <w:p w14:paraId="4706A586" w14:textId="77777777" w:rsidR="00D16027" w:rsidRDefault="00000000">
            <w:r>
              <w:rPr>
                <w:sz w:val="19"/>
                <w:szCs w:val="19"/>
              </w:rPr>
              <w:t>Asking for "critical" or "original" analysis</w:t>
            </w:r>
          </w:p>
        </w:tc>
        <w:tc>
          <w:tcPr>
            <w:tcW w:w="3300" w:type="dxa"/>
            <w:tcMar>
              <w:top w:w="70" w:type="dxa"/>
              <w:left w:w="100" w:type="dxa"/>
              <w:bottom w:w="70" w:type="dxa"/>
              <w:right w:w="100" w:type="dxa"/>
            </w:tcMar>
          </w:tcPr>
          <w:p w14:paraId="6508E3F0" w14:textId="77777777" w:rsidR="00D16027" w:rsidRDefault="00000000">
            <w:r>
              <w:rPr>
                <w:sz w:val="19"/>
                <w:szCs w:val="19"/>
              </w:rPr>
              <w:t>AI produces fluent critical analysis of anything in its training data</w:t>
            </w:r>
          </w:p>
        </w:tc>
        <w:tc>
          <w:tcPr>
            <w:tcW w:w="3486" w:type="dxa"/>
            <w:tcMar>
              <w:top w:w="70" w:type="dxa"/>
              <w:left w:w="100" w:type="dxa"/>
              <w:bottom w:w="70" w:type="dxa"/>
              <w:right w:w="100" w:type="dxa"/>
            </w:tcMar>
          </w:tcPr>
          <w:p w14:paraId="211D5B5C" w14:textId="77777777" w:rsidR="00D16027" w:rsidRDefault="00000000">
            <w:r>
              <w:rPr>
                <w:sz w:val="19"/>
                <w:szCs w:val="19"/>
              </w:rPr>
              <w:t>Locate the analysis in the student's own data, case or seminar; assess it orally</w:t>
            </w:r>
          </w:p>
        </w:tc>
      </w:tr>
      <w:tr w:rsidR="00D16027" w14:paraId="27777F1C" w14:textId="77777777">
        <w:tblPrEx>
          <w:tblCellMar>
            <w:top w:w="0" w:type="dxa"/>
            <w:bottom w:w="0" w:type="dxa"/>
          </w:tblCellMar>
        </w:tblPrEx>
        <w:trPr>
          <w:cantSplit/>
        </w:trPr>
        <w:tc>
          <w:tcPr>
            <w:tcW w:w="2600" w:type="dxa"/>
            <w:tcMar>
              <w:top w:w="70" w:type="dxa"/>
              <w:left w:w="100" w:type="dxa"/>
              <w:bottom w:w="70" w:type="dxa"/>
              <w:right w:w="100" w:type="dxa"/>
            </w:tcMar>
          </w:tcPr>
          <w:p w14:paraId="772EFD28" w14:textId="77777777" w:rsidR="00D16027" w:rsidRDefault="00000000">
            <w:r>
              <w:rPr>
                <w:sz w:val="19"/>
                <w:szCs w:val="19"/>
              </w:rPr>
              <w:t>Relying on detection scores</w:t>
            </w:r>
          </w:p>
        </w:tc>
        <w:tc>
          <w:tcPr>
            <w:tcW w:w="3300" w:type="dxa"/>
            <w:tcMar>
              <w:top w:w="70" w:type="dxa"/>
              <w:left w:w="100" w:type="dxa"/>
              <w:bottom w:w="70" w:type="dxa"/>
              <w:right w:w="100" w:type="dxa"/>
            </w:tcMar>
          </w:tcPr>
          <w:p w14:paraId="60B2F020" w14:textId="77777777" w:rsidR="00D16027" w:rsidRDefault="00000000">
            <w:r>
              <w:rPr>
                <w:sz w:val="19"/>
                <w:szCs w:val="19"/>
              </w:rPr>
              <w:t>Unreliable and biased (Chapters 3, 15)</w:t>
            </w:r>
          </w:p>
        </w:tc>
        <w:tc>
          <w:tcPr>
            <w:tcW w:w="3486" w:type="dxa"/>
            <w:tcMar>
              <w:top w:w="70" w:type="dxa"/>
              <w:left w:w="100" w:type="dxa"/>
              <w:bottom w:w="70" w:type="dxa"/>
              <w:right w:w="100" w:type="dxa"/>
            </w:tcMar>
          </w:tcPr>
          <w:p w14:paraId="4BB2DA8F" w14:textId="77777777" w:rsidR="00D16027" w:rsidRDefault="00000000">
            <w:r>
              <w:rPr>
                <w:sz w:val="19"/>
                <w:szCs w:val="19"/>
              </w:rPr>
              <w:t>Process evidence and conversation as the basis for any concern</w:t>
            </w:r>
          </w:p>
        </w:tc>
      </w:tr>
      <w:tr w:rsidR="00D16027" w14:paraId="4FBABDE3" w14:textId="77777777">
        <w:tblPrEx>
          <w:tblCellMar>
            <w:top w:w="0" w:type="dxa"/>
            <w:bottom w:w="0" w:type="dxa"/>
          </w:tblCellMar>
        </w:tblPrEx>
        <w:trPr>
          <w:cantSplit/>
        </w:trPr>
        <w:tc>
          <w:tcPr>
            <w:tcW w:w="2600" w:type="dxa"/>
            <w:tcMar>
              <w:top w:w="70" w:type="dxa"/>
              <w:left w:w="100" w:type="dxa"/>
              <w:bottom w:w="70" w:type="dxa"/>
              <w:right w:w="100" w:type="dxa"/>
            </w:tcMar>
          </w:tcPr>
          <w:p w14:paraId="2E5422E0" w14:textId="77777777" w:rsidR="00D16027" w:rsidRDefault="00000000">
            <w:r>
              <w:rPr>
                <w:sz w:val="19"/>
                <w:szCs w:val="19"/>
              </w:rPr>
              <w:t>Moving everything to invigilated exams</w:t>
            </w:r>
          </w:p>
        </w:tc>
        <w:tc>
          <w:tcPr>
            <w:tcW w:w="3300" w:type="dxa"/>
            <w:tcMar>
              <w:top w:w="70" w:type="dxa"/>
              <w:left w:w="100" w:type="dxa"/>
              <w:bottom w:w="70" w:type="dxa"/>
              <w:right w:w="100" w:type="dxa"/>
            </w:tcMar>
          </w:tcPr>
          <w:p w14:paraId="6CCAACB6" w14:textId="77777777" w:rsidR="00D16027" w:rsidRDefault="00000000">
            <w:r>
              <w:rPr>
                <w:sz w:val="19"/>
                <w:szCs w:val="19"/>
              </w:rPr>
              <w:t>Narrows constructs; harms inclusion; may lower overall validity (Dawson et al. 2024)</w:t>
            </w:r>
          </w:p>
        </w:tc>
        <w:tc>
          <w:tcPr>
            <w:tcW w:w="3486" w:type="dxa"/>
            <w:tcMar>
              <w:top w:w="70" w:type="dxa"/>
              <w:left w:w="100" w:type="dxa"/>
              <w:bottom w:w="70" w:type="dxa"/>
              <w:right w:w="100" w:type="dxa"/>
            </w:tcMar>
          </w:tcPr>
          <w:p w14:paraId="3650AAF1" w14:textId="77777777" w:rsidR="00D16027" w:rsidRDefault="00000000">
            <w:r>
              <w:rPr>
                <w:sz w:val="19"/>
                <w:szCs w:val="19"/>
              </w:rPr>
              <w:t>A small Lane 1 at key points; resilient design elsewhere</w:t>
            </w:r>
          </w:p>
        </w:tc>
      </w:tr>
      <w:tr w:rsidR="00D16027" w14:paraId="248F5F7B" w14:textId="77777777">
        <w:tblPrEx>
          <w:tblCellMar>
            <w:top w:w="0" w:type="dxa"/>
            <w:bottom w:w="0" w:type="dxa"/>
          </w:tblCellMar>
        </w:tblPrEx>
        <w:trPr>
          <w:cantSplit/>
        </w:trPr>
        <w:tc>
          <w:tcPr>
            <w:tcW w:w="2600" w:type="dxa"/>
            <w:tcMar>
              <w:top w:w="70" w:type="dxa"/>
              <w:left w:w="100" w:type="dxa"/>
              <w:bottom w:w="70" w:type="dxa"/>
              <w:right w:w="100" w:type="dxa"/>
            </w:tcMar>
          </w:tcPr>
          <w:p w14:paraId="4A137B3D" w14:textId="77777777" w:rsidR="00D16027" w:rsidRDefault="00000000">
            <w:r>
              <w:rPr>
                <w:sz w:val="19"/>
                <w:szCs w:val="19"/>
              </w:rPr>
              <w:t>Adding checkpoints without removing anything</w:t>
            </w:r>
          </w:p>
        </w:tc>
        <w:tc>
          <w:tcPr>
            <w:tcW w:w="3300" w:type="dxa"/>
            <w:tcMar>
              <w:top w:w="70" w:type="dxa"/>
              <w:left w:w="100" w:type="dxa"/>
              <w:bottom w:w="70" w:type="dxa"/>
              <w:right w:w="100" w:type="dxa"/>
            </w:tcMar>
          </w:tcPr>
          <w:p w14:paraId="686BC1D4" w14:textId="77777777" w:rsidR="00D16027" w:rsidRDefault="00000000">
            <w:r>
              <w:rPr>
                <w:sz w:val="19"/>
                <w:szCs w:val="19"/>
              </w:rPr>
              <w:t>Overload for students and staff; the change is abandoned within two years</w:t>
            </w:r>
          </w:p>
        </w:tc>
        <w:tc>
          <w:tcPr>
            <w:tcW w:w="3486" w:type="dxa"/>
            <w:tcMar>
              <w:top w:w="70" w:type="dxa"/>
              <w:left w:w="100" w:type="dxa"/>
              <w:bottom w:w="70" w:type="dxa"/>
              <w:right w:w="100" w:type="dxa"/>
            </w:tcMar>
          </w:tcPr>
          <w:p w14:paraId="08F7C6B9" w14:textId="77777777" w:rsidR="00D16027" w:rsidRDefault="00000000">
            <w:r>
              <w:rPr>
                <w:sz w:val="19"/>
                <w:szCs w:val="19"/>
              </w:rPr>
              <w:t>Substitute, do not add; shorten the product; drop a task</w:t>
            </w:r>
          </w:p>
        </w:tc>
      </w:tr>
      <w:tr w:rsidR="00D16027" w14:paraId="646F982F" w14:textId="77777777">
        <w:tblPrEx>
          <w:tblCellMar>
            <w:top w:w="0" w:type="dxa"/>
            <w:bottom w:w="0" w:type="dxa"/>
          </w:tblCellMar>
        </w:tblPrEx>
        <w:trPr>
          <w:cantSplit/>
        </w:trPr>
        <w:tc>
          <w:tcPr>
            <w:tcW w:w="2600" w:type="dxa"/>
            <w:tcMar>
              <w:top w:w="70" w:type="dxa"/>
              <w:left w:w="100" w:type="dxa"/>
              <w:bottom w:w="70" w:type="dxa"/>
              <w:right w:w="100" w:type="dxa"/>
            </w:tcMar>
          </w:tcPr>
          <w:p w14:paraId="2B4EB4F9" w14:textId="77777777" w:rsidR="00D16027" w:rsidRDefault="00000000">
            <w:r>
              <w:rPr>
                <w:sz w:val="19"/>
                <w:szCs w:val="19"/>
              </w:rPr>
              <w:t>Redesigning alone</w:t>
            </w:r>
          </w:p>
        </w:tc>
        <w:tc>
          <w:tcPr>
            <w:tcW w:w="3300" w:type="dxa"/>
            <w:tcMar>
              <w:top w:w="70" w:type="dxa"/>
              <w:left w:w="100" w:type="dxa"/>
              <w:bottom w:w="70" w:type="dxa"/>
              <w:right w:w="100" w:type="dxa"/>
            </w:tcMar>
          </w:tcPr>
          <w:p w14:paraId="05816C48" w14:textId="77777777" w:rsidR="00D16027" w:rsidRDefault="00000000">
            <w:r>
              <w:rPr>
                <w:sz w:val="19"/>
                <w:szCs w:val="19"/>
              </w:rPr>
              <w:t>Students meet inconsistent rules; programme coverage gaps persist</w:t>
            </w:r>
          </w:p>
        </w:tc>
        <w:tc>
          <w:tcPr>
            <w:tcW w:w="3486" w:type="dxa"/>
            <w:tcMar>
              <w:top w:w="70" w:type="dxa"/>
              <w:left w:w="100" w:type="dxa"/>
              <w:bottom w:w="70" w:type="dxa"/>
              <w:right w:w="100" w:type="dxa"/>
            </w:tcMar>
          </w:tcPr>
          <w:p w14:paraId="5123C5FF" w14:textId="77777777" w:rsidR="00D16027" w:rsidRDefault="00000000">
            <w:r>
              <w:rPr>
                <w:sz w:val="19"/>
                <w:szCs w:val="19"/>
              </w:rPr>
              <w:t>Coordinate at programme level with a shared vocabulary</w:t>
            </w:r>
          </w:p>
        </w:tc>
      </w:tr>
      <w:tr w:rsidR="00D16027" w14:paraId="2FC6E78C" w14:textId="77777777">
        <w:tblPrEx>
          <w:tblCellMar>
            <w:top w:w="0" w:type="dxa"/>
            <w:bottom w:w="0" w:type="dxa"/>
          </w:tblCellMar>
        </w:tblPrEx>
        <w:trPr>
          <w:cantSplit/>
        </w:trPr>
        <w:tc>
          <w:tcPr>
            <w:tcW w:w="2600" w:type="dxa"/>
            <w:tcMar>
              <w:top w:w="70" w:type="dxa"/>
              <w:left w:w="100" w:type="dxa"/>
              <w:bottom w:w="70" w:type="dxa"/>
              <w:right w:w="100" w:type="dxa"/>
            </w:tcMar>
          </w:tcPr>
          <w:p w14:paraId="282E2708" w14:textId="77777777" w:rsidR="00D16027" w:rsidRDefault="00000000">
            <w:r>
              <w:rPr>
                <w:sz w:val="19"/>
                <w:szCs w:val="19"/>
              </w:rPr>
              <w:lastRenderedPageBreak/>
              <w:t>Not telling students why</w:t>
            </w:r>
          </w:p>
        </w:tc>
        <w:tc>
          <w:tcPr>
            <w:tcW w:w="3300" w:type="dxa"/>
            <w:tcMar>
              <w:top w:w="70" w:type="dxa"/>
              <w:left w:w="100" w:type="dxa"/>
              <w:bottom w:w="70" w:type="dxa"/>
              <w:right w:w="100" w:type="dxa"/>
            </w:tcMar>
          </w:tcPr>
          <w:p w14:paraId="0D9C1D39" w14:textId="77777777" w:rsidR="00D16027" w:rsidRDefault="00000000">
            <w:r>
              <w:rPr>
                <w:sz w:val="19"/>
                <w:szCs w:val="19"/>
              </w:rPr>
              <w:t>Compliance without understanding; resentment of orals and in-class tasks</w:t>
            </w:r>
          </w:p>
        </w:tc>
        <w:tc>
          <w:tcPr>
            <w:tcW w:w="3486" w:type="dxa"/>
            <w:tcMar>
              <w:top w:w="70" w:type="dxa"/>
              <w:left w:w="100" w:type="dxa"/>
              <w:bottom w:w="70" w:type="dxa"/>
              <w:right w:w="100" w:type="dxa"/>
            </w:tcMar>
          </w:tcPr>
          <w:p w14:paraId="3919D9D7" w14:textId="77777777" w:rsidR="00D16027" w:rsidRDefault="00000000">
            <w:r>
              <w:rPr>
                <w:sz w:val="19"/>
                <w:szCs w:val="19"/>
              </w:rPr>
              <w:t>One sentence of rationale on every brief; discussion in induction</w:t>
            </w:r>
          </w:p>
        </w:tc>
      </w:tr>
    </w:tbl>
    <w:p w14:paraId="7CADA28C" w14:textId="77777777" w:rsidR="00D16027" w:rsidRDefault="00D16027">
      <w:pPr>
        <w:spacing w:after="120"/>
      </w:pPr>
    </w:p>
    <w:p w14:paraId="2C41DA02" w14:textId="77777777" w:rsidR="00D16027" w:rsidRDefault="00000000">
      <w:pPr>
        <w:pStyle w:val="Heading2"/>
        <w:keepNext/>
      </w:pPr>
      <w:r>
        <w:t>14.5 Planning realistically</w:t>
      </w:r>
    </w:p>
    <w:p w14:paraId="75555005" w14:textId="77777777" w:rsidR="00D16027" w:rsidRDefault="00000000">
      <w:pPr>
        <w:spacing w:after="140"/>
      </w:pPr>
      <w:r>
        <w:t xml:space="preserve">Three constraints shape any plan. </w:t>
      </w:r>
      <w:r>
        <w:rPr>
          <w:b/>
          <w:bCs/>
        </w:rPr>
        <w:t>Time.</w:t>
      </w:r>
      <w:r>
        <w:t xml:space="preserve"> Redesign takes longer than delivery: writing a question bank, a rubric, a declaration template and a scenario, testing a task against AI, and consulting students all happen before the first cohort. Institutions that expect this work to be absorbed into existing load get cosmetic change; Chapter 17 addresses resourcing the transition year. </w:t>
      </w:r>
      <w:r>
        <w:rPr>
          <w:b/>
          <w:bCs/>
        </w:rPr>
        <w:t>Approvals.</w:t>
      </w:r>
      <w:r>
        <w:t xml:space="preserve"> Most institutions distinguish minor modifications, which a department can approve, from major ones, which go to a faculty committee or a validation event. Redesigns that change outcomes or weightings usually count as major; those that change conditions and evidence within existing outcomes often count as minor. Knowing the line, and timing changes to the review cycle, can save a year. External examiners should be told early; most welcome the change when the rationale is documented. </w:t>
      </w:r>
      <w:r>
        <w:rPr>
          <w:b/>
          <w:bCs/>
        </w:rPr>
        <w:t>Consultation.</w:t>
      </w:r>
      <w:r>
        <w:t xml:space="preserve"> Students as partners (Healey, Flint &amp; Harrington 2014) is not a slogan here: students know how AI is actually being used, they will tell you which tasks are already substituted, and they accept new formats far more readily when they have been consulted (Chan &amp; Hu 2023). Pilot where possible with one cohort or one strand before full rollout.</w:t>
      </w:r>
    </w:p>
    <w:p w14:paraId="64EBD317" w14:textId="77777777" w:rsidR="00D16027" w:rsidRDefault="00000000">
      <w:pPr>
        <w:pStyle w:val="Heading2"/>
        <w:keepNext/>
      </w:pPr>
      <w:r>
        <w:t>14.6 Evaluating and documenting</w:t>
      </w:r>
    </w:p>
    <w:p w14:paraId="460DFC30" w14:textId="77777777" w:rsidR="00D16027" w:rsidRDefault="00000000">
      <w:pPr>
        <w:spacing w:after="140"/>
      </w:pPr>
      <w:r>
        <w:t>A redesign is a hypothesis: that the new task evidences the outcome more validly, at acceptable cost, without harming inclusion. Test it. After the first cycle collect the AI test result on the new task, the mark distribution compared with the old task, the outcomes of conversations (how many students could not account for their work), student feedback on clarity and fairness, any appeals or misconduct cases, and staff time actually spent. Compare against the plan's estimates. Bower et al. (2024) found educators internationally wanting exactly this kind of evidence from peers; a department that publishes its evaluations, even internally, accelerates everyone's redesign. Documented rationale also does quality work: it supports moderation, satisfies external examiners, meets professional-body expectations, and provides the institution with the audit trail that regulators increasingly expect (Lodge et al. 2025).</w:t>
      </w:r>
    </w:p>
    <w:p w14:paraId="21908752"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Three audits and plans</w:t>
      </w:r>
    </w:p>
    <w:p w14:paraId="40A40C03" w14:textId="77777777" w:rsidR="00D16027" w:rsidRDefault="00000000">
      <w:pPr>
        <w:pBdr>
          <w:left w:val="single" w:sz="14" w:space="10" w:color="4E8A5E"/>
        </w:pBdr>
        <w:shd w:val="clear" w:color="auto" w:fill="EEF6EF"/>
        <w:spacing w:after="60"/>
      </w:pPr>
      <w:r>
        <w:rPr>
          <w:b/>
          <w:bCs/>
          <w:color w:val="333333"/>
          <w:sz w:val="20"/>
          <w:szCs w:val="20"/>
        </w:rPr>
        <w:t>BA History, year two, 20-credit module.</w:t>
      </w:r>
      <w:r>
        <w:rPr>
          <w:color w:val="333333"/>
          <w:sz w:val="20"/>
          <w:szCs w:val="20"/>
        </w:rPr>
        <w:t xml:space="preserve"> Inventory: one 3,500-word essay (100%). Purpose: both, with the summative part unsecured. Alignment: outcome says "evaluate historiographical debate"; task rewards synthesis. Score: 11, high; AI output marked at 64. Position: unintended. Plan: retain a 2,000-word essay at AIAS Level 3 with a supervised in-class plan, staged draft and feedback response; add a sampled ten-minute conversation (one in three); add a 45-minute in-class critical response to a passage released on the day (30%). Removed: 1,500 words. Staff time: roughly equal. Equity: in-class task has extra-time and alternative-format provision. Evaluation: AI test on new essay; conversation outcomes; student feedback.</w:t>
      </w:r>
    </w:p>
    <w:p w14:paraId="706DA3E8" w14:textId="77777777" w:rsidR="00D16027" w:rsidRDefault="00000000">
      <w:pPr>
        <w:pBdr>
          <w:left w:val="single" w:sz="14" w:space="10" w:color="4E8A5E"/>
        </w:pBdr>
        <w:shd w:val="clear" w:color="auto" w:fill="EEF6EF"/>
        <w:spacing w:after="60"/>
      </w:pPr>
      <w:r>
        <w:rPr>
          <w:b/>
          <w:bCs/>
          <w:color w:val="333333"/>
          <w:sz w:val="20"/>
          <w:szCs w:val="20"/>
        </w:rPr>
        <w:t>MSc Data Science, core analytics module.</w:t>
      </w:r>
      <w:r>
        <w:rPr>
          <w:color w:val="333333"/>
          <w:sz w:val="20"/>
          <w:szCs w:val="20"/>
        </w:rPr>
        <w:t xml:space="preserve"> Inventory: two coding assignments (30% each), one report (40%). Scores: 8, 8, 9. AI output passed all three comfortably. Position: unintended. Plan: assignments become AI-integrated at Level 4 with an unassisted first attempt, commit-history requirements and an individual code walkthrough; the report uses a cohort-specific dataset released in week eight with a bench-side analysis conversation for every student (cohort of 45). Removed: second assignment merged into first. Staff time: up in the first year for question banks; level thereafter. Evaluation: walkthrough outcomes; mark distribution.</w:t>
      </w:r>
    </w:p>
    <w:p w14:paraId="3935ECCC" w14:textId="77777777" w:rsidR="00D16027" w:rsidRDefault="00000000">
      <w:pPr>
        <w:pBdr>
          <w:left w:val="single" w:sz="14" w:space="10" w:color="4E8A5E"/>
        </w:pBdr>
        <w:shd w:val="clear" w:color="auto" w:fill="EEF6EF"/>
        <w:spacing w:after="200"/>
      </w:pPr>
      <w:r>
        <w:rPr>
          <w:b/>
          <w:bCs/>
          <w:color w:val="333333"/>
          <w:sz w:val="20"/>
          <w:szCs w:val="20"/>
        </w:rPr>
        <w:t>Foundation-year Business, 900 students.</w:t>
      </w:r>
      <w:r>
        <w:rPr>
          <w:color w:val="333333"/>
          <w:sz w:val="20"/>
          <w:szCs w:val="20"/>
        </w:rPr>
        <w:t xml:space="preserve"> Inventory: one 2,000-word report (60%), one MCQ test (40%, online, </w:t>
      </w:r>
      <w:proofErr w:type="spellStart"/>
      <w:r>
        <w:rPr>
          <w:color w:val="333333"/>
          <w:sz w:val="20"/>
          <w:szCs w:val="20"/>
        </w:rPr>
        <w:t>unproctored</w:t>
      </w:r>
      <w:proofErr w:type="spellEnd"/>
      <w:r>
        <w:rPr>
          <w:color w:val="333333"/>
          <w:sz w:val="20"/>
          <w:szCs w:val="20"/>
        </w:rPr>
        <w:t xml:space="preserve">). Scores: 11 and 10. Plan: the MCQ moves to a supervised computer lab (excluded zone); the report is replaced by a two-stage task: an in-class 50-minute structured analysis of a case released on the day (35%) and a short AI-integrated critique at Level 5 of an AI-generated business plan for a named campus enterprise (25%), with a declaration and a one-page reflection. Removed: the unsupervised report. Staff time: falls, because the in-class task is shorter and the critique is marked </w:t>
      </w:r>
      <w:r>
        <w:rPr>
          <w:color w:val="333333"/>
          <w:sz w:val="20"/>
          <w:szCs w:val="20"/>
        </w:rPr>
        <w:lastRenderedPageBreak/>
        <w:t>against a tight rubric. Equity: institution provides the AI tool; adjustments for the in-class task are pre-planned.</w:t>
      </w:r>
    </w:p>
    <w:p w14:paraId="64CA2F24"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A one-afternoon module audit</w:t>
      </w:r>
    </w:p>
    <w:p w14:paraId="3B7F5A89"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Inventory the summative tasks on one sheet (Table 14.1).</w:t>
      </w:r>
    </w:p>
    <w:p w14:paraId="1FC1072C"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Score each on the six dimensions; run the highest-scoring task through two AI tools and mark the output.</w:t>
      </w:r>
    </w:p>
    <w:p w14:paraId="4B3CEED0"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Position each task; circle any in the unintended position.</w:t>
      </w:r>
    </w:p>
    <w:p w14:paraId="7BA27481"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Choose the single highest-priority task and complete the Redesign Planning Template for it, including what will be removed.</w:t>
      </w:r>
    </w:p>
    <w:p w14:paraId="225C7BFD"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Check the plan against Table 14.3. If the change is on the left-hand side, start again.</w:t>
      </w:r>
    </w:p>
    <w:p w14:paraId="510D6DF4"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Send the plan to the programme leader and the external examiner with a one-paragraph rationale.</w:t>
      </w:r>
    </w:p>
    <w:p w14:paraId="0B4009B4" w14:textId="77777777" w:rsidR="00D16027" w:rsidRDefault="00000000">
      <w:pPr>
        <w:pStyle w:val="Heading2"/>
        <w:keepNext/>
      </w:pPr>
      <w:r>
        <w:t>What this means for you</w:t>
      </w:r>
    </w:p>
    <w:p w14:paraId="32C0EC9F"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2E426C6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Audit before you redesign, and redesign one task well rather than three tasks cosmetically.</w:t>
      </w:r>
    </w:p>
    <w:p w14:paraId="454465D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Complete the planning template in full, especially the workload and the removal fields; a redesign that adds without subtracting will not survive.</w:t>
      </w:r>
    </w:p>
    <w:p w14:paraId="6C0376BD"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Evaluate after one cycle and share what you find, including what did not work.</w:t>
      </w:r>
    </w:p>
    <w:p w14:paraId="5BEF331C"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02889C2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the programme-level audit annually, with the coverage check as its centrepiece; task-level vulnerability matters less than whether the programme's claims are assured somewhere secure.</w:t>
      </w:r>
    </w:p>
    <w:p w14:paraId="4DDB5BF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Set a realistic redesign rate, coordinate it across modules so that students meet consistent rules, and time changes to the review cycle.</w:t>
      </w:r>
    </w:p>
    <w:p w14:paraId="7364A7E4"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Keep the audit records and plans as the programme's evidence base for external examiners, professional bodies and institutional review.</w:t>
      </w:r>
    </w:p>
    <w:p w14:paraId="7789C26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AF3A48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Require an assessment audit and action plan from every programme, on the model regulators now expect, with a common template so that results can be compared across the institution.</w:t>
      </w:r>
    </w:p>
    <w:p w14:paraId="6FFC01B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Distinguish minor from major modification clearly and make changes to conditions and evidence within existing outcomes a minor route, so that structural redesign is not blocked by process.</w:t>
      </w:r>
    </w:p>
    <w:p w14:paraId="31DBDE78"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Resource the transition: redesign time in workload models for the first year, a central design service, and recognition for staff who lead.</w:t>
      </w:r>
    </w:p>
    <w:p w14:paraId="5AF27297" w14:textId="77777777" w:rsidR="00D16027" w:rsidRDefault="00000000">
      <w:pPr>
        <w:pStyle w:val="Heading2"/>
        <w:keepNext/>
      </w:pPr>
      <w:r>
        <w:t>Key references for this chapter</w:t>
      </w:r>
    </w:p>
    <w:p w14:paraId="2222F242" w14:textId="77777777" w:rsidR="00D16027" w:rsidRDefault="00000000">
      <w:pPr>
        <w:pStyle w:val="ListParagraph"/>
        <w:numPr>
          <w:ilvl w:val="0"/>
          <w:numId w:val="3"/>
        </w:numPr>
        <w:spacing w:before="30" w:after="50"/>
      </w:pPr>
      <w:r>
        <w:rPr>
          <w:color w:val="333333"/>
          <w:sz w:val="19"/>
          <w:szCs w:val="19"/>
        </w:rPr>
        <w:t xml:space="preserve">Bower, M., Torrington, J., Lai, J.W.M., </w:t>
      </w:r>
      <w:proofErr w:type="spellStart"/>
      <w:r>
        <w:rPr>
          <w:color w:val="333333"/>
          <w:sz w:val="19"/>
          <w:szCs w:val="19"/>
        </w:rPr>
        <w:t>Petocz</w:t>
      </w:r>
      <w:proofErr w:type="spellEnd"/>
      <w:r>
        <w:rPr>
          <w:color w:val="333333"/>
          <w:sz w:val="19"/>
          <w:szCs w:val="19"/>
        </w:rPr>
        <w:t xml:space="preserve">, P. &amp; Alfano, M. (2024) How should we change teaching and assessment in response to increasingly powerful generative artificial intelligence? </w:t>
      </w:r>
      <w:r>
        <w:rPr>
          <w:i/>
          <w:iCs/>
          <w:color w:val="333333"/>
          <w:sz w:val="19"/>
          <w:szCs w:val="19"/>
        </w:rPr>
        <w:t>Education and Information Technologies</w:t>
      </w:r>
      <w:r>
        <w:rPr>
          <w:color w:val="333333"/>
          <w:sz w:val="19"/>
          <w:szCs w:val="19"/>
        </w:rPr>
        <w:t>, 29, 15403–15439.</w:t>
      </w:r>
    </w:p>
    <w:p w14:paraId="31B49AEE"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78A864D7"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6F3177C6"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57CCE7E1" w14:textId="77777777" w:rsidR="00D16027" w:rsidRDefault="00000000">
      <w:pPr>
        <w:pStyle w:val="ListParagraph"/>
        <w:numPr>
          <w:ilvl w:val="0"/>
          <w:numId w:val="3"/>
        </w:numPr>
        <w:spacing w:before="30" w:after="50"/>
      </w:pPr>
      <w:r>
        <w:rPr>
          <w:color w:val="333333"/>
          <w:sz w:val="19"/>
          <w:szCs w:val="19"/>
        </w:rPr>
        <w:t xml:space="preserve">Healey, M., Flint, A. &amp; Harrington, K. (2014) </w:t>
      </w:r>
      <w:r>
        <w:rPr>
          <w:i/>
          <w:iCs/>
          <w:color w:val="333333"/>
          <w:sz w:val="19"/>
          <w:szCs w:val="19"/>
        </w:rPr>
        <w:t>Engagement Through Partnership: Students as Partners in Learning and Teaching in Higher Education</w:t>
      </w:r>
      <w:r>
        <w:rPr>
          <w:color w:val="333333"/>
          <w:sz w:val="19"/>
          <w:szCs w:val="19"/>
        </w:rPr>
        <w:t>. York: Higher Education Academy.</w:t>
      </w:r>
    </w:p>
    <w:p w14:paraId="6AE893CE" w14:textId="77777777" w:rsidR="00D16027" w:rsidRDefault="00000000">
      <w:pPr>
        <w:pStyle w:val="ListParagraph"/>
        <w:numPr>
          <w:ilvl w:val="0"/>
          <w:numId w:val="3"/>
        </w:numPr>
        <w:spacing w:before="30" w:after="50"/>
      </w:pPr>
      <w:r>
        <w:rPr>
          <w:color w:val="333333"/>
          <w:sz w:val="19"/>
          <w:szCs w:val="19"/>
        </w:rPr>
        <w:t xml:space="preserve">Lodge, J.M. et al. (2025) </w:t>
      </w:r>
      <w:r>
        <w:rPr>
          <w:i/>
          <w:iCs/>
          <w:color w:val="333333"/>
          <w:sz w:val="19"/>
          <w:szCs w:val="19"/>
        </w:rPr>
        <w:t>Enacting Assessment Reform in a Time of Artificial Intelligence</w:t>
      </w:r>
      <w:r>
        <w:rPr>
          <w:color w:val="333333"/>
          <w:sz w:val="19"/>
          <w:szCs w:val="19"/>
        </w:rPr>
        <w:t>. Melbourne: TEQSA.</w:t>
      </w:r>
    </w:p>
    <w:p w14:paraId="777B2358"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4A07DB2F"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2A70696D" w14:textId="77777777" w:rsidR="00D16027" w:rsidRDefault="00000000">
      <w:pPr>
        <w:pStyle w:val="ListParagraph"/>
        <w:numPr>
          <w:ilvl w:val="0"/>
          <w:numId w:val="3"/>
        </w:numPr>
        <w:spacing w:before="30" w:after="50"/>
      </w:pPr>
      <w:r>
        <w:rPr>
          <w:color w:val="333333"/>
          <w:sz w:val="19"/>
          <w:szCs w:val="19"/>
        </w:rPr>
        <w:lastRenderedPageBreak/>
        <w:t xml:space="preserve">Perkins, M., Furze, L., Roe, J. &amp; </w:t>
      </w:r>
      <w:proofErr w:type="spellStart"/>
      <w:r>
        <w:rPr>
          <w:color w:val="333333"/>
          <w:sz w:val="19"/>
          <w:szCs w:val="19"/>
        </w:rPr>
        <w:t>MacVaugh</w:t>
      </w:r>
      <w:proofErr w:type="spellEnd"/>
      <w:r>
        <w:rPr>
          <w:color w:val="333333"/>
          <w:sz w:val="19"/>
          <w:szCs w:val="19"/>
        </w:rPr>
        <w:t xml:space="preserve">, J. (2024) The Artificial Intelligence Assessment Scale (AIAS). </w:t>
      </w:r>
      <w:r>
        <w:rPr>
          <w:i/>
          <w:iCs/>
          <w:color w:val="333333"/>
          <w:sz w:val="19"/>
          <w:szCs w:val="19"/>
        </w:rPr>
        <w:t>Journal of University Teaching and Learning Practice</w:t>
      </w:r>
      <w:r>
        <w:rPr>
          <w:color w:val="333333"/>
          <w:sz w:val="19"/>
          <w:szCs w:val="19"/>
        </w:rPr>
        <w:t>, 21(6).</w:t>
      </w:r>
    </w:p>
    <w:p w14:paraId="35893BC9" w14:textId="77777777" w:rsidR="00D16027" w:rsidRDefault="00000000">
      <w:pPr>
        <w:pStyle w:val="ListParagraph"/>
        <w:numPr>
          <w:ilvl w:val="0"/>
          <w:numId w:val="3"/>
        </w:numPr>
        <w:spacing w:before="30" w:after="50"/>
      </w:pPr>
      <w:r>
        <w:rPr>
          <w:color w:val="333333"/>
          <w:sz w:val="19"/>
          <w:szCs w:val="19"/>
        </w:rPr>
        <w:t xml:space="preserve">van der Vleuten, C.P.M. et al. (2012) A model for programmatic assessment fit for purpose. </w:t>
      </w:r>
      <w:r>
        <w:rPr>
          <w:i/>
          <w:iCs/>
          <w:color w:val="333333"/>
          <w:sz w:val="19"/>
          <w:szCs w:val="19"/>
        </w:rPr>
        <w:t>Medical Teacher</w:t>
      </w:r>
      <w:r>
        <w:rPr>
          <w:color w:val="333333"/>
          <w:sz w:val="19"/>
          <w:szCs w:val="19"/>
        </w:rPr>
        <w:t>, 34(3), 205–214.</w:t>
      </w:r>
    </w:p>
    <w:p w14:paraId="6CC768E8" w14:textId="77777777" w:rsidR="00D16027" w:rsidRDefault="00000000">
      <w:r>
        <w:br w:type="page"/>
      </w:r>
    </w:p>
    <w:p w14:paraId="391072C9" w14:textId="77777777" w:rsidR="00D16027" w:rsidRDefault="00000000">
      <w:pPr>
        <w:keepNext/>
        <w:spacing w:after="40"/>
      </w:pPr>
      <w:r>
        <w:rPr>
          <w:b/>
          <w:bCs/>
          <w:caps/>
          <w:color w:val="2E75B6"/>
          <w:sz w:val="22"/>
          <w:szCs w:val="22"/>
        </w:rPr>
        <w:lastRenderedPageBreak/>
        <w:t>CHAPTER 15</w:t>
      </w:r>
    </w:p>
    <w:p w14:paraId="47104F14" w14:textId="77777777" w:rsidR="00D16027" w:rsidRDefault="00000000">
      <w:pPr>
        <w:pStyle w:val="Heading1"/>
        <w:keepNext/>
      </w:pPr>
      <w:r>
        <w:t>Academic Integrity Reimagined</w:t>
      </w:r>
    </w:p>
    <w:p w14:paraId="57B685BC" w14:textId="77777777" w:rsidR="00D16027" w:rsidRDefault="00000000">
      <w:pPr>
        <w:pBdr>
          <w:left w:val="single" w:sz="14" w:space="10" w:color="2E75B6"/>
        </w:pBdr>
        <w:shd w:val="clear" w:color="auto" w:fill="EAF3FB"/>
        <w:spacing w:after="200"/>
      </w:pPr>
      <w:r>
        <w:rPr>
          <w:i/>
          <w:iCs/>
          <w:color w:val="333333"/>
        </w:rPr>
        <w:t>The dominant institutional response to generative AI has been to strengthen detection and enforcement. This chapter argues from the evidence that a design-led approach to integrity is more effective, more educational and more sustainable, and provides practical tools for building a culture of integrity rather than a culture of surveillance.</w:t>
      </w:r>
    </w:p>
    <w:p w14:paraId="1035647A"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6B5C545D"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Know the evidence on AI detection tools and why detection-first strategies fail</w:t>
      </w:r>
    </w:p>
    <w:p w14:paraId="501D6EE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assessment design as the primary integrity mechanism and declaration as the second</w:t>
      </w:r>
    </w:p>
    <w:p w14:paraId="14340B7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AI-use policy that is clear, task-specific and educationally grounded</w:t>
      </w:r>
    </w:p>
    <w:p w14:paraId="2BA826D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Hold honest conversations with students, support those who are confused, and handle suspected misconduct fairly</w:t>
      </w:r>
    </w:p>
    <w:p w14:paraId="6CE643A4" w14:textId="77777777" w:rsidR="00D16027" w:rsidRDefault="00000000">
      <w:pPr>
        <w:pStyle w:val="Heading2"/>
        <w:keepNext/>
      </w:pPr>
      <w:r>
        <w:t>15.1 Why detection-first fails</w:t>
      </w:r>
    </w:p>
    <w:p w14:paraId="58BDE65C" w14:textId="77777777" w:rsidR="00D16027" w:rsidRDefault="00000000">
      <w:pPr>
        <w:spacing w:after="140"/>
      </w:pPr>
      <w:r>
        <w:t>The evidence against AI text detection as an integrity strategy is unusually clear. Weber-Wulff et al. (2023) tested fourteen detection tools, including the market leaders, against human-written, AI-generated, machine-translated, paraphrased and hand-edited texts. None exceeded 80% accuracy; most were below 70%; all were biased towards classifying text as human, so that around a fifth of AI-generated text passed as human even before evasion; and accuracy collapsed to roughly 45% on lightly edited and 31% on paraphrased AI text. Perkins et al. (2024), testing six detectors on 805 samples, found accuracy on unmodified AI text of only 39.5%, falling to 22.1% when simple prompting techniques, of the kind any student can find online, were used to disguise it. OpenAI withdrew its own classifier in July 2023, having reported that it identified only about a quarter of AI text while wrongly flagging nearly a tenth of human text (OpenAI 2023). Turnitin's claim of a document-level false-positive rate below 1% has not been independently confirmed, and even a 1% rate applied to 50,000 submissions a year produces 500 wrongful flags.</w:t>
      </w:r>
    </w:p>
    <w:p w14:paraId="083B33F6" w14:textId="77777777" w:rsidR="00D16027" w:rsidRDefault="00000000">
      <w:pPr>
        <w:spacing w:after="140"/>
      </w:pPr>
      <w:r>
        <w:t>The bias is worse than the inaccuracy. Liang et al. (2023) ran essays by non-native English speakers through seven detectors: 61.3% were classified as AI-generated, one tool flagged 97.8% of them, and the same detectors cleared native-speaker essays almost every time. The mechanism, low measured perplexity in simpler prose, means that the students most exposed are those writing in a second language and some neurodivergent students whose writing is regular and formulaic. Perkins et al. (2024) draw the inclusion consequence explicitly. Dawson (2021) had already argued that assessment security which treats students as suspects carries costs of its own; Dawson, Bearman, Dollinger and Boud (2024) conclude that anti-cheating technology can lower overall validity by damaging inclusion. Eaton (2023) and Cotton, Cotton and Shipway (2023) reach the same practical position: the era of reliable binary judgements between original and copied text is over, and integrity has to be rebuilt on other foundations.</w:t>
      </w:r>
    </w:p>
    <w:p w14:paraId="6245245B" w14:textId="77777777" w:rsidR="00D16027" w:rsidRDefault="00000000">
      <w:pPr>
        <w:pBdr>
          <w:left w:val="single" w:sz="14" w:space="10" w:color="2E75B6"/>
        </w:pBdr>
        <w:shd w:val="clear" w:color="auto" w:fill="EAF3FB"/>
        <w:spacing w:before="80" w:after="160"/>
      </w:pPr>
      <w:r>
        <w:rPr>
          <w:b/>
          <w:bCs/>
          <w:color w:val="333333"/>
        </w:rPr>
        <w:t>Detection is not an integrity strategy.</w:t>
      </w:r>
      <w:r>
        <w:rPr>
          <w:color w:val="333333"/>
        </w:rPr>
        <w:t xml:space="preserve"> It is inaccurate, easily evaded, biased against the students least able to contest it, and corrosive of the trust that learning depends on. A detector score may prompt a conversation; it must never decide a case.</w:t>
      </w:r>
    </w:p>
    <w:p w14:paraId="1190958C" w14:textId="77777777" w:rsidR="00D16027" w:rsidRDefault="00000000">
      <w:pPr>
        <w:pStyle w:val="Heading2"/>
        <w:keepNext/>
      </w:pPr>
      <w:r>
        <w:t>15.2 Design as the primary integrity mechanism</w:t>
      </w:r>
    </w:p>
    <w:p w14:paraId="72C5D135" w14:textId="77777777" w:rsidR="00D16027" w:rsidRDefault="00000000">
      <w:pPr>
        <w:spacing w:after="140"/>
      </w:pPr>
      <w:r>
        <w:t xml:space="preserve">If AI cannot substitute for the construct, the integrity problem shrinks to its proper size. That is the premise of Parts II and III, and it is also the best available evidence on why students cheat. </w:t>
      </w:r>
      <w:proofErr w:type="spellStart"/>
      <w:r>
        <w:t>Bretag</w:t>
      </w:r>
      <w:proofErr w:type="spellEnd"/>
      <w:r>
        <w:t xml:space="preserve"> et al. (2019), surveying more than 14,000 students, found that the strongest predictors of outsourcing were perceived opportunity and dissatisfaction with the learning environment, not individual character. Design removes opportunity where evidence must be secure (Lane 1) and, by making tasks more engaging and more obviously purposeful, reduces the dissatisfaction that drives misconduct in Lane 2. Lodge et al. (2023) place integrity within the broader aim of trustworthy judgement; Corbin, Dawson and Liu (2025) insist that only structural changes achieve it. Chapter 14's audit is therefore also the institution's primary integrity tool: a programme whose portfolio spans </w:t>
      </w:r>
      <w:r>
        <w:lastRenderedPageBreak/>
        <w:t>the spectrum deliberately, with secured points where its claims are made, has an integrity strategy. One that relies on prohibitions and detectors does not.</w:t>
      </w:r>
    </w:p>
    <w:p w14:paraId="29F7C4AF" w14:textId="77777777" w:rsidR="00D16027" w:rsidRDefault="00000000">
      <w:pPr>
        <w:pStyle w:val="Heading2"/>
        <w:keepNext/>
      </w:pPr>
      <w:r>
        <w:t>15.3 Declaration frameworks</w:t>
      </w:r>
    </w:p>
    <w:p w14:paraId="21412CBE" w14:textId="77777777" w:rsidR="00D16027" w:rsidRDefault="00000000">
      <w:pPr>
        <w:spacing w:after="140"/>
      </w:pPr>
      <w:r>
        <w:t xml:space="preserve">The second mechanism is declaration: a structured statement, submitted with the work, of which AI tools were used, for what, to what extent, and how the output was verified. Declaration converts a hidden practice into a documented one, makes the division of labour assessable (Chapter 11), and gives students a habit they will need professionally. The AI Assessment Scale (Perkins, Furze, Roe &amp; </w:t>
      </w:r>
      <w:proofErr w:type="spellStart"/>
      <w:r>
        <w:t>MacVaugh</w:t>
      </w:r>
      <w:proofErr w:type="spellEnd"/>
      <w:r>
        <w:t xml:space="preserve"> 2024) supplies the vocabulary: the declaration states the task's level and what the student did within it. Many institutions now provide templates; the good ones ask for specifics ("I used tool X to generate an outline, which I restructured; to check grammar in sections 2 and 3; and to suggest sources, all of which I verified in the library catalogue") rather than a tick box.</w:t>
      </w:r>
    </w:p>
    <w:p w14:paraId="5C5E2D38" w14:textId="77777777" w:rsidR="00D16027" w:rsidRDefault="00000000">
      <w:pPr>
        <w:spacing w:after="140"/>
      </w:pPr>
      <w:r>
        <w:t>Three policy rules make declarations work. Honest declaration is never penalised: a student who declares use within the task's permitted level has done what was asked. Consequences attach to non-declaration and to use beyond the permitted level, not to use itself. And declarations are read: a declaration that is filed and ignored teaches students that it is a formality. Sydney's approach, in which AI use is permitted by default and declared unless a task is explicitly secured, shows the framework operating at scale (Liu &amp; Bridgeman 2023).</w:t>
      </w:r>
    </w:p>
    <w:p w14:paraId="23F9A007" w14:textId="77777777" w:rsidR="00D16027" w:rsidRDefault="00000000">
      <w:pPr>
        <w:pStyle w:val="Heading2"/>
        <w:keepNext/>
      </w:pPr>
      <w:r>
        <w:t>15.4 Policy that is clear, principled and educationally grounded</w:t>
      </w:r>
    </w:p>
    <w:p w14:paraId="3A7CE87C" w14:textId="77777777" w:rsidR="00D16027" w:rsidRDefault="00000000">
      <w:pPr>
        <w:spacing w:after="140"/>
      </w:pPr>
      <w:r>
        <w:t>Institutional AI policy in 2023 tended towards one of two failures: blanket prohibition, which the HEPI/</w:t>
      </w:r>
      <w:proofErr w:type="spellStart"/>
      <w:r>
        <w:t>Kortext</w:t>
      </w:r>
      <w:proofErr w:type="spellEnd"/>
      <w:r>
        <w:t xml:space="preserve"> finding that 88% of students use AI for assessed work shows to be unenforceable (Freeman 2025), or vague permission of "appropriate use", which Chan (2023) found left staff and students equally unsure what was allowed. Sector guidance has since converged. The Russell Group's (2023) principles commit institutions to AI literacy, staff capability, adapted assessment, academic rigour and shared practice; the QAA's (2023) advice emphasises clarity, consistency and the redesign of assessment; TEQSA's expert report sets the two principles this book has used throughout (Lodge et al. 2023). Chan's (2023) framework organises policy across pedagogical, governance and operational dimensions, and the following elements are the minimum a coherent policy needs.</w:t>
      </w:r>
    </w:p>
    <w:p w14:paraId="64EFC2DF" w14:textId="77777777" w:rsidR="00D16027" w:rsidRDefault="00000000">
      <w:pPr>
        <w:pStyle w:val="ListParagraph"/>
        <w:numPr>
          <w:ilvl w:val="0"/>
          <w:numId w:val="2"/>
        </w:numPr>
        <w:spacing w:before="40" w:after="40"/>
      </w:pPr>
      <w:r>
        <w:rPr>
          <w:b/>
          <w:bCs/>
        </w:rPr>
        <w:t>Definitions</w:t>
      </w:r>
      <w:r>
        <w:t xml:space="preserve"> of generative AI and of the categories of use (planning, drafting, editing, generating, verifying, analysing).</w:t>
      </w:r>
    </w:p>
    <w:p w14:paraId="5D13DF71" w14:textId="77777777" w:rsidR="00D16027" w:rsidRDefault="00000000">
      <w:pPr>
        <w:pStyle w:val="ListParagraph"/>
        <w:numPr>
          <w:ilvl w:val="0"/>
          <w:numId w:val="2"/>
        </w:numPr>
        <w:spacing w:before="40" w:after="40"/>
      </w:pPr>
      <w:r>
        <w:rPr>
          <w:b/>
          <w:bCs/>
        </w:rPr>
        <w:t>Permission set at task level,</w:t>
      </w:r>
      <w:r>
        <w:t xml:space="preserve"> using a common scale, and stated on every brief with a sentence of rationale. Institution-wide bans or permissions are replaced by module-level labels within an institutional framework.</w:t>
      </w:r>
    </w:p>
    <w:p w14:paraId="5E6FEA9C" w14:textId="77777777" w:rsidR="00D16027" w:rsidRDefault="00000000">
      <w:pPr>
        <w:pStyle w:val="ListParagraph"/>
        <w:numPr>
          <w:ilvl w:val="0"/>
          <w:numId w:val="2"/>
        </w:numPr>
        <w:spacing w:before="40" w:after="40"/>
      </w:pPr>
      <w:r>
        <w:rPr>
          <w:b/>
          <w:bCs/>
        </w:rPr>
        <w:t>A declaration requirement</w:t>
      </w:r>
      <w:r>
        <w:t xml:space="preserve"> with a common template and the three rules above.</w:t>
      </w:r>
    </w:p>
    <w:p w14:paraId="0688467B" w14:textId="77777777" w:rsidR="00D16027" w:rsidRDefault="00000000">
      <w:pPr>
        <w:pStyle w:val="ListParagraph"/>
        <w:numPr>
          <w:ilvl w:val="0"/>
          <w:numId w:val="2"/>
        </w:numPr>
        <w:spacing w:before="40" w:after="40"/>
      </w:pPr>
      <w:r>
        <w:rPr>
          <w:b/>
          <w:bCs/>
        </w:rPr>
        <w:t>Staff guidance</w:t>
      </w:r>
      <w:r>
        <w:t xml:space="preserve"> on designing for each level, on what evidence supports a concern, and on what does not (detector scores alone).</w:t>
      </w:r>
    </w:p>
    <w:p w14:paraId="35048E10" w14:textId="77777777" w:rsidR="00D16027" w:rsidRDefault="00000000">
      <w:pPr>
        <w:pStyle w:val="ListParagraph"/>
        <w:numPr>
          <w:ilvl w:val="0"/>
          <w:numId w:val="2"/>
        </w:numPr>
        <w:spacing w:before="40" w:after="40"/>
      </w:pPr>
      <w:r>
        <w:rPr>
          <w:b/>
          <w:bCs/>
        </w:rPr>
        <w:t>Student guidance</w:t>
      </w:r>
      <w:r>
        <w:t xml:space="preserve"> in induction and in every module, with examples of permitted and non-permitted use at each level.</w:t>
      </w:r>
    </w:p>
    <w:p w14:paraId="0ACACA31" w14:textId="77777777" w:rsidR="00D16027" w:rsidRDefault="00000000">
      <w:pPr>
        <w:pStyle w:val="ListParagraph"/>
        <w:numPr>
          <w:ilvl w:val="0"/>
          <w:numId w:val="2"/>
        </w:numPr>
        <w:spacing w:before="40" w:after="40"/>
      </w:pPr>
      <w:r>
        <w:rPr>
          <w:b/>
          <w:bCs/>
        </w:rPr>
        <w:t>A process for suspected misconduct</w:t>
      </w:r>
      <w:r>
        <w:t xml:space="preserve"> that is evidence-based, proportionate and educative (section 15.7).</w:t>
      </w:r>
    </w:p>
    <w:p w14:paraId="20BB6D21" w14:textId="77777777" w:rsidR="00D16027" w:rsidRDefault="00000000">
      <w:pPr>
        <w:pStyle w:val="ListParagraph"/>
        <w:numPr>
          <w:ilvl w:val="0"/>
          <w:numId w:val="2"/>
        </w:numPr>
        <w:spacing w:before="40" w:after="40"/>
      </w:pPr>
      <w:r>
        <w:rPr>
          <w:b/>
          <w:bCs/>
        </w:rPr>
        <w:t>A review cycle,</w:t>
      </w:r>
      <w:r>
        <w:t xml:space="preserve"> at least annual, because both the tools and the sector guidance will change (Chapter 19).</w:t>
      </w:r>
    </w:p>
    <w:p w14:paraId="51564EB9" w14:textId="77777777" w:rsidR="00D16027" w:rsidRDefault="00000000">
      <w:pPr>
        <w:pStyle w:val="Heading2"/>
        <w:keepNext/>
      </w:pPr>
      <w:r>
        <w:t>15.5 Honest conversations with students</w:t>
      </w:r>
    </w:p>
    <w:p w14:paraId="7716F0D6" w14:textId="77777777" w:rsidR="00D16027" w:rsidRDefault="00000000">
      <w:pPr>
        <w:spacing w:after="140"/>
      </w:pPr>
      <w:r>
        <w:t>Students want clarity more than permission. In the HEPI/</w:t>
      </w:r>
      <w:proofErr w:type="spellStart"/>
      <w:r>
        <w:t>Kortext</w:t>
      </w:r>
      <w:proofErr w:type="spellEnd"/>
      <w:r>
        <w:t xml:space="preserve"> survey most students believed their institution had a clear policy, yet the same survey found widespread use in nominally prohibited tasks (Freeman 2025); Chan and Hu (2023) found students concerned about integrity and unsure where the lines were. The response is candour. Tell students what the evidence says about detection and that the institution is not relying on it. Explain why each task sits where it does: this one is in class because the programme needs secure evidence that you can do it unaided; that one permits AI at Level 3 because a practitioner would use it, and we are assessing your judgement. Reframe integrity as a professional value rather than a rule: the International </w:t>
      </w:r>
      <w:proofErr w:type="spellStart"/>
      <w:r>
        <w:t>Center</w:t>
      </w:r>
      <w:proofErr w:type="spellEnd"/>
      <w:r>
        <w:t xml:space="preserve"> for Academic Integrity's </w:t>
      </w:r>
      <w:r>
        <w:lastRenderedPageBreak/>
        <w:t xml:space="preserve">fundamental values (honesty, trust, fairness, respect, responsibility and courage; ICAI 2021) map directly onto the disclosure norms of the professions students will enter. Discuss real dilemmas in class: a peer who pastes AI text; a placement supervisor who asks for an AI-drafted report; a client who does not know. Eaton (2023) argues that in a </w:t>
      </w:r>
      <w:proofErr w:type="spellStart"/>
      <w:r>
        <w:t>postplagiarism</w:t>
      </w:r>
      <w:proofErr w:type="spellEnd"/>
      <w:r>
        <w:t xml:space="preserve"> world the question students must learn to answer is not "did I use AI?" but "can I stand behind this work?".</w:t>
      </w:r>
    </w:p>
    <w:p w14:paraId="46223595" w14:textId="77777777" w:rsidR="00D16027" w:rsidRDefault="00000000">
      <w:pPr>
        <w:pStyle w:val="Heading2"/>
        <w:keepNext/>
      </w:pPr>
      <w:r>
        <w:t>15.6 Supporting students who are confused</w:t>
      </w:r>
    </w:p>
    <w:p w14:paraId="296E6814" w14:textId="77777777" w:rsidR="00D16027" w:rsidRDefault="00000000">
      <w:pPr>
        <w:spacing w:after="140"/>
      </w:pPr>
      <w:r>
        <w:t xml:space="preserve">Most problematic AI use is not calculated. It comes from ambiguity, from habits formed at school, from the reasonable assumption that a tool the university itself promotes must be acceptable, and from the specific confusion of international students about where language support ends and content generation begins. </w:t>
      </w:r>
      <w:proofErr w:type="spellStart"/>
      <w:r>
        <w:t>Bretag</w:t>
      </w:r>
      <w:proofErr w:type="spellEnd"/>
      <w:r>
        <w:t xml:space="preserve"> et al. (2019) found students who spoke a language other than English at home over-represented among those outsourcing work, a finding that reflects pressure and confusion rather than dishonesty. The supports are simple and cheap relative to the cost of misconduct cases: an AI-literacy strand in first-year induction; per-task labels with examples; a published line between language assistance (grammar, clarity, translation of the student's own text) and content generation, applied consistently; academic-skills support that teaches verification and citation of AI; and a route for students to ask before they submit without fear of drawing suspicion. Chapter 16 develops the equity dimension.</w:t>
      </w:r>
    </w:p>
    <w:p w14:paraId="0B9B7DAB" w14:textId="77777777" w:rsidR="00D16027" w:rsidRDefault="00000000">
      <w:pPr>
        <w:pStyle w:val="Heading2"/>
        <w:keepNext/>
      </w:pPr>
      <w:r>
        <w:t>15.7 When misconduct is suspected</w:t>
      </w:r>
    </w:p>
    <w:p w14:paraId="6730B7A6" w14:textId="77777777" w:rsidR="00D16027" w:rsidRDefault="00000000">
      <w:pPr>
        <w:spacing w:after="140"/>
      </w:pPr>
      <w:r>
        <w:t>Cases will still arise, and the process must be fair. The starting point is that a detector score is not evidence of misconduct and should not initiate a case on its own. Table 15.1 sets out the kinds of evidence that can, and their weight. The process begins with a conversation, not an allegation: the student is asked to account for the work, with reference to their process artefacts and, where the design includes one, in a viva. A student who can discuss the work convincingly has answered the question. Where the evidence is strong, outcomes should be proportionate and, for first cases, educative; a student who used AI beyond the permitted level in a confusingly labelled task has a different case from one who submitted a wholly generated dissertation. Before any allegation, consider language background and disability, because both produce writing that superficially resembles machine output. Record the reasoning; provide appeal; and feed every case back into the audit, because a pattern of cases on one task is a design finding.</w:t>
      </w:r>
    </w:p>
    <w:p w14:paraId="530253CA" w14:textId="77777777" w:rsidR="00D16027" w:rsidRDefault="00000000">
      <w:pPr>
        <w:keepNext/>
        <w:spacing w:before="160" w:after="80"/>
      </w:pPr>
      <w:r>
        <w:rPr>
          <w:b/>
          <w:bCs/>
          <w:color w:val="1A4F7A"/>
          <w:sz w:val="20"/>
          <w:szCs w:val="20"/>
        </w:rPr>
        <w:t>Table 15.1  Evidence in suspected AI misconduct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4286"/>
      </w:tblGrid>
      <w:tr w:rsidR="00D16027" w14:paraId="0E9BAAD4" w14:textId="77777777">
        <w:tblPrEx>
          <w:tblCellMar>
            <w:top w:w="0" w:type="dxa"/>
            <w:bottom w:w="0" w:type="dxa"/>
          </w:tblCellMar>
        </w:tblPrEx>
        <w:trPr>
          <w:cantSplit/>
          <w:tblHeader/>
        </w:trPr>
        <w:tc>
          <w:tcPr>
            <w:tcW w:w="3600" w:type="dxa"/>
            <w:shd w:val="clear" w:color="auto" w:fill="2E75B6"/>
            <w:tcMar>
              <w:top w:w="70" w:type="dxa"/>
              <w:left w:w="100" w:type="dxa"/>
              <w:bottom w:w="70" w:type="dxa"/>
              <w:right w:w="100" w:type="dxa"/>
            </w:tcMar>
          </w:tcPr>
          <w:p w14:paraId="1B554939" w14:textId="77777777" w:rsidR="00D16027" w:rsidRDefault="00000000">
            <w:r>
              <w:rPr>
                <w:b/>
                <w:bCs/>
                <w:color w:val="FFFFFF"/>
                <w:sz w:val="19"/>
                <w:szCs w:val="19"/>
              </w:rPr>
              <w:t>Evidence</w:t>
            </w:r>
          </w:p>
        </w:tc>
        <w:tc>
          <w:tcPr>
            <w:tcW w:w="1500" w:type="dxa"/>
            <w:shd w:val="clear" w:color="auto" w:fill="2E75B6"/>
            <w:tcMar>
              <w:top w:w="70" w:type="dxa"/>
              <w:left w:w="100" w:type="dxa"/>
              <w:bottom w:w="70" w:type="dxa"/>
              <w:right w:w="100" w:type="dxa"/>
            </w:tcMar>
          </w:tcPr>
          <w:p w14:paraId="31E6C535" w14:textId="77777777" w:rsidR="00D16027" w:rsidRDefault="00000000">
            <w:r>
              <w:rPr>
                <w:b/>
                <w:bCs/>
                <w:color w:val="FFFFFF"/>
                <w:sz w:val="19"/>
                <w:szCs w:val="19"/>
              </w:rPr>
              <w:t>Weight</w:t>
            </w:r>
          </w:p>
        </w:tc>
        <w:tc>
          <w:tcPr>
            <w:tcW w:w="4286" w:type="dxa"/>
            <w:shd w:val="clear" w:color="auto" w:fill="2E75B6"/>
            <w:tcMar>
              <w:top w:w="70" w:type="dxa"/>
              <w:left w:w="100" w:type="dxa"/>
              <w:bottom w:w="70" w:type="dxa"/>
              <w:right w:w="100" w:type="dxa"/>
            </w:tcMar>
          </w:tcPr>
          <w:p w14:paraId="7D285040" w14:textId="77777777" w:rsidR="00D16027" w:rsidRDefault="00000000">
            <w:r>
              <w:rPr>
                <w:b/>
                <w:bCs/>
                <w:color w:val="FFFFFF"/>
                <w:sz w:val="19"/>
                <w:szCs w:val="19"/>
              </w:rPr>
              <w:t>Notes</w:t>
            </w:r>
          </w:p>
        </w:tc>
      </w:tr>
      <w:tr w:rsidR="00D16027" w14:paraId="608D8C01" w14:textId="77777777">
        <w:tblPrEx>
          <w:tblCellMar>
            <w:top w:w="0" w:type="dxa"/>
            <w:bottom w:w="0" w:type="dxa"/>
          </w:tblCellMar>
        </w:tblPrEx>
        <w:trPr>
          <w:cantSplit/>
        </w:trPr>
        <w:tc>
          <w:tcPr>
            <w:tcW w:w="3600" w:type="dxa"/>
            <w:tcMar>
              <w:top w:w="70" w:type="dxa"/>
              <w:left w:w="100" w:type="dxa"/>
              <w:bottom w:w="70" w:type="dxa"/>
              <w:right w:w="100" w:type="dxa"/>
            </w:tcMar>
          </w:tcPr>
          <w:p w14:paraId="04F538FF" w14:textId="77777777" w:rsidR="00D16027" w:rsidRDefault="00000000">
            <w:r>
              <w:rPr>
                <w:sz w:val="19"/>
                <w:szCs w:val="19"/>
              </w:rPr>
              <w:t>Student cannot account for the work in a viva or conversation</w:t>
            </w:r>
          </w:p>
        </w:tc>
        <w:tc>
          <w:tcPr>
            <w:tcW w:w="1500" w:type="dxa"/>
            <w:tcMar>
              <w:top w:w="70" w:type="dxa"/>
              <w:left w:w="100" w:type="dxa"/>
              <w:bottom w:w="70" w:type="dxa"/>
              <w:right w:w="100" w:type="dxa"/>
            </w:tcMar>
          </w:tcPr>
          <w:p w14:paraId="4E984808" w14:textId="77777777" w:rsidR="00D16027" w:rsidRDefault="00000000">
            <w:r>
              <w:rPr>
                <w:sz w:val="19"/>
                <w:szCs w:val="19"/>
              </w:rPr>
              <w:t>Strong</w:t>
            </w:r>
          </w:p>
        </w:tc>
        <w:tc>
          <w:tcPr>
            <w:tcW w:w="4286" w:type="dxa"/>
            <w:tcMar>
              <w:top w:w="70" w:type="dxa"/>
              <w:left w:w="100" w:type="dxa"/>
              <w:bottom w:w="70" w:type="dxa"/>
              <w:right w:w="100" w:type="dxa"/>
            </w:tcMar>
          </w:tcPr>
          <w:p w14:paraId="431039FE" w14:textId="77777777" w:rsidR="00D16027" w:rsidRDefault="00000000">
            <w:r>
              <w:rPr>
                <w:sz w:val="19"/>
                <w:szCs w:val="19"/>
              </w:rPr>
              <w:t>The single most reliable indicator; requires the conversation to be fair and recorded</w:t>
            </w:r>
          </w:p>
        </w:tc>
      </w:tr>
      <w:tr w:rsidR="00D16027" w14:paraId="7EE15947" w14:textId="77777777">
        <w:tblPrEx>
          <w:tblCellMar>
            <w:top w:w="0" w:type="dxa"/>
            <w:bottom w:w="0" w:type="dxa"/>
          </w:tblCellMar>
        </w:tblPrEx>
        <w:trPr>
          <w:cantSplit/>
        </w:trPr>
        <w:tc>
          <w:tcPr>
            <w:tcW w:w="3600" w:type="dxa"/>
            <w:tcMar>
              <w:top w:w="70" w:type="dxa"/>
              <w:left w:w="100" w:type="dxa"/>
              <w:bottom w:w="70" w:type="dxa"/>
              <w:right w:w="100" w:type="dxa"/>
            </w:tcMar>
          </w:tcPr>
          <w:p w14:paraId="3140EE30" w14:textId="77777777" w:rsidR="00D16027" w:rsidRDefault="00000000">
            <w:r>
              <w:rPr>
                <w:sz w:val="19"/>
                <w:szCs w:val="19"/>
              </w:rPr>
              <w:t>Absence or implausibility of required process artefacts</w:t>
            </w:r>
          </w:p>
        </w:tc>
        <w:tc>
          <w:tcPr>
            <w:tcW w:w="1500" w:type="dxa"/>
            <w:tcMar>
              <w:top w:w="70" w:type="dxa"/>
              <w:left w:w="100" w:type="dxa"/>
              <w:bottom w:w="70" w:type="dxa"/>
              <w:right w:w="100" w:type="dxa"/>
            </w:tcMar>
          </w:tcPr>
          <w:p w14:paraId="22FE6987" w14:textId="77777777" w:rsidR="00D16027" w:rsidRDefault="00000000">
            <w:r>
              <w:rPr>
                <w:sz w:val="19"/>
                <w:szCs w:val="19"/>
              </w:rPr>
              <w:t>Strong</w:t>
            </w:r>
          </w:p>
        </w:tc>
        <w:tc>
          <w:tcPr>
            <w:tcW w:w="4286" w:type="dxa"/>
            <w:tcMar>
              <w:top w:w="70" w:type="dxa"/>
              <w:left w:w="100" w:type="dxa"/>
              <w:bottom w:w="70" w:type="dxa"/>
              <w:right w:w="100" w:type="dxa"/>
            </w:tcMar>
          </w:tcPr>
          <w:p w14:paraId="15231B77" w14:textId="77777777" w:rsidR="00D16027" w:rsidRDefault="00000000">
            <w:r>
              <w:rPr>
                <w:sz w:val="19"/>
                <w:szCs w:val="19"/>
              </w:rPr>
              <w:t>Only where the design required contemporaneous artefacts</w:t>
            </w:r>
          </w:p>
        </w:tc>
      </w:tr>
      <w:tr w:rsidR="00D16027" w14:paraId="232ED11C" w14:textId="77777777">
        <w:tblPrEx>
          <w:tblCellMar>
            <w:top w:w="0" w:type="dxa"/>
            <w:bottom w:w="0" w:type="dxa"/>
          </w:tblCellMar>
        </w:tblPrEx>
        <w:trPr>
          <w:cantSplit/>
        </w:trPr>
        <w:tc>
          <w:tcPr>
            <w:tcW w:w="3600" w:type="dxa"/>
            <w:tcMar>
              <w:top w:w="70" w:type="dxa"/>
              <w:left w:w="100" w:type="dxa"/>
              <w:bottom w:w="70" w:type="dxa"/>
              <w:right w:w="100" w:type="dxa"/>
            </w:tcMar>
          </w:tcPr>
          <w:p w14:paraId="262AE9B6" w14:textId="77777777" w:rsidR="00D16027" w:rsidRDefault="00000000">
            <w:r>
              <w:rPr>
                <w:sz w:val="19"/>
                <w:szCs w:val="19"/>
              </w:rPr>
              <w:t>Marked discontinuity between supervised plan or draft and final submission</w:t>
            </w:r>
          </w:p>
        </w:tc>
        <w:tc>
          <w:tcPr>
            <w:tcW w:w="1500" w:type="dxa"/>
            <w:tcMar>
              <w:top w:w="70" w:type="dxa"/>
              <w:left w:w="100" w:type="dxa"/>
              <w:bottom w:w="70" w:type="dxa"/>
              <w:right w:w="100" w:type="dxa"/>
            </w:tcMar>
          </w:tcPr>
          <w:p w14:paraId="5754BAC4" w14:textId="77777777" w:rsidR="00D16027" w:rsidRDefault="00000000">
            <w:r>
              <w:rPr>
                <w:sz w:val="19"/>
                <w:szCs w:val="19"/>
              </w:rPr>
              <w:t>Moderate to strong</w:t>
            </w:r>
          </w:p>
        </w:tc>
        <w:tc>
          <w:tcPr>
            <w:tcW w:w="4286" w:type="dxa"/>
            <w:tcMar>
              <w:top w:w="70" w:type="dxa"/>
              <w:left w:w="100" w:type="dxa"/>
              <w:bottom w:w="70" w:type="dxa"/>
              <w:right w:w="100" w:type="dxa"/>
            </w:tcMar>
          </w:tcPr>
          <w:p w14:paraId="688DCE43" w14:textId="77777777" w:rsidR="00D16027" w:rsidRDefault="00000000">
            <w:r>
              <w:rPr>
                <w:sz w:val="19"/>
                <w:szCs w:val="19"/>
              </w:rPr>
              <w:t>Requires a secured starting point in the design</w:t>
            </w:r>
          </w:p>
        </w:tc>
      </w:tr>
      <w:tr w:rsidR="00D16027" w14:paraId="3F643F2A" w14:textId="77777777">
        <w:tblPrEx>
          <w:tblCellMar>
            <w:top w:w="0" w:type="dxa"/>
            <w:bottom w:w="0" w:type="dxa"/>
          </w:tblCellMar>
        </w:tblPrEx>
        <w:trPr>
          <w:cantSplit/>
        </w:trPr>
        <w:tc>
          <w:tcPr>
            <w:tcW w:w="3600" w:type="dxa"/>
            <w:tcMar>
              <w:top w:w="70" w:type="dxa"/>
              <w:left w:w="100" w:type="dxa"/>
              <w:bottom w:w="70" w:type="dxa"/>
              <w:right w:w="100" w:type="dxa"/>
            </w:tcMar>
          </w:tcPr>
          <w:p w14:paraId="5618E0CF" w14:textId="77777777" w:rsidR="00D16027" w:rsidRDefault="00000000">
            <w:r>
              <w:rPr>
                <w:sz w:val="19"/>
                <w:szCs w:val="19"/>
              </w:rPr>
              <w:t>Fabricated references or non-existent sources</w:t>
            </w:r>
          </w:p>
        </w:tc>
        <w:tc>
          <w:tcPr>
            <w:tcW w:w="1500" w:type="dxa"/>
            <w:tcMar>
              <w:top w:w="70" w:type="dxa"/>
              <w:left w:w="100" w:type="dxa"/>
              <w:bottom w:w="70" w:type="dxa"/>
              <w:right w:w="100" w:type="dxa"/>
            </w:tcMar>
          </w:tcPr>
          <w:p w14:paraId="13754389" w14:textId="77777777" w:rsidR="00D16027" w:rsidRDefault="00000000">
            <w:r>
              <w:rPr>
                <w:sz w:val="19"/>
                <w:szCs w:val="19"/>
              </w:rPr>
              <w:t>Moderate</w:t>
            </w:r>
          </w:p>
        </w:tc>
        <w:tc>
          <w:tcPr>
            <w:tcW w:w="4286" w:type="dxa"/>
            <w:tcMar>
              <w:top w:w="70" w:type="dxa"/>
              <w:left w:w="100" w:type="dxa"/>
              <w:bottom w:w="70" w:type="dxa"/>
              <w:right w:w="100" w:type="dxa"/>
            </w:tcMar>
          </w:tcPr>
          <w:p w14:paraId="14ACAC8C" w14:textId="77777777" w:rsidR="00D16027" w:rsidRDefault="00000000">
            <w:r>
              <w:rPr>
                <w:sz w:val="19"/>
                <w:szCs w:val="19"/>
              </w:rPr>
              <w:t>Characteristic of AI generation but also of carelessness; verify before inferring</w:t>
            </w:r>
          </w:p>
        </w:tc>
      </w:tr>
      <w:tr w:rsidR="00D16027" w14:paraId="668D597D" w14:textId="77777777">
        <w:tblPrEx>
          <w:tblCellMar>
            <w:top w:w="0" w:type="dxa"/>
            <w:bottom w:w="0" w:type="dxa"/>
          </w:tblCellMar>
        </w:tblPrEx>
        <w:trPr>
          <w:cantSplit/>
        </w:trPr>
        <w:tc>
          <w:tcPr>
            <w:tcW w:w="3600" w:type="dxa"/>
            <w:tcMar>
              <w:top w:w="70" w:type="dxa"/>
              <w:left w:w="100" w:type="dxa"/>
              <w:bottom w:w="70" w:type="dxa"/>
              <w:right w:w="100" w:type="dxa"/>
            </w:tcMar>
          </w:tcPr>
          <w:p w14:paraId="03D812F7" w14:textId="77777777" w:rsidR="00D16027" w:rsidRDefault="00000000">
            <w:r>
              <w:rPr>
                <w:sz w:val="19"/>
                <w:szCs w:val="19"/>
              </w:rPr>
              <w:t>Content that could not have been produced from the student's own data or placement</w:t>
            </w:r>
          </w:p>
        </w:tc>
        <w:tc>
          <w:tcPr>
            <w:tcW w:w="1500" w:type="dxa"/>
            <w:tcMar>
              <w:top w:w="70" w:type="dxa"/>
              <w:left w:w="100" w:type="dxa"/>
              <w:bottom w:w="70" w:type="dxa"/>
              <w:right w:w="100" w:type="dxa"/>
            </w:tcMar>
          </w:tcPr>
          <w:p w14:paraId="135C4601" w14:textId="77777777" w:rsidR="00D16027" w:rsidRDefault="00000000">
            <w:r>
              <w:rPr>
                <w:sz w:val="19"/>
                <w:szCs w:val="19"/>
              </w:rPr>
              <w:t>Moderate</w:t>
            </w:r>
          </w:p>
        </w:tc>
        <w:tc>
          <w:tcPr>
            <w:tcW w:w="4286" w:type="dxa"/>
            <w:tcMar>
              <w:top w:w="70" w:type="dxa"/>
              <w:left w:w="100" w:type="dxa"/>
              <w:bottom w:w="70" w:type="dxa"/>
              <w:right w:w="100" w:type="dxa"/>
            </w:tcMar>
          </w:tcPr>
          <w:p w14:paraId="55F657A6" w14:textId="77777777" w:rsidR="00D16027" w:rsidRDefault="00000000">
            <w:r>
              <w:rPr>
                <w:sz w:val="19"/>
                <w:szCs w:val="19"/>
              </w:rPr>
              <w:t>Check the data trail first</w:t>
            </w:r>
          </w:p>
        </w:tc>
      </w:tr>
      <w:tr w:rsidR="00D16027" w14:paraId="66898074" w14:textId="77777777">
        <w:tblPrEx>
          <w:tblCellMar>
            <w:top w:w="0" w:type="dxa"/>
            <w:bottom w:w="0" w:type="dxa"/>
          </w:tblCellMar>
        </w:tblPrEx>
        <w:trPr>
          <w:cantSplit/>
        </w:trPr>
        <w:tc>
          <w:tcPr>
            <w:tcW w:w="3600" w:type="dxa"/>
            <w:tcMar>
              <w:top w:w="70" w:type="dxa"/>
              <w:left w:w="100" w:type="dxa"/>
              <w:bottom w:w="70" w:type="dxa"/>
              <w:right w:w="100" w:type="dxa"/>
            </w:tcMar>
          </w:tcPr>
          <w:p w14:paraId="57AEF69C" w14:textId="77777777" w:rsidR="00D16027" w:rsidRDefault="00000000">
            <w:r>
              <w:rPr>
                <w:sz w:val="19"/>
                <w:szCs w:val="19"/>
              </w:rPr>
              <w:t>Marker's impression of "AI style"</w:t>
            </w:r>
          </w:p>
        </w:tc>
        <w:tc>
          <w:tcPr>
            <w:tcW w:w="1500" w:type="dxa"/>
            <w:tcMar>
              <w:top w:w="70" w:type="dxa"/>
              <w:left w:w="100" w:type="dxa"/>
              <w:bottom w:w="70" w:type="dxa"/>
              <w:right w:w="100" w:type="dxa"/>
            </w:tcMar>
          </w:tcPr>
          <w:p w14:paraId="6E37B595" w14:textId="77777777" w:rsidR="00D16027" w:rsidRDefault="00000000">
            <w:r>
              <w:rPr>
                <w:sz w:val="19"/>
                <w:szCs w:val="19"/>
              </w:rPr>
              <w:t>Weak</w:t>
            </w:r>
          </w:p>
        </w:tc>
        <w:tc>
          <w:tcPr>
            <w:tcW w:w="4286" w:type="dxa"/>
            <w:tcMar>
              <w:top w:w="70" w:type="dxa"/>
              <w:left w:w="100" w:type="dxa"/>
              <w:bottom w:w="70" w:type="dxa"/>
              <w:right w:w="100" w:type="dxa"/>
            </w:tcMar>
          </w:tcPr>
          <w:p w14:paraId="6A3DF915" w14:textId="77777777" w:rsidR="00D16027" w:rsidRDefault="00000000">
            <w:r>
              <w:rPr>
                <w:sz w:val="19"/>
                <w:szCs w:val="19"/>
              </w:rPr>
              <w:t>Human judgement of style is unreliable and biased; may prompt a conversation, never a finding</w:t>
            </w:r>
          </w:p>
        </w:tc>
      </w:tr>
      <w:tr w:rsidR="00D16027" w14:paraId="53EF47B4" w14:textId="77777777">
        <w:tblPrEx>
          <w:tblCellMar>
            <w:top w:w="0" w:type="dxa"/>
            <w:bottom w:w="0" w:type="dxa"/>
          </w:tblCellMar>
        </w:tblPrEx>
        <w:trPr>
          <w:cantSplit/>
        </w:trPr>
        <w:tc>
          <w:tcPr>
            <w:tcW w:w="3600" w:type="dxa"/>
            <w:tcMar>
              <w:top w:w="70" w:type="dxa"/>
              <w:left w:w="100" w:type="dxa"/>
              <w:bottom w:w="70" w:type="dxa"/>
              <w:right w:w="100" w:type="dxa"/>
            </w:tcMar>
          </w:tcPr>
          <w:p w14:paraId="4411DC93" w14:textId="77777777" w:rsidR="00D16027" w:rsidRDefault="00000000">
            <w:r>
              <w:rPr>
                <w:sz w:val="19"/>
                <w:szCs w:val="19"/>
              </w:rPr>
              <w:t>Detector score</w:t>
            </w:r>
          </w:p>
        </w:tc>
        <w:tc>
          <w:tcPr>
            <w:tcW w:w="1500" w:type="dxa"/>
            <w:tcMar>
              <w:top w:w="70" w:type="dxa"/>
              <w:left w:w="100" w:type="dxa"/>
              <w:bottom w:w="70" w:type="dxa"/>
              <w:right w:w="100" w:type="dxa"/>
            </w:tcMar>
          </w:tcPr>
          <w:p w14:paraId="7C47C598" w14:textId="77777777" w:rsidR="00D16027" w:rsidRDefault="00000000">
            <w:r>
              <w:rPr>
                <w:sz w:val="19"/>
                <w:szCs w:val="19"/>
              </w:rPr>
              <w:t>Weak</w:t>
            </w:r>
          </w:p>
        </w:tc>
        <w:tc>
          <w:tcPr>
            <w:tcW w:w="4286" w:type="dxa"/>
            <w:tcMar>
              <w:top w:w="70" w:type="dxa"/>
              <w:left w:w="100" w:type="dxa"/>
              <w:bottom w:w="70" w:type="dxa"/>
              <w:right w:w="100" w:type="dxa"/>
            </w:tcMar>
          </w:tcPr>
          <w:p w14:paraId="68746262" w14:textId="77777777" w:rsidR="00D16027" w:rsidRDefault="00000000">
            <w:r>
              <w:rPr>
                <w:sz w:val="19"/>
                <w:szCs w:val="19"/>
              </w:rPr>
              <w:t>Unreliable and biased; never the sole or principal basis for a case</w:t>
            </w:r>
          </w:p>
        </w:tc>
      </w:tr>
    </w:tbl>
    <w:p w14:paraId="1D9EB922" w14:textId="77777777" w:rsidR="00D16027" w:rsidRDefault="00D16027">
      <w:pPr>
        <w:spacing w:after="120"/>
      </w:pPr>
    </w:p>
    <w:p w14:paraId="6D3100AD" w14:textId="77777777" w:rsidR="00D16027" w:rsidRDefault="00000000">
      <w:pPr>
        <w:pStyle w:val="Heading2"/>
        <w:keepNext/>
      </w:pPr>
      <w:r>
        <w:lastRenderedPageBreak/>
        <w:t>15.8 Objections</w:t>
      </w:r>
    </w:p>
    <w:p w14:paraId="0BF3D6F3" w14:textId="77777777" w:rsidR="00D16027" w:rsidRDefault="00000000">
      <w:pPr>
        <w:spacing w:after="140"/>
      </w:pPr>
      <w:r>
        <w:t>Two objections deserve an answer. First, detection may improve. Vendors report falling false-positive rates, and at least one independent study in 2026 found near-zero false positives for some tools on some text types. If accuracy on edited and paraphrased text were independently verified above about 95% with no bias by language background or neurodivergence, detection could regain a supporting role. That threshold has not been met, the bias evidence has not been overturned, and the design case does not depend on detection failing: tasks whose evidence is secure do not need a detector. Second, declaration relies on honesty and will be gamed. It will, by some; but a declaration that is read, discussed in a sampled conversation and cross-checked against process artefacts is far harder to game than a prohibition that is checked by nothing, and its main purpose is to make the majority's ordinary use visible and assessable rather than to catch the minority.</w:t>
      </w:r>
    </w:p>
    <w:p w14:paraId="2489E38C" w14:textId="77777777" w:rsidR="00D16027" w:rsidRDefault="00000000">
      <w:pPr>
        <w:pStyle w:val="Heading2"/>
        <w:keepNext/>
      </w:pPr>
      <w:r>
        <w:t>15.9 Building an integrity culture</w:t>
      </w:r>
    </w:p>
    <w:p w14:paraId="58EB3F56" w14:textId="77777777" w:rsidR="00D16027" w:rsidRDefault="00000000">
      <w:pPr>
        <w:spacing w:after="140"/>
      </w:pPr>
      <w:r>
        <w:t xml:space="preserve">Integrity is an institutional property before it is an individual one. </w:t>
      </w:r>
      <w:proofErr w:type="spellStart"/>
      <w:r>
        <w:t>Bretag</w:t>
      </w:r>
      <w:proofErr w:type="spellEnd"/>
      <w:r>
        <w:t xml:space="preserve"> and colleagues' work on institutional approaches shows that policy, pedagogy and professional development have to move together: a policy without redesigned assessment is unenforceable; redesigned assessment without staff development is uneven; both without student partnership are resented. The elements are already in this book. Design that spans the spectrum removes opportunity and improves engagement. Declaration makes AI use visible and assessable. Clear task-level labels remove ambiguity. Candid teaching reframes integrity as a professional value. Fair process protects students and the institution. And review keeps the whole system honest as the tools change. Chapter 17 turns to how such a culture is built within real institutions.</w:t>
      </w:r>
    </w:p>
    <w:p w14:paraId="53E99909"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Integrity in practice</w:t>
      </w:r>
    </w:p>
    <w:p w14:paraId="43A0E375" w14:textId="77777777" w:rsidR="00D16027" w:rsidRDefault="00000000">
      <w:pPr>
        <w:pBdr>
          <w:left w:val="single" w:sz="14" w:space="10" w:color="4E8A5E"/>
        </w:pBdr>
        <w:shd w:val="clear" w:color="auto" w:fill="EEF6EF"/>
        <w:spacing w:after="60"/>
      </w:pPr>
      <w:r>
        <w:rPr>
          <w:b/>
          <w:bCs/>
          <w:color w:val="333333"/>
          <w:sz w:val="20"/>
          <w:szCs w:val="20"/>
        </w:rPr>
        <w:t>Replacing detector triggers.</w:t>
      </w:r>
      <w:r>
        <w:rPr>
          <w:color w:val="333333"/>
          <w:sz w:val="20"/>
          <w:szCs w:val="20"/>
        </w:rPr>
        <w:t xml:space="preserve"> A faculty removes detector scores from its misconduct referral criteria and replaces them with three design-based triggers: inability to account for work in a sampled conversation, absence of required process artefacts, and discontinuity between the supervised plan and the final submission. The intended effects, to be evaluated after a year, are fewer referrals and a higher proportion upheld, because each trigger rests on evidence the student can answer.</w:t>
      </w:r>
    </w:p>
    <w:p w14:paraId="0E42DCA5" w14:textId="77777777" w:rsidR="00D16027" w:rsidRDefault="00000000">
      <w:pPr>
        <w:pBdr>
          <w:left w:val="single" w:sz="14" w:space="10" w:color="4E8A5E"/>
        </w:pBdr>
        <w:shd w:val="clear" w:color="auto" w:fill="EEF6EF"/>
        <w:spacing w:after="60"/>
      </w:pPr>
      <w:r>
        <w:rPr>
          <w:b/>
          <w:bCs/>
          <w:color w:val="333333"/>
          <w:sz w:val="20"/>
          <w:szCs w:val="20"/>
        </w:rPr>
        <w:t>A co-designed first-year module.</w:t>
      </w:r>
      <w:r>
        <w:rPr>
          <w:color w:val="333333"/>
          <w:sz w:val="20"/>
          <w:szCs w:val="20"/>
        </w:rPr>
        <w:t xml:space="preserve"> Students and staff jointly write the integrity strand of induction: six real scenarios, a plain-language guide to the AI Assessment Scale, and a published line between language support and content generation. Student representatives present it.</w:t>
      </w:r>
    </w:p>
    <w:p w14:paraId="361750F4" w14:textId="77777777" w:rsidR="00D16027" w:rsidRDefault="00000000">
      <w:pPr>
        <w:pBdr>
          <w:left w:val="single" w:sz="14" w:space="10" w:color="4E8A5E"/>
        </w:pBdr>
        <w:shd w:val="clear" w:color="auto" w:fill="EEF6EF"/>
        <w:spacing w:after="60"/>
      </w:pPr>
      <w:r>
        <w:rPr>
          <w:b/>
          <w:bCs/>
          <w:color w:val="333333"/>
          <w:sz w:val="20"/>
          <w:szCs w:val="20"/>
        </w:rPr>
        <w:t>A departmental declaration template.</w:t>
      </w:r>
      <w:r>
        <w:rPr>
          <w:color w:val="333333"/>
          <w:sz w:val="20"/>
          <w:szCs w:val="20"/>
        </w:rPr>
        <w:t xml:space="preserve"> A single page, submitted with every unsupervised task: tools used; purpose (planning, drafting, editing, verifying); sections affected; how outputs were checked; one sentence on what the AI got wrong. Markers initial it. Honest declarations within the permitted level are never penalised.</w:t>
      </w:r>
    </w:p>
    <w:p w14:paraId="37895E28" w14:textId="77777777" w:rsidR="00D16027" w:rsidRDefault="00000000">
      <w:pPr>
        <w:pBdr>
          <w:left w:val="single" w:sz="14" w:space="10" w:color="4E8A5E"/>
        </w:pBdr>
        <w:shd w:val="clear" w:color="auto" w:fill="EEF6EF"/>
        <w:spacing w:after="200"/>
      </w:pPr>
      <w:r>
        <w:rPr>
          <w:b/>
          <w:bCs/>
          <w:color w:val="333333"/>
          <w:sz w:val="20"/>
          <w:szCs w:val="20"/>
        </w:rPr>
        <w:t>Handling a case.</w:t>
      </w:r>
      <w:r>
        <w:rPr>
          <w:color w:val="333333"/>
          <w:sz w:val="20"/>
          <w:szCs w:val="20"/>
        </w:rPr>
        <w:t xml:space="preserve"> A marker suspects a second-year essay. The module uses staged submissions; the supervised plan bears no relation to the final. The student is invited to a fifteen-minute conversation with a question bank, cannot explain the argument, and acknowledges that the final was generated. Outcome: the mark is withdrawn, the student completes an integrity workshop and resubmits with a viva. The case is logged against the task for the next audit.</w:t>
      </w:r>
    </w:p>
    <w:p w14:paraId="2BEE033E"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Write your task-level AI statement</w:t>
      </w:r>
    </w:p>
    <w:p w14:paraId="64FF2BC7"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State the AIAS level for the task in one line.</w:t>
      </w:r>
    </w:p>
    <w:p w14:paraId="2C3F4B5C"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Give one sentence of rationale in the student's terms: what the programme needs to know about them from this task.</w:t>
      </w:r>
    </w:p>
    <w:p w14:paraId="133AC8A3"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List three permitted uses and three non-permitted uses at this level, with concrete examples.</w:t>
      </w:r>
    </w:p>
    <w:p w14:paraId="512FE23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State the declaration requirement and attach the template.</w:t>
      </w:r>
    </w:p>
    <w:p w14:paraId="350733E0"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State how the work will be verified: conversation, artefacts, sampling.</w:t>
      </w:r>
    </w:p>
    <w:p w14:paraId="705DD98F"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State what happens if use exceeds the level, and that honest declaration within it is never penalised.</w:t>
      </w:r>
    </w:p>
    <w:p w14:paraId="5B704433" w14:textId="77777777" w:rsidR="00D16027" w:rsidRDefault="00000000">
      <w:pPr>
        <w:pStyle w:val="Heading2"/>
        <w:keepNext/>
      </w:pPr>
      <w:r>
        <w:lastRenderedPageBreak/>
        <w:t>What this means for you</w:t>
      </w:r>
    </w:p>
    <w:p w14:paraId="7CF53F1A"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6782BBD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Stop using detector scores as evidence. Use process artefacts and conversation instead, and design tasks so that both exist.</w:t>
      </w:r>
    </w:p>
    <w:p w14:paraId="1D6CD01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Label every task with its level, its rationale and its permitted uses. Ambiguity is the main cause of misuse.</w:t>
      </w:r>
    </w:p>
    <w:p w14:paraId="7277E9E7"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Read the declarations, and never penalise an honest one.</w:t>
      </w:r>
    </w:p>
    <w:p w14:paraId="7D55442A"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4B250C3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Align levels and declaration templates across the programme; a student who meets one rule in every module will follow it.</w:t>
      </w:r>
    </w:p>
    <w:p w14:paraId="6751CDA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an integrity strand into induction with students as co-authors.</w:t>
      </w:r>
    </w:p>
    <w:p w14:paraId="484A6FCE"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Feed misconduct cases back into the audit; a task that generates cases is a task that needs redesign.</w:t>
      </w:r>
    </w:p>
    <w:p w14:paraId="6AB0154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002CACF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Remove detector scores as a basis for initiating misconduct proceedings, and say so in regulations.</w:t>
      </w:r>
    </w:p>
    <w:p w14:paraId="4CF462B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a common AI-use scale, a common declaration template, and the three rules on honest declaration, institution-wide.</w:t>
      </w:r>
    </w:p>
    <w:p w14:paraId="567BB7EF"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Resource fair process: trained panels, conversation-based inquiry, consideration of language and disability, and educative first outcomes.</w:t>
      </w:r>
    </w:p>
    <w:p w14:paraId="634C2F8D" w14:textId="77777777" w:rsidR="00D16027" w:rsidRDefault="00000000">
      <w:pPr>
        <w:pStyle w:val="Heading2"/>
        <w:keepNext/>
      </w:pPr>
      <w:r>
        <w:t>Key references for this chapter</w:t>
      </w:r>
    </w:p>
    <w:p w14:paraId="7CC92B5B" w14:textId="77777777" w:rsidR="00D16027" w:rsidRDefault="00000000">
      <w:pPr>
        <w:pStyle w:val="ListParagraph"/>
        <w:numPr>
          <w:ilvl w:val="0"/>
          <w:numId w:val="3"/>
        </w:numPr>
        <w:spacing w:before="30" w:after="50"/>
      </w:pPr>
      <w:proofErr w:type="spellStart"/>
      <w:r>
        <w:rPr>
          <w:color w:val="333333"/>
          <w:sz w:val="19"/>
          <w:szCs w:val="19"/>
        </w:rPr>
        <w:t>Bretag</w:t>
      </w:r>
      <w:proofErr w:type="spellEnd"/>
      <w:r>
        <w:rPr>
          <w:color w:val="333333"/>
          <w:sz w:val="19"/>
          <w:szCs w:val="19"/>
        </w:rPr>
        <w:t xml:space="preserve">, T., Harper, R., Burton, M., Ellis, C., Newton, P., Rozenberg, P., Saddiqui, S. &amp; van </w:t>
      </w:r>
      <w:proofErr w:type="spellStart"/>
      <w:r>
        <w:rPr>
          <w:color w:val="333333"/>
          <w:sz w:val="19"/>
          <w:szCs w:val="19"/>
        </w:rPr>
        <w:t>Haeringen</w:t>
      </w:r>
      <w:proofErr w:type="spellEnd"/>
      <w:r>
        <w:rPr>
          <w:color w:val="333333"/>
          <w:sz w:val="19"/>
          <w:szCs w:val="19"/>
        </w:rPr>
        <w:t xml:space="preserve">, K. (2019) Contract cheating: a survey of Australian university students. </w:t>
      </w:r>
      <w:r>
        <w:rPr>
          <w:i/>
          <w:iCs/>
          <w:color w:val="333333"/>
          <w:sz w:val="19"/>
          <w:szCs w:val="19"/>
        </w:rPr>
        <w:t>Studies in Higher Education</w:t>
      </w:r>
      <w:r>
        <w:rPr>
          <w:color w:val="333333"/>
          <w:sz w:val="19"/>
          <w:szCs w:val="19"/>
        </w:rPr>
        <w:t>, 44(11), 1837–1856.</w:t>
      </w:r>
    </w:p>
    <w:p w14:paraId="4C913AEB"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7A8E22C2"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39D86111"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3D1094EE" w14:textId="77777777" w:rsidR="00D16027" w:rsidRDefault="00000000">
      <w:pPr>
        <w:pStyle w:val="ListParagraph"/>
        <w:numPr>
          <w:ilvl w:val="0"/>
          <w:numId w:val="3"/>
        </w:numPr>
        <w:spacing w:before="30" w:after="50"/>
      </w:pPr>
      <w:r>
        <w:rPr>
          <w:color w:val="333333"/>
          <w:sz w:val="19"/>
          <w:szCs w:val="19"/>
        </w:rPr>
        <w:t xml:space="preserve">Cotton, D.R.E., Cotton, P.A. &amp; Shipway, J.R. (2023) Chatting and cheating: ensuring academic integrity in the era of ChatGPT. </w:t>
      </w:r>
      <w:r>
        <w:rPr>
          <w:i/>
          <w:iCs/>
          <w:color w:val="333333"/>
          <w:sz w:val="19"/>
          <w:szCs w:val="19"/>
        </w:rPr>
        <w:t>Innovations in Education and Teaching International</w:t>
      </w:r>
      <w:r>
        <w:rPr>
          <w:color w:val="333333"/>
          <w:sz w:val="19"/>
          <w:szCs w:val="19"/>
        </w:rPr>
        <w:t>, 61(2), 228–239.</w:t>
      </w:r>
    </w:p>
    <w:p w14:paraId="402E3A70" w14:textId="77777777" w:rsidR="00D16027" w:rsidRDefault="00000000">
      <w:pPr>
        <w:pStyle w:val="ListParagraph"/>
        <w:numPr>
          <w:ilvl w:val="0"/>
          <w:numId w:val="3"/>
        </w:numPr>
        <w:spacing w:before="30" w:after="50"/>
      </w:pPr>
      <w:r>
        <w:rPr>
          <w:color w:val="333333"/>
          <w:sz w:val="19"/>
          <w:szCs w:val="19"/>
        </w:rPr>
        <w:t xml:space="preserve">Dawson, P. (2021) </w:t>
      </w:r>
      <w:r>
        <w:rPr>
          <w:i/>
          <w:iCs/>
          <w:color w:val="333333"/>
          <w:sz w:val="19"/>
          <w:szCs w:val="19"/>
        </w:rPr>
        <w:t>Defending Assessment Security in a Digital World</w:t>
      </w:r>
      <w:r>
        <w:rPr>
          <w:color w:val="333333"/>
          <w:sz w:val="19"/>
          <w:szCs w:val="19"/>
        </w:rPr>
        <w:t>. London: Routledge.</w:t>
      </w:r>
    </w:p>
    <w:p w14:paraId="4884BB92"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271CA48F" w14:textId="77777777" w:rsidR="00D16027" w:rsidRDefault="00000000">
      <w:pPr>
        <w:pStyle w:val="ListParagraph"/>
        <w:numPr>
          <w:ilvl w:val="0"/>
          <w:numId w:val="3"/>
        </w:numPr>
        <w:spacing w:before="30" w:after="50"/>
      </w:pPr>
      <w:r>
        <w:rPr>
          <w:color w:val="333333"/>
          <w:sz w:val="19"/>
          <w:szCs w:val="19"/>
        </w:rPr>
        <w:t xml:space="preserve">Eaton, S.E. (2023) </w:t>
      </w:r>
      <w:proofErr w:type="spellStart"/>
      <w:r>
        <w:rPr>
          <w:color w:val="333333"/>
          <w:sz w:val="19"/>
          <w:szCs w:val="19"/>
        </w:rPr>
        <w:t>Postplagiarism</w:t>
      </w:r>
      <w:proofErr w:type="spellEnd"/>
      <w:r>
        <w:rPr>
          <w:color w:val="333333"/>
          <w:sz w:val="19"/>
          <w:szCs w:val="19"/>
        </w:rPr>
        <w:t xml:space="preserve">: transdisciplinary ethics and integrity in the age of artificial intelligence and neurotechnology. </w:t>
      </w:r>
      <w:r>
        <w:rPr>
          <w:i/>
          <w:iCs/>
          <w:color w:val="333333"/>
          <w:sz w:val="19"/>
          <w:szCs w:val="19"/>
        </w:rPr>
        <w:t>International Journal for Educational Integrity</w:t>
      </w:r>
      <w:r>
        <w:rPr>
          <w:color w:val="333333"/>
          <w:sz w:val="19"/>
          <w:szCs w:val="19"/>
        </w:rPr>
        <w:t>, 19, 23.</w:t>
      </w:r>
    </w:p>
    <w:p w14:paraId="10E1D798" w14:textId="77777777" w:rsidR="00D16027" w:rsidRDefault="00000000">
      <w:pPr>
        <w:pStyle w:val="ListParagraph"/>
        <w:numPr>
          <w:ilvl w:val="0"/>
          <w:numId w:val="3"/>
        </w:numPr>
        <w:spacing w:before="30" w:after="50"/>
      </w:pPr>
      <w:r>
        <w:rPr>
          <w:color w:val="333333"/>
          <w:sz w:val="19"/>
          <w:szCs w:val="19"/>
        </w:rPr>
        <w:t xml:space="preserve">Freeman, J. (2025) </w:t>
      </w:r>
      <w:r>
        <w:rPr>
          <w:i/>
          <w:iCs/>
          <w:color w:val="333333"/>
          <w:sz w:val="19"/>
          <w:szCs w:val="19"/>
        </w:rPr>
        <w:t>Student Generative AI Survey 2025</w:t>
      </w:r>
      <w:r>
        <w:rPr>
          <w:color w:val="333333"/>
          <w:sz w:val="19"/>
          <w:szCs w:val="19"/>
        </w:rPr>
        <w:t xml:space="preserve">. HEPI Policy Note 61. Oxford: HEPI / </w:t>
      </w:r>
      <w:proofErr w:type="spellStart"/>
      <w:r>
        <w:rPr>
          <w:color w:val="333333"/>
          <w:sz w:val="19"/>
          <w:szCs w:val="19"/>
        </w:rPr>
        <w:t>Kortext</w:t>
      </w:r>
      <w:proofErr w:type="spellEnd"/>
      <w:r>
        <w:rPr>
          <w:color w:val="333333"/>
          <w:sz w:val="19"/>
          <w:szCs w:val="19"/>
        </w:rPr>
        <w:t>.</w:t>
      </w:r>
    </w:p>
    <w:p w14:paraId="4318AD4C" w14:textId="77777777" w:rsidR="00D16027" w:rsidRDefault="00000000">
      <w:pPr>
        <w:pStyle w:val="ListParagraph"/>
        <w:numPr>
          <w:ilvl w:val="0"/>
          <w:numId w:val="3"/>
        </w:numPr>
        <w:spacing w:before="30" w:after="50"/>
      </w:pPr>
      <w:r>
        <w:rPr>
          <w:color w:val="333333"/>
          <w:sz w:val="19"/>
          <w:szCs w:val="19"/>
        </w:rPr>
        <w:t xml:space="preserve">International </w:t>
      </w:r>
      <w:proofErr w:type="spellStart"/>
      <w:r>
        <w:rPr>
          <w:color w:val="333333"/>
          <w:sz w:val="19"/>
          <w:szCs w:val="19"/>
        </w:rPr>
        <w:t>Center</w:t>
      </w:r>
      <w:proofErr w:type="spellEnd"/>
      <w:r>
        <w:rPr>
          <w:color w:val="333333"/>
          <w:sz w:val="19"/>
          <w:szCs w:val="19"/>
        </w:rPr>
        <w:t xml:space="preserve"> for Academic Integrity (2021) </w:t>
      </w:r>
      <w:r>
        <w:rPr>
          <w:i/>
          <w:iCs/>
          <w:color w:val="333333"/>
          <w:sz w:val="19"/>
          <w:szCs w:val="19"/>
        </w:rPr>
        <w:t>The Fundamental Values of Academic Integrity</w:t>
      </w:r>
      <w:r>
        <w:rPr>
          <w:color w:val="333333"/>
          <w:sz w:val="19"/>
          <w:szCs w:val="19"/>
        </w:rPr>
        <w:t xml:space="preserve"> (3rd ed.). ICAI.</w:t>
      </w:r>
    </w:p>
    <w:p w14:paraId="24BD169A"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0518CB32" w14:textId="77777777" w:rsidR="00D16027" w:rsidRDefault="00000000">
      <w:pPr>
        <w:pStyle w:val="ListParagraph"/>
        <w:numPr>
          <w:ilvl w:val="0"/>
          <w:numId w:val="3"/>
        </w:numPr>
        <w:spacing w:before="30" w:after="50"/>
      </w:pPr>
      <w:r>
        <w:rPr>
          <w:color w:val="333333"/>
          <w:sz w:val="19"/>
          <w:szCs w:val="19"/>
        </w:rPr>
        <w:t xml:space="preserve">Liu, D. &amp; Bridgeman, A. (2023) What to do about assessments if we can't out-design or out-run AI? </w:t>
      </w:r>
      <w:proofErr w:type="spellStart"/>
      <w:r>
        <w:rPr>
          <w:i/>
          <w:iCs/>
          <w:color w:val="333333"/>
          <w:sz w:val="19"/>
          <w:szCs w:val="19"/>
        </w:rPr>
        <w:t>Teaching@Sydney</w:t>
      </w:r>
      <w:proofErr w:type="spellEnd"/>
      <w:r>
        <w:rPr>
          <w:color w:val="333333"/>
          <w:sz w:val="19"/>
          <w:szCs w:val="19"/>
        </w:rPr>
        <w:t>, University of Sydney.</w:t>
      </w:r>
    </w:p>
    <w:p w14:paraId="2337E7F3"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32CA2441" w14:textId="77777777" w:rsidR="00D16027" w:rsidRDefault="00000000">
      <w:pPr>
        <w:pStyle w:val="ListParagraph"/>
        <w:numPr>
          <w:ilvl w:val="0"/>
          <w:numId w:val="3"/>
        </w:numPr>
        <w:spacing w:before="30" w:after="50"/>
      </w:pPr>
      <w:r>
        <w:rPr>
          <w:color w:val="333333"/>
          <w:sz w:val="19"/>
          <w:szCs w:val="19"/>
        </w:rPr>
        <w:t xml:space="preserve">OpenAI (2023) </w:t>
      </w:r>
      <w:r>
        <w:rPr>
          <w:i/>
          <w:iCs/>
          <w:color w:val="333333"/>
          <w:sz w:val="19"/>
          <w:szCs w:val="19"/>
        </w:rPr>
        <w:t>New AI Classifier for Indicating AI-Written Text</w:t>
      </w:r>
      <w:r>
        <w:rPr>
          <w:color w:val="333333"/>
          <w:sz w:val="19"/>
          <w:szCs w:val="19"/>
        </w:rPr>
        <w:t xml:space="preserve"> (updated 20 July 2023: classifier discontinued due to low accuracy). San Francisco: OpenAI.</w:t>
      </w:r>
    </w:p>
    <w:p w14:paraId="0FDD9653" w14:textId="77777777" w:rsidR="00D16027" w:rsidRDefault="00000000">
      <w:pPr>
        <w:pStyle w:val="ListParagraph"/>
        <w:numPr>
          <w:ilvl w:val="0"/>
          <w:numId w:val="3"/>
        </w:numPr>
        <w:spacing w:before="30" w:after="50"/>
      </w:pPr>
      <w:r>
        <w:rPr>
          <w:color w:val="333333"/>
          <w:sz w:val="19"/>
          <w:szCs w:val="19"/>
        </w:rPr>
        <w:t xml:space="preserve">Perkins, M., Furze, L., Roe, J. &amp; </w:t>
      </w:r>
      <w:proofErr w:type="spellStart"/>
      <w:r>
        <w:rPr>
          <w:color w:val="333333"/>
          <w:sz w:val="19"/>
          <w:szCs w:val="19"/>
        </w:rPr>
        <w:t>MacVaugh</w:t>
      </w:r>
      <w:proofErr w:type="spellEnd"/>
      <w:r>
        <w:rPr>
          <w:color w:val="333333"/>
          <w:sz w:val="19"/>
          <w:szCs w:val="19"/>
        </w:rPr>
        <w:t xml:space="preserve">, J. (2024) The Artificial Intelligence Assessment Scale (AIAS). </w:t>
      </w:r>
      <w:r>
        <w:rPr>
          <w:i/>
          <w:iCs/>
          <w:color w:val="333333"/>
          <w:sz w:val="19"/>
          <w:szCs w:val="19"/>
        </w:rPr>
        <w:t>Journal of University Teaching and Learning Practice</w:t>
      </w:r>
      <w:r>
        <w:rPr>
          <w:color w:val="333333"/>
          <w:sz w:val="19"/>
          <w:szCs w:val="19"/>
        </w:rPr>
        <w:t>, 21(6).</w:t>
      </w:r>
    </w:p>
    <w:p w14:paraId="42DCB748" w14:textId="77777777" w:rsidR="00D16027" w:rsidRDefault="00000000">
      <w:pPr>
        <w:pStyle w:val="ListParagraph"/>
        <w:numPr>
          <w:ilvl w:val="0"/>
          <w:numId w:val="3"/>
        </w:numPr>
        <w:spacing w:before="30" w:after="50"/>
      </w:pPr>
      <w:r>
        <w:rPr>
          <w:color w:val="333333"/>
          <w:sz w:val="19"/>
          <w:szCs w:val="19"/>
        </w:rPr>
        <w:t xml:space="preserve">Perkins, M., Roe, J., Vu, B.H., Postma, D., Hickerson, D., McGaughran, J. &amp; Khuat, H.Q. (2024) Simple techniques to bypass GenAI text detectors: implications for inclusive education. </w:t>
      </w:r>
      <w:r>
        <w:rPr>
          <w:i/>
          <w:iCs/>
          <w:color w:val="333333"/>
          <w:sz w:val="19"/>
          <w:szCs w:val="19"/>
        </w:rPr>
        <w:t>International Journal of Educational Technology in Higher Education</w:t>
      </w:r>
      <w:r>
        <w:rPr>
          <w:color w:val="333333"/>
          <w:sz w:val="19"/>
          <w:szCs w:val="19"/>
        </w:rPr>
        <w:t>, 21, 53.</w:t>
      </w:r>
    </w:p>
    <w:p w14:paraId="287029C9" w14:textId="77777777" w:rsidR="00D16027" w:rsidRDefault="00000000">
      <w:pPr>
        <w:pStyle w:val="ListParagraph"/>
        <w:numPr>
          <w:ilvl w:val="0"/>
          <w:numId w:val="3"/>
        </w:numPr>
        <w:spacing w:before="30" w:after="50"/>
      </w:pPr>
      <w:r>
        <w:rPr>
          <w:color w:val="333333"/>
          <w:sz w:val="19"/>
          <w:szCs w:val="19"/>
        </w:rPr>
        <w:lastRenderedPageBreak/>
        <w:t xml:space="preserve">QAA (2023) </w:t>
      </w:r>
      <w:r>
        <w:rPr>
          <w:i/>
          <w:iCs/>
          <w:color w:val="333333"/>
          <w:sz w:val="19"/>
          <w:szCs w:val="19"/>
        </w:rPr>
        <w:t>Maintaining Quality and Standards in the ChatGPT Era: QAA Advice on the Opportunities and Challenges Posed by Generative Artificial Intelligence</w:t>
      </w:r>
      <w:r>
        <w:rPr>
          <w:color w:val="333333"/>
          <w:sz w:val="19"/>
          <w:szCs w:val="19"/>
        </w:rPr>
        <w:t>. Gloucester: Quality Assurance Agency for Higher Education.</w:t>
      </w:r>
    </w:p>
    <w:p w14:paraId="71FFDBAF" w14:textId="77777777" w:rsidR="00D16027" w:rsidRDefault="00000000">
      <w:pPr>
        <w:pStyle w:val="ListParagraph"/>
        <w:numPr>
          <w:ilvl w:val="0"/>
          <w:numId w:val="3"/>
        </w:numPr>
        <w:spacing w:before="30" w:after="50"/>
      </w:pPr>
      <w:r>
        <w:rPr>
          <w:color w:val="333333"/>
          <w:sz w:val="19"/>
          <w:szCs w:val="19"/>
        </w:rPr>
        <w:t xml:space="preserve">Russell Group (2023) </w:t>
      </w:r>
      <w:r>
        <w:rPr>
          <w:i/>
          <w:iCs/>
          <w:color w:val="333333"/>
          <w:sz w:val="19"/>
          <w:szCs w:val="19"/>
        </w:rPr>
        <w:t>Russell Group Principles on the Use of Generative AI Tools in Education</w:t>
      </w:r>
      <w:r>
        <w:rPr>
          <w:color w:val="333333"/>
          <w:sz w:val="19"/>
          <w:szCs w:val="19"/>
        </w:rPr>
        <w:t>. London: Russell Group.</w:t>
      </w:r>
    </w:p>
    <w:p w14:paraId="7F9BB657" w14:textId="77777777" w:rsidR="00D16027" w:rsidRDefault="00000000">
      <w:pPr>
        <w:pStyle w:val="ListParagraph"/>
        <w:numPr>
          <w:ilvl w:val="0"/>
          <w:numId w:val="3"/>
        </w:numPr>
        <w:spacing w:before="30" w:after="50"/>
      </w:pPr>
      <w:r>
        <w:rPr>
          <w:color w:val="333333"/>
          <w:sz w:val="19"/>
          <w:szCs w:val="19"/>
        </w:rPr>
        <w:t xml:space="preserve">Weber-Wulff, D., </w:t>
      </w:r>
      <w:proofErr w:type="spellStart"/>
      <w:r>
        <w:rPr>
          <w:color w:val="333333"/>
          <w:sz w:val="19"/>
          <w:szCs w:val="19"/>
        </w:rPr>
        <w:t>Anohina-Naumeca</w:t>
      </w:r>
      <w:proofErr w:type="spellEnd"/>
      <w:r>
        <w:rPr>
          <w:color w:val="333333"/>
          <w:sz w:val="19"/>
          <w:szCs w:val="19"/>
        </w:rPr>
        <w:t xml:space="preserve">, A., </w:t>
      </w:r>
      <w:proofErr w:type="spellStart"/>
      <w:r>
        <w:rPr>
          <w:color w:val="333333"/>
          <w:sz w:val="19"/>
          <w:szCs w:val="19"/>
        </w:rPr>
        <w:t>Bjelobaba</w:t>
      </w:r>
      <w:proofErr w:type="spellEnd"/>
      <w:r>
        <w:rPr>
          <w:color w:val="333333"/>
          <w:sz w:val="19"/>
          <w:szCs w:val="19"/>
        </w:rPr>
        <w:t xml:space="preserve">, S., </w:t>
      </w:r>
      <w:proofErr w:type="spellStart"/>
      <w:r>
        <w:rPr>
          <w:color w:val="333333"/>
          <w:sz w:val="19"/>
          <w:szCs w:val="19"/>
        </w:rPr>
        <w:t>Foltýnek</w:t>
      </w:r>
      <w:proofErr w:type="spellEnd"/>
      <w:r>
        <w:rPr>
          <w:color w:val="333333"/>
          <w:sz w:val="19"/>
          <w:szCs w:val="19"/>
        </w:rPr>
        <w:t xml:space="preserve">, T., Guerrero-Dib, J., Popoola, O., </w:t>
      </w:r>
      <w:proofErr w:type="spellStart"/>
      <w:r>
        <w:rPr>
          <w:color w:val="333333"/>
          <w:sz w:val="19"/>
          <w:szCs w:val="19"/>
        </w:rPr>
        <w:t>Šigut</w:t>
      </w:r>
      <w:proofErr w:type="spellEnd"/>
      <w:r>
        <w:rPr>
          <w:color w:val="333333"/>
          <w:sz w:val="19"/>
          <w:szCs w:val="19"/>
        </w:rPr>
        <w:t xml:space="preserve">, P. &amp; Waddington, L. (2023) Testing of detection tools for AI-generated text. </w:t>
      </w:r>
      <w:r>
        <w:rPr>
          <w:i/>
          <w:iCs/>
          <w:color w:val="333333"/>
          <w:sz w:val="19"/>
          <w:szCs w:val="19"/>
        </w:rPr>
        <w:t>International Journal for Educational Integrity</w:t>
      </w:r>
      <w:r>
        <w:rPr>
          <w:color w:val="333333"/>
          <w:sz w:val="19"/>
          <w:szCs w:val="19"/>
        </w:rPr>
        <w:t>, 19, 26.</w:t>
      </w:r>
    </w:p>
    <w:p w14:paraId="13AF2BDB" w14:textId="77777777" w:rsidR="00D16027" w:rsidRDefault="00000000">
      <w:r>
        <w:br w:type="page"/>
      </w:r>
    </w:p>
    <w:p w14:paraId="42323AF6" w14:textId="77777777" w:rsidR="00D16027" w:rsidRDefault="00000000">
      <w:pPr>
        <w:keepNext/>
        <w:spacing w:after="40"/>
      </w:pPr>
      <w:r>
        <w:rPr>
          <w:b/>
          <w:bCs/>
          <w:caps/>
          <w:color w:val="2E75B6"/>
          <w:sz w:val="22"/>
          <w:szCs w:val="22"/>
        </w:rPr>
        <w:lastRenderedPageBreak/>
        <w:t>CHAPTER 16</w:t>
      </w:r>
    </w:p>
    <w:p w14:paraId="1C0CD75F" w14:textId="77777777" w:rsidR="00D16027" w:rsidRDefault="00000000">
      <w:pPr>
        <w:pStyle w:val="Heading1"/>
        <w:keepNext/>
      </w:pPr>
      <w:r>
        <w:t>Equity, Inclusion and Access</w:t>
      </w:r>
    </w:p>
    <w:p w14:paraId="33AF0F7C" w14:textId="77777777" w:rsidR="00D16027" w:rsidRDefault="00000000">
      <w:pPr>
        <w:pBdr>
          <w:left w:val="single" w:sz="14" w:space="10" w:color="2E75B6"/>
        </w:pBdr>
        <w:shd w:val="clear" w:color="auto" w:fill="EAF3FB"/>
        <w:spacing w:after="200"/>
      </w:pPr>
      <w:r>
        <w:rPr>
          <w:i/>
          <w:iCs/>
          <w:color w:val="333333"/>
        </w:rPr>
        <w:t>AI-informed assessment redesign carries its own equity risks. Students who cannot access tools, who have lower AI literacy, who write in a second language, who are disabled, or who are disadvantaged by the side-effects of new formats may be further marginalised by reforms designed without them in mind. This chapter builds equity into redesign from the start rather than treating it as an afterthought.</w:t>
      </w:r>
    </w:p>
    <w:p w14:paraId="5DF1D5D2"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21A4C7F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Recognise five equity dimensions: access, AI literacy, language and culture, disability, and the side-effects of redesign itself</w:t>
      </w:r>
    </w:p>
    <w:p w14:paraId="4997E6B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Apply the evidence on where AI and responses to AI fall hardest</w:t>
      </w:r>
    </w:p>
    <w:p w14:paraId="637A8C6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an equity review as a standard step in every redesign</w:t>
      </w:r>
    </w:p>
    <w:p w14:paraId="6F689B9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Identify institutional responsibilities for provision, literacy, policy and monitoring</w:t>
      </w:r>
    </w:p>
    <w:p w14:paraId="1B26B439" w14:textId="77777777" w:rsidR="00D16027" w:rsidRDefault="00000000">
      <w:pPr>
        <w:pStyle w:val="Heading2"/>
        <w:keepNext/>
      </w:pPr>
      <w:r>
        <w:t>16.1 Framing: assessment for inclusion</w:t>
      </w:r>
    </w:p>
    <w:p w14:paraId="36DCAE9F" w14:textId="77777777" w:rsidR="00D16027" w:rsidRDefault="00000000">
      <w:pPr>
        <w:spacing w:after="140"/>
      </w:pPr>
      <w:r>
        <w:t xml:space="preserve">Inclusive assessment has moved, over the past decade, from accommodating individual students after the fact to designing for the variability of the whole cohort from the start. Nieminen (2022) calls this assessment </w:t>
      </w:r>
      <w:r>
        <w:rPr>
          <w:i/>
          <w:iCs/>
        </w:rPr>
        <w:t>for</w:t>
      </w:r>
      <w:r>
        <w:t xml:space="preserve"> inclusion; Tai et al. (2023) set out strategies for building it into design; the Universal Design for Learning framework (CAST 2018) supplies the general principle of multiple means of engagement, representation and expression. Dawson, Bearman, Dollinger and Boud (2024) connect inclusion to validity: an assessment regime that excludes has lost validity, however secure it is. UNESCO's (2023) human-centred guidance, the US Department of Education's (2023) insistence that AI be used to advance equity rather than automate disadvantage, and Holmes and </w:t>
      </w:r>
      <w:proofErr w:type="spellStart"/>
      <w:r>
        <w:t>Porayska-Pomsta's</w:t>
      </w:r>
      <w:proofErr w:type="spellEnd"/>
      <w:r>
        <w:t xml:space="preserve"> (2022) ethical framework all make the same point from the policy side. The awarding gaps by ethnicity, disability and socioeconomic background that every national system records did not begin with AI, but AI-era redesign will either narrow or widen them.</w:t>
      </w:r>
    </w:p>
    <w:p w14:paraId="4B23E147" w14:textId="77777777" w:rsidR="00D16027" w:rsidRDefault="00000000">
      <w:pPr>
        <w:pStyle w:val="Heading2"/>
        <w:keepNext/>
      </w:pPr>
      <w:r>
        <w:t>16.2 Access</w:t>
      </w:r>
    </w:p>
    <w:p w14:paraId="3A8640A0" w14:textId="77777777" w:rsidR="00D16027" w:rsidRDefault="00000000">
      <w:pPr>
        <w:spacing w:after="140"/>
      </w:pPr>
      <w:r>
        <w:t>The HEPI/</w:t>
      </w:r>
      <w:proofErr w:type="spellStart"/>
      <w:r>
        <w:t>Kortext</w:t>
      </w:r>
      <w:proofErr w:type="spellEnd"/>
      <w:r>
        <w:t xml:space="preserve"> survey of UK undergraduates found that only 24% said their institution provided AI tools, while 53% believed it should; that men were around fourteen percentage points more likely than women to have used AI at school; and that use tracked the type of school attended (Freeman 2025). The authors concluded that the digital divide identified a year earlier had widened. Premium tiers of the leading tools cost roughly the price of a textbook every month, and the capability gap between free and paid versions is real: the paid tools reason better, handle documents and data, and make fewer errors. The implications for assessment are direct. Where a task </w:t>
      </w:r>
      <w:r>
        <w:rPr>
          <w:i/>
          <w:iCs/>
        </w:rPr>
        <w:t>requires</w:t>
      </w:r>
      <w:r>
        <w:t xml:space="preserve"> AI use (Chapter 11), the institution must provide the tool, or it has set an assessment that money buys. Where a task </w:t>
      </w:r>
      <w:r>
        <w:rPr>
          <w:i/>
          <w:iCs/>
        </w:rPr>
        <w:t>permits</w:t>
      </w:r>
      <w:r>
        <w:t xml:space="preserve"> AI use, design should assume the free tier, and briefs should say what the institution provides. Where a task excludes AI, the exclusion must be achieved by conditions, since students with better tools will otherwise gain most from a prohibition that is not secured.</w:t>
      </w:r>
    </w:p>
    <w:p w14:paraId="4B6A202D" w14:textId="77777777" w:rsidR="00D16027" w:rsidRDefault="00000000">
      <w:pPr>
        <w:pStyle w:val="Heading2"/>
        <w:keepNext/>
      </w:pPr>
      <w:r>
        <w:t>16.3 AI literacy gaps</w:t>
      </w:r>
    </w:p>
    <w:p w14:paraId="41614753" w14:textId="77777777" w:rsidR="00D16027" w:rsidRDefault="00000000">
      <w:pPr>
        <w:spacing w:after="140"/>
      </w:pPr>
      <w:r>
        <w:t xml:space="preserve">Access to a tool is not the same as the ability to use it well. The Digital Education Council (2024) found 58% of students worldwide feeling they lacked sufficient AI knowledge and skills; HEPI found only 36% of UK students had received institutional support to develop them (Freeman 2025). These gaps are not randomly distributed. Students from schools that taught AI use, students whose families and networks use it professionally, and students with the leisure to experiment arrive with capabilities that first-generation, mature and disadvantaged students may not. Frameworks for AI literacy (Long &amp; </w:t>
      </w:r>
      <w:proofErr w:type="spellStart"/>
      <w:r>
        <w:t>Magerko</w:t>
      </w:r>
      <w:proofErr w:type="spellEnd"/>
      <w:r>
        <w:t xml:space="preserve"> 2020; Ng et al. 2021) describe what needs to be taught: not only operating the tool but evaluating its output, understanding its limits and reasoning about its ethics. The equity response is to embed literacy in the curriculum, early and formatively, rather than to offer optional workshops that the already-confident attend. Chapter 11's integrated tasks are where literacy is assessed; the teaching must come first.</w:t>
      </w:r>
    </w:p>
    <w:p w14:paraId="4BFA00FC" w14:textId="77777777" w:rsidR="00D16027" w:rsidRDefault="00000000">
      <w:pPr>
        <w:pStyle w:val="Heading2"/>
        <w:keepNext/>
      </w:pPr>
      <w:r>
        <w:lastRenderedPageBreak/>
        <w:t>16.4 Language and cultural bias</w:t>
      </w:r>
    </w:p>
    <w:p w14:paraId="5104A879" w14:textId="77777777" w:rsidR="00D16027" w:rsidRDefault="00000000">
      <w:pPr>
        <w:spacing w:after="140"/>
      </w:pPr>
      <w:r>
        <w:t xml:space="preserve">Three biases converge on students writing in a second language. Detectors flag their work at grossly elevated rates, as Liang et al. (2023) showed and Chapter 15 sets out. Automated and AI-assisted marking has a documented record of scoring some groups of non-native writers differently from humans (Bridgeman, Trapani &amp; Attali 2012), and LLM graders inherit stylistic preferences from training corpora dominated by particular varieties of English (Bulut et al. 2024). And policy ambiguity about the line between language support and content generation leaves these students uncertain whether using a tool to correct their grammar, or to translate a sentence they wrote in their own language, is misconduct. Perkins et al. (2024) draw the inclusion implications of detector evasion and bias explicitly. </w:t>
      </w:r>
      <w:proofErr w:type="spellStart"/>
      <w:r>
        <w:t>Bretag</w:t>
      </w:r>
      <w:proofErr w:type="spellEnd"/>
      <w:r>
        <w:t xml:space="preserve"> et al. (2019) found students speaking a language other than English at home over-represented among those outsourcing work, which points to pressure and confusion rather than dishonesty.</w:t>
      </w:r>
    </w:p>
    <w:p w14:paraId="3AC01D7F" w14:textId="77777777" w:rsidR="00D16027" w:rsidRDefault="00000000">
      <w:pPr>
        <w:spacing w:after="140"/>
      </w:pPr>
      <w:r>
        <w:t>The design responses are specific. Detector scores play no part in integrity decisions (Chapter 15). Any AI-assisted marking is equity-reviewed by language background before use (Chapter 13). Policy states plainly, and consistently across modules, that language assistance applied to the student's own content is permitted, and gives examples. And evidence of capability is located in conversation and process, where a student's understanding can be judged directly rather than through the proxy of native-like prose.</w:t>
      </w:r>
    </w:p>
    <w:p w14:paraId="77386E6B" w14:textId="77777777" w:rsidR="00D16027" w:rsidRDefault="00000000">
      <w:pPr>
        <w:pStyle w:val="Heading2"/>
        <w:keepNext/>
      </w:pPr>
      <w:r>
        <w:t>16.5 Disability and accessibility</w:t>
      </w:r>
    </w:p>
    <w:p w14:paraId="4AF1048B" w14:textId="77777777" w:rsidR="00D16027" w:rsidRDefault="00000000">
      <w:pPr>
        <w:spacing w:after="140"/>
      </w:pPr>
      <w:r>
        <w:t>For many disabled students generative AI is assistive technology. It drafts and restructures for students with dyslexia and other specific learning differences; it summarises and organises for students with ADHD; it converts and describes for students with visual impairments; it reduces the load of producing text for students with fatigue conditions and anxiety. A blanket prohibition on AI conflicts with reasonable-adjustment duties under the UK Equality Act 2010 and with equivalent duties elsewhere (the Americans with Disabilities Act, Australia's Disability Discrimination Act 1992 and the Disability Standards for Education 2005, and comparable European provisions), although the precise scope of the duty varies by jurisdiction and institutions should take local advice, and it penalises exactly the students inclusive practice exists to serve. Disability services and assessment designers need a shared position: assistive use within the student's own content, disclosed where required, is legitimate at every level except where the outcome is the unassisted production of text, and that exception should be rare and justified. Two further points follow. Neurodivergent students' writing, which may be unusually regular or formulaic, is flagged by detectors and by markers' "AI style" intuitions at elevated rates; this is a further reason to remove both from integrity decisions. And the formats this book recommends, orals, in-class writing, fieldwork and live demonstration, each need adjustment planned in advance (Chapters 7 and 10), with alternatives that preserve the evidence rather than substitute an unsupervised essay.</w:t>
      </w:r>
    </w:p>
    <w:p w14:paraId="1B482423" w14:textId="77777777" w:rsidR="00D16027" w:rsidRDefault="00000000">
      <w:pPr>
        <w:pStyle w:val="Heading2"/>
        <w:keepNext/>
      </w:pPr>
      <w:r>
        <w:t>16.6 The side-effects of redesign</w:t>
      </w:r>
    </w:p>
    <w:p w14:paraId="399F0BD0" w14:textId="77777777" w:rsidR="00D16027" w:rsidRDefault="00000000">
      <w:pPr>
        <w:spacing w:after="140"/>
      </w:pPr>
      <w:r>
        <w:t>Every design lever in Part III has an equity cost if applied without care. Oral assessment raises anxiety and interacts with language proficiency and cultural norms about speaking to authority. In-class timed writing disadvantages students with processing differences and those whose disability adjustments are hard to apply in a lecture theatre. Fieldwork and client projects demand time, money and mobility that commuter students, carers and students in paid work may not have. Group work distributes contribution unevenly and can isolate international students. Placements are unevenly available and unevenly supportive. Fawns et al. (2024) warn that authenticity pursued without attention to who can participate reproduces disadvantage. None of this argues against the formats; it argues for designing them inclusively. Four principles apply. Provide the context rather than requiring students to find it. Offer choice among equivalent modes. Design for the resource-poor student by default. Keep the evidential core constant (presence, provenance, dialogue) while letting the format vary.</w:t>
      </w:r>
    </w:p>
    <w:p w14:paraId="2594EDC6" w14:textId="77777777" w:rsidR="00D16027" w:rsidRDefault="00000000">
      <w:pPr>
        <w:pStyle w:val="Heading2"/>
        <w:keepNext/>
      </w:pPr>
      <w:r>
        <w:lastRenderedPageBreak/>
        <w:t>16.7 The equity review</w:t>
      </w:r>
    </w:p>
    <w:p w14:paraId="5D729C25" w14:textId="77777777" w:rsidR="00D16027" w:rsidRDefault="00000000">
      <w:pPr>
        <w:spacing w:after="140"/>
      </w:pPr>
      <w:r>
        <w:t>The Redesign Planning Template (Chapter 14) includes an equity check. Table 16.1 expands it into the questions that check should answer. It should be completed before a redesign is approved, revisited after the first cycle with outcome data, and kept with the audit record.</w:t>
      </w:r>
    </w:p>
    <w:p w14:paraId="10DD21C5" w14:textId="77777777" w:rsidR="00D16027" w:rsidRDefault="00000000">
      <w:pPr>
        <w:keepNext/>
        <w:spacing w:before="160" w:after="80"/>
      </w:pPr>
      <w:r>
        <w:rPr>
          <w:b/>
          <w:bCs/>
          <w:color w:val="1A4F7A"/>
          <w:sz w:val="20"/>
          <w:szCs w:val="20"/>
        </w:rPr>
        <w:t>Table 16.1  The equity review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86"/>
      </w:tblGrid>
      <w:tr w:rsidR="00D16027" w14:paraId="53EBBE9D" w14:textId="77777777">
        <w:tblPrEx>
          <w:tblCellMar>
            <w:top w:w="0" w:type="dxa"/>
            <w:bottom w:w="0" w:type="dxa"/>
          </w:tblCellMar>
        </w:tblPrEx>
        <w:trPr>
          <w:cantSplit/>
          <w:tblHeader/>
        </w:trPr>
        <w:tc>
          <w:tcPr>
            <w:tcW w:w="1800" w:type="dxa"/>
            <w:shd w:val="clear" w:color="auto" w:fill="2E75B6"/>
            <w:tcMar>
              <w:top w:w="70" w:type="dxa"/>
              <w:left w:w="100" w:type="dxa"/>
              <w:bottom w:w="70" w:type="dxa"/>
              <w:right w:w="100" w:type="dxa"/>
            </w:tcMar>
          </w:tcPr>
          <w:p w14:paraId="0E652C61" w14:textId="77777777" w:rsidR="00D16027" w:rsidRDefault="00000000">
            <w:r>
              <w:rPr>
                <w:b/>
                <w:bCs/>
                <w:color w:val="FFFFFF"/>
                <w:sz w:val="19"/>
                <w:szCs w:val="19"/>
              </w:rPr>
              <w:t>Dimension</w:t>
            </w:r>
          </w:p>
        </w:tc>
        <w:tc>
          <w:tcPr>
            <w:tcW w:w="7586" w:type="dxa"/>
            <w:shd w:val="clear" w:color="auto" w:fill="2E75B6"/>
            <w:tcMar>
              <w:top w:w="70" w:type="dxa"/>
              <w:left w:w="100" w:type="dxa"/>
              <w:bottom w:w="70" w:type="dxa"/>
              <w:right w:w="100" w:type="dxa"/>
            </w:tcMar>
          </w:tcPr>
          <w:p w14:paraId="5A64465A" w14:textId="77777777" w:rsidR="00D16027" w:rsidRDefault="00000000">
            <w:r>
              <w:rPr>
                <w:b/>
                <w:bCs/>
                <w:color w:val="FFFFFF"/>
                <w:sz w:val="19"/>
                <w:szCs w:val="19"/>
              </w:rPr>
              <w:t>Questions</w:t>
            </w:r>
          </w:p>
        </w:tc>
      </w:tr>
      <w:tr w:rsidR="00D16027" w14:paraId="0FB15A43" w14:textId="77777777">
        <w:tblPrEx>
          <w:tblCellMar>
            <w:top w:w="0" w:type="dxa"/>
            <w:bottom w:w="0" w:type="dxa"/>
          </w:tblCellMar>
        </w:tblPrEx>
        <w:trPr>
          <w:cantSplit/>
        </w:trPr>
        <w:tc>
          <w:tcPr>
            <w:tcW w:w="1800" w:type="dxa"/>
            <w:tcMar>
              <w:top w:w="70" w:type="dxa"/>
              <w:left w:w="100" w:type="dxa"/>
              <w:bottom w:w="70" w:type="dxa"/>
              <w:right w:w="100" w:type="dxa"/>
            </w:tcMar>
          </w:tcPr>
          <w:p w14:paraId="15FC77A9" w14:textId="77777777" w:rsidR="00D16027" w:rsidRDefault="00000000">
            <w:r>
              <w:rPr>
                <w:sz w:val="19"/>
                <w:szCs w:val="19"/>
              </w:rPr>
              <w:t>Access</w:t>
            </w:r>
          </w:p>
        </w:tc>
        <w:tc>
          <w:tcPr>
            <w:tcW w:w="7586" w:type="dxa"/>
            <w:tcMar>
              <w:top w:w="70" w:type="dxa"/>
              <w:left w:w="100" w:type="dxa"/>
              <w:bottom w:w="70" w:type="dxa"/>
              <w:right w:w="100" w:type="dxa"/>
            </w:tcMar>
          </w:tcPr>
          <w:p w14:paraId="11875415" w14:textId="77777777" w:rsidR="00D16027" w:rsidRDefault="00000000">
            <w:r>
              <w:rPr>
                <w:sz w:val="19"/>
                <w:szCs w:val="19"/>
              </w:rPr>
              <w:t>Does the task require, permit or exclude AI? If required, does the institution provide the tool? If permitted, does the design assume the free tier? If excluded, is the exclusion achieved by conditions?</w:t>
            </w:r>
          </w:p>
        </w:tc>
      </w:tr>
      <w:tr w:rsidR="00D16027" w14:paraId="394E3D6C" w14:textId="77777777">
        <w:tblPrEx>
          <w:tblCellMar>
            <w:top w:w="0" w:type="dxa"/>
            <w:bottom w:w="0" w:type="dxa"/>
          </w:tblCellMar>
        </w:tblPrEx>
        <w:trPr>
          <w:cantSplit/>
        </w:trPr>
        <w:tc>
          <w:tcPr>
            <w:tcW w:w="1800" w:type="dxa"/>
            <w:tcMar>
              <w:top w:w="70" w:type="dxa"/>
              <w:left w:w="100" w:type="dxa"/>
              <w:bottom w:w="70" w:type="dxa"/>
              <w:right w:w="100" w:type="dxa"/>
            </w:tcMar>
          </w:tcPr>
          <w:p w14:paraId="21E06B66" w14:textId="77777777" w:rsidR="00D16027" w:rsidRDefault="00000000">
            <w:r>
              <w:rPr>
                <w:sz w:val="19"/>
                <w:szCs w:val="19"/>
              </w:rPr>
              <w:t>AI literacy</w:t>
            </w:r>
          </w:p>
        </w:tc>
        <w:tc>
          <w:tcPr>
            <w:tcW w:w="7586" w:type="dxa"/>
            <w:tcMar>
              <w:top w:w="70" w:type="dxa"/>
              <w:left w:w="100" w:type="dxa"/>
              <w:bottom w:w="70" w:type="dxa"/>
              <w:right w:w="100" w:type="dxa"/>
            </w:tcMar>
          </w:tcPr>
          <w:p w14:paraId="3984DE3B" w14:textId="77777777" w:rsidR="00D16027" w:rsidRDefault="00000000">
            <w:r>
              <w:rPr>
                <w:sz w:val="19"/>
                <w:szCs w:val="19"/>
              </w:rPr>
              <w:t>Has the capability the task assumes been taught, formatively, to every student? Where in the programme?</w:t>
            </w:r>
          </w:p>
        </w:tc>
      </w:tr>
      <w:tr w:rsidR="00D16027" w14:paraId="6DBD8A03" w14:textId="77777777">
        <w:tblPrEx>
          <w:tblCellMar>
            <w:top w:w="0" w:type="dxa"/>
            <w:bottom w:w="0" w:type="dxa"/>
          </w:tblCellMar>
        </w:tblPrEx>
        <w:trPr>
          <w:cantSplit/>
        </w:trPr>
        <w:tc>
          <w:tcPr>
            <w:tcW w:w="1800" w:type="dxa"/>
            <w:tcMar>
              <w:top w:w="70" w:type="dxa"/>
              <w:left w:w="100" w:type="dxa"/>
              <w:bottom w:w="70" w:type="dxa"/>
              <w:right w:w="100" w:type="dxa"/>
            </w:tcMar>
          </w:tcPr>
          <w:p w14:paraId="099736B9" w14:textId="77777777" w:rsidR="00D16027" w:rsidRDefault="00000000">
            <w:r>
              <w:rPr>
                <w:sz w:val="19"/>
                <w:szCs w:val="19"/>
              </w:rPr>
              <w:t>Language</w:t>
            </w:r>
          </w:p>
        </w:tc>
        <w:tc>
          <w:tcPr>
            <w:tcW w:w="7586" w:type="dxa"/>
            <w:tcMar>
              <w:top w:w="70" w:type="dxa"/>
              <w:left w:w="100" w:type="dxa"/>
              <w:bottom w:w="70" w:type="dxa"/>
              <w:right w:w="100" w:type="dxa"/>
            </w:tcMar>
          </w:tcPr>
          <w:p w14:paraId="091B0C8F" w14:textId="77777777" w:rsidR="00D16027" w:rsidRDefault="00000000">
            <w:r>
              <w:rPr>
                <w:sz w:val="19"/>
                <w:szCs w:val="19"/>
              </w:rPr>
              <w:t>Is the line between language assistance and content generation stated with examples? Are detector scores excluded from any decision? Has any AI-assisted marking been checked by language background?</w:t>
            </w:r>
          </w:p>
        </w:tc>
      </w:tr>
      <w:tr w:rsidR="00D16027" w14:paraId="2BCF3889" w14:textId="77777777">
        <w:tblPrEx>
          <w:tblCellMar>
            <w:top w:w="0" w:type="dxa"/>
            <w:bottom w:w="0" w:type="dxa"/>
          </w:tblCellMar>
        </w:tblPrEx>
        <w:trPr>
          <w:cantSplit/>
        </w:trPr>
        <w:tc>
          <w:tcPr>
            <w:tcW w:w="1800" w:type="dxa"/>
            <w:tcMar>
              <w:top w:w="70" w:type="dxa"/>
              <w:left w:w="100" w:type="dxa"/>
              <w:bottom w:w="70" w:type="dxa"/>
              <w:right w:w="100" w:type="dxa"/>
            </w:tcMar>
          </w:tcPr>
          <w:p w14:paraId="1B647A8C" w14:textId="77777777" w:rsidR="00D16027" w:rsidRDefault="00000000">
            <w:r>
              <w:rPr>
                <w:sz w:val="19"/>
                <w:szCs w:val="19"/>
              </w:rPr>
              <w:t>Disability</w:t>
            </w:r>
          </w:p>
        </w:tc>
        <w:tc>
          <w:tcPr>
            <w:tcW w:w="7586" w:type="dxa"/>
            <w:tcMar>
              <w:top w:w="70" w:type="dxa"/>
              <w:left w:w="100" w:type="dxa"/>
              <w:bottom w:w="70" w:type="dxa"/>
              <w:right w:w="100" w:type="dxa"/>
            </w:tcMar>
          </w:tcPr>
          <w:p w14:paraId="78BDFE3C" w14:textId="77777777" w:rsidR="00D16027" w:rsidRDefault="00000000">
            <w:r>
              <w:rPr>
                <w:sz w:val="19"/>
                <w:szCs w:val="19"/>
              </w:rPr>
              <w:t>Are adjustments for the new format pre-planned? Is assistive AI use recognised as legitimate? Do alternatives preserve the evidence?</w:t>
            </w:r>
          </w:p>
        </w:tc>
      </w:tr>
      <w:tr w:rsidR="00D16027" w14:paraId="0E4A745D" w14:textId="77777777">
        <w:tblPrEx>
          <w:tblCellMar>
            <w:top w:w="0" w:type="dxa"/>
            <w:bottom w:w="0" w:type="dxa"/>
          </w:tblCellMar>
        </w:tblPrEx>
        <w:trPr>
          <w:cantSplit/>
        </w:trPr>
        <w:tc>
          <w:tcPr>
            <w:tcW w:w="1800" w:type="dxa"/>
            <w:tcMar>
              <w:top w:w="70" w:type="dxa"/>
              <w:left w:w="100" w:type="dxa"/>
              <w:bottom w:w="70" w:type="dxa"/>
              <w:right w:w="100" w:type="dxa"/>
            </w:tcMar>
          </w:tcPr>
          <w:p w14:paraId="47B8B99C" w14:textId="77777777" w:rsidR="00D16027" w:rsidRDefault="00000000">
            <w:r>
              <w:rPr>
                <w:sz w:val="19"/>
                <w:szCs w:val="19"/>
              </w:rPr>
              <w:t>Side-effects</w:t>
            </w:r>
          </w:p>
        </w:tc>
        <w:tc>
          <w:tcPr>
            <w:tcW w:w="7586" w:type="dxa"/>
            <w:tcMar>
              <w:top w:w="70" w:type="dxa"/>
              <w:left w:w="100" w:type="dxa"/>
              <w:bottom w:w="70" w:type="dxa"/>
              <w:right w:w="100" w:type="dxa"/>
            </w:tcMar>
          </w:tcPr>
          <w:p w14:paraId="14B56759" w14:textId="77777777" w:rsidR="00D16027" w:rsidRDefault="00000000">
            <w:r>
              <w:rPr>
                <w:sz w:val="19"/>
                <w:szCs w:val="19"/>
              </w:rPr>
              <w:t>Who cannot easily do this task as designed (time, money, mobility, caring, anxiety, group dynamics)? Is the context provided? Is there choice? Is the default resource-poor?</w:t>
            </w:r>
          </w:p>
        </w:tc>
      </w:tr>
      <w:tr w:rsidR="00D16027" w14:paraId="2FB65A6E" w14:textId="77777777">
        <w:tblPrEx>
          <w:tblCellMar>
            <w:top w:w="0" w:type="dxa"/>
            <w:bottom w:w="0" w:type="dxa"/>
          </w:tblCellMar>
        </w:tblPrEx>
        <w:trPr>
          <w:cantSplit/>
        </w:trPr>
        <w:tc>
          <w:tcPr>
            <w:tcW w:w="1800" w:type="dxa"/>
            <w:tcMar>
              <w:top w:w="70" w:type="dxa"/>
              <w:left w:w="100" w:type="dxa"/>
              <w:bottom w:w="70" w:type="dxa"/>
              <w:right w:w="100" w:type="dxa"/>
            </w:tcMar>
          </w:tcPr>
          <w:p w14:paraId="595EBBA5" w14:textId="77777777" w:rsidR="00D16027" w:rsidRDefault="00000000">
            <w:r>
              <w:rPr>
                <w:sz w:val="19"/>
                <w:szCs w:val="19"/>
              </w:rPr>
              <w:t>Data and monitoring</w:t>
            </w:r>
          </w:p>
        </w:tc>
        <w:tc>
          <w:tcPr>
            <w:tcW w:w="7586" w:type="dxa"/>
            <w:tcMar>
              <w:top w:w="70" w:type="dxa"/>
              <w:left w:w="100" w:type="dxa"/>
              <w:bottom w:w="70" w:type="dxa"/>
              <w:right w:w="100" w:type="dxa"/>
            </w:tcMar>
          </w:tcPr>
          <w:p w14:paraId="22519B0F" w14:textId="77777777" w:rsidR="00D16027" w:rsidRDefault="00000000">
            <w:r>
              <w:rPr>
                <w:sz w:val="19"/>
                <w:szCs w:val="19"/>
              </w:rPr>
              <w:t>Will outcomes be monitored by ethnicity, disability, language background and socioeconomic indicator after the first cycle? Who reviews the result?</w:t>
            </w:r>
          </w:p>
        </w:tc>
      </w:tr>
    </w:tbl>
    <w:p w14:paraId="01B7E87C" w14:textId="77777777" w:rsidR="00D16027" w:rsidRDefault="00D16027">
      <w:pPr>
        <w:spacing w:after="120"/>
      </w:pPr>
    </w:p>
    <w:p w14:paraId="075E8B35" w14:textId="77777777" w:rsidR="00D16027" w:rsidRDefault="00000000">
      <w:pPr>
        <w:pStyle w:val="Heading2"/>
        <w:keepNext/>
      </w:pPr>
      <w:r>
        <w:t>16.8 Institutional responsibilities</w:t>
      </w:r>
    </w:p>
    <w:p w14:paraId="510F1F89" w14:textId="77777777" w:rsidR="00D16027" w:rsidRDefault="00000000">
      <w:pPr>
        <w:spacing w:after="140"/>
      </w:pPr>
      <w:r>
        <w:t xml:space="preserve">Individual designers cannot close access gaps or licence tools. Institutions can, and the evidence assigns them five responsibilities. </w:t>
      </w:r>
      <w:r>
        <w:rPr>
          <w:b/>
          <w:bCs/>
        </w:rPr>
        <w:t>Provision</w:t>
      </w:r>
      <w:r>
        <w:t xml:space="preserve">: licensed AI tools available to every student, at least at the level any assessment requires, with data-protection agreements in place. </w:t>
      </w:r>
      <w:r>
        <w:rPr>
          <w:b/>
          <w:bCs/>
        </w:rPr>
        <w:t>Literacy</w:t>
      </w:r>
      <w:r>
        <w:t xml:space="preserve">: an AI-literacy entitlement embedded in every programme's first year, taught and assessed, with staff development to match. </w:t>
      </w:r>
      <w:r>
        <w:rPr>
          <w:b/>
          <w:bCs/>
        </w:rPr>
        <w:t>Policy</w:t>
      </w:r>
      <w:r>
        <w:t xml:space="preserve">: institution-wide clarity on language assistance and assistive use, consistent across modules, and the removal of detector scores from integrity processes. </w:t>
      </w:r>
      <w:r>
        <w:rPr>
          <w:b/>
          <w:bCs/>
        </w:rPr>
        <w:t>Alignment</w:t>
      </w:r>
      <w:r>
        <w:t xml:space="preserve">: assessment design, disability services, international student support and integrity processes working from one position rather than four. </w:t>
      </w:r>
      <w:r>
        <w:rPr>
          <w:b/>
          <w:bCs/>
        </w:rPr>
        <w:t>Monitoring</w:t>
      </w:r>
      <w:r>
        <w:t>: awarding gaps tracked before and after redesign, by module and by format, with the results reported to the body responsible for access and participation and acted upon. Chan (2023) found governance and operational support the weakest dimensions of institutional AI policy; equity is where that weakness does the most harm.</w:t>
      </w:r>
    </w:p>
    <w:p w14:paraId="4C39ACD7"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Equity in practice</w:t>
      </w:r>
    </w:p>
    <w:p w14:paraId="5BA89C1B" w14:textId="77777777" w:rsidR="00D16027" w:rsidRDefault="00000000">
      <w:pPr>
        <w:pBdr>
          <w:left w:val="single" w:sz="14" w:space="10" w:color="4E8A5E"/>
        </w:pBdr>
        <w:shd w:val="clear" w:color="auto" w:fill="EEF6EF"/>
        <w:spacing w:after="60"/>
      </w:pPr>
      <w:r>
        <w:rPr>
          <w:b/>
          <w:bCs/>
          <w:color w:val="333333"/>
          <w:sz w:val="20"/>
          <w:szCs w:val="20"/>
        </w:rPr>
        <w:t>Provision.</w:t>
      </w:r>
      <w:r>
        <w:rPr>
          <w:color w:val="333333"/>
          <w:sz w:val="20"/>
          <w:szCs w:val="20"/>
        </w:rPr>
        <w:t xml:space="preserve"> An institution licenses an enterprise AI tool for all students and staff, publishes which assessments require it, and states on every brief that the design assumes the licensed tool. Briefs that permit AI note that free tiers are sufficient.</w:t>
      </w:r>
    </w:p>
    <w:p w14:paraId="6E799624" w14:textId="77777777" w:rsidR="00D16027" w:rsidRDefault="00000000">
      <w:pPr>
        <w:pBdr>
          <w:left w:val="single" w:sz="14" w:space="10" w:color="4E8A5E"/>
        </w:pBdr>
        <w:shd w:val="clear" w:color="auto" w:fill="EEF6EF"/>
        <w:spacing w:after="60"/>
      </w:pPr>
      <w:r>
        <w:rPr>
          <w:b/>
          <w:bCs/>
          <w:color w:val="333333"/>
          <w:sz w:val="20"/>
          <w:szCs w:val="20"/>
        </w:rPr>
        <w:t>Alternative modes.</w:t>
      </w:r>
      <w:r>
        <w:rPr>
          <w:color w:val="333333"/>
          <w:sz w:val="20"/>
          <w:szCs w:val="20"/>
        </w:rPr>
        <w:t xml:space="preserve"> A second-year oral assessment offers three modes of equivalent evidence: a live viva, a recorded response to released questions with a short live follow-up, and a written response under supervised conditions followed by a brief conversation. Students choose; assessors use the same rubric.</w:t>
      </w:r>
    </w:p>
    <w:p w14:paraId="4981D737" w14:textId="77777777" w:rsidR="00D16027" w:rsidRDefault="00000000">
      <w:pPr>
        <w:pBdr>
          <w:left w:val="single" w:sz="14" w:space="10" w:color="4E8A5E"/>
        </w:pBdr>
        <w:shd w:val="clear" w:color="auto" w:fill="EEF6EF"/>
        <w:spacing w:after="60"/>
      </w:pPr>
      <w:r>
        <w:rPr>
          <w:b/>
          <w:bCs/>
          <w:color w:val="333333"/>
          <w:sz w:val="20"/>
          <w:szCs w:val="20"/>
        </w:rPr>
        <w:t>A language line.</w:t>
      </w:r>
      <w:r>
        <w:rPr>
          <w:color w:val="333333"/>
          <w:sz w:val="20"/>
          <w:szCs w:val="20"/>
        </w:rPr>
        <w:t xml:space="preserve"> A faculty publishes a one-page statement, with examples, that using AI to check grammar, improve clarity or translate the student's own draft is permitted at every level from AIAS 2 upwards, and that generating content is governed by the task's level. The statement is repeated in every module handbook.</w:t>
      </w:r>
    </w:p>
    <w:p w14:paraId="152A47CD" w14:textId="77777777" w:rsidR="00D16027" w:rsidRDefault="00000000">
      <w:pPr>
        <w:pBdr>
          <w:left w:val="single" w:sz="14" w:space="10" w:color="4E8A5E"/>
        </w:pBdr>
        <w:shd w:val="clear" w:color="auto" w:fill="EEF6EF"/>
        <w:spacing w:after="200"/>
      </w:pPr>
      <w:r>
        <w:rPr>
          <w:b/>
          <w:bCs/>
          <w:color w:val="333333"/>
          <w:sz w:val="20"/>
          <w:szCs w:val="20"/>
        </w:rPr>
        <w:t>Monitoring.</w:t>
      </w:r>
      <w:r>
        <w:rPr>
          <w:color w:val="333333"/>
          <w:sz w:val="20"/>
          <w:szCs w:val="20"/>
        </w:rPr>
        <w:t xml:space="preserve"> After a programme replaces unsupervised essays with staged, dialogic tasks, the programme team compares awarding gaps by ethnicity, disability and language background across the two years. Suppose the gap for disabled students narrows but the gap for students with English as an additional language does not: the oral component is then reviewed and content criteria reweighted above communication criteria. The point of monitoring is that the response is decided by the data, not assumed.</w:t>
      </w:r>
    </w:p>
    <w:p w14:paraId="12114FC1"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lastRenderedPageBreak/>
        <w:t>Try this  |  Equity review of one redesign</w:t>
      </w:r>
    </w:p>
    <w:p w14:paraId="3D2D4F25"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Work through the six dimensions of Table 16.1 with a colleague from disability services or student support.</w:t>
      </w:r>
    </w:p>
    <w:p w14:paraId="0E42027B"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For each "no" or "unsure", write the design change that would make it a "yes".</w:t>
      </w:r>
    </w:p>
    <w:p w14:paraId="1565D977"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Identify the student who would find the task hardest as designed. Redesign the default for that student.</w:t>
      </w:r>
    </w:p>
    <w:p w14:paraId="7F546738"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Write the language-assistance line into the brief with two examples.</w:t>
      </w:r>
    </w:p>
    <w:p w14:paraId="6408CA00"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Diary the outcome review after the first cycle, and name who will look at the data.</w:t>
      </w:r>
    </w:p>
    <w:p w14:paraId="403A492D" w14:textId="77777777" w:rsidR="00D16027" w:rsidRDefault="00000000">
      <w:pPr>
        <w:pStyle w:val="Heading2"/>
        <w:keepNext/>
      </w:pPr>
      <w:r>
        <w:t>What this means for you</w:t>
      </w:r>
    </w:p>
    <w:p w14:paraId="171621C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4719E43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Assume the free tier, plan the adjustments, and state the language line on every brief.</w:t>
      </w:r>
    </w:p>
    <w:p w14:paraId="475522E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Design orals, in-class tasks and fieldwork for the student with the fewest resources; let others choose richer options.</w:t>
      </w:r>
    </w:p>
    <w:p w14:paraId="282869E8"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Never let a detector score or a stylistic hunch start a case; both fall hardest on second-language and neurodivergent students.</w:t>
      </w:r>
    </w:p>
    <w:p w14:paraId="3173C46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41422BB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Embed AI literacy in year one, taught and assessed, so that the capability integrated tasks assume is not left to chance or background.</w:t>
      </w:r>
    </w:p>
    <w:p w14:paraId="2294AB5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Run the equity review on every redesign and monitor awarding gaps by format after the first cycle.</w:t>
      </w:r>
    </w:p>
    <w:p w14:paraId="3C7E96A7"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Work with disability services and international student support to agree one programme position on assistive and language use.</w:t>
      </w:r>
    </w:p>
    <w:p w14:paraId="5F666147"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5AECE1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Licence AI tools for all students and staff, with data-protection cover, and treat this as an access obligation.</w:t>
      </w:r>
    </w:p>
    <w:p w14:paraId="4E2608E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Publish an institutional position on assistive and language-support use of AI, and remove detector scores from integrity processes.</w:t>
      </w:r>
    </w:p>
    <w:p w14:paraId="24303BCB"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Report awarding gaps by assessment format to the body responsible for access and participation, and require action on what is found.</w:t>
      </w:r>
    </w:p>
    <w:p w14:paraId="6972A539" w14:textId="77777777" w:rsidR="00D16027" w:rsidRDefault="00000000">
      <w:pPr>
        <w:pStyle w:val="Heading2"/>
        <w:keepNext/>
      </w:pPr>
      <w:r>
        <w:t>Key references for this chapter</w:t>
      </w:r>
    </w:p>
    <w:p w14:paraId="6E396AAC" w14:textId="77777777" w:rsidR="00D16027" w:rsidRDefault="00000000">
      <w:pPr>
        <w:pStyle w:val="ListParagraph"/>
        <w:numPr>
          <w:ilvl w:val="0"/>
          <w:numId w:val="3"/>
        </w:numPr>
        <w:spacing w:before="30" w:after="50"/>
      </w:pPr>
      <w:proofErr w:type="spellStart"/>
      <w:r>
        <w:rPr>
          <w:color w:val="333333"/>
          <w:sz w:val="19"/>
          <w:szCs w:val="19"/>
        </w:rPr>
        <w:t>Bretag</w:t>
      </w:r>
      <w:proofErr w:type="spellEnd"/>
      <w:r>
        <w:rPr>
          <w:color w:val="333333"/>
          <w:sz w:val="19"/>
          <w:szCs w:val="19"/>
        </w:rPr>
        <w:t xml:space="preserve">, T. et al. (2019) Contract cheating: a survey of Australian university students. </w:t>
      </w:r>
      <w:r>
        <w:rPr>
          <w:i/>
          <w:iCs/>
          <w:color w:val="333333"/>
          <w:sz w:val="19"/>
          <w:szCs w:val="19"/>
        </w:rPr>
        <w:t>Studies in Higher Education</w:t>
      </w:r>
      <w:r>
        <w:rPr>
          <w:color w:val="333333"/>
          <w:sz w:val="19"/>
          <w:szCs w:val="19"/>
        </w:rPr>
        <w:t>, 44(11), 1837–1856.</w:t>
      </w:r>
    </w:p>
    <w:p w14:paraId="2BBE4910" w14:textId="77777777" w:rsidR="00D16027" w:rsidRDefault="00000000">
      <w:pPr>
        <w:pStyle w:val="ListParagraph"/>
        <w:numPr>
          <w:ilvl w:val="0"/>
          <w:numId w:val="3"/>
        </w:numPr>
        <w:spacing w:before="30" w:after="50"/>
      </w:pPr>
      <w:r>
        <w:rPr>
          <w:color w:val="333333"/>
          <w:sz w:val="19"/>
          <w:szCs w:val="19"/>
        </w:rPr>
        <w:t xml:space="preserve">Bridgeman, B., Trapani, C. &amp; Attali, Y. (2012) Comparison of human and machine scoring of essays: differences by gender, ethnicity, and country. </w:t>
      </w:r>
      <w:r>
        <w:rPr>
          <w:i/>
          <w:iCs/>
          <w:color w:val="333333"/>
          <w:sz w:val="19"/>
          <w:szCs w:val="19"/>
        </w:rPr>
        <w:t>Applied Measurement in Education</w:t>
      </w:r>
      <w:r>
        <w:rPr>
          <w:color w:val="333333"/>
          <w:sz w:val="19"/>
          <w:szCs w:val="19"/>
        </w:rPr>
        <w:t>, 25(1), 27–40.</w:t>
      </w:r>
    </w:p>
    <w:p w14:paraId="3E05B8F7" w14:textId="77777777" w:rsidR="00D16027" w:rsidRDefault="00000000">
      <w:pPr>
        <w:pStyle w:val="ListParagraph"/>
        <w:numPr>
          <w:ilvl w:val="0"/>
          <w:numId w:val="3"/>
        </w:numPr>
        <w:spacing w:before="30" w:after="50"/>
      </w:pPr>
      <w:r>
        <w:rPr>
          <w:color w:val="333333"/>
          <w:sz w:val="19"/>
          <w:szCs w:val="19"/>
        </w:rPr>
        <w:t>Bulut, O. et al. (2024) The rise of artificial intelligence in educational measurement: opportunities and ethical challenges. arXiv:2406.18900.</w:t>
      </w:r>
    </w:p>
    <w:p w14:paraId="7C95A083" w14:textId="77777777" w:rsidR="00D16027" w:rsidRDefault="00000000">
      <w:pPr>
        <w:pStyle w:val="ListParagraph"/>
        <w:numPr>
          <w:ilvl w:val="0"/>
          <w:numId w:val="3"/>
        </w:numPr>
        <w:spacing w:before="30" w:after="50"/>
      </w:pPr>
      <w:r>
        <w:rPr>
          <w:color w:val="333333"/>
          <w:sz w:val="19"/>
          <w:szCs w:val="19"/>
        </w:rPr>
        <w:t xml:space="preserve">CAST (2018) </w:t>
      </w:r>
      <w:r>
        <w:rPr>
          <w:i/>
          <w:iCs/>
          <w:color w:val="333333"/>
          <w:sz w:val="19"/>
          <w:szCs w:val="19"/>
        </w:rPr>
        <w:t>Universal Design for Learning Guidelines, Version 2.2</w:t>
      </w:r>
      <w:r>
        <w:rPr>
          <w:color w:val="333333"/>
          <w:sz w:val="19"/>
          <w:szCs w:val="19"/>
        </w:rPr>
        <w:t>. Wakefield, MA: CAST.</w:t>
      </w:r>
    </w:p>
    <w:p w14:paraId="133BB80E"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7510AB4D"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1B88AE59" w14:textId="77777777" w:rsidR="00D16027" w:rsidRDefault="00000000">
      <w:pPr>
        <w:pStyle w:val="ListParagraph"/>
        <w:numPr>
          <w:ilvl w:val="0"/>
          <w:numId w:val="3"/>
        </w:numPr>
        <w:spacing w:before="30" w:after="50"/>
      </w:pPr>
      <w:r>
        <w:rPr>
          <w:color w:val="333333"/>
          <w:sz w:val="19"/>
          <w:szCs w:val="19"/>
        </w:rPr>
        <w:t xml:space="preserve">Digital Education Council (2024) </w:t>
      </w:r>
      <w:r>
        <w:rPr>
          <w:i/>
          <w:iCs/>
          <w:color w:val="333333"/>
          <w:sz w:val="19"/>
          <w:szCs w:val="19"/>
        </w:rPr>
        <w:t>Global AI Student Survey 2024</w:t>
      </w:r>
      <w:r>
        <w:rPr>
          <w:color w:val="333333"/>
          <w:sz w:val="19"/>
          <w:szCs w:val="19"/>
        </w:rPr>
        <w:t>.</w:t>
      </w:r>
    </w:p>
    <w:p w14:paraId="65954C18" w14:textId="77777777" w:rsidR="00D16027" w:rsidRDefault="00000000">
      <w:pPr>
        <w:pStyle w:val="ListParagraph"/>
        <w:numPr>
          <w:ilvl w:val="0"/>
          <w:numId w:val="3"/>
        </w:numPr>
        <w:spacing w:before="30" w:after="50"/>
      </w:pPr>
      <w:r>
        <w:rPr>
          <w:color w:val="333333"/>
          <w:sz w:val="19"/>
          <w:szCs w:val="19"/>
        </w:rPr>
        <w:t xml:space="preserve">Fawns, T., Bearman, M., Dawson, P., Nieminen, J.H., Ashford-Rowe, K., Willey, K., Jensen, L.X., </w:t>
      </w:r>
      <w:proofErr w:type="spellStart"/>
      <w:r>
        <w:rPr>
          <w:color w:val="333333"/>
          <w:sz w:val="19"/>
          <w:szCs w:val="19"/>
        </w:rPr>
        <w:t>Damşa</w:t>
      </w:r>
      <w:proofErr w:type="spellEnd"/>
      <w:r>
        <w:rPr>
          <w:color w:val="333333"/>
          <w:sz w:val="19"/>
          <w:szCs w:val="19"/>
        </w:rPr>
        <w:t xml:space="preserve">, C. &amp; Press, N. (2024) Authentic assessment: from panacea to criticality. </w:t>
      </w:r>
      <w:r>
        <w:rPr>
          <w:i/>
          <w:iCs/>
          <w:color w:val="333333"/>
          <w:sz w:val="19"/>
          <w:szCs w:val="19"/>
        </w:rPr>
        <w:t>Assessment &amp; Evaluation in Higher Education</w:t>
      </w:r>
      <w:r>
        <w:rPr>
          <w:color w:val="333333"/>
          <w:sz w:val="19"/>
          <w:szCs w:val="19"/>
        </w:rPr>
        <w:t xml:space="preserve"> (advance online). https://doi.org/10.1080/02602938.2024.2404634</w:t>
      </w:r>
    </w:p>
    <w:p w14:paraId="2B9524AA" w14:textId="77777777" w:rsidR="00D16027" w:rsidRDefault="00000000">
      <w:pPr>
        <w:pStyle w:val="ListParagraph"/>
        <w:numPr>
          <w:ilvl w:val="0"/>
          <w:numId w:val="3"/>
        </w:numPr>
        <w:spacing w:before="30" w:after="50"/>
      </w:pPr>
      <w:r>
        <w:rPr>
          <w:color w:val="333333"/>
          <w:sz w:val="19"/>
          <w:szCs w:val="19"/>
        </w:rPr>
        <w:t xml:space="preserve">Freeman, J. (2025) </w:t>
      </w:r>
      <w:r>
        <w:rPr>
          <w:i/>
          <w:iCs/>
          <w:color w:val="333333"/>
          <w:sz w:val="19"/>
          <w:szCs w:val="19"/>
        </w:rPr>
        <w:t>Student Generative AI Survey 2025</w:t>
      </w:r>
      <w:r>
        <w:rPr>
          <w:color w:val="333333"/>
          <w:sz w:val="19"/>
          <w:szCs w:val="19"/>
        </w:rPr>
        <w:t xml:space="preserve">. HEPI Policy Note 61. Oxford: HEPI / </w:t>
      </w:r>
      <w:proofErr w:type="spellStart"/>
      <w:r>
        <w:rPr>
          <w:color w:val="333333"/>
          <w:sz w:val="19"/>
          <w:szCs w:val="19"/>
        </w:rPr>
        <w:t>Kortext</w:t>
      </w:r>
      <w:proofErr w:type="spellEnd"/>
      <w:r>
        <w:rPr>
          <w:color w:val="333333"/>
          <w:sz w:val="19"/>
          <w:szCs w:val="19"/>
        </w:rPr>
        <w:t>.</w:t>
      </w:r>
    </w:p>
    <w:p w14:paraId="13AC4F79" w14:textId="77777777" w:rsidR="00D16027" w:rsidRDefault="00000000">
      <w:pPr>
        <w:pStyle w:val="ListParagraph"/>
        <w:numPr>
          <w:ilvl w:val="0"/>
          <w:numId w:val="3"/>
        </w:numPr>
        <w:spacing w:before="30" w:after="50"/>
      </w:pPr>
      <w:r>
        <w:rPr>
          <w:color w:val="333333"/>
          <w:sz w:val="19"/>
          <w:szCs w:val="19"/>
        </w:rPr>
        <w:t xml:space="preserve">Holmes, W. &amp; </w:t>
      </w:r>
      <w:proofErr w:type="spellStart"/>
      <w:r>
        <w:rPr>
          <w:color w:val="333333"/>
          <w:sz w:val="19"/>
          <w:szCs w:val="19"/>
        </w:rPr>
        <w:t>Porayska-Pomsta</w:t>
      </w:r>
      <w:proofErr w:type="spellEnd"/>
      <w:r>
        <w:rPr>
          <w:color w:val="333333"/>
          <w:sz w:val="19"/>
          <w:szCs w:val="19"/>
        </w:rPr>
        <w:t xml:space="preserve">, K. (eds.) (2022) </w:t>
      </w:r>
      <w:r>
        <w:rPr>
          <w:i/>
          <w:iCs/>
          <w:color w:val="333333"/>
          <w:sz w:val="19"/>
          <w:szCs w:val="19"/>
        </w:rPr>
        <w:t>The Ethics of Artificial Intelligence in Education</w:t>
      </w:r>
      <w:r>
        <w:rPr>
          <w:color w:val="333333"/>
          <w:sz w:val="19"/>
          <w:szCs w:val="19"/>
        </w:rPr>
        <w:t>. London: Routledge.</w:t>
      </w:r>
    </w:p>
    <w:p w14:paraId="547193E5"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2443A836" w14:textId="77777777" w:rsidR="00D16027" w:rsidRDefault="00000000">
      <w:pPr>
        <w:pStyle w:val="ListParagraph"/>
        <w:numPr>
          <w:ilvl w:val="0"/>
          <w:numId w:val="3"/>
        </w:numPr>
        <w:spacing w:before="30" w:after="50"/>
      </w:pPr>
      <w:r>
        <w:rPr>
          <w:color w:val="333333"/>
          <w:sz w:val="19"/>
          <w:szCs w:val="19"/>
        </w:rPr>
        <w:lastRenderedPageBreak/>
        <w:t xml:space="preserve">Long, D. &amp; </w:t>
      </w:r>
      <w:proofErr w:type="spellStart"/>
      <w:r>
        <w:rPr>
          <w:color w:val="333333"/>
          <w:sz w:val="19"/>
          <w:szCs w:val="19"/>
        </w:rPr>
        <w:t>Magerko</w:t>
      </w:r>
      <w:proofErr w:type="spellEnd"/>
      <w:r>
        <w:rPr>
          <w:color w:val="333333"/>
          <w:sz w:val="19"/>
          <w:szCs w:val="19"/>
        </w:rPr>
        <w:t xml:space="preserve">, B. (2020) What is AI literacy? Competencies and design considerations. </w:t>
      </w:r>
      <w:r>
        <w:rPr>
          <w:i/>
          <w:iCs/>
          <w:color w:val="333333"/>
          <w:sz w:val="19"/>
          <w:szCs w:val="19"/>
        </w:rPr>
        <w:t>Proceedings of CHI 2020</w:t>
      </w:r>
      <w:r>
        <w:rPr>
          <w:color w:val="333333"/>
          <w:sz w:val="19"/>
          <w:szCs w:val="19"/>
        </w:rPr>
        <w:t>, 1–16.</w:t>
      </w:r>
    </w:p>
    <w:p w14:paraId="5298E84C" w14:textId="77777777" w:rsidR="00D16027" w:rsidRDefault="00000000">
      <w:pPr>
        <w:pStyle w:val="ListParagraph"/>
        <w:numPr>
          <w:ilvl w:val="0"/>
          <w:numId w:val="3"/>
        </w:numPr>
        <w:spacing w:before="30" w:after="50"/>
      </w:pPr>
      <w:r>
        <w:rPr>
          <w:color w:val="333333"/>
          <w:sz w:val="19"/>
          <w:szCs w:val="19"/>
        </w:rPr>
        <w:t xml:space="preserve">Ng, D.T.K., Leung, J.K.L., Chu, S.K.W. &amp; Qiao, M.S. (2021) Conceptualizing AI literacy: an exploratory review. </w:t>
      </w:r>
      <w:r>
        <w:rPr>
          <w:i/>
          <w:iCs/>
          <w:color w:val="333333"/>
          <w:sz w:val="19"/>
          <w:szCs w:val="19"/>
        </w:rPr>
        <w:t>Computers and Education: Artificial Intelligence</w:t>
      </w:r>
      <w:r>
        <w:rPr>
          <w:color w:val="333333"/>
          <w:sz w:val="19"/>
          <w:szCs w:val="19"/>
        </w:rPr>
        <w:t>, 2, 100041.</w:t>
      </w:r>
    </w:p>
    <w:p w14:paraId="4F148CCA"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626A11C6" w14:textId="77777777" w:rsidR="00D16027" w:rsidRDefault="00000000">
      <w:pPr>
        <w:pStyle w:val="ListParagraph"/>
        <w:numPr>
          <w:ilvl w:val="0"/>
          <w:numId w:val="3"/>
        </w:numPr>
        <w:spacing w:before="30" w:after="50"/>
      </w:pPr>
      <w:r>
        <w:rPr>
          <w:color w:val="333333"/>
          <w:sz w:val="19"/>
          <w:szCs w:val="19"/>
        </w:rPr>
        <w:t xml:space="preserve">Perkins, M., Roe, J., Vu, B.H., Postma, D., Hickerson, D., McGaughran, J. &amp; Khuat, H.Q. (2024) Simple techniques to bypass GenAI text detectors: implications for inclusive education. </w:t>
      </w:r>
      <w:r>
        <w:rPr>
          <w:i/>
          <w:iCs/>
          <w:color w:val="333333"/>
          <w:sz w:val="19"/>
          <w:szCs w:val="19"/>
        </w:rPr>
        <w:t>International Journal of Educational Technology in Higher Education</w:t>
      </w:r>
      <w:r>
        <w:rPr>
          <w:color w:val="333333"/>
          <w:sz w:val="19"/>
          <w:szCs w:val="19"/>
        </w:rPr>
        <w:t>, 21, 53.</w:t>
      </w:r>
    </w:p>
    <w:p w14:paraId="1A38C474"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Bearman, M., Boud, D., Dawson, P. &amp; Jorre de St Jorre, T. (2023) Assessment for inclusion: rethinking contemporary strategies in assessment design. </w:t>
      </w:r>
      <w:r>
        <w:rPr>
          <w:i/>
          <w:iCs/>
          <w:color w:val="333333"/>
          <w:sz w:val="19"/>
          <w:szCs w:val="19"/>
        </w:rPr>
        <w:t>Higher Education Research &amp; Development</w:t>
      </w:r>
      <w:r>
        <w:rPr>
          <w:color w:val="333333"/>
          <w:sz w:val="19"/>
          <w:szCs w:val="19"/>
        </w:rPr>
        <w:t>, 42(2), 483–497.</w:t>
      </w:r>
    </w:p>
    <w:p w14:paraId="0ED562B8" w14:textId="77777777" w:rsidR="00D16027" w:rsidRDefault="00000000">
      <w:pPr>
        <w:pStyle w:val="ListParagraph"/>
        <w:numPr>
          <w:ilvl w:val="0"/>
          <w:numId w:val="3"/>
        </w:numPr>
        <w:spacing w:before="30" w:after="50"/>
      </w:pPr>
      <w:r>
        <w:rPr>
          <w:color w:val="333333"/>
          <w:sz w:val="19"/>
          <w:szCs w:val="19"/>
        </w:rPr>
        <w:t xml:space="preserve">UNESCO (2023) </w:t>
      </w:r>
      <w:r>
        <w:rPr>
          <w:i/>
          <w:iCs/>
          <w:color w:val="333333"/>
          <w:sz w:val="19"/>
          <w:szCs w:val="19"/>
        </w:rPr>
        <w:t>Guidance for Generative AI in Education and Research</w:t>
      </w:r>
      <w:r>
        <w:rPr>
          <w:color w:val="333333"/>
          <w:sz w:val="19"/>
          <w:szCs w:val="19"/>
        </w:rPr>
        <w:t>. Paris: UNESCO.</w:t>
      </w:r>
    </w:p>
    <w:p w14:paraId="2B38F8BF" w14:textId="77777777" w:rsidR="00D16027" w:rsidRDefault="00000000">
      <w:pPr>
        <w:pStyle w:val="ListParagraph"/>
        <w:numPr>
          <w:ilvl w:val="0"/>
          <w:numId w:val="3"/>
        </w:numPr>
        <w:spacing w:before="30" w:after="50"/>
      </w:pPr>
      <w:r>
        <w:rPr>
          <w:color w:val="333333"/>
          <w:sz w:val="19"/>
          <w:szCs w:val="19"/>
        </w:rPr>
        <w:t xml:space="preserve">US Department of Education, Office of Educational Technology (2023) </w:t>
      </w:r>
      <w:r>
        <w:rPr>
          <w:i/>
          <w:iCs/>
          <w:color w:val="333333"/>
          <w:sz w:val="19"/>
          <w:szCs w:val="19"/>
        </w:rPr>
        <w:t>Artificial Intelligence and the Future of Teaching and Learning</w:t>
      </w:r>
      <w:r>
        <w:rPr>
          <w:color w:val="333333"/>
          <w:sz w:val="19"/>
          <w:szCs w:val="19"/>
        </w:rPr>
        <w:t>. Washington, DC.</w:t>
      </w:r>
    </w:p>
    <w:p w14:paraId="43AB914D" w14:textId="77777777" w:rsidR="00D16027" w:rsidRDefault="00000000">
      <w:r>
        <w:br w:type="page"/>
      </w:r>
    </w:p>
    <w:p w14:paraId="27F20F9D" w14:textId="77777777" w:rsidR="00D16027" w:rsidRDefault="00000000">
      <w:pPr>
        <w:keepNext/>
        <w:spacing w:after="40"/>
      </w:pPr>
      <w:r>
        <w:rPr>
          <w:b/>
          <w:bCs/>
          <w:caps/>
          <w:color w:val="2E75B6"/>
          <w:sz w:val="22"/>
          <w:szCs w:val="22"/>
        </w:rPr>
        <w:lastRenderedPageBreak/>
        <w:t>CHAPTER 17</w:t>
      </w:r>
    </w:p>
    <w:p w14:paraId="0C4DCF4F" w14:textId="77777777" w:rsidR="00D16027" w:rsidRDefault="00000000">
      <w:pPr>
        <w:pStyle w:val="Heading1"/>
        <w:keepNext/>
      </w:pPr>
      <w:r>
        <w:t>Working Within Your Institution</w:t>
      </w:r>
    </w:p>
    <w:p w14:paraId="2016B1F0" w14:textId="77777777" w:rsidR="00D16027" w:rsidRDefault="00000000">
      <w:pPr>
        <w:pBdr>
          <w:left w:val="single" w:sz="14" w:space="10" w:color="2E75B6"/>
        </w:pBdr>
        <w:shd w:val="clear" w:color="auto" w:fill="EAF3FB"/>
        <w:spacing w:after="200"/>
      </w:pPr>
      <w:r>
        <w:rPr>
          <w:i/>
          <w:iCs/>
          <w:color w:val="333333"/>
        </w:rPr>
        <w:t>Even well-designed assessment reforms fail if they cannot be implemented within real institutional constraints. This chapter is a practical guide to navigating the departmental, political and structural realities of assessment change: reading the context, building the case, working with reluctant colleagues, engaging students, being honest about workload, and making change stick.</w:t>
      </w:r>
    </w:p>
    <w:p w14:paraId="21B50C6C"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39AA429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Map the quality, regulatory and accreditation context that constrains and enables redesign</w:t>
      </w:r>
    </w:p>
    <w:p w14:paraId="53CA171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a case for change that persuades leaders and colleagues on pedagogical rather than defensive grounds</w:t>
      </w:r>
    </w:p>
    <w:p w14:paraId="0AE3AA1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Work with reluctant colleagues and engage students as partners</w:t>
      </w:r>
    </w:p>
    <w:p w14:paraId="5B00EFB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Plan workload honestly and embed change so that it survives the people who started it</w:t>
      </w:r>
    </w:p>
    <w:p w14:paraId="4DF87A79" w14:textId="77777777" w:rsidR="00D16027" w:rsidRDefault="00000000">
      <w:pPr>
        <w:pStyle w:val="Heading2"/>
        <w:keepNext/>
      </w:pPr>
      <w:r>
        <w:t>17.1 Reading the context</w:t>
      </w:r>
    </w:p>
    <w:p w14:paraId="507F42A2" w14:textId="77777777" w:rsidR="00D16027" w:rsidRDefault="00000000">
      <w:pPr>
        <w:spacing w:after="140"/>
      </w:pPr>
      <w:r>
        <w:t>Assessment change happens inside a lattice of rules and expectations, most of which predate AI and some of which now actively support reform. Quality frameworks (the UK Quality Code and the QAA's 2023 advice on generative AI; Australia's Higher Education Standards Framework and TEQSA's expert report and action-plan requirement; the European Standards and Guidelines; regional accreditors in the United States) set the language in which change must be justified, and all now expect institutions to have responded to AI. Institutional regulations govern how tasks may be changed, distinguishing minor modifications from major ones. External examiners must be informed and will ask for rationale. Professional, statutory and regulatory bodies specify what must be assessed and sometimes how: the General Medical Council's outcomes for graduates, the Solicitors Regulation Authority's qualifying examination, the Engineering Council's accreditation standards, the Nursing and Midwifery Council's standards, AACSB's assurance of learning. Sector statements (the Russell Group's 2023 principles; Jisc and Advance HE guidance) give institutional leaders cover for change. Table 17.1 organises these into constraints to be met and enablers to be used.</w:t>
      </w:r>
    </w:p>
    <w:p w14:paraId="3D2C100D" w14:textId="77777777" w:rsidR="00D16027" w:rsidRDefault="00000000">
      <w:pPr>
        <w:keepNext/>
        <w:spacing w:before="160" w:after="80"/>
      </w:pPr>
      <w:r>
        <w:rPr>
          <w:b/>
          <w:bCs/>
          <w:color w:val="1A4F7A"/>
          <w:sz w:val="20"/>
          <w:szCs w:val="20"/>
        </w:rPr>
        <w:t>Table 17.1  Constraints and enablers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86"/>
      </w:tblGrid>
      <w:tr w:rsidR="00D16027" w14:paraId="697BD9CD" w14:textId="77777777">
        <w:tblPrEx>
          <w:tblCellMar>
            <w:top w:w="0" w:type="dxa"/>
            <w:bottom w:w="0" w:type="dxa"/>
          </w:tblCellMar>
        </w:tblPrEx>
        <w:trPr>
          <w:cantSplit/>
          <w:tblHeader/>
        </w:trPr>
        <w:tc>
          <w:tcPr>
            <w:tcW w:w="2300" w:type="dxa"/>
            <w:shd w:val="clear" w:color="auto" w:fill="2E75B6"/>
            <w:tcMar>
              <w:top w:w="70" w:type="dxa"/>
              <w:left w:w="100" w:type="dxa"/>
              <w:bottom w:w="70" w:type="dxa"/>
              <w:right w:w="100" w:type="dxa"/>
            </w:tcMar>
          </w:tcPr>
          <w:p w14:paraId="5E709C56" w14:textId="77777777" w:rsidR="00D16027" w:rsidRDefault="00000000">
            <w:r>
              <w:rPr>
                <w:b/>
                <w:bCs/>
                <w:color w:val="FFFFFF"/>
                <w:sz w:val="19"/>
                <w:szCs w:val="19"/>
              </w:rPr>
              <w:t>Source</w:t>
            </w:r>
          </w:p>
        </w:tc>
        <w:tc>
          <w:tcPr>
            <w:tcW w:w="3500" w:type="dxa"/>
            <w:shd w:val="clear" w:color="auto" w:fill="2E75B6"/>
            <w:tcMar>
              <w:top w:w="70" w:type="dxa"/>
              <w:left w:w="100" w:type="dxa"/>
              <w:bottom w:w="70" w:type="dxa"/>
              <w:right w:w="100" w:type="dxa"/>
            </w:tcMar>
          </w:tcPr>
          <w:p w14:paraId="212A7260" w14:textId="77777777" w:rsidR="00D16027" w:rsidRDefault="00000000">
            <w:r>
              <w:rPr>
                <w:b/>
                <w:bCs/>
                <w:color w:val="FFFFFF"/>
                <w:sz w:val="19"/>
                <w:szCs w:val="19"/>
              </w:rPr>
              <w:t>Constraint</w:t>
            </w:r>
          </w:p>
        </w:tc>
        <w:tc>
          <w:tcPr>
            <w:tcW w:w="3586" w:type="dxa"/>
            <w:shd w:val="clear" w:color="auto" w:fill="2E75B6"/>
            <w:tcMar>
              <w:top w:w="70" w:type="dxa"/>
              <w:left w:w="100" w:type="dxa"/>
              <w:bottom w:w="70" w:type="dxa"/>
              <w:right w:w="100" w:type="dxa"/>
            </w:tcMar>
          </w:tcPr>
          <w:p w14:paraId="74728C43" w14:textId="77777777" w:rsidR="00D16027" w:rsidRDefault="00000000">
            <w:r>
              <w:rPr>
                <w:b/>
                <w:bCs/>
                <w:color w:val="FFFFFF"/>
                <w:sz w:val="19"/>
                <w:szCs w:val="19"/>
              </w:rPr>
              <w:t>Enabler</w:t>
            </w:r>
          </w:p>
        </w:tc>
      </w:tr>
      <w:tr w:rsidR="00D16027" w14:paraId="539ABEA7" w14:textId="77777777">
        <w:tblPrEx>
          <w:tblCellMar>
            <w:top w:w="0" w:type="dxa"/>
            <w:bottom w:w="0" w:type="dxa"/>
          </w:tblCellMar>
        </w:tblPrEx>
        <w:trPr>
          <w:cantSplit/>
        </w:trPr>
        <w:tc>
          <w:tcPr>
            <w:tcW w:w="2300" w:type="dxa"/>
            <w:tcMar>
              <w:top w:w="70" w:type="dxa"/>
              <w:left w:w="100" w:type="dxa"/>
              <w:bottom w:w="70" w:type="dxa"/>
              <w:right w:w="100" w:type="dxa"/>
            </w:tcMar>
          </w:tcPr>
          <w:p w14:paraId="4F5F8A3A" w14:textId="77777777" w:rsidR="00D16027" w:rsidRDefault="00000000">
            <w:r>
              <w:rPr>
                <w:sz w:val="19"/>
                <w:szCs w:val="19"/>
              </w:rPr>
              <w:t>Quality framework and regulator</w:t>
            </w:r>
          </w:p>
        </w:tc>
        <w:tc>
          <w:tcPr>
            <w:tcW w:w="3500" w:type="dxa"/>
            <w:tcMar>
              <w:top w:w="70" w:type="dxa"/>
              <w:left w:w="100" w:type="dxa"/>
              <w:bottom w:w="70" w:type="dxa"/>
              <w:right w:w="100" w:type="dxa"/>
            </w:tcMar>
          </w:tcPr>
          <w:p w14:paraId="1F46BD79" w14:textId="77777777" w:rsidR="00D16027" w:rsidRDefault="00000000">
            <w:r>
              <w:rPr>
                <w:sz w:val="19"/>
                <w:szCs w:val="19"/>
              </w:rPr>
              <w:t>Evidence that standards are maintained; documented rationale</w:t>
            </w:r>
          </w:p>
        </w:tc>
        <w:tc>
          <w:tcPr>
            <w:tcW w:w="3586" w:type="dxa"/>
            <w:tcMar>
              <w:top w:w="70" w:type="dxa"/>
              <w:left w:w="100" w:type="dxa"/>
              <w:bottom w:w="70" w:type="dxa"/>
              <w:right w:w="100" w:type="dxa"/>
            </w:tcMar>
          </w:tcPr>
          <w:p w14:paraId="77DF7BBB" w14:textId="77777777" w:rsidR="00D16027" w:rsidRDefault="00000000">
            <w:r>
              <w:rPr>
                <w:sz w:val="19"/>
                <w:szCs w:val="19"/>
              </w:rPr>
              <w:t>Explicit expectation that assessment has been adapted to AI; the TEQSA principles</w:t>
            </w:r>
          </w:p>
        </w:tc>
      </w:tr>
      <w:tr w:rsidR="00D16027" w14:paraId="6ECC7D47" w14:textId="77777777">
        <w:tblPrEx>
          <w:tblCellMar>
            <w:top w:w="0" w:type="dxa"/>
            <w:bottom w:w="0" w:type="dxa"/>
          </w:tblCellMar>
        </w:tblPrEx>
        <w:trPr>
          <w:cantSplit/>
        </w:trPr>
        <w:tc>
          <w:tcPr>
            <w:tcW w:w="2300" w:type="dxa"/>
            <w:tcMar>
              <w:top w:w="70" w:type="dxa"/>
              <w:left w:w="100" w:type="dxa"/>
              <w:bottom w:w="70" w:type="dxa"/>
              <w:right w:w="100" w:type="dxa"/>
            </w:tcMar>
          </w:tcPr>
          <w:p w14:paraId="7290E11C" w14:textId="77777777" w:rsidR="00D16027" w:rsidRDefault="00000000">
            <w:r>
              <w:rPr>
                <w:sz w:val="19"/>
                <w:szCs w:val="19"/>
              </w:rPr>
              <w:t>Institutional regulations</w:t>
            </w:r>
          </w:p>
        </w:tc>
        <w:tc>
          <w:tcPr>
            <w:tcW w:w="3500" w:type="dxa"/>
            <w:tcMar>
              <w:top w:w="70" w:type="dxa"/>
              <w:left w:w="100" w:type="dxa"/>
              <w:bottom w:w="70" w:type="dxa"/>
              <w:right w:w="100" w:type="dxa"/>
            </w:tcMar>
          </w:tcPr>
          <w:p w14:paraId="3B18E436" w14:textId="77777777" w:rsidR="00D16027" w:rsidRDefault="00000000">
            <w:r>
              <w:rPr>
                <w:sz w:val="19"/>
                <w:szCs w:val="19"/>
              </w:rPr>
              <w:t>Modification procedures; timing to review cycles</w:t>
            </w:r>
          </w:p>
        </w:tc>
        <w:tc>
          <w:tcPr>
            <w:tcW w:w="3586" w:type="dxa"/>
            <w:tcMar>
              <w:top w:w="70" w:type="dxa"/>
              <w:left w:w="100" w:type="dxa"/>
              <w:bottom w:w="70" w:type="dxa"/>
              <w:right w:w="100" w:type="dxa"/>
            </w:tcMar>
          </w:tcPr>
          <w:p w14:paraId="44F7BAF7" w14:textId="77777777" w:rsidR="00D16027" w:rsidRDefault="00000000">
            <w:r>
              <w:rPr>
                <w:sz w:val="19"/>
                <w:szCs w:val="19"/>
              </w:rPr>
              <w:t>Minor-modification routes for changes to conditions and evidence</w:t>
            </w:r>
          </w:p>
        </w:tc>
      </w:tr>
      <w:tr w:rsidR="00D16027" w14:paraId="6C9F814F" w14:textId="77777777">
        <w:tblPrEx>
          <w:tblCellMar>
            <w:top w:w="0" w:type="dxa"/>
            <w:bottom w:w="0" w:type="dxa"/>
          </w:tblCellMar>
        </w:tblPrEx>
        <w:trPr>
          <w:cantSplit/>
        </w:trPr>
        <w:tc>
          <w:tcPr>
            <w:tcW w:w="2300" w:type="dxa"/>
            <w:tcMar>
              <w:top w:w="70" w:type="dxa"/>
              <w:left w:w="100" w:type="dxa"/>
              <w:bottom w:w="70" w:type="dxa"/>
              <w:right w:w="100" w:type="dxa"/>
            </w:tcMar>
          </w:tcPr>
          <w:p w14:paraId="35EF0E0C" w14:textId="77777777" w:rsidR="00D16027" w:rsidRDefault="00000000">
            <w:r>
              <w:rPr>
                <w:sz w:val="19"/>
                <w:szCs w:val="19"/>
              </w:rPr>
              <w:t>External examiners</w:t>
            </w:r>
          </w:p>
        </w:tc>
        <w:tc>
          <w:tcPr>
            <w:tcW w:w="3500" w:type="dxa"/>
            <w:tcMar>
              <w:top w:w="70" w:type="dxa"/>
              <w:left w:w="100" w:type="dxa"/>
              <w:bottom w:w="70" w:type="dxa"/>
              <w:right w:w="100" w:type="dxa"/>
            </w:tcMar>
          </w:tcPr>
          <w:p w14:paraId="2EFAA293" w14:textId="77777777" w:rsidR="00D16027" w:rsidRDefault="00000000">
            <w:r>
              <w:rPr>
                <w:sz w:val="19"/>
                <w:szCs w:val="19"/>
              </w:rPr>
              <w:t>Early notification; comparability across years</w:t>
            </w:r>
          </w:p>
        </w:tc>
        <w:tc>
          <w:tcPr>
            <w:tcW w:w="3586" w:type="dxa"/>
            <w:tcMar>
              <w:top w:w="70" w:type="dxa"/>
              <w:left w:w="100" w:type="dxa"/>
              <w:bottom w:w="70" w:type="dxa"/>
              <w:right w:w="100" w:type="dxa"/>
            </w:tcMar>
          </w:tcPr>
          <w:p w14:paraId="603BAE6D" w14:textId="77777777" w:rsidR="00D16027" w:rsidRDefault="00000000">
            <w:r>
              <w:rPr>
                <w:sz w:val="19"/>
                <w:szCs w:val="19"/>
              </w:rPr>
              <w:t>Most welcome validity-driven change when documented</w:t>
            </w:r>
          </w:p>
        </w:tc>
      </w:tr>
      <w:tr w:rsidR="00D16027" w14:paraId="548BF82F" w14:textId="77777777">
        <w:tblPrEx>
          <w:tblCellMar>
            <w:top w:w="0" w:type="dxa"/>
            <w:bottom w:w="0" w:type="dxa"/>
          </w:tblCellMar>
        </w:tblPrEx>
        <w:trPr>
          <w:cantSplit/>
        </w:trPr>
        <w:tc>
          <w:tcPr>
            <w:tcW w:w="2300" w:type="dxa"/>
            <w:tcMar>
              <w:top w:w="70" w:type="dxa"/>
              <w:left w:w="100" w:type="dxa"/>
              <w:bottom w:w="70" w:type="dxa"/>
              <w:right w:w="100" w:type="dxa"/>
            </w:tcMar>
          </w:tcPr>
          <w:p w14:paraId="3E309B40" w14:textId="77777777" w:rsidR="00D16027" w:rsidRDefault="00000000">
            <w:r>
              <w:rPr>
                <w:sz w:val="19"/>
                <w:szCs w:val="19"/>
              </w:rPr>
              <w:t>Professional bodies</w:t>
            </w:r>
          </w:p>
        </w:tc>
        <w:tc>
          <w:tcPr>
            <w:tcW w:w="3500" w:type="dxa"/>
            <w:tcMar>
              <w:top w:w="70" w:type="dxa"/>
              <w:left w:w="100" w:type="dxa"/>
              <w:bottom w:w="70" w:type="dxa"/>
              <w:right w:w="100" w:type="dxa"/>
            </w:tcMar>
          </w:tcPr>
          <w:p w14:paraId="69C0C149" w14:textId="77777777" w:rsidR="00D16027" w:rsidRDefault="00000000">
            <w:r>
              <w:rPr>
                <w:sz w:val="19"/>
                <w:szCs w:val="19"/>
              </w:rPr>
              <w:t>Specified competences that must be secured</w:t>
            </w:r>
          </w:p>
        </w:tc>
        <w:tc>
          <w:tcPr>
            <w:tcW w:w="3586" w:type="dxa"/>
            <w:tcMar>
              <w:top w:w="70" w:type="dxa"/>
              <w:left w:w="100" w:type="dxa"/>
              <w:bottom w:w="70" w:type="dxa"/>
              <w:right w:w="100" w:type="dxa"/>
            </w:tcMar>
          </w:tcPr>
          <w:p w14:paraId="22C401F6" w14:textId="77777777" w:rsidR="00D16027" w:rsidRDefault="00000000">
            <w:r>
              <w:rPr>
                <w:sz w:val="19"/>
                <w:szCs w:val="19"/>
              </w:rPr>
              <w:t>Legitimacy for a small, well-placed Lane 1; growing recognition of process and oral evidence</w:t>
            </w:r>
          </w:p>
        </w:tc>
      </w:tr>
      <w:tr w:rsidR="00D16027" w14:paraId="6CF77CF6" w14:textId="77777777">
        <w:tblPrEx>
          <w:tblCellMar>
            <w:top w:w="0" w:type="dxa"/>
            <w:bottom w:w="0" w:type="dxa"/>
          </w:tblCellMar>
        </w:tblPrEx>
        <w:trPr>
          <w:cantSplit/>
        </w:trPr>
        <w:tc>
          <w:tcPr>
            <w:tcW w:w="2300" w:type="dxa"/>
            <w:tcMar>
              <w:top w:w="70" w:type="dxa"/>
              <w:left w:w="100" w:type="dxa"/>
              <w:bottom w:w="70" w:type="dxa"/>
              <w:right w:w="100" w:type="dxa"/>
            </w:tcMar>
          </w:tcPr>
          <w:p w14:paraId="18BCF74C" w14:textId="77777777" w:rsidR="00D16027" w:rsidRDefault="00000000">
            <w:r>
              <w:rPr>
                <w:sz w:val="19"/>
                <w:szCs w:val="19"/>
              </w:rPr>
              <w:t>Sector statements</w:t>
            </w:r>
          </w:p>
        </w:tc>
        <w:tc>
          <w:tcPr>
            <w:tcW w:w="3500" w:type="dxa"/>
            <w:tcMar>
              <w:top w:w="70" w:type="dxa"/>
              <w:left w:w="100" w:type="dxa"/>
              <w:bottom w:w="70" w:type="dxa"/>
              <w:right w:w="100" w:type="dxa"/>
            </w:tcMar>
          </w:tcPr>
          <w:p w14:paraId="2467D862" w14:textId="77777777" w:rsidR="00D16027" w:rsidRDefault="00000000">
            <w:r>
              <w:rPr>
                <w:sz w:val="19"/>
                <w:szCs w:val="19"/>
              </w:rPr>
              <w:t>Alignment with published principles</w:t>
            </w:r>
          </w:p>
        </w:tc>
        <w:tc>
          <w:tcPr>
            <w:tcW w:w="3586" w:type="dxa"/>
            <w:tcMar>
              <w:top w:w="70" w:type="dxa"/>
              <w:left w:w="100" w:type="dxa"/>
              <w:bottom w:w="70" w:type="dxa"/>
              <w:right w:w="100" w:type="dxa"/>
            </w:tcMar>
          </w:tcPr>
          <w:p w14:paraId="3EE4DCCD" w14:textId="77777777" w:rsidR="00D16027" w:rsidRDefault="00000000">
            <w:r>
              <w:rPr>
                <w:sz w:val="19"/>
                <w:szCs w:val="19"/>
              </w:rPr>
              <w:t>Cover for leaders: the Russell Group, QAA, TEQSA and UNESCO all endorse redesign over detection</w:t>
            </w:r>
          </w:p>
        </w:tc>
      </w:tr>
      <w:tr w:rsidR="00D16027" w14:paraId="24E8593E" w14:textId="77777777">
        <w:tblPrEx>
          <w:tblCellMar>
            <w:top w:w="0" w:type="dxa"/>
            <w:bottom w:w="0" w:type="dxa"/>
          </w:tblCellMar>
        </w:tblPrEx>
        <w:trPr>
          <w:cantSplit/>
        </w:trPr>
        <w:tc>
          <w:tcPr>
            <w:tcW w:w="2300" w:type="dxa"/>
            <w:tcMar>
              <w:top w:w="70" w:type="dxa"/>
              <w:left w:w="100" w:type="dxa"/>
              <w:bottom w:w="70" w:type="dxa"/>
              <w:right w:w="100" w:type="dxa"/>
            </w:tcMar>
          </w:tcPr>
          <w:p w14:paraId="6D81D70F" w14:textId="77777777" w:rsidR="00D16027" w:rsidRDefault="00000000">
            <w:r>
              <w:rPr>
                <w:sz w:val="19"/>
                <w:szCs w:val="19"/>
              </w:rPr>
              <w:t>Institutional AI policy</w:t>
            </w:r>
          </w:p>
        </w:tc>
        <w:tc>
          <w:tcPr>
            <w:tcW w:w="3500" w:type="dxa"/>
            <w:tcMar>
              <w:top w:w="70" w:type="dxa"/>
              <w:left w:w="100" w:type="dxa"/>
              <w:bottom w:w="70" w:type="dxa"/>
              <w:right w:w="100" w:type="dxa"/>
            </w:tcMar>
          </w:tcPr>
          <w:p w14:paraId="292457A8" w14:textId="77777777" w:rsidR="00D16027" w:rsidRDefault="00000000">
            <w:r>
              <w:rPr>
                <w:sz w:val="19"/>
                <w:szCs w:val="19"/>
              </w:rPr>
              <w:t>Consistency with institution-wide rules</w:t>
            </w:r>
          </w:p>
        </w:tc>
        <w:tc>
          <w:tcPr>
            <w:tcW w:w="3586" w:type="dxa"/>
            <w:tcMar>
              <w:top w:w="70" w:type="dxa"/>
              <w:left w:w="100" w:type="dxa"/>
              <w:bottom w:w="70" w:type="dxa"/>
              <w:right w:w="100" w:type="dxa"/>
            </w:tcMar>
          </w:tcPr>
          <w:p w14:paraId="72438F96" w14:textId="77777777" w:rsidR="00D16027" w:rsidRDefault="00000000">
            <w:r>
              <w:rPr>
                <w:sz w:val="19"/>
                <w:szCs w:val="19"/>
              </w:rPr>
              <w:t>A common scale and declaration template, if adopted, remove most module-level friction</w:t>
            </w:r>
          </w:p>
        </w:tc>
      </w:tr>
    </w:tbl>
    <w:p w14:paraId="00B45ACC" w14:textId="77777777" w:rsidR="00D16027" w:rsidRDefault="00D16027">
      <w:pPr>
        <w:spacing w:after="120"/>
      </w:pPr>
    </w:p>
    <w:p w14:paraId="220BEB39" w14:textId="77777777" w:rsidR="00D16027" w:rsidRDefault="00000000">
      <w:pPr>
        <w:pStyle w:val="Heading2"/>
        <w:keepNext/>
      </w:pPr>
      <w:r>
        <w:t>17.2 Building the case</w:t>
      </w:r>
    </w:p>
    <w:p w14:paraId="3E4BBC81" w14:textId="77777777" w:rsidR="00D16027" w:rsidRDefault="00000000">
      <w:pPr>
        <w:spacing w:after="140"/>
      </w:pPr>
      <w:r>
        <w:t xml:space="preserve">The case for change is strongest when it is pedagogical rather than defensive. Dawson, Bearman, Dollinger and Boud (2024) supply the framing: the question is whether the institution can trust its own </w:t>
      </w:r>
      <w:r>
        <w:lastRenderedPageBreak/>
        <w:t>judgements about what graduates can do, and redesigned assessment answers it better than the old assessment did, AI or no AI. The evidence base in this book, the benchmark results from running the programme's own tasks through AI (Chapter 2), the regulator's expectations, the student-use data (Freeman 2025), and the costs of inaction in appeals, misconduct cases and reputational exposure together make a case that senior leaders recognise. Different audiences need different emphases. To leadership: validity, compliance, reputation, student experience and the cost of misconduct processing. To colleagues: workload, autonomy, disciplinary values and the pedagogical gains that assessment scholars have urged for decades (Knight 2002; Bloxham &amp; Boyd 2007). Kotter's (1996) sequence remains useful as a checklist: establish urgency with evidence; build a guiding coalition; articulate a vision (the spectrum, the two lanes); communicate it repeatedly; remove obstacles; create short-term wins; consolidate; anchor in culture. Fullan (2007) adds what Kotter under-weights in universities: moral purpose, capacity-building and coherence, because academics change when they believe the change serves students and when they have the means to make it.</w:t>
      </w:r>
    </w:p>
    <w:p w14:paraId="7A8B7B30" w14:textId="77777777" w:rsidR="00D16027" w:rsidRDefault="00000000">
      <w:pPr>
        <w:pStyle w:val="Heading2"/>
        <w:keepNext/>
      </w:pPr>
      <w:r>
        <w:t>17.3 Working with reluctant colleagues</w:t>
      </w:r>
    </w:p>
    <w:p w14:paraId="5401CC2F" w14:textId="77777777" w:rsidR="00D16027" w:rsidRDefault="00000000">
      <w:pPr>
        <w:spacing w:after="140"/>
      </w:pPr>
      <w:r>
        <w:t xml:space="preserve">Resistance is rational more often than it is obstinate. Colleagues resist because they are already overloaded; because they have seen initiatives come and go; because they suspect, sometimes rightly, that the change is administrative rather than educational; because they believe detection or examinations have solved the problem; or because the proposal seems to disregard the values of their discipline. </w:t>
      </w:r>
      <w:proofErr w:type="spellStart"/>
      <w:r>
        <w:t>Trowler</w:t>
      </w:r>
      <w:proofErr w:type="spellEnd"/>
      <w:r>
        <w:t xml:space="preserve"> (2008) shows that academic cultures are shaped at the level of the workgroup, and that change imposed from above without engaging those cultures is absorbed and neutralised. The practical responses follow. Start with volunteers and let them demonstrate. Show rather than tell: the single most persuasive act is running a colleague's own task through current AI in front of them. Pilot, evaluate and share, including the failures. Respect disciplinary expertise by asking what the discipline's human core is (Chapter 7) rather than prescribing formats. Offer templates, question banks and rubrics so that the first redesign is not a blank page. Never mandate without support, and never mandate detection. And recognise effort: in workload allocation, in promotion criteria, in the department's public account of itself.</w:t>
      </w:r>
    </w:p>
    <w:p w14:paraId="640308B4" w14:textId="77777777" w:rsidR="00D16027" w:rsidRDefault="00000000">
      <w:pPr>
        <w:pStyle w:val="Heading2"/>
        <w:keepNext/>
      </w:pPr>
      <w:r>
        <w:t>17.4 Students as partners</w:t>
      </w:r>
    </w:p>
    <w:p w14:paraId="6371D53A" w14:textId="77777777" w:rsidR="00D16027" w:rsidRDefault="00000000">
      <w:pPr>
        <w:spacing w:after="140"/>
      </w:pPr>
      <w:r>
        <w:t>Students are the best-informed people in the institution about how AI is actually used, and they are the constituency whose acceptance determines whether new formats work. Healey, Flint and Harrington (2014) and Bovill (2020) set out the case and the methods for partnership; Cook-Sather, Bovill and Felten (2014) show what it looks like in practice. In assessment redesign the roles are concrete. Student representatives on the programme audit tell the team which tasks are already substituted. Student co-authors of the induction integrity strand write in language their peers will read. Students consulted on a move to oral assessment identify the anxieties that adjustments must address. Student-led AI-literacy sessions reach students who avoid staff-led ones. Chan and Hu (2023) found students accepting demanding formats when the rationale was explained and their concerns were heard; Lodge et al. (2023) identify student voice as a component of a trustworthy assessment system. Resistance from students is usually to unexplained change; partnership is the remedy.</w:t>
      </w:r>
    </w:p>
    <w:p w14:paraId="210E0B3B" w14:textId="77777777" w:rsidR="00D16027" w:rsidRDefault="00000000">
      <w:pPr>
        <w:pStyle w:val="Heading2"/>
        <w:keepNext/>
      </w:pPr>
      <w:r>
        <w:t>17.5 Workload</w:t>
      </w:r>
    </w:p>
    <w:p w14:paraId="32D1A542" w14:textId="77777777" w:rsidR="00D16027" w:rsidRDefault="00000000">
      <w:pPr>
        <w:spacing w:after="140"/>
      </w:pPr>
      <w:r>
        <w:t xml:space="preserve">Reform that increases workload will not last. The arithmetic must be done honestly, and Table 17.2 gives an example for a typical module. Three principles govern it. </w:t>
      </w:r>
      <w:r>
        <w:rPr>
          <w:b/>
          <w:bCs/>
        </w:rPr>
        <w:t>Substitution, not addition</w:t>
      </w:r>
      <w:r>
        <w:t xml:space="preserve">: every new element replaces an old one (Chapter 14). </w:t>
      </w:r>
      <w:r>
        <w:rPr>
          <w:b/>
          <w:bCs/>
        </w:rPr>
        <w:t>Volume reduction</w:t>
      </w:r>
      <w:r>
        <w:t xml:space="preserve">: a programme that replaces a dozen unsupervised essays with fewer staged, dialogic tasks usually reduces marking time while improving validity, which is what Knight (2002) and Bloxham and Boyd (2007) recommended before AI. </w:t>
      </w:r>
      <w:r>
        <w:rPr>
          <w:b/>
          <w:bCs/>
        </w:rPr>
        <w:t>Transition funding</w:t>
      </w:r>
      <w:r>
        <w:t>: the first year of redesign carries design costs (question banks, rubrics, scenarios, templates, AI testing) that do not recur, and workload models should credit them once. Institutional workload allocation models must also recognise oral and process assessment as marking, not as contact, and must credit the moderation that reliable orals require. AI can help with the educator's own workload: first-pass feedback (Chapter 12), moderation support (Chapter 13), and the generation of scenarios, question banks and exemplars that oral assessment depends on.</w:t>
      </w:r>
    </w:p>
    <w:p w14:paraId="2FBDB21D" w14:textId="77777777" w:rsidR="00D16027" w:rsidRDefault="00000000">
      <w:pPr>
        <w:keepNext/>
        <w:spacing w:before="160" w:after="80"/>
      </w:pPr>
      <w:r>
        <w:rPr>
          <w:b/>
          <w:bCs/>
          <w:color w:val="1A4F7A"/>
          <w:sz w:val="20"/>
          <w:szCs w:val="20"/>
        </w:rPr>
        <w:lastRenderedPageBreak/>
        <w:t>Table 17.2  Illustrative workload before and after redesign of a 20-credit module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986"/>
      </w:tblGrid>
      <w:tr w:rsidR="00D16027" w14:paraId="69CB228F" w14:textId="77777777">
        <w:tblPrEx>
          <w:tblCellMar>
            <w:top w:w="0" w:type="dxa"/>
            <w:bottom w:w="0" w:type="dxa"/>
          </w:tblCellMar>
        </w:tblPrEx>
        <w:trPr>
          <w:cantSplit/>
          <w:tblHeader/>
        </w:trPr>
        <w:tc>
          <w:tcPr>
            <w:tcW w:w="3800" w:type="dxa"/>
            <w:shd w:val="clear" w:color="auto" w:fill="2E75B6"/>
            <w:tcMar>
              <w:top w:w="70" w:type="dxa"/>
              <w:left w:w="100" w:type="dxa"/>
              <w:bottom w:w="70" w:type="dxa"/>
              <w:right w:w="100" w:type="dxa"/>
            </w:tcMar>
          </w:tcPr>
          <w:p w14:paraId="1B66D3E9" w14:textId="77777777" w:rsidR="00D16027" w:rsidRDefault="00000000">
            <w:r>
              <w:rPr>
                <w:b/>
                <w:bCs/>
                <w:color w:val="FFFFFF"/>
                <w:sz w:val="19"/>
                <w:szCs w:val="19"/>
              </w:rPr>
              <w:t>Element</w:t>
            </w:r>
          </w:p>
        </w:tc>
        <w:tc>
          <w:tcPr>
            <w:tcW w:w="2600" w:type="dxa"/>
            <w:shd w:val="clear" w:color="auto" w:fill="2E75B6"/>
            <w:tcMar>
              <w:top w:w="70" w:type="dxa"/>
              <w:left w:w="100" w:type="dxa"/>
              <w:bottom w:w="70" w:type="dxa"/>
              <w:right w:w="100" w:type="dxa"/>
            </w:tcMar>
          </w:tcPr>
          <w:p w14:paraId="52DC4F29" w14:textId="77777777" w:rsidR="00D16027" w:rsidRDefault="00000000">
            <w:r>
              <w:rPr>
                <w:b/>
                <w:bCs/>
                <w:color w:val="FFFFFF"/>
                <w:sz w:val="19"/>
                <w:szCs w:val="19"/>
              </w:rPr>
              <w:t>Before (hours, 200 students)</w:t>
            </w:r>
          </w:p>
        </w:tc>
        <w:tc>
          <w:tcPr>
            <w:tcW w:w="2986" w:type="dxa"/>
            <w:shd w:val="clear" w:color="auto" w:fill="2E75B6"/>
            <w:tcMar>
              <w:top w:w="70" w:type="dxa"/>
              <w:left w:w="100" w:type="dxa"/>
              <w:bottom w:w="70" w:type="dxa"/>
              <w:right w:w="100" w:type="dxa"/>
            </w:tcMar>
          </w:tcPr>
          <w:p w14:paraId="68D5B69A" w14:textId="77777777" w:rsidR="00D16027" w:rsidRDefault="00000000">
            <w:r>
              <w:rPr>
                <w:b/>
                <w:bCs/>
                <w:color w:val="FFFFFF"/>
                <w:sz w:val="19"/>
                <w:szCs w:val="19"/>
              </w:rPr>
              <w:t>After (hours, 200 students)</w:t>
            </w:r>
          </w:p>
        </w:tc>
      </w:tr>
      <w:tr w:rsidR="00D16027" w14:paraId="45768CF8" w14:textId="77777777">
        <w:tblPrEx>
          <w:tblCellMar>
            <w:top w:w="0" w:type="dxa"/>
            <w:bottom w:w="0" w:type="dxa"/>
          </w:tblCellMar>
        </w:tblPrEx>
        <w:trPr>
          <w:cantSplit/>
        </w:trPr>
        <w:tc>
          <w:tcPr>
            <w:tcW w:w="3800" w:type="dxa"/>
            <w:tcMar>
              <w:top w:w="70" w:type="dxa"/>
              <w:left w:w="100" w:type="dxa"/>
              <w:bottom w:w="70" w:type="dxa"/>
              <w:right w:w="100" w:type="dxa"/>
            </w:tcMar>
          </w:tcPr>
          <w:p w14:paraId="30F9C861" w14:textId="77777777" w:rsidR="00D16027" w:rsidRDefault="00000000">
            <w:r>
              <w:rPr>
                <w:sz w:val="19"/>
                <w:szCs w:val="19"/>
              </w:rPr>
              <w:t>Setting and briefing</w:t>
            </w:r>
          </w:p>
        </w:tc>
        <w:tc>
          <w:tcPr>
            <w:tcW w:w="2600" w:type="dxa"/>
            <w:tcMar>
              <w:top w:w="70" w:type="dxa"/>
              <w:left w:w="100" w:type="dxa"/>
              <w:bottom w:w="70" w:type="dxa"/>
              <w:right w:w="100" w:type="dxa"/>
            </w:tcMar>
          </w:tcPr>
          <w:p w14:paraId="7988F173" w14:textId="77777777" w:rsidR="00D16027" w:rsidRDefault="00000000">
            <w:r>
              <w:rPr>
                <w:sz w:val="19"/>
                <w:szCs w:val="19"/>
              </w:rPr>
              <w:t>6</w:t>
            </w:r>
          </w:p>
        </w:tc>
        <w:tc>
          <w:tcPr>
            <w:tcW w:w="2986" w:type="dxa"/>
            <w:tcMar>
              <w:top w:w="70" w:type="dxa"/>
              <w:left w:w="100" w:type="dxa"/>
              <w:bottom w:w="70" w:type="dxa"/>
              <w:right w:w="100" w:type="dxa"/>
            </w:tcMar>
          </w:tcPr>
          <w:p w14:paraId="15A3BC2B" w14:textId="77777777" w:rsidR="00D16027" w:rsidRDefault="00000000">
            <w:r>
              <w:rPr>
                <w:sz w:val="19"/>
                <w:szCs w:val="19"/>
              </w:rPr>
              <w:t>14 in year one (question bank, rubric, template); 6 thereafter</w:t>
            </w:r>
          </w:p>
        </w:tc>
      </w:tr>
      <w:tr w:rsidR="00D16027" w14:paraId="26E38852" w14:textId="77777777">
        <w:tblPrEx>
          <w:tblCellMar>
            <w:top w:w="0" w:type="dxa"/>
            <w:bottom w:w="0" w:type="dxa"/>
          </w:tblCellMar>
        </w:tblPrEx>
        <w:trPr>
          <w:cantSplit/>
        </w:trPr>
        <w:tc>
          <w:tcPr>
            <w:tcW w:w="3800" w:type="dxa"/>
            <w:tcMar>
              <w:top w:w="70" w:type="dxa"/>
              <w:left w:w="100" w:type="dxa"/>
              <w:bottom w:w="70" w:type="dxa"/>
              <w:right w:w="100" w:type="dxa"/>
            </w:tcMar>
          </w:tcPr>
          <w:p w14:paraId="700AEDA4" w14:textId="77777777" w:rsidR="00D16027" w:rsidRDefault="00000000">
            <w:r>
              <w:rPr>
                <w:sz w:val="19"/>
                <w:szCs w:val="19"/>
              </w:rPr>
              <w:t>Marking unsupervised essays (2 × 2,500 words)</w:t>
            </w:r>
          </w:p>
        </w:tc>
        <w:tc>
          <w:tcPr>
            <w:tcW w:w="2600" w:type="dxa"/>
            <w:tcMar>
              <w:top w:w="70" w:type="dxa"/>
              <w:left w:w="100" w:type="dxa"/>
              <w:bottom w:w="70" w:type="dxa"/>
              <w:right w:w="100" w:type="dxa"/>
            </w:tcMar>
          </w:tcPr>
          <w:p w14:paraId="6E4BADD4" w14:textId="77777777" w:rsidR="00D16027" w:rsidRDefault="00000000">
            <w:r>
              <w:rPr>
                <w:sz w:val="19"/>
                <w:szCs w:val="19"/>
              </w:rPr>
              <w:t>134</w:t>
            </w:r>
          </w:p>
        </w:tc>
        <w:tc>
          <w:tcPr>
            <w:tcW w:w="2986" w:type="dxa"/>
            <w:tcMar>
              <w:top w:w="70" w:type="dxa"/>
              <w:left w:w="100" w:type="dxa"/>
              <w:bottom w:w="70" w:type="dxa"/>
              <w:right w:w="100" w:type="dxa"/>
            </w:tcMar>
          </w:tcPr>
          <w:p w14:paraId="68588497" w14:textId="77777777" w:rsidR="00D16027" w:rsidRDefault="00000000">
            <w:r>
              <w:rPr>
                <w:sz w:val="19"/>
                <w:szCs w:val="19"/>
              </w:rPr>
              <w:t>0</w:t>
            </w:r>
          </w:p>
        </w:tc>
      </w:tr>
      <w:tr w:rsidR="00D16027" w14:paraId="1BAB1B38" w14:textId="77777777">
        <w:tblPrEx>
          <w:tblCellMar>
            <w:top w:w="0" w:type="dxa"/>
            <w:bottom w:w="0" w:type="dxa"/>
          </w:tblCellMar>
        </w:tblPrEx>
        <w:trPr>
          <w:cantSplit/>
        </w:trPr>
        <w:tc>
          <w:tcPr>
            <w:tcW w:w="3800" w:type="dxa"/>
            <w:tcMar>
              <w:top w:w="70" w:type="dxa"/>
              <w:left w:w="100" w:type="dxa"/>
              <w:bottom w:w="70" w:type="dxa"/>
              <w:right w:w="100" w:type="dxa"/>
            </w:tcMar>
          </w:tcPr>
          <w:p w14:paraId="01F1881C" w14:textId="77777777" w:rsidR="00D16027" w:rsidRDefault="00000000">
            <w:r>
              <w:rPr>
                <w:sz w:val="19"/>
                <w:szCs w:val="19"/>
              </w:rPr>
              <w:t>Marking staged checkpoints (pass/fail, 2 stages)</w:t>
            </w:r>
          </w:p>
        </w:tc>
        <w:tc>
          <w:tcPr>
            <w:tcW w:w="2600" w:type="dxa"/>
            <w:tcMar>
              <w:top w:w="70" w:type="dxa"/>
              <w:left w:w="100" w:type="dxa"/>
              <w:bottom w:w="70" w:type="dxa"/>
              <w:right w:w="100" w:type="dxa"/>
            </w:tcMar>
          </w:tcPr>
          <w:p w14:paraId="29FF573D" w14:textId="77777777" w:rsidR="00D16027" w:rsidRDefault="00000000">
            <w:r>
              <w:rPr>
                <w:sz w:val="19"/>
                <w:szCs w:val="19"/>
              </w:rPr>
              <w:t>0</w:t>
            </w:r>
          </w:p>
        </w:tc>
        <w:tc>
          <w:tcPr>
            <w:tcW w:w="2986" w:type="dxa"/>
            <w:tcMar>
              <w:top w:w="70" w:type="dxa"/>
              <w:left w:w="100" w:type="dxa"/>
              <w:bottom w:w="70" w:type="dxa"/>
              <w:right w:w="100" w:type="dxa"/>
            </w:tcMar>
          </w:tcPr>
          <w:p w14:paraId="43C29A6D" w14:textId="77777777" w:rsidR="00D16027" w:rsidRDefault="00000000">
            <w:r>
              <w:rPr>
                <w:sz w:val="19"/>
                <w:szCs w:val="19"/>
              </w:rPr>
              <w:t>12</w:t>
            </w:r>
          </w:p>
        </w:tc>
      </w:tr>
      <w:tr w:rsidR="00D16027" w14:paraId="5158D782" w14:textId="77777777">
        <w:tblPrEx>
          <w:tblCellMar>
            <w:top w:w="0" w:type="dxa"/>
            <w:bottom w:w="0" w:type="dxa"/>
          </w:tblCellMar>
        </w:tblPrEx>
        <w:trPr>
          <w:cantSplit/>
        </w:trPr>
        <w:tc>
          <w:tcPr>
            <w:tcW w:w="3800" w:type="dxa"/>
            <w:tcMar>
              <w:top w:w="70" w:type="dxa"/>
              <w:left w:w="100" w:type="dxa"/>
              <w:bottom w:w="70" w:type="dxa"/>
              <w:right w:w="100" w:type="dxa"/>
            </w:tcMar>
          </w:tcPr>
          <w:p w14:paraId="0E400219" w14:textId="77777777" w:rsidR="00D16027" w:rsidRDefault="00000000">
            <w:r>
              <w:rPr>
                <w:sz w:val="19"/>
                <w:szCs w:val="19"/>
              </w:rPr>
              <w:t>Marking final product (1 × 1,800 words)</w:t>
            </w:r>
          </w:p>
        </w:tc>
        <w:tc>
          <w:tcPr>
            <w:tcW w:w="2600" w:type="dxa"/>
            <w:tcMar>
              <w:top w:w="70" w:type="dxa"/>
              <w:left w:w="100" w:type="dxa"/>
              <w:bottom w:w="70" w:type="dxa"/>
              <w:right w:w="100" w:type="dxa"/>
            </w:tcMar>
          </w:tcPr>
          <w:p w14:paraId="489D28E3" w14:textId="77777777" w:rsidR="00D16027" w:rsidRDefault="00000000">
            <w:r>
              <w:rPr>
                <w:sz w:val="19"/>
                <w:szCs w:val="19"/>
              </w:rPr>
              <w:t>0</w:t>
            </w:r>
          </w:p>
        </w:tc>
        <w:tc>
          <w:tcPr>
            <w:tcW w:w="2986" w:type="dxa"/>
            <w:tcMar>
              <w:top w:w="70" w:type="dxa"/>
              <w:left w:w="100" w:type="dxa"/>
              <w:bottom w:w="70" w:type="dxa"/>
              <w:right w:w="100" w:type="dxa"/>
            </w:tcMar>
          </w:tcPr>
          <w:p w14:paraId="503661F5" w14:textId="77777777" w:rsidR="00D16027" w:rsidRDefault="00000000">
            <w:r>
              <w:rPr>
                <w:sz w:val="19"/>
                <w:szCs w:val="19"/>
              </w:rPr>
              <w:t>48</w:t>
            </w:r>
          </w:p>
        </w:tc>
      </w:tr>
      <w:tr w:rsidR="00D16027" w14:paraId="02B2CAA5" w14:textId="77777777">
        <w:tblPrEx>
          <w:tblCellMar>
            <w:top w:w="0" w:type="dxa"/>
            <w:bottom w:w="0" w:type="dxa"/>
          </w:tblCellMar>
        </w:tblPrEx>
        <w:trPr>
          <w:cantSplit/>
        </w:trPr>
        <w:tc>
          <w:tcPr>
            <w:tcW w:w="3800" w:type="dxa"/>
            <w:tcMar>
              <w:top w:w="70" w:type="dxa"/>
              <w:left w:w="100" w:type="dxa"/>
              <w:bottom w:w="70" w:type="dxa"/>
              <w:right w:w="100" w:type="dxa"/>
            </w:tcMar>
          </w:tcPr>
          <w:p w14:paraId="58507875" w14:textId="77777777" w:rsidR="00D16027" w:rsidRDefault="00000000">
            <w:r>
              <w:rPr>
                <w:sz w:val="19"/>
                <w:szCs w:val="19"/>
              </w:rPr>
              <w:t>In-class task (50 min, marked)</w:t>
            </w:r>
          </w:p>
        </w:tc>
        <w:tc>
          <w:tcPr>
            <w:tcW w:w="2600" w:type="dxa"/>
            <w:tcMar>
              <w:top w:w="70" w:type="dxa"/>
              <w:left w:w="100" w:type="dxa"/>
              <w:bottom w:w="70" w:type="dxa"/>
              <w:right w:w="100" w:type="dxa"/>
            </w:tcMar>
          </w:tcPr>
          <w:p w14:paraId="2229FF5E" w14:textId="77777777" w:rsidR="00D16027" w:rsidRDefault="00000000">
            <w:r>
              <w:rPr>
                <w:sz w:val="19"/>
                <w:szCs w:val="19"/>
              </w:rPr>
              <w:t>0</w:t>
            </w:r>
          </w:p>
        </w:tc>
        <w:tc>
          <w:tcPr>
            <w:tcW w:w="2986" w:type="dxa"/>
            <w:tcMar>
              <w:top w:w="70" w:type="dxa"/>
              <w:left w:w="100" w:type="dxa"/>
              <w:bottom w:w="70" w:type="dxa"/>
              <w:right w:w="100" w:type="dxa"/>
            </w:tcMar>
          </w:tcPr>
          <w:p w14:paraId="40366AFA" w14:textId="77777777" w:rsidR="00D16027" w:rsidRDefault="00000000">
            <w:r>
              <w:rPr>
                <w:sz w:val="19"/>
                <w:szCs w:val="19"/>
              </w:rPr>
              <w:t>34</w:t>
            </w:r>
          </w:p>
        </w:tc>
      </w:tr>
      <w:tr w:rsidR="00D16027" w14:paraId="06ECBD7D" w14:textId="77777777">
        <w:tblPrEx>
          <w:tblCellMar>
            <w:top w:w="0" w:type="dxa"/>
            <w:bottom w:w="0" w:type="dxa"/>
          </w:tblCellMar>
        </w:tblPrEx>
        <w:trPr>
          <w:cantSplit/>
        </w:trPr>
        <w:tc>
          <w:tcPr>
            <w:tcW w:w="3800" w:type="dxa"/>
            <w:tcMar>
              <w:top w:w="70" w:type="dxa"/>
              <w:left w:w="100" w:type="dxa"/>
              <w:bottom w:w="70" w:type="dxa"/>
              <w:right w:w="100" w:type="dxa"/>
            </w:tcMar>
          </w:tcPr>
          <w:p w14:paraId="2014DCE8" w14:textId="77777777" w:rsidR="00D16027" w:rsidRDefault="00000000">
            <w:r>
              <w:rPr>
                <w:sz w:val="19"/>
                <w:szCs w:val="19"/>
              </w:rPr>
              <w:t>Sampled conversations (1 in 3, 10 min)</w:t>
            </w:r>
          </w:p>
        </w:tc>
        <w:tc>
          <w:tcPr>
            <w:tcW w:w="2600" w:type="dxa"/>
            <w:tcMar>
              <w:top w:w="70" w:type="dxa"/>
              <w:left w:w="100" w:type="dxa"/>
              <w:bottom w:w="70" w:type="dxa"/>
              <w:right w:w="100" w:type="dxa"/>
            </w:tcMar>
          </w:tcPr>
          <w:p w14:paraId="5B6B7644" w14:textId="77777777" w:rsidR="00D16027" w:rsidRDefault="00000000">
            <w:r>
              <w:rPr>
                <w:sz w:val="19"/>
                <w:szCs w:val="19"/>
              </w:rPr>
              <w:t>0</w:t>
            </w:r>
          </w:p>
        </w:tc>
        <w:tc>
          <w:tcPr>
            <w:tcW w:w="2986" w:type="dxa"/>
            <w:tcMar>
              <w:top w:w="70" w:type="dxa"/>
              <w:left w:w="100" w:type="dxa"/>
              <w:bottom w:w="70" w:type="dxa"/>
              <w:right w:w="100" w:type="dxa"/>
            </w:tcMar>
          </w:tcPr>
          <w:p w14:paraId="44A4F235" w14:textId="77777777" w:rsidR="00D16027" w:rsidRDefault="00000000">
            <w:r>
              <w:rPr>
                <w:sz w:val="19"/>
                <w:szCs w:val="19"/>
              </w:rPr>
              <w:t>12</w:t>
            </w:r>
          </w:p>
        </w:tc>
      </w:tr>
      <w:tr w:rsidR="00D16027" w14:paraId="59CF089E" w14:textId="77777777">
        <w:tblPrEx>
          <w:tblCellMar>
            <w:top w:w="0" w:type="dxa"/>
            <w:bottom w:w="0" w:type="dxa"/>
          </w:tblCellMar>
        </w:tblPrEx>
        <w:trPr>
          <w:cantSplit/>
        </w:trPr>
        <w:tc>
          <w:tcPr>
            <w:tcW w:w="3800" w:type="dxa"/>
            <w:tcMar>
              <w:top w:w="70" w:type="dxa"/>
              <w:left w:w="100" w:type="dxa"/>
              <w:bottom w:w="70" w:type="dxa"/>
              <w:right w:w="100" w:type="dxa"/>
            </w:tcMar>
          </w:tcPr>
          <w:p w14:paraId="432E1CE8" w14:textId="77777777" w:rsidR="00D16027" w:rsidRDefault="00000000">
            <w:r>
              <w:rPr>
                <w:sz w:val="19"/>
                <w:szCs w:val="19"/>
              </w:rPr>
              <w:t>Moderation and calibration</w:t>
            </w:r>
          </w:p>
        </w:tc>
        <w:tc>
          <w:tcPr>
            <w:tcW w:w="2600" w:type="dxa"/>
            <w:tcMar>
              <w:top w:w="70" w:type="dxa"/>
              <w:left w:w="100" w:type="dxa"/>
              <w:bottom w:w="70" w:type="dxa"/>
              <w:right w:w="100" w:type="dxa"/>
            </w:tcMar>
          </w:tcPr>
          <w:p w14:paraId="5B17C878" w14:textId="77777777" w:rsidR="00D16027" w:rsidRDefault="00000000">
            <w:r>
              <w:rPr>
                <w:sz w:val="19"/>
                <w:szCs w:val="19"/>
              </w:rPr>
              <w:t>8</w:t>
            </w:r>
          </w:p>
        </w:tc>
        <w:tc>
          <w:tcPr>
            <w:tcW w:w="2986" w:type="dxa"/>
            <w:tcMar>
              <w:top w:w="70" w:type="dxa"/>
              <w:left w:w="100" w:type="dxa"/>
              <w:bottom w:w="70" w:type="dxa"/>
              <w:right w:w="100" w:type="dxa"/>
            </w:tcMar>
          </w:tcPr>
          <w:p w14:paraId="3A729BC8" w14:textId="77777777" w:rsidR="00D16027" w:rsidRDefault="00000000">
            <w:r>
              <w:rPr>
                <w:sz w:val="19"/>
                <w:szCs w:val="19"/>
              </w:rPr>
              <w:t>12</w:t>
            </w:r>
          </w:p>
        </w:tc>
      </w:tr>
      <w:tr w:rsidR="00D16027" w14:paraId="07B451C0" w14:textId="77777777">
        <w:tblPrEx>
          <w:tblCellMar>
            <w:top w:w="0" w:type="dxa"/>
            <w:bottom w:w="0" w:type="dxa"/>
          </w:tblCellMar>
        </w:tblPrEx>
        <w:trPr>
          <w:cantSplit/>
        </w:trPr>
        <w:tc>
          <w:tcPr>
            <w:tcW w:w="3800" w:type="dxa"/>
            <w:tcMar>
              <w:top w:w="70" w:type="dxa"/>
              <w:left w:w="100" w:type="dxa"/>
              <w:bottom w:w="70" w:type="dxa"/>
              <w:right w:w="100" w:type="dxa"/>
            </w:tcMar>
          </w:tcPr>
          <w:p w14:paraId="768A81BE" w14:textId="77777777" w:rsidR="00D16027" w:rsidRDefault="00000000">
            <w:r>
              <w:rPr>
                <w:sz w:val="19"/>
                <w:szCs w:val="19"/>
              </w:rPr>
              <w:t>Total</w:t>
            </w:r>
          </w:p>
        </w:tc>
        <w:tc>
          <w:tcPr>
            <w:tcW w:w="2600" w:type="dxa"/>
            <w:tcMar>
              <w:top w:w="70" w:type="dxa"/>
              <w:left w:w="100" w:type="dxa"/>
              <w:bottom w:w="70" w:type="dxa"/>
              <w:right w:w="100" w:type="dxa"/>
            </w:tcMar>
          </w:tcPr>
          <w:p w14:paraId="3AA048E4" w14:textId="77777777" w:rsidR="00D16027" w:rsidRDefault="00000000">
            <w:r>
              <w:rPr>
                <w:sz w:val="19"/>
                <w:szCs w:val="19"/>
              </w:rPr>
              <w:t>148</w:t>
            </w:r>
          </w:p>
        </w:tc>
        <w:tc>
          <w:tcPr>
            <w:tcW w:w="2986" w:type="dxa"/>
            <w:tcMar>
              <w:top w:w="70" w:type="dxa"/>
              <w:left w:w="100" w:type="dxa"/>
              <w:bottom w:w="70" w:type="dxa"/>
              <w:right w:w="100" w:type="dxa"/>
            </w:tcMar>
          </w:tcPr>
          <w:p w14:paraId="321917D7" w14:textId="77777777" w:rsidR="00D16027" w:rsidRDefault="00000000">
            <w:r>
              <w:rPr>
                <w:sz w:val="19"/>
                <w:szCs w:val="19"/>
              </w:rPr>
              <w:t>132 in year one; 124 thereafter</w:t>
            </w:r>
          </w:p>
        </w:tc>
      </w:tr>
    </w:tbl>
    <w:p w14:paraId="2BB0E088" w14:textId="77777777" w:rsidR="00D16027" w:rsidRDefault="00D16027">
      <w:pPr>
        <w:spacing w:after="120"/>
      </w:pPr>
    </w:p>
    <w:p w14:paraId="3BA29A92" w14:textId="77777777" w:rsidR="00D16027" w:rsidRDefault="00000000">
      <w:pPr>
        <w:pStyle w:val="Heading2"/>
        <w:keepNext/>
      </w:pPr>
      <w:r>
        <w:t>17.6 Making change stick</w:t>
      </w:r>
    </w:p>
    <w:p w14:paraId="6810B2B8" w14:textId="77777777" w:rsidR="00D16027" w:rsidRDefault="00000000">
      <w:pPr>
        <w:spacing w:after="140"/>
      </w:pPr>
      <w:r>
        <w:t xml:space="preserve">Change survives when it is embedded in the structures that outlast enthusiasm. Six embedding mechanisms are reliable. </w:t>
      </w:r>
      <w:r>
        <w:rPr>
          <w:b/>
          <w:bCs/>
        </w:rPr>
        <w:t>Professional development</w:t>
      </w:r>
      <w:r>
        <w:t xml:space="preserve"> that is continuing rather than a one-off event, organised around real redesign tasks and delivered by colleagues who have done it. </w:t>
      </w:r>
      <w:r>
        <w:rPr>
          <w:b/>
          <w:bCs/>
        </w:rPr>
        <w:t>Validation and periodic review</w:t>
      </w:r>
      <w:r>
        <w:t xml:space="preserve"> that require the audit, the evidence map and the equity review as standard documents, so that the discipline becomes routine paperwork rather than special effort. </w:t>
      </w:r>
      <w:r>
        <w:rPr>
          <w:b/>
          <w:bCs/>
        </w:rPr>
        <w:t>Policy and templates</w:t>
      </w:r>
      <w:r>
        <w:t xml:space="preserve">: a common AI-use scale, declaration template, viva protocol and sampling policy, adopted once and used everywhere. </w:t>
      </w:r>
      <w:r>
        <w:rPr>
          <w:b/>
          <w:bCs/>
        </w:rPr>
        <w:t>A central support team</w:t>
      </w:r>
      <w:r>
        <w:t xml:space="preserve"> that runs the design clinic, maintains the capability briefing (Chapter 2) and holds the institutional evidence. </w:t>
      </w:r>
      <w:r>
        <w:rPr>
          <w:b/>
          <w:bCs/>
        </w:rPr>
        <w:t>Monitoring and evaluation</w:t>
      </w:r>
      <w:r>
        <w:t xml:space="preserve"> that report what redesign has achieved, in validity, workload and equity, to the bodies that govern quality. </w:t>
      </w:r>
      <w:r>
        <w:rPr>
          <w:b/>
          <w:bCs/>
        </w:rPr>
        <w:t>Leadership sponsorship and recognition</w:t>
      </w:r>
      <w:r>
        <w:t>: a named senior owner, and promotion and reward criteria that count assessment redesign as scholarship. Fullan (2007) and Kotter (1996) both end with anchoring in culture; in universities that means making the new practice the thing that the paperwork asks for.</w:t>
      </w:r>
    </w:p>
    <w:p w14:paraId="63A53B52" w14:textId="77777777" w:rsidR="00D16027" w:rsidRDefault="00000000">
      <w:pPr>
        <w:pStyle w:val="Heading2"/>
        <w:keepNext/>
      </w:pPr>
      <w:r>
        <w:t>17.7 Coalitions and communities of practice</w:t>
      </w:r>
    </w:p>
    <w:p w14:paraId="54E1AA01" w14:textId="77777777" w:rsidR="00D16027" w:rsidRDefault="00000000">
      <w:pPr>
        <w:spacing w:after="140"/>
      </w:pPr>
      <w:r>
        <w:t xml:space="preserve">Wenger's (1998) communities of practice, groups that share a concern and learn how to do it better through regular interaction, are the natural vehicle for assessment redesign in universities. A cross-disciplinary group that meets monthly to share benchmark results, redesign plans, question banks and evaluations does more than any policy circular. It should include learning developers, librarians, disability services, IT and student representatives, because redesign touches all of them; and it should connect outward to national and sector networks, where much of the fastest learning is happening. A design clinic, in which a colleague brings a task and leaves with a plan, converts the community's knowledge into individual redesigns. Champions in each department, recognised and resourced, carry it into the workgroups where </w:t>
      </w:r>
      <w:proofErr w:type="spellStart"/>
      <w:r>
        <w:t>Trowler</w:t>
      </w:r>
      <w:proofErr w:type="spellEnd"/>
      <w:r>
        <w:t xml:space="preserve"> locates culture. Bower et al. (2024) found educators worldwide wanting exactly this: peers who had done it, and evidence they could trust.</w:t>
      </w:r>
    </w:p>
    <w:p w14:paraId="7043D3CF"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Institutional change in practice</w:t>
      </w:r>
    </w:p>
    <w:p w14:paraId="7521982B" w14:textId="77777777" w:rsidR="00D16027" w:rsidRDefault="00000000">
      <w:pPr>
        <w:pBdr>
          <w:left w:val="single" w:sz="14" w:space="10" w:color="4E8A5E"/>
        </w:pBdr>
        <w:shd w:val="clear" w:color="auto" w:fill="EEF6EF"/>
        <w:spacing w:after="60"/>
      </w:pPr>
      <w:r>
        <w:rPr>
          <w:b/>
          <w:bCs/>
          <w:color w:val="333333"/>
          <w:sz w:val="20"/>
          <w:szCs w:val="20"/>
        </w:rPr>
        <w:t>A department's two-year plan.</w:t>
      </w:r>
      <w:r>
        <w:rPr>
          <w:color w:val="333333"/>
          <w:sz w:val="20"/>
          <w:szCs w:val="20"/>
        </w:rPr>
        <w:t xml:space="preserve"> Year one: programme audit; benchmark of every module's main task; redesign of the three highest-priority tasks; adoption of the institutional scale and declaration template; a formative oral in every first-year module. Year two: redesign of the next three; sampled conversations standard for all unsupervised coursework; evaluation reported to the faculty; external examiner briefed at each stage.</w:t>
      </w:r>
    </w:p>
    <w:p w14:paraId="24D7A016" w14:textId="77777777" w:rsidR="00D16027" w:rsidRDefault="00000000">
      <w:pPr>
        <w:pBdr>
          <w:left w:val="single" w:sz="14" w:space="10" w:color="4E8A5E"/>
        </w:pBdr>
        <w:shd w:val="clear" w:color="auto" w:fill="EEF6EF"/>
        <w:spacing w:after="60"/>
      </w:pPr>
      <w:r>
        <w:rPr>
          <w:b/>
          <w:bCs/>
          <w:color w:val="333333"/>
          <w:sz w:val="20"/>
          <w:szCs w:val="20"/>
        </w:rPr>
        <w:t>A programme leader's case to a faculty committee.</w:t>
      </w:r>
      <w:r>
        <w:rPr>
          <w:color w:val="333333"/>
          <w:sz w:val="20"/>
          <w:szCs w:val="20"/>
        </w:rPr>
        <w:t xml:space="preserve"> Two pages: the benchmark results (AI passed seven of nine summative tasks); the regulator's expectations; the misconduct-case count and cost for the </w:t>
      </w:r>
      <w:r>
        <w:rPr>
          <w:color w:val="333333"/>
          <w:sz w:val="20"/>
          <w:szCs w:val="20"/>
        </w:rPr>
        <w:lastRenderedPageBreak/>
        <w:t>previous year; the proposed spectrum map with Lane 1 at three points; the workload table showing no net increase after year one; the equity review; the evaluation plan; and a request for transition hours.</w:t>
      </w:r>
    </w:p>
    <w:p w14:paraId="7F252635" w14:textId="77777777" w:rsidR="00D16027" w:rsidRDefault="00000000">
      <w:pPr>
        <w:pBdr>
          <w:left w:val="single" w:sz="14" w:space="10" w:color="4E8A5E"/>
        </w:pBdr>
        <w:shd w:val="clear" w:color="auto" w:fill="EEF6EF"/>
        <w:spacing w:after="60"/>
      </w:pPr>
      <w:r>
        <w:rPr>
          <w:b/>
          <w:bCs/>
          <w:color w:val="333333"/>
          <w:sz w:val="20"/>
          <w:szCs w:val="20"/>
        </w:rPr>
        <w:t>A professional-body negotiation.</w:t>
      </w:r>
      <w:r>
        <w:rPr>
          <w:color w:val="333333"/>
          <w:sz w:val="20"/>
          <w:szCs w:val="20"/>
        </w:rPr>
        <w:t xml:space="preserve"> An engineering department proposes replacing an unsupervised design report with a client-reviewed design and an individual oral defence. The accrediting body's initial concern is comparability; the department supplies common criteria, calibrated exemplars and the moderation plan, and argues that the oral defence evidences the accreditation outcome more directly than the report did. This is the case that has succeeded where it has been made in full.</w:t>
      </w:r>
    </w:p>
    <w:p w14:paraId="4F37C4A0" w14:textId="77777777" w:rsidR="00D16027" w:rsidRDefault="00000000">
      <w:pPr>
        <w:pBdr>
          <w:left w:val="single" w:sz="14" w:space="10" w:color="4E8A5E"/>
        </w:pBdr>
        <w:shd w:val="clear" w:color="auto" w:fill="EEF6EF"/>
        <w:spacing w:after="200"/>
      </w:pPr>
      <w:r>
        <w:rPr>
          <w:b/>
          <w:bCs/>
          <w:color w:val="333333"/>
          <w:sz w:val="20"/>
          <w:szCs w:val="20"/>
        </w:rPr>
        <w:t>A community of practice.</w:t>
      </w:r>
      <w:r>
        <w:rPr>
          <w:color w:val="333333"/>
          <w:sz w:val="20"/>
          <w:szCs w:val="20"/>
        </w:rPr>
        <w:t xml:space="preserve"> Twenty-five staff from eleven departments, a learning developer, a librarian, a disability adviser and three students meet monthly. Each meeting: one benchmark result, one redesign plan, one evaluation. Outputs are held in a shared repository, and the group's target is that every department has redesigned at least three tasks using its materials within a year.</w:t>
      </w:r>
    </w:p>
    <w:p w14:paraId="297F1441"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Build your change plan</w:t>
      </w:r>
    </w:p>
    <w:p w14:paraId="0B38CB32"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Map the constraints and enablers for your programme using Table 17.1; identify the review-cycle window and the minor-modification route.</w:t>
      </w:r>
    </w:p>
    <w:p w14:paraId="1CD7FEE1"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Assemble the case: benchmark results, student-use data, regulator expectations, misconduct costs, and the pedagogical argument.</w:t>
      </w:r>
    </w:p>
    <w:p w14:paraId="2559BCAE"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Identify three volunteers and one sceptic; run the sceptic's task through AI with them.</w:t>
      </w:r>
    </w:p>
    <w:p w14:paraId="7EA828DD"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Recruit two student partners to the audit.</w:t>
      </w:r>
    </w:p>
    <w:p w14:paraId="14349555"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Complete the workload table for the first redesign and secure transition hours.</w:t>
      </w:r>
    </w:p>
    <w:p w14:paraId="405198D9"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Set the embedding mechanisms: template adoption, a standing item at programme committee, an evaluation date, and a named owner.</w:t>
      </w:r>
    </w:p>
    <w:p w14:paraId="156194CD" w14:textId="77777777" w:rsidR="00D16027" w:rsidRDefault="00000000">
      <w:pPr>
        <w:pStyle w:val="Heading2"/>
        <w:keepNext/>
      </w:pPr>
      <w:r>
        <w:t>What this means for you</w:t>
      </w:r>
    </w:p>
    <w:p w14:paraId="5B96396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2D247EA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Find the community of practice, or start one with two colleagues; do not redesign alone.</w:t>
      </w:r>
    </w:p>
    <w:p w14:paraId="6C1BB7E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Do the workload arithmetic before proposing a change, and propose the removal alongside the addition.</w:t>
      </w:r>
    </w:p>
    <w:p w14:paraId="7E6A7CE4"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Bring a student partner into your redesign; they know how the task is currently being done.</w:t>
      </w:r>
    </w:p>
    <w:p w14:paraId="564639BA"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5F217AFF"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Make the pedagogical case to the faculty, with the benchmark, the spectrum map, the workload table and the equity review; defensive cases get compliance, pedagogical cases get commitment.</w:t>
      </w:r>
    </w:p>
    <w:p w14:paraId="22786E1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Negotiate with professional bodies from evidence: common criteria, calibrated exemplars, moderation plans and the argument that the new evidence maps more directly to their outcomes.</w:t>
      </w:r>
    </w:p>
    <w:p w14:paraId="01243FF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Embed the audit, evidence map and equity review in programme review so that they become routine.</w:t>
      </w:r>
    </w:p>
    <w:p w14:paraId="66B60DB7"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139076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Name a senior owner, fund a central design service and a community of practice, and credit transition hours in workload models.</w:t>
      </w:r>
    </w:p>
    <w:p w14:paraId="33DE3BF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the common instruments once, institution-wide: AI-use scale, declaration template, viva protocol, sampling policy, equity review.</w:t>
      </w:r>
    </w:p>
    <w:p w14:paraId="6FAF06B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Count assessment redesign in promotion and reward criteria, and report progress on it to governing bodies as a quality matter.</w:t>
      </w:r>
    </w:p>
    <w:p w14:paraId="28A2473F" w14:textId="77777777" w:rsidR="00D16027" w:rsidRDefault="00000000">
      <w:pPr>
        <w:pStyle w:val="Heading2"/>
        <w:keepNext/>
      </w:pPr>
      <w:r>
        <w:t>Key references for this chapter</w:t>
      </w:r>
    </w:p>
    <w:p w14:paraId="7493F38E" w14:textId="77777777" w:rsidR="00D16027" w:rsidRDefault="00000000">
      <w:pPr>
        <w:pStyle w:val="ListParagraph"/>
        <w:numPr>
          <w:ilvl w:val="0"/>
          <w:numId w:val="3"/>
        </w:numPr>
        <w:spacing w:before="30" w:after="50"/>
      </w:pPr>
      <w:r>
        <w:rPr>
          <w:color w:val="333333"/>
          <w:sz w:val="19"/>
          <w:szCs w:val="19"/>
        </w:rPr>
        <w:t xml:space="preserve">Bloxham, S. &amp; Boyd, P. (2007) </w:t>
      </w:r>
      <w:r>
        <w:rPr>
          <w:i/>
          <w:iCs/>
          <w:color w:val="333333"/>
          <w:sz w:val="19"/>
          <w:szCs w:val="19"/>
        </w:rPr>
        <w:t>Developing Effective Assessment in Higher Education: A Practical Guide</w:t>
      </w:r>
      <w:r>
        <w:rPr>
          <w:color w:val="333333"/>
          <w:sz w:val="19"/>
          <w:szCs w:val="19"/>
        </w:rPr>
        <w:t>. Maidenhead: Open University Press.</w:t>
      </w:r>
    </w:p>
    <w:p w14:paraId="6AF38D36" w14:textId="77777777" w:rsidR="00D16027" w:rsidRDefault="00000000">
      <w:pPr>
        <w:pStyle w:val="ListParagraph"/>
        <w:numPr>
          <w:ilvl w:val="0"/>
          <w:numId w:val="3"/>
        </w:numPr>
        <w:spacing w:before="30" w:after="50"/>
      </w:pPr>
      <w:r>
        <w:rPr>
          <w:color w:val="333333"/>
          <w:sz w:val="19"/>
          <w:szCs w:val="19"/>
        </w:rPr>
        <w:t xml:space="preserve">Bovill, C. (2020) Co-creation in learning and teaching: the case for a whole-class approach in higher education. </w:t>
      </w:r>
      <w:r>
        <w:rPr>
          <w:i/>
          <w:iCs/>
          <w:color w:val="333333"/>
          <w:sz w:val="19"/>
          <w:szCs w:val="19"/>
        </w:rPr>
        <w:t>Higher Education</w:t>
      </w:r>
      <w:r>
        <w:rPr>
          <w:color w:val="333333"/>
          <w:sz w:val="19"/>
          <w:szCs w:val="19"/>
        </w:rPr>
        <w:t>, 79(6), 1023–1037.</w:t>
      </w:r>
    </w:p>
    <w:p w14:paraId="1C7D4FEC" w14:textId="77777777" w:rsidR="00D16027" w:rsidRDefault="00000000">
      <w:pPr>
        <w:pStyle w:val="ListParagraph"/>
        <w:numPr>
          <w:ilvl w:val="0"/>
          <w:numId w:val="3"/>
        </w:numPr>
        <w:spacing w:before="30" w:after="50"/>
      </w:pPr>
      <w:r>
        <w:rPr>
          <w:color w:val="333333"/>
          <w:sz w:val="19"/>
          <w:szCs w:val="19"/>
        </w:rPr>
        <w:t xml:space="preserve">Bower, M. et al. (2024) How should we change teaching and assessment in response to increasingly powerful generative artificial intelligence? </w:t>
      </w:r>
      <w:r>
        <w:rPr>
          <w:i/>
          <w:iCs/>
          <w:color w:val="333333"/>
          <w:sz w:val="19"/>
          <w:szCs w:val="19"/>
        </w:rPr>
        <w:t>Education and Information Technologies</w:t>
      </w:r>
      <w:r>
        <w:rPr>
          <w:color w:val="333333"/>
          <w:sz w:val="19"/>
          <w:szCs w:val="19"/>
        </w:rPr>
        <w:t>, 29, 15403–15439.</w:t>
      </w:r>
    </w:p>
    <w:p w14:paraId="0E6FDB97"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w:t>
      </w:r>
      <w:r>
        <w:rPr>
          <w:i/>
          <w:iCs/>
          <w:color w:val="333333"/>
          <w:sz w:val="19"/>
          <w:szCs w:val="19"/>
        </w:rPr>
        <w:t>International Journal of Educational Technology in Higher Education</w:t>
      </w:r>
      <w:r>
        <w:rPr>
          <w:color w:val="333333"/>
          <w:sz w:val="19"/>
          <w:szCs w:val="19"/>
        </w:rPr>
        <w:t>, 20, 43.</w:t>
      </w:r>
    </w:p>
    <w:p w14:paraId="7447F4F0" w14:textId="77777777" w:rsidR="00D16027" w:rsidRDefault="00000000">
      <w:pPr>
        <w:pStyle w:val="ListParagraph"/>
        <w:numPr>
          <w:ilvl w:val="0"/>
          <w:numId w:val="3"/>
        </w:numPr>
        <w:spacing w:before="30" w:after="50"/>
      </w:pPr>
      <w:r>
        <w:rPr>
          <w:color w:val="333333"/>
          <w:sz w:val="19"/>
          <w:szCs w:val="19"/>
        </w:rPr>
        <w:lastRenderedPageBreak/>
        <w:t xml:space="preserve">Cook-Sather, A., Bovill, C. &amp; Felten, P. (2014) </w:t>
      </w:r>
      <w:r>
        <w:rPr>
          <w:i/>
          <w:iCs/>
          <w:color w:val="333333"/>
          <w:sz w:val="19"/>
          <w:szCs w:val="19"/>
        </w:rPr>
        <w:t>Engaging Students as Partners in Learning and Teaching: A Guide for Faculty</w:t>
      </w:r>
      <w:r>
        <w:rPr>
          <w:color w:val="333333"/>
          <w:sz w:val="19"/>
          <w:szCs w:val="19"/>
        </w:rPr>
        <w:t>. San Francisco: Jossey-Bass.</w:t>
      </w:r>
    </w:p>
    <w:p w14:paraId="078C872A" w14:textId="77777777" w:rsidR="00D16027" w:rsidRDefault="00000000">
      <w:pPr>
        <w:pStyle w:val="ListParagraph"/>
        <w:numPr>
          <w:ilvl w:val="0"/>
          <w:numId w:val="3"/>
        </w:numPr>
        <w:spacing w:before="30" w:after="50"/>
      </w:pPr>
      <w:r>
        <w:rPr>
          <w:color w:val="333333"/>
          <w:sz w:val="19"/>
          <w:szCs w:val="19"/>
        </w:rPr>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3529FFFE" w14:textId="77777777" w:rsidR="00D16027" w:rsidRDefault="00000000">
      <w:pPr>
        <w:pStyle w:val="ListParagraph"/>
        <w:numPr>
          <w:ilvl w:val="0"/>
          <w:numId w:val="3"/>
        </w:numPr>
        <w:spacing w:before="30" w:after="50"/>
      </w:pPr>
      <w:r>
        <w:rPr>
          <w:color w:val="333333"/>
          <w:sz w:val="19"/>
          <w:szCs w:val="19"/>
        </w:rPr>
        <w:t xml:space="preserve">Freeman, J. (2025) </w:t>
      </w:r>
      <w:r>
        <w:rPr>
          <w:i/>
          <w:iCs/>
          <w:color w:val="333333"/>
          <w:sz w:val="19"/>
          <w:szCs w:val="19"/>
        </w:rPr>
        <w:t>Student Generative AI Survey 2025</w:t>
      </w:r>
      <w:r>
        <w:rPr>
          <w:color w:val="333333"/>
          <w:sz w:val="19"/>
          <w:szCs w:val="19"/>
        </w:rPr>
        <w:t xml:space="preserve">. HEPI Policy Note 61. Oxford: HEPI / </w:t>
      </w:r>
      <w:proofErr w:type="spellStart"/>
      <w:r>
        <w:rPr>
          <w:color w:val="333333"/>
          <w:sz w:val="19"/>
          <w:szCs w:val="19"/>
        </w:rPr>
        <w:t>Kortext</w:t>
      </w:r>
      <w:proofErr w:type="spellEnd"/>
      <w:r>
        <w:rPr>
          <w:color w:val="333333"/>
          <w:sz w:val="19"/>
          <w:szCs w:val="19"/>
        </w:rPr>
        <w:t>.</w:t>
      </w:r>
    </w:p>
    <w:p w14:paraId="274E93C8" w14:textId="77777777" w:rsidR="00D16027" w:rsidRDefault="00000000">
      <w:pPr>
        <w:pStyle w:val="ListParagraph"/>
        <w:numPr>
          <w:ilvl w:val="0"/>
          <w:numId w:val="3"/>
        </w:numPr>
        <w:spacing w:before="30" w:after="50"/>
      </w:pPr>
      <w:r>
        <w:rPr>
          <w:color w:val="333333"/>
          <w:sz w:val="19"/>
          <w:szCs w:val="19"/>
        </w:rPr>
        <w:t xml:space="preserve">Fullan, M. (2007) </w:t>
      </w:r>
      <w:r>
        <w:rPr>
          <w:i/>
          <w:iCs/>
          <w:color w:val="333333"/>
          <w:sz w:val="19"/>
          <w:szCs w:val="19"/>
        </w:rPr>
        <w:t>The New Meaning of Educational Change</w:t>
      </w:r>
      <w:r>
        <w:rPr>
          <w:color w:val="333333"/>
          <w:sz w:val="19"/>
          <w:szCs w:val="19"/>
        </w:rPr>
        <w:t xml:space="preserve"> (4th ed.). New York: Teachers College Press.</w:t>
      </w:r>
    </w:p>
    <w:p w14:paraId="0C8837B3" w14:textId="77777777" w:rsidR="00D16027" w:rsidRDefault="00000000">
      <w:pPr>
        <w:pStyle w:val="ListParagraph"/>
        <w:numPr>
          <w:ilvl w:val="0"/>
          <w:numId w:val="3"/>
        </w:numPr>
        <w:spacing w:before="30" w:after="50"/>
      </w:pPr>
      <w:r>
        <w:rPr>
          <w:color w:val="333333"/>
          <w:sz w:val="19"/>
          <w:szCs w:val="19"/>
        </w:rPr>
        <w:t xml:space="preserve">Healey, M., Flint, A. &amp; Harrington, K. (2014) </w:t>
      </w:r>
      <w:r>
        <w:rPr>
          <w:i/>
          <w:iCs/>
          <w:color w:val="333333"/>
          <w:sz w:val="19"/>
          <w:szCs w:val="19"/>
        </w:rPr>
        <w:t>Engagement Through Partnership: Students as Partners in Learning and Teaching in Higher Education</w:t>
      </w:r>
      <w:r>
        <w:rPr>
          <w:color w:val="333333"/>
          <w:sz w:val="19"/>
          <w:szCs w:val="19"/>
        </w:rPr>
        <w:t>. York: Higher Education Academy.</w:t>
      </w:r>
    </w:p>
    <w:p w14:paraId="60CD91E9" w14:textId="77777777" w:rsidR="00D16027" w:rsidRDefault="00000000">
      <w:pPr>
        <w:pStyle w:val="ListParagraph"/>
        <w:numPr>
          <w:ilvl w:val="0"/>
          <w:numId w:val="3"/>
        </w:numPr>
        <w:spacing w:before="30" w:after="50"/>
      </w:pPr>
      <w:r>
        <w:rPr>
          <w:color w:val="333333"/>
          <w:sz w:val="19"/>
          <w:szCs w:val="19"/>
        </w:rPr>
        <w:t xml:space="preserve">Knight, P.T. (2002) Summative assessment in higher education: practices in disarray. </w:t>
      </w:r>
      <w:r>
        <w:rPr>
          <w:i/>
          <w:iCs/>
          <w:color w:val="333333"/>
          <w:sz w:val="19"/>
          <w:szCs w:val="19"/>
        </w:rPr>
        <w:t>Studies in Higher Education</w:t>
      </w:r>
      <w:r>
        <w:rPr>
          <w:color w:val="333333"/>
          <w:sz w:val="19"/>
          <w:szCs w:val="19"/>
        </w:rPr>
        <w:t>, 27(3), 275–286.</w:t>
      </w:r>
    </w:p>
    <w:p w14:paraId="49638736" w14:textId="77777777" w:rsidR="00D16027" w:rsidRDefault="00000000">
      <w:pPr>
        <w:pStyle w:val="ListParagraph"/>
        <w:numPr>
          <w:ilvl w:val="0"/>
          <w:numId w:val="3"/>
        </w:numPr>
        <w:spacing w:before="30" w:after="50"/>
      </w:pPr>
      <w:r>
        <w:rPr>
          <w:color w:val="333333"/>
          <w:sz w:val="19"/>
          <w:szCs w:val="19"/>
        </w:rPr>
        <w:t xml:space="preserve">Kotter, J.P. (1996) </w:t>
      </w:r>
      <w:r>
        <w:rPr>
          <w:i/>
          <w:iCs/>
          <w:color w:val="333333"/>
          <w:sz w:val="19"/>
          <w:szCs w:val="19"/>
        </w:rPr>
        <w:t>Leading Change</w:t>
      </w:r>
      <w:r>
        <w:rPr>
          <w:color w:val="333333"/>
          <w:sz w:val="19"/>
          <w:szCs w:val="19"/>
        </w:rPr>
        <w:t>. Boston: Harvard Business School Press.</w:t>
      </w:r>
    </w:p>
    <w:p w14:paraId="0A470E38"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62F92786" w14:textId="77777777" w:rsidR="00D16027" w:rsidRDefault="00000000">
      <w:pPr>
        <w:pStyle w:val="ListParagraph"/>
        <w:numPr>
          <w:ilvl w:val="0"/>
          <w:numId w:val="3"/>
        </w:numPr>
        <w:spacing w:before="30" w:after="50"/>
      </w:pPr>
      <w:r>
        <w:rPr>
          <w:color w:val="333333"/>
          <w:sz w:val="19"/>
          <w:szCs w:val="19"/>
        </w:rPr>
        <w:t xml:space="preserve">QAA (2023) </w:t>
      </w:r>
      <w:r>
        <w:rPr>
          <w:i/>
          <w:iCs/>
          <w:color w:val="333333"/>
          <w:sz w:val="19"/>
          <w:szCs w:val="19"/>
        </w:rPr>
        <w:t>Maintaining Quality and Standards in the ChatGPT Era</w:t>
      </w:r>
      <w:r>
        <w:rPr>
          <w:color w:val="333333"/>
          <w:sz w:val="19"/>
          <w:szCs w:val="19"/>
        </w:rPr>
        <w:t>. Gloucester: Quality Assurance Agency for Higher Education.</w:t>
      </w:r>
    </w:p>
    <w:p w14:paraId="0B6E2DD4" w14:textId="77777777" w:rsidR="00D16027" w:rsidRDefault="00000000">
      <w:pPr>
        <w:pStyle w:val="ListParagraph"/>
        <w:numPr>
          <w:ilvl w:val="0"/>
          <w:numId w:val="3"/>
        </w:numPr>
        <w:spacing w:before="30" w:after="50"/>
      </w:pPr>
      <w:r>
        <w:rPr>
          <w:color w:val="333333"/>
          <w:sz w:val="19"/>
          <w:szCs w:val="19"/>
        </w:rPr>
        <w:t xml:space="preserve">Russell Group (2023) </w:t>
      </w:r>
      <w:r>
        <w:rPr>
          <w:i/>
          <w:iCs/>
          <w:color w:val="333333"/>
          <w:sz w:val="19"/>
          <w:szCs w:val="19"/>
        </w:rPr>
        <w:t>Russell Group Principles on the Use of Generative AI Tools in Education</w:t>
      </w:r>
      <w:r>
        <w:rPr>
          <w:color w:val="333333"/>
          <w:sz w:val="19"/>
          <w:szCs w:val="19"/>
        </w:rPr>
        <w:t>. London: Russell Group.</w:t>
      </w:r>
    </w:p>
    <w:p w14:paraId="1CE0D1F2" w14:textId="77777777" w:rsidR="00D16027" w:rsidRDefault="00000000">
      <w:pPr>
        <w:pStyle w:val="ListParagraph"/>
        <w:numPr>
          <w:ilvl w:val="0"/>
          <w:numId w:val="3"/>
        </w:numPr>
        <w:spacing w:before="30" w:after="50"/>
      </w:pPr>
      <w:proofErr w:type="spellStart"/>
      <w:r>
        <w:rPr>
          <w:color w:val="333333"/>
          <w:sz w:val="19"/>
          <w:szCs w:val="19"/>
        </w:rPr>
        <w:t>Trowler</w:t>
      </w:r>
      <w:proofErr w:type="spellEnd"/>
      <w:r>
        <w:rPr>
          <w:color w:val="333333"/>
          <w:sz w:val="19"/>
          <w:szCs w:val="19"/>
        </w:rPr>
        <w:t xml:space="preserve">, P. (2008) </w:t>
      </w:r>
      <w:r>
        <w:rPr>
          <w:i/>
          <w:iCs/>
          <w:color w:val="333333"/>
          <w:sz w:val="19"/>
          <w:szCs w:val="19"/>
        </w:rPr>
        <w:t>Cultures and Change in Higher Education: Theories and Practices</w:t>
      </w:r>
      <w:r>
        <w:rPr>
          <w:color w:val="333333"/>
          <w:sz w:val="19"/>
          <w:szCs w:val="19"/>
        </w:rPr>
        <w:t>. Basingstoke: Palgrave Macmillan.</w:t>
      </w:r>
    </w:p>
    <w:p w14:paraId="77E2DFAB" w14:textId="77777777" w:rsidR="00D16027" w:rsidRDefault="00000000">
      <w:pPr>
        <w:pStyle w:val="ListParagraph"/>
        <w:numPr>
          <w:ilvl w:val="0"/>
          <w:numId w:val="3"/>
        </w:numPr>
        <w:spacing w:before="30" w:after="50"/>
      </w:pPr>
      <w:r>
        <w:rPr>
          <w:color w:val="333333"/>
          <w:sz w:val="19"/>
          <w:szCs w:val="19"/>
        </w:rPr>
        <w:t xml:space="preserve">Wenger, E. (1998) </w:t>
      </w:r>
      <w:r>
        <w:rPr>
          <w:i/>
          <w:iCs/>
          <w:color w:val="333333"/>
          <w:sz w:val="19"/>
          <w:szCs w:val="19"/>
        </w:rPr>
        <w:t>Communities of Practice: Learning, Meaning, and Identity</w:t>
      </w:r>
      <w:r>
        <w:rPr>
          <w:color w:val="333333"/>
          <w:sz w:val="19"/>
          <w:szCs w:val="19"/>
        </w:rPr>
        <w:t>. Cambridge: Cambridge University Press.</w:t>
      </w:r>
    </w:p>
    <w:p w14:paraId="55AB8A26" w14:textId="77777777" w:rsidR="00D16027" w:rsidRDefault="00000000">
      <w:r>
        <w:br w:type="page"/>
      </w:r>
    </w:p>
    <w:p w14:paraId="30DFA45B" w14:textId="77777777" w:rsidR="00D16027" w:rsidRDefault="00D16027">
      <w:pPr>
        <w:spacing w:after="800"/>
      </w:pPr>
    </w:p>
    <w:p w14:paraId="0EB0F4A7" w14:textId="77777777" w:rsidR="00D16027" w:rsidRDefault="00000000">
      <w:pPr>
        <w:spacing w:after="60"/>
      </w:pPr>
      <w:r>
        <w:rPr>
          <w:b/>
          <w:bCs/>
          <w:vanish/>
          <w:color w:val="2E75B6"/>
          <w:sz w:val="30"/>
          <w:szCs w:val="30"/>
        </w:rPr>
        <w:t>PART VI</w:t>
      </w:r>
    </w:p>
    <w:p w14:paraId="35A669FC" w14:textId="77777777" w:rsidR="00D16027" w:rsidRDefault="00000000">
      <w:pPr>
        <w:pStyle w:val="Heading1"/>
        <w:keepNext/>
        <w:pBdr>
          <w:bottom w:val="single" w:sz="12" w:space="6" w:color="2E75B6"/>
        </w:pBdr>
        <w:spacing w:after="200"/>
      </w:pPr>
      <w:r>
        <w:rPr>
          <w:sz w:val="48"/>
          <w:szCs w:val="48"/>
        </w:rPr>
        <w:t>Part VI: Looking Forward</w:t>
      </w:r>
    </w:p>
    <w:p w14:paraId="4C3CAEAE" w14:textId="77777777" w:rsidR="00D16027" w:rsidRDefault="00000000">
      <w:pPr>
        <w:spacing w:before="200" w:after="120"/>
      </w:pPr>
      <w:r>
        <w:rPr>
          <w:i/>
          <w:iCs/>
          <w:color w:val="555555"/>
          <w:sz w:val="23"/>
          <w:szCs w:val="23"/>
        </w:rPr>
        <w:t>The educator's evolving role, and how to design assessment systems that adapt as AI continues to change.</w:t>
      </w:r>
    </w:p>
    <w:p w14:paraId="4F0623A6" w14:textId="77777777" w:rsidR="00D16027" w:rsidRDefault="00000000">
      <w:r>
        <w:br w:type="page"/>
      </w:r>
    </w:p>
    <w:p w14:paraId="39927A5C" w14:textId="77777777" w:rsidR="00D16027" w:rsidRDefault="00000000">
      <w:pPr>
        <w:keepNext/>
        <w:spacing w:after="40"/>
      </w:pPr>
      <w:r>
        <w:rPr>
          <w:b/>
          <w:bCs/>
          <w:caps/>
          <w:color w:val="2E75B6"/>
          <w:sz w:val="22"/>
          <w:szCs w:val="22"/>
        </w:rPr>
        <w:lastRenderedPageBreak/>
        <w:t>CHAPTER 18</w:t>
      </w:r>
    </w:p>
    <w:p w14:paraId="436CFA35" w14:textId="77777777" w:rsidR="00D16027" w:rsidRDefault="00000000">
      <w:pPr>
        <w:pStyle w:val="Heading1"/>
        <w:keepNext/>
      </w:pPr>
      <w:r>
        <w:t>The Educator's Evolving Role</w:t>
      </w:r>
    </w:p>
    <w:p w14:paraId="46C7947A" w14:textId="77777777" w:rsidR="00D16027" w:rsidRDefault="00000000">
      <w:pPr>
        <w:pBdr>
          <w:left w:val="single" w:sz="14" w:space="10" w:color="2E75B6"/>
        </w:pBdr>
        <w:shd w:val="clear" w:color="auto" w:fill="EAF3FB"/>
        <w:spacing w:after="200"/>
      </w:pPr>
      <w:r>
        <w:rPr>
          <w:i/>
          <w:iCs/>
          <w:color w:val="333333"/>
        </w:rPr>
        <w:t>AI changes not just what educators assess but who they are as professionals. This chapter explores what enduring human expertise looks like in an AI-rich environment, reconceives assessment design as a core professional practice, and considers what the evolving role means for professional identity, development and purpose.</w:t>
      </w:r>
    </w:p>
    <w:p w14:paraId="7197E24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6AD00B4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Identify what AI cannot replace in the educator's role and why</w:t>
      </w:r>
    </w:p>
    <w:p w14:paraId="4A4E05E6"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Reconceive assessment design as scholarship rather than administration</w:t>
      </w:r>
    </w:p>
    <w:p w14:paraId="2E4537AD"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Use AI as a professional tool without ceding judgement or transparency</w:t>
      </w:r>
    </w:p>
    <w:p w14:paraId="3075A9A3"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Plan professional development around AI literacy and evaluative judgement</w:t>
      </w:r>
    </w:p>
    <w:p w14:paraId="2CF99820" w14:textId="77777777" w:rsidR="00D16027" w:rsidRDefault="00000000">
      <w:pPr>
        <w:pStyle w:val="Heading2"/>
        <w:keepNext/>
      </w:pPr>
      <w:r>
        <w:t>18.1 The anxiety and the evidence</w:t>
      </w:r>
    </w:p>
    <w:p w14:paraId="7E4DC928" w14:textId="77777777" w:rsidR="00D16027" w:rsidRDefault="00000000">
      <w:pPr>
        <w:spacing w:after="140"/>
      </w:pPr>
      <w:r>
        <w:t>Every new educational technology has been accompanied by predictions that it would replace the teacher, and each time the prediction has been wrong in an instructive way. Selwyn (2019) examined the question directly and concluded that the irreducible elements of teaching (relationship, judgement, care and the modelling of expertise) are not automatable, though much that surrounds them is. Luckin (2018) and Luckin et al. (2016) argued that AI's proper role is to augment human intelligence, and the US Department of Education (2023) chose the image of an electric bike: the rider still steers and pedals, but goes further. Bower et al. (2024), surveying educators internationally, found near-universal agreement that teaching and assessment must change combined with uncertainty about how, and a strong demand for evidence and support. Research on teacher professional identity (</w:t>
      </w:r>
      <w:proofErr w:type="spellStart"/>
      <w:r>
        <w:t>Beijaard</w:t>
      </w:r>
      <w:proofErr w:type="spellEnd"/>
      <w:r>
        <w:t xml:space="preserve">, Meijer &amp; </w:t>
      </w:r>
      <w:proofErr w:type="spellStart"/>
      <w:r>
        <w:t>Verloop</w:t>
      </w:r>
      <w:proofErr w:type="spellEnd"/>
      <w:r>
        <w:t xml:space="preserve"> 2004) and on academic identity in periods of policy change (Henkel 2000) suggests why the uncertainty matters: academics locate their professional selves in disciplinary expertise and in the judgement of student work, and both feel threatened when a machine produces passable versions of what they teach and mark. The evidence in this book suggests the threat is misdirected. What AI produces is the product; what the educator holds is the judgement.</w:t>
      </w:r>
    </w:p>
    <w:p w14:paraId="092AF2F4" w14:textId="77777777" w:rsidR="00D16027" w:rsidRDefault="00000000">
      <w:pPr>
        <w:pStyle w:val="Heading2"/>
        <w:keepNext/>
      </w:pPr>
      <w:r>
        <w:t>18.2 What AI cannot replace</w:t>
      </w:r>
    </w:p>
    <w:p w14:paraId="4FB73203" w14:textId="77777777" w:rsidR="00D16027" w:rsidRDefault="00000000">
      <w:pPr>
        <w:spacing w:after="140"/>
      </w:pPr>
      <w:r>
        <w:t xml:space="preserve">Five elements of the educator's role are concentrated rather than diminished by AI. </w:t>
      </w:r>
      <w:r>
        <w:rPr>
          <w:b/>
          <w:bCs/>
        </w:rPr>
        <w:t>Relational presence.</w:t>
      </w:r>
      <w:r>
        <w:t xml:space="preserve"> Learning is relational; students work harder, take more risks and persist longer for people who know them and whose regard they value. No model knows the student. </w:t>
      </w:r>
      <w:r>
        <w:rPr>
          <w:b/>
          <w:bCs/>
        </w:rPr>
        <w:t>Ethical judgement.</w:t>
      </w:r>
      <w:r>
        <w:t xml:space="preserve"> Deciding what should be assessed, what should be excused, when a rule should bend and when it must not, is an accountable act that a tool cannot perform. </w:t>
      </w:r>
      <w:r>
        <w:rPr>
          <w:b/>
          <w:bCs/>
        </w:rPr>
        <w:t>Disciplinary wisdom.</w:t>
      </w:r>
      <w:r>
        <w:t xml:space="preserve"> Much of expert knowledge is tacit (Polanyi 1966; </w:t>
      </w:r>
      <w:proofErr w:type="spellStart"/>
      <w:r>
        <w:t>Eraut</w:t>
      </w:r>
      <w:proofErr w:type="spellEnd"/>
      <w:r>
        <w:t xml:space="preserve"> 2000): knowing which questions matter, which errors are interesting, which shortcuts are safe. It is transmitted by apprenticeship and modelled in dialogue, and it is exactly what a student in a viva is being asked to show. </w:t>
      </w:r>
      <w:r>
        <w:rPr>
          <w:b/>
          <w:bCs/>
        </w:rPr>
        <w:t>Mentorship.</w:t>
      </w:r>
      <w:r>
        <w:t xml:space="preserve"> Guiding a student's development over years, not tasks, is a human relationship. </w:t>
      </w:r>
      <w:r>
        <w:rPr>
          <w:b/>
          <w:bCs/>
        </w:rPr>
        <w:t>The modelling of evaluative judgement.</w:t>
      </w:r>
      <w:r>
        <w:t xml:space="preserve"> Sadler (1989) argued that students learn what quality is by seeing it judged; Tai et al. (2018) and Bearman et al. (2024) place evaluative judgement at the centre of what graduates need in an AI world. The educator who shows, in front of students, why an AI's answer is wrong and how they know is teaching the capability that matters most. Bearman and </w:t>
      </w:r>
      <w:proofErr w:type="spellStart"/>
      <w:r>
        <w:t>Ajjawi</w:t>
      </w:r>
      <w:proofErr w:type="spellEnd"/>
      <w:r>
        <w:t xml:space="preserve"> (2023) describe this as pedagogy for working with the black box, and it is inherently human work.</w:t>
      </w:r>
    </w:p>
    <w:p w14:paraId="42067FD8" w14:textId="77777777" w:rsidR="00D16027" w:rsidRDefault="00000000">
      <w:pPr>
        <w:keepNext/>
        <w:spacing w:before="160" w:after="80"/>
      </w:pPr>
      <w:r>
        <w:rPr>
          <w:b/>
          <w:bCs/>
          <w:color w:val="1A4F7A"/>
          <w:sz w:val="20"/>
          <w:szCs w:val="20"/>
        </w:rPr>
        <w:t>Table 18.1  How the role shifts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00"/>
        <w:gridCol w:w="2686"/>
      </w:tblGrid>
      <w:tr w:rsidR="00D16027" w14:paraId="27FBF135"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0E636ABF" w14:textId="77777777" w:rsidR="00D16027" w:rsidRDefault="00000000">
            <w:r>
              <w:rPr>
                <w:b/>
                <w:bCs/>
                <w:color w:val="FFFFFF"/>
                <w:sz w:val="19"/>
                <w:szCs w:val="19"/>
              </w:rPr>
              <w:t>Element of the role</w:t>
            </w:r>
          </w:p>
        </w:tc>
        <w:tc>
          <w:tcPr>
            <w:tcW w:w="2200" w:type="dxa"/>
            <w:shd w:val="clear" w:color="auto" w:fill="2E75B6"/>
            <w:tcMar>
              <w:top w:w="70" w:type="dxa"/>
              <w:left w:w="100" w:type="dxa"/>
              <w:bottom w:w="70" w:type="dxa"/>
              <w:right w:w="100" w:type="dxa"/>
            </w:tcMar>
          </w:tcPr>
          <w:p w14:paraId="1702DCBC" w14:textId="77777777" w:rsidR="00D16027" w:rsidRDefault="00000000">
            <w:r>
              <w:rPr>
                <w:b/>
                <w:bCs/>
                <w:color w:val="FFFFFF"/>
                <w:sz w:val="19"/>
                <w:szCs w:val="19"/>
              </w:rPr>
              <w:t>Before generative AI</w:t>
            </w:r>
          </w:p>
        </w:tc>
        <w:tc>
          <w:tcPr>
            <w:tcW w:w="2500" w:type="dxa"/>
            <w:shd w:val="clear" w:color="auto" w:fill="2E75B6"/>
            <w:tcMar>
              <w:top w:w="70" w:type="dxa"/>
              <w:left w:w="100" w:type="dxa"/>
              <w:bottom w:w="70" w:type="dxa"/>
              <w:right w:w="100" w:type="dxa"/>
            </w:tcMar>
          </w:tcPr>
          <w:p w14:paraId="63DAC660" w14:textId="77777777" w:rsidR="00D16027" w:rsidRDefault="00000000">
            <w:r>
              <w:rPr>
                <w:b/>
                <w:bCs/>
                <w:color w:val="FFFFFF"/>
                <w:sz w:val="19"/>
                <w:szCs w:val="19"/>
              </w:rPr>
              <w:t>With generative AI</w:t>
            </w:r>
          </w:p>
        </w:tc>
        <w:tc>
          <w:tcPr>
            <w:tcW w:w="2686" w:type="dxa"/>
            <w:shd w:val="clear" w:color="auto" w:fill="2E75B6"/>
            <w:tcMar>
              <w:top w:w="70" w:type="dxa"/>
              <w:left w:w="100" w:type="dxa"/>
              <w:bottom w:w="70" w:type="dxa"/>
              <w:right w:w="100" w:type="dxa"/>
            </w:tcMar>
          </w:tcPr>
          <w:p w14:paraId="5AF945E9" w14:textId="77777777" w:rsidR="00D16027" w:rsidRDefault="00000000">
            <w:r>
              <w:rPr>
                <w:b/>
                <w:bCs/>
                <w:color w:val="FFFFFF"/>
                <w:sz w:val="19"/>
                <w:szCs w:val="19"/>
              </w:rPr>
              <w:t>What remains human</w:t>
            </w:r>
          </w:p>
        </w:tc>
      </w:tr>
      <w:tr w:rsidR="00D16027" w14:paraId="0C5C5C30" w14:textId="77777777">
        <w:tblPrEx>
          <w:tblCellMar>
            <w:top w:w="0" w:type="dxa"/>
            <w:bottom w:w="0" w:type="dxa"/>
          </w:tblCellMar>
        </w:tblPrEx>
        <w:trPr>
          <w:cantSplit/>
        </w:trPr>
        <w:tc>
          <w:tcPr>
            <w:tcW w:w="2000" w:type="dxa"/>
            <w:tcMar>
              <w:top w:w="70" w:type="dxa"/>
              <w:left w:w="100" w:type="dxa"/>
              <w:bottom w:w="70" w:type="dxa"/>
              <w:right w:w="100" w:type="dxa"/>
            </w:tcMar>
          </w:tcPr>
          <w:p w14:paraId="076157DF" w14:textId="77777777" w:rsidR="00D16027" w:rsidRDefault="00000000">
            <w:r>
              <w:rPr>
                <w:sz w:val="19"/>
                <w:szCs w:val="19"/>
              </w:rPr>
              <w:t>Producing teaching materials</w:t>
            </w:r>
          </w:p>
        </w:tc>
        <w:tc>
          <w:tcPr>
            <w:tcW w:w="2200" w:type="dxa"/>
            <w:tcMar>
              <w:top w:w="70" w:type="dxa"/>
              <w:left w:w="100" w:type="dxa"/>
              <w:bottom w:w="70" w:type="dxa"/>
              <w:right w:w="100" w:type="dxa"/>
            </w:tcMar>
          </w:tcPr>
          <w:p w14:paraId="3C74C2C7" w14:textId="77777777" w:rsidR="00D16027" w:rsidRDefault="00000000">
            <w:r>
              <w:rPr>
                <w:sz w:val="19"/>
                <w:szCs w:val="19"/>
              </w:rPr>
              <w:t>Written by the educator</w:t>
            </w:r>
          </w:p>
        </w:tc>
        <w:tc>
          <w:tcPr>
            <w:tcW w:w="2500" w:type="dxa"/>
            <w:tcMar>
              <w:top w:w="70" w:type="dxa"/>
              <w:left w:w="100" w:type="dxa"/>
              <w:bottom w:w="70" w:type="dxa"/>
              <w:right w:w="100" w:type="dxa"/>
            </w:tcMar>
          </w:tcPr>
          <w:p w14:paraId="6661320B" w14:textId="77777777" w:rsidR="00D16027" w:rsidRDefault="00000000">
            <w:r>
              <w:rPr>
                <w:sz w:val="19"/>
                <w:szCs w:val="19"/>
              </w:rPr>
              <w:t>Drafted with AI; verified and shaped by the educator</w:t>
            </w:r>
          </w:p>
        </w:tc>
        <w:tc>
          <w:tcPr>
            <w:tcW w:w="2686" w:type="dxa"/>
            <w:tcMar>
              <w:top w:w="70" w:type="dxa"/>
              <w:left w:w="100" w:type="dxa"/>
              <w:bottom w:w="70" w:type="dxa"/>
              <w:right w:w="100" w:type="dxa"/>
            </w:tcMar>
          </w:tcPr>
          <w:p w14:paraId="39C9C376" w14:textId="77777777" w:rsidR="00D16027" w:rsidRDefault="00000000">
            <w:r>
              <w:rPr>
                <w:sz w:val="19"/>
                <w:szCs w:val="19"/>
              </w:rPr>
              <w:t>Selection, accuracy, disciplinary judgement, transparency</w:t>
            </w:r>
          </w:p>
        </w:tc>
      </w:tr>
      <w:tr w:rsidR="00D16027" w14:paraId="5C6C12D7" w14:textId="77777777">
        <w:tblPrEx>
          <w:tblCellMar>
            <w:top w:w="0" w:type="dxa"/>
            <w:bottom w:w="0" w:type="dxa"/>
          </w:tblCellMar>
        </w:tblPrEx>
        <w:trPr>
          <w:cantSplit/>
        </w:trPr>
        <w:tc>
          <w:tcPr>
            <w:tcW w:w="2000" w:type="dxa"/>
            <w:tcMar>
              <w:top w:w="70" w:type="dxa"/>
              <w:left w:w="100" w:type="dxa"/>
              <w:bottom w:w="70" w:type="dxa"/>
              <w:right w:w="100" w:type="dxa"/>
            </w:tcMar>
          </w:tcPr>
          <w:p w14:paraId="4E495A81" w14:textId="77777777" w:rsidR="00D16027" w:rsidRDefault="00000000">
            <w:r>
              <w:rPr>
                <w:sz w:val="19"/>
                <w:szCs w:val="19"/>
              </w:rPr>
              <w:lastRenderedPageBreak/>
              <w:t>Marking products</w:t>
            </w:r>
          </w:p>
        </w:tc>
        <w:tc>
          <w:tcPr>
            <w:tcW w:w="2200" w:type="dxa"/>
            <w:tcMar>
              <w:top w:w="70" w:type="dxa"/>
              <w:left w:w="100" w:type="dxa"/>
              <w:bottom w:w="70" w:type="dxa"/>
              <w:right w:w="100" w:type="dxa"/>
            </w:tcMar>
          </w:tcPr>
          <w:p w14:paraId="6F21E220" w14:textId="77777777" w:rsidR="00D16027" w:rsidRDefault="00000000">
            <w:r>
              <w:rPr>
                <w:sz w:val="19"/>
                <w:szCs w:val="19"/>
              </w:rPr>
              <w:t>The dominant use of assessment time</w:t>
            </w:r>
          </w:p>
        </w:tc>
        <w:tc>
          <w:tcPr>
            <w:tcW w:w="2500" w:type="dxa"/>
            <w:tcMar>
              <w:top w:w="70" w:type="dxa"/>
              <w:left w:w="100" w:type="dxa"/>
              <w:bottom w:w="70" w:type="dxa"/>
              <w:right w:w="100" w:type="dxa"/>
            </w:tcMar>
          </w:tcPr>
          <w:p w14:paraId="01ECC89C" w14:textId="77777777" w:rsidR="00D16027" w:rsidRDefault="00000000">
            <w:r>
              <w:rPr>
                <w:sz w:val="19"/>
                <w:szCs w:val="19"/>
              </w:rPr>
              <w:t>Reduced where products are substitutable; AI first pass on formative work</w:t>
            </w:r>
          </w:p>
        </w:tc>
        <w:tc>
          <w:tcPr>
            <w:tcW w:w="2686" w:type="dxa"/>
            <w:tcMar>
              <w:top w:w="70" w:type="dxa"/>
              <w:left w:w="100" w:type="dxa"/>
              <w:bottom w:w="70" w:type="dxa"/>
              <w:right w:w="100" w:type="dxa"/>
            </w:tcMar>
          </w:tcPr>
          <w:p w14:paraId="73D8BA32" w14:textId="77777777" w:rsidR="00D16027" w:rsidRDefault="00000000">
            <w:r>
              <w:rPr>
                <w:sz w:val="19"/>
                <w:szCs w:val="19"/>
              </w:rPr>
              <w:t>Judgement at the top end, summative decisions, relational feedback</w:t>
            </w:r>
          </w:p>
        </w:tc>
      </w:tr>
      <w:tr w:rsidR="00D16027" w14:paraId="1604C177" w14:textId="77777777">
        <w:tblPrEx>
          <w:tblCellMar>
            <w:top w:w="0" w:type="dxa"/>
            <w:bottom w:w="0" w:type="dxa"/>
          </w:tblCellMar>
        </w:tblPrEx>
        <w:trPr>
          <w:cantSplit/>
        </w:trPr>
        <w:tc>
          <w:tcPr>
            <w:tcW w:w="2000" w:type="dxa"/>
            <w:tcMar>
              <w:top w:w="70" w:type="dxa"/>
              <w:left w:w="100" w:type="dxa"/>
              <w:bottom w:w="70" w:type="dxa"/>
              <w:right w:w="100" w:type="dxa"/>
            </w:tcMar>
          </w:tcPr>
          <w:p w14:paraId="391BAAA2" w14:textId="77777777" w:rsidR="00D16027" w:rsidRDefault="00000000">
            <w:r>
              <w:rPr>
                <w:sz w:val="19"/>
                <w:szCs w:val="19"/>
              </w:rPr>
              <w:t>Assessing capability</w:t>
            </w:r>
          </w:p>
        </w:tc>
        <w:tc>
          <w:tcPr>
            <w:tcW w:w="2200" w:type="dxa"/>
            <w:tcMar>
              <w:top w:w="70" w:type="dxa"/>
              <w:left w:w="100" w:type="dxa"/>
              <w:bottom w:w="70" w:type="dxa"/>
              <w:right w:w="100" w:type="dxa"/>
            </w:tcMar>
          </w:tcPr>
          <w:p w14:paraId="756DCB3C" w14:textId="77777777" w:rsidR="00D16027" w:rsidRDefault="00000000">
            <w:r>
              <w:rPr>
                <w:sz w:val="19"/>
                <w:szCs w:val="19"/>
              </w:rPr>
              <w:t>Inferred from products</w:t>
            </w:r>
          </w:p>
        </w:tc>
        <w:tc>
          <w:tcPr>
            <w:tcW w:w="2500" w:type="dxa"/>
            <w:tcMar>
              <w:top w:w="70" w:type="dxa"/>
              <w:left w:w="100" w:type="dxa"/>
              <w:bottom w:w="70" w:type="dxa"/>
              <w:right w:w="100" w:type="dxa"/>
            </w:tcMar>
          </w:tcPr>
          <w:p w14:paraId="101ABA74" w14:textId="77777777" w:rsidR="00D16027" w:rsidRDefault="00000000">
            <w:r>
              <w:rPr>
                <w:sz w:val="19"/>
                <w:szCs w:val="19"/>
              </w:rPr>
              <w:t>Observed in process, context and dialogue</w:t>
            </w:r>
          </w:p>
        </w:tc>
        <w:tc>
          <w:tcPr>
            <w:tcW w:w="2686" w:type="dxa"/>
            <w:tcMar>
              <w:top w:w="70" w:type="dxa"/>
              <w:left w:w="100" w:type="dxa"/>
              <w:bottom w:w="70" w:type="dxa"/>
              <w:right w:w="100" w:type="dxa"/>
            </w:tcMar>
          </w:tcPr>
          <w:p w14:paraId="6C6FBF24" w14:textId="77777777" w:rsidR="00D16027" w:rsidRDefault="00000000">
            <w:r>
              <w:rPr>
                <w:sz w:val="19"/>
                <w:szCs w:val="19"/>
              </w:rPr>
              <w:t>The conversation, the observation, the accountable judgement</w:t>
            </w:r>
          </w:p>
        </w:tc>
      </w:tr>
      <w:tr w:rsidR="00D16027" w14:paraId="6F74772C" w14:textId="77777777">
        <w:tblPrEx>
          <w:tblCellMar>
            <w:top w:w="0" w:type="dxa"/>
            <w:bottom w:w="0" w:type="dxa"/>
          </w:tblCellMar>
        </w:tblPrEx>
        <w:trPr>
          <w:cantSplit/>
        </w:trPr>
        <w:tc>
          <w:tcPr>
            <w:tcW w:w="2000" w:type="dxa"/>
            <w:tcMar>
              <w:top w:w="70" w:type="dxa"/>
              <w:left w:w="100" w:type="dxa"/>
              <w:bottom w:w="70" w:type="dxa"/>
              <w:right w:w="100" w:type="dxa"/>
            </w:tcMar>
          </w:tcPr>
          <w:p w14:paraId="4F7EAF99" w14:textId="77777777" w:rsidR="00D16027" w:rsidRDefault="00000000">
            <w:r>
              <w:rPr>
                <w:sz w:val="19"/>
                <w:szCs w:val="19"/>
              </w:rPr>
              <w:t>Designing assessment</w:t>
            </w:r>
          </w:p>
        </w:tc>
        <w:tc>
          <w:tcPr>
            <w:tcW w:w="2200" w:type="dxa"/>
            <w:tcMar>
              <w:top w:w="70" w:type="dxa"/>
              <w:left w:w="100" w:type="dxa"/>
              <w:bottom w:w="70" w:type="dxa"/>
              <w:right w:w="100" w:type="dxa"/>
            </w:tcMar>
          </w:tcPr>
          <w:p w14:paraId="4A23515B" w14:textId="77777777" w:rsidR="00D16027" w:rsidRDefault="00000000">
            <w:r>
              <w:rPr>
                <w:sz w:val="19"/>
                <w:szCs w:val="19"/>
              </w:rPr>
              <w:t>Often inherited; low status</w:t>
            </w:r>
          </w:p>
        </w:tc>
        <w:tc>
          <w:tcPr>
            <w:tcW w:w="2500" w:type="dxa"/>
            <w:tcMar>
              <w:top w:w="70" w:type="dxa"/>
              <w:left w:w="100" w:type="dxa"/>
              <w:bottom w:w="70" w:type="dxa"/>
              <w:right w:w="100" w:type="dxa"/>
            </w:tcMar>
          </w:tcPr>
          <w:p w14:paraId="47F4E28E" w14:textId="77777777" w:rsidR="00D16027" w:rsidRDefault="00000000">
            <w:r>
              <w:rPr>
                <w:sz w:val="19"/>
                <w:szCs w:val="19"/>
              </w:rPr>
              <w:t>The central professional act</w:t>
            </w:r>
          </w:p>
        </w:tc>
        <w:tc>
          <w:tcPr>
            <w:tcW w:w="2686" w:type="dxa"/>
            <w:tcMar>
              <w:top w:w="70" w:type="dxa"/>
              <w:left w:w="100" w:type="dxa"/>
              <w:bottom w:w="70" w:type="dxa"/>
              <w:right w:w="100" w:type="dxa"/>
            </w:tcMar>
          </w:tcPr>
          <w:p w14:paraId="18A43AE7" w14:textId="77777777" w:rsidR="00D16027" w:rsidRDefault="00000000">
            <w:r>
              <w:rPr>
                <w:sz w:val="19"/>
                <w:szCs w:val="19"/>
              </w:rPr>
              <w:t>Evidence mapping, spectrum positioning, criteria, equity</w:t>
            </w:r>
          </w:p>
        </w:tc>
      </w:tr>
      <w:tr w:rsidR="00D16027" w14:paraId="68CDC537" w14:textId="77777777">
        <w:tblPrEx>
          <w:tblCellMar>
            <w:top w:w="0" w:type="dxa"/>
            <w:bottom w:w="0" w:type="dxa"/>
          </w:tblCellMar>
        </w:tblPrEx>
        <w:trPr>
          <w:cantSplit/>
        </w:trPr>
        <w:tc>
          <w:tcPr>
            <w:tcW w:w="2000" w:type="dxa"/>
            <w:tcMar>
              <w:top w:w="70" w:type="dxa"/>
              <w:left w:w="100" w:type="dxa"/>
              <w:bottom w:w="70" w:type="dxa"/>
              <w:right w:w="100" w:type="dxa"/>
            </w:tcMar>
          </w:tcPr>
          <w:p w14:paraId="620CC938" w14:textId="77777777" w:rsidR="00D16027" w:rsidRDefault="00000000">
            <w:r>
              <w:rPr>
                <w:sz w:val="19"/>
                <w:szCs w:val="19"/>
              </w:rPr>
              <w:t>Policing integrity</w:t>
            </w:r>
          </w:p>
        </w:tc>
        <w:tc>
          <w:tcPr>
            <w:tcW w:w="2200" w:type="dxa"/>
            <w:tcMar>
              <w:top w:w="70" w:type="dxa"/>
              <w:left w:w="100" w:type="dxa"/>
              <w:bottom w:w="70" w:type="dxa"/>
              <w:right w:w="100" w:type="dxa"/>
            </w:tcMar>
          </w:tcPr>
          <w:p w14:paraId="1F905B76" w14:textId="77777777" w:rsidR="00D16027" w:rsidRDefault="00000000">
            <w:r>
              <w:rPr>
                <w:sz w:val="19"/>
                <w:szCs w:val="19"/>
              </w:rPr>
              <w:t>Detection and referral</w:t>
            </w:r>
          </w:p>
        </w:tc>
        <w:tc>
          <w:tcPr>
            <w:tcW w:w="2500" w:type="dxa"/>
            <w:tcMar>
              <w:top w:w="70" w:type="dxa"/>
              <w:left w:w="100" w:type="dxa"/>
              <w:bottom w:w="70" w:type="dxa"/>
              <w:right w:w="100" w:type="dxa"/>
            </w:tcMar>
          </w:tcPr>
          <w:p w14:paraId="001189D9" w14:textId="77777777" w:rsidR="00D16027" w:rsidRDefault="00000000">
            <w:r>
              <w:rPr>
                <w:sz w:val="19"/>
                <w:szCs w:val="19"/>
              </w:rPr>
              <w:t>Design and declaration; conversation where concerns arise</w:t>
            </w:r>
          </w:p>
        </w:tc>
        <w:tc>
          <w:tcPr>
            <w:tcW w:w="2686" w:type="dxa"/>
            <w:tcMar>
              <w:top w:w="70" w:type="dxa"/>
              <w:left w:w="100" w:type="dxa"/>
              <w:bottom w:w="70" w:type="dxa"/>
              <w:right w:w="100" w:type="dxa"/>
            </w:tcMar>
          </w:tcPr>
          <w:p w14:paraId="3BE2045A" w14:textId="77777777" w:rsidR="00D16027" w:rsidRDefault="00000000">
            <w:r>
              <w:rPr>
                <w:sz w:val="19"/>
                <w:szCs w:val="19"/>
              </w:rPr>
              <w:t>Fair process; the decision to trust</w:t>
            </w:r>
          </w:p>
        </w:tc>
      </w:tr>
      <w:tr w:rsidR="00D16027" w14:paraId="18B7A0CA" w14:textId="77777777">
        <w:tblPrEx>
          <w:tblCellMar>
            <w:top w:w="0" w:type="dxa"/>
            <w:bottom w:w="0" w:type="dxa"/>
          </w:tblCellMar>
        </w:tblPrEx>
        <w:trPr>
          <w:cantSplit/>
        </w:trPr>
        <w:tc>
          <w:tcPr>
            <w:tcW w:w="2000" w:type="dxa"/>
            <w:tcMar>
              <w:top w:w="70" w:type="dxa"/>
              <w:left w:w="100" w:type="dxa"/>
              <w:bottom w:w="70" w:type="dxa"/>
              <w:right w:w="100" w:type="dxa"/>
            </w:tcMar>
          </w:tcPr>
          <w:p w14:paraId="3913B243" w14:textId="77777777" w:rsidR="00D16027" w:rsidRDefault="00000000">
            <w:r>
              <w:rPr>
                <w:sz w:val="19"/>
                <w:szCs w:val="19"/>
              </w:rPr>
              <w:t>Modelling expertise</w:t>
            </w:r>
          </w:p>
        </w:tc>
        <w:tc>
          <w:tcPr>
            <w:tcW w:w="2200" w:type="dxa"/>
            <w:tcMar>
              <w:top w:w="70" w:type="dxa"/>
              <w:left w:w="100" w:type="dxa"/>
              <w:bottom w:w="70" w:type="dxa"/>
              <w:right w:w="100" w:type="dxa"/>
            </w:tcMar>
          </w:tcPr>
          <w:p w14:paraId="43AA81AA" w14:textId="77777777" w:rsidR="00D16027" w:rsidRDefault="00000000">
            <w:r>
              <w:rPr>
                <w:sz w:val="19"/>
                <w:szCs w:val="19"/>
              </w:rPr>
              <w:t>Lecturing and exemplars</w:t>
            </w:r>
          </w:p>
        </w:tc>
        <w:tc>
          <w:tcPr>
            <w:tcW w:w="2500" w:type="dxa"/>
            <w:tcMar>
              <w:top w:w="70" w:type="dxa"/>
              <w:left w:w="100" w:type="dxa"/>
              <w:bottom w:w="70" w:type="dxa"/>
              <w:right w:w="100" w:type="dxa"/>
            </w:tcMar>
          </w:tcPr>
          <w:p w14:paraId="7F3D41FA" w14:textId="77777777" w:rsidR="00D16027" w:rsidRDefault="00000000">
            <w:r>
              <w:rPr>
                <w:sz w:val="19"/>
                <w:szCs w:val="19"/>
              </w:rPr>
              <w:t>Evaluating AI output in front of students</w:t>
            </w:r>
          </w:p>
        </w:tc>
        <w:tc>
          <w:tcPr>
            <w:tcW w:w="2686" w:type="dxa"/>
            <w:tcMar>
              <w:top w:w="70" w:type="dxa"/>
              <w:left w:w="100" w:type="dxa"/>
              <w:bottom w:w="70" w:type="dxa"/>
              <w:right w:w="100" w:type="dxa"/>
            </w:tcMar>
          </w:tcPr>
          <w:p w14:paraId="6C19113F" w14:textId="77777777" w:rsidR="00D16027" w:rsidRDefault="00000000">
            <w:r>
              <w:rPr>
                <w:sz w:val="19"/>
                <w:szCs w:val="19"/>
              </w:rPr>
              <w:t>Knowing why it is wrong, and showing how one knows</w:t>
            </w:r>
          </w:p>
        </w:tc>
      </w:tr>
    </w:tbl>
    <w:p w14:paraId="57A02572" w14:textId="77777777" w:rsidR="00D16027" w:rsidRDefault="00D16027">
      <w:pPr>
        <w:spacing w:after="120"/>
      </w:pPr>
    </w:p>
    <w:p w14:paraId="35C96BDE" w14:textId="77777777" w:rsidR="00D16027" w:rsidRDefault="00000000">
      <w:pPr>
        <w:pStyle w:val="Heading2"/>
        <w:keepNext/>
      </w:pPr>
      <w:r>
        <w:t>18.3 The educator as assessment designer</w:t>
      </w:r>
    </w:p>
    <w:p w14:paraId="0B3BFB3E" w14:textId="77777777" w:rsidR="00D16027" w:rsidRDefault="00000000">
      <w:pPr>
        <w:spacing w:after="140"/>
      </w:pPr>
      <w:r>
        <w:t xml:space="preserve">The most significant shift is in status. Assessment design has long been treated as an administrative afterthought to teaching; Knight (2002) called the result disarray. This book has argued that it is the most consequential thing educators do, and AI has made that visible. The skills it demands are substantial: mapping outcomes to evidence (Chapter 4), locating the human core of a capability (Chapter 7), designing process and context (Chapters 8 and 9), structuring oral assessment (Chapter 10), writing criteria for AI-integrated work (Chapter 11), and reviewing for equity (Chapter 16). Bearman, Nieminen and </w:t>
      </w:r>
      <w:proofErr w:type="spellStart"/>
      <w:r>
        <w:t>Ajjawi</w:t>
      </w:r>
      <w:proofErr w:type="spellEnd"/>
      <w:r>
        <w:t xml:space="preserve"> (2023) frame assessment design in a digital world as a scholarly practice with its own literature and methods. Boyer (1990) argued that the scholarship of teaching deserves the same recognition as the scholarship of discovery; assessment design in the AI era is where that argument is now most urgent. Institutions that want good assessment will need to treat its design as expertise: taught, supported, evaluated and rewarded.</w:t>
      </w:r>
    </w:p>
    <w:p w14:paraId="172239F7" w14:textId="77777777" w:rsidR="00D16027" w:rsidRDefault="00000000">
      <w:pPr>
        <w:pStyle w:val="Heading2"/>
        <w:keepNext/>
      </w:pPr>
      <w:r>
        <w:t>18.4 AI as the educator's own tool</w:t>
      </w:r>
    </w:p>
    <w:p w14:paraId="1716744D" w14:textId="77777777" w:rsidR="00D16027" w:rsidRDefault="00000000">
      <w:pPr>
        <w:spacing w:after="140"/>
      </w:pPr>
      <w:r>
        <w:t>The same tools that threaten substitutable assessment can return time to the educator. Chapter 12 described AI first-pass feedback; Chapter 13 described moderation support; Chapter 10 noted the generation of scenarios and question banks. Beyond assessment, AI drafts module handbooks, summarises student evaluations, prepares accessible versions of materials, converts lecture notes to study guides, searches literature and drafts routine communications. Mollick and Mollick (2023) offer practical patterns for using AI in teaching. Four principles keep this use professional. Verify everything that reaches students; the tools hallucinate. Keep judgement: the AI drafts, the educator decides. Be transparent: materials produced with AI should say so, because the educator who declares models the practice students are asked to follow. And protect data: student work and personal information go only into institutional tools. Used this way, AI does not reduce the educator's role; it removes the parts that were never the point.</w:t>
      </w:r>
    </w:p>
    <w:p w14:paraId="537870F5" w14:textId="77777777" w:rsidR="00D16027" w:rsidRDefault="00000000">
      <w:pPr>
        <w:pStyle w:val="Heading2"/>
        <w:keepNext/>
      </w:pPr>
      <w:r>
        <w:t>18.5 Academic authority in an age of imitation</w:t>
      </w:r>
    </w:p>
    <w:p w14:paraId="4E924FAE" w14:textId="77777777" w:rsidR="00D16027" w:rsidRDefault="00000000">
      <w:pPr>
        <w:spacing w:after="140"/>
      </w:pPr>
      <w:r>
        <w:t>If a machine can produce a competent lecture, essay or model answer, on what does the educator's authority rest? The answer is the same as for the student: on what the product cannot show. Authority now lies in evaluation rather than production, in the ability to say why an output is wrong, incomplete or shallow, and to demonstrate how one knows. It lies in accountability: the educator, not the tool, answers for the grade, the reference, the decision. It lies in relationship: students trust the judgement of people who know them and their work. And it lies in intellectual honesty, including honesty about one's own use of AI. Yan et al. (2024) note that transparency is among the ethical conditions for AI in learning; educators who model it earn the standing to ask it of students. Expertise has not been devalued; its visible form has moved from the artefact to the judgement.</w:t>
      </w:r>
    </w:p>
    <w:p w14:paraId="5E079688" w14:textId="77777777" w:rsidR="00D16027" w:rsidRDefault="00000000">
      <w:pPr>
        <w:pStyle w:val="Heading2"/>
        <w:keepNext/>
      </w:pPr>
      <w:r>
        <w:lastRenderedPageBreak/>
        <w:t>18.6 Professional development</w:t>
      </w:r>
    </w:p>
    <w:p w14:paraId="6426D4D1" w14:textId="77777777" w:rsidR="00D16027" w:rsidRDefault="00000000">
      <w:pPr>
        <w:spacing w:after="140"/>
      </w:pPr>
      <w:r>
        <w:t xml:space="preserve">AI literacy is now a core professional competency, and the Russell Group (2023) made staff capability its second principle. UNESCO's (2024) competency framework for teachers organises it under five headings: a human-centred mindset, the ethics of AI, AI foundations and applications, AI pedagogy, and AI for professional development. Frameworks for AI literacy more generally (Long &amp; </w:t>
      </w:r>
      <w:proofErr w:type="spellStart"/>
      <w:r>
        <w:t>Magerko</w:t>
      </w:r>
      <w:proofErr w:type="spellEnd"/>
      <w:r>
        <w:t xml:space="preserve"> 2020; Ng et al. 2021) add evaluation and creation to use. The evidence on how professional development works has not changed: one-off events do little; sustained, task-focused, peer-supported development does much. Four elements are effective. The benchmark exercise of Chapter 2, run on one's own task with colleagues, is the single most educative afternoon available. A design clinic in which one leaves with a plan turns understanding into practice. A community of practice sustains it (Chapter 17). And credited time signals that the institution means it. Bower et al. (2024) found educators asking for exactly this; institutions that provide it will find their staff far ahead of those that circulate guidance.</w:t>
      </w:r>
    </w:p>
    <w:p w14:paraId="40BF47F8" w14:textId="77777777" w:rsidR="00D16027" w:rsidRDefault="00000000">
      <w:pPr>
        <w:pStyle w:val="Heading2"/>
        <w:keepNext/>
      </w:pPr>
      <w:r>
        <w:t>18.7 Purpose and meaning</w:t>
      </w:r>
    </w:p>
    <w:p w14:paraId="0538BA1B" w14:textId="77777777" w:rsidR="00D16027" w:rsidRDefault="00000000">
      <w:pPr>
        <w:spacing w:after="140"/>
      </w:pPr>
      <w:r>
        <w:t>Biesta (2009) distinguishes three purposes of education: qualification, socialisation and subjectification, the last being the formation of persons capable of independent judgement and action. Assessment for qualification is the purpose AI most exposes, because a product can be generated. Socialisation into a discipline's ways of thinking, and the formation of a graduate who can judge, decide and stand behind their work, are the purposes AI cannot touch and the purposes this book's designs serve. That is why the educator's role is concentrated rather than diminished. The conversation in which a student defends their reasoning, the moment in which an educator shows why the fluent answer is wrong, the relationship in which a student learns to trust their own judgement: these were always the heart of the work. AI has cleared away some of what surrounded them.</w:t>
      </w:r>
    </w:p>
    <w:p w14:paraId="6C485C72"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The evolving role in practice</w:t>
      </w:r>
    </w:p>
    <w:p w14:paraId="2F0F7BEC" w14:textId="77777777" w:rsidR="00D16027" w:rsidRDefault="00000000">
      <w:pPr>
        <w:pBdr>
          <w:left w:val="single" w:sz="14" w:space="10" w:color="4E8A5E"/>
        </w:pBdr>
        <w:shd w:val="clear" w:color="auto" w:fill="EEF6EF"/>
        <w:spacing w:after="60"/>
      </w:pPr>
      <w:r>
        <w:rPr>
          <w:b/>
          <w:bCs/>
          <w:color w:val="333333"/>
          <w:sz w:val="20"/>
          <w:szCs w:val="20"/>
        </w:rPr>
        <w:t>A lecturer's week, restructured.</w:t>
      </w:r>
      <w:r>
        <w:rPr>
          <w:color w:val="333333"/>
          <w:sz w:val="20"/>
          <w:szCs w:val="20"/>
        </w:rPr>
        <w:t xml:space="preserve"> Marking of unsupervised essays has gone; in its place are twelve sampled conversations, a review of AI first-pass feedback on formative drafts, and an afternoon designing a scenario bank for next term's interactive orals. Handbook revisions and evaluation summaries are drafted with AI and checked. The contact time with students has risen.</w:t>
      </w:r>
    </w:p>
    <w:p w14:paraId="0011E5FA" w14:textId="77777777" w:rsidR="00D16027" w:rsidRDefault="00000000">
      <w:pPr>
        <w:pBdr>
          <w:left w:val="single" w:sz="14" w:space="10" w:color="4E8A5E"/>
        </w:pBdr>
        <w:shd w:val="clear" w:color="auto" w:fill="EEF6EF"/>
        <w:spacing w:after="60"/>
      </w:pPr>
      <w:r>
        <w:rPr>
          <w:b/>
          <w:bCs/>
          <w:color w:val="333333"/>
          <w:sz w:val="20"/>
          <w:szCs w:val="20"/>
        </w:rPr>
        <w:t>A departmental development programme.</w:t>
      </w:r>
      <w:r>
        <w:rPr>
          <w:color w:val="333333"/>
          <w:sz w:val="20"/>
          <w:szCs w:val="20"/>
        </w:rPr>
        <w:t xml:space="preserve"> Term one: every module lead benchmarks their main task and reports. Term two: design clinics, one redesign per lead, supported by templates. Term three: evaluation and sharing. Twelve hours credited per lead; the programme repeats annually with new tasks.</w:t>
      </w:r>
    </w:p>
    <w:p w14:paraId="49B0681C" w14:textId="77777777" w:rsidR="00D16027" w:rsidRDefault="00000000">
      <w:pPr>
        <w:pBdr>
          <w:left w:val="single" w:sz="14" w:space="10" w:color="4E8A5E"/>
        </w:pBdr>
        <w:shd w:val="clear" w:color="auto" w:fill="EEF6EF"/>
        <w:spacing w:after="200"/>
      </w:pPr>
      <w:r>
        <w:rPr>
          <w:b/>
          <w:bCs/>
          <w:color w:val="333333"/>
          <w:sz w:val="20"/>
          <w:szCs w:val="20"/>
        </w:rPr>
        <w:t>A statement on AI in teaching materials.</w:t>
      </w:r>
      <w:r>
        <w:rPr>
          <w:color w:val="333333"/>
          <w:sz w:val="20"/>
          <w:szCs w:val="20"/>
        </w:rPr>
        <w:t xml:space="preserve"> A school adopts a two-line footer for all materials: whether AI was used in drafting, and that the named academic has verified the content and is accountable for it. Students see the practice they are asked to follow.</w:t>
      </w:r>
    </w:p>
    <w:p w14:paraId="0F96CE2C"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Audit your own role</w:t>
      </w:r>
    </w:p>
    <w:p w14:paraId="2770207D"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List what you did last week in three columns: producing, judging, relating. Note which column AI could take over and which it could not.</w:t>
      </w:r>
    </w:p>
    <w:p w14:paraId="139B1F39"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Move one producing task to AI this month, with verification and a declaration.</w:t>
      </w:r>
    </w:p>
    <w:p w14:paraId="41098FF2"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Move one hour from marking substitutable products to conversation with students.</w:t>
      </w:r>
    </w:p>
    <w:p w14:paraId="26E40045"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Choose one UNESCO competency area to develop this year and find the colleague who can help.</w:t>
      </w:r>
    </w:p>
    <w:p w14:paraId="13EB2A3D"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Write the two-line footer for your materials and use it.</w:t>
      </w:r>
    </w:p>
    <w:p w14:paraId="3FC03177" w14:textId="77777777" w:rsidR="00D16027" w:rsidRDefault="00000000">
      <w:pPr>
        <w:pStyle w:val="Heading2"/>
        <w:keepNext/>
      </w:pPr>
      <w:r>
        <w:t>What this means for you</w:t>
      </w:r>
    </w:p>
    <w:p w14:paraId="4B366AC3"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01AA8E17"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Locate your professional authority in judgement, accountability and relationship, and let AI take the production it can do.</w:t>
      </w:r>
    </w:p>
    <w:p w14:paraId="0719B44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assessment design as your scholarship; document it, evaluate it, and share it.</w:t>
      </w:r>
    </w:p>
    <w:p w14:paraId="0025591F"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Declare your own AI use. Students follow what they see.</w:t>
      </w:r>
    </w:p>
    <w:p w14:paraId="33D89826"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lastRenderedPageBreak/>
        <w:t>For programme leaders</w:t>
      </w:r>
    </w:p>
    <w:p w14:paraId="1751C69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the departmental development programme around real redesign tasks, credited and repeated, rather than around briefings.</w:t>
      </w:r>
    </w:p>
    <w:p w14:paraId="373C9FE1"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Recognise assessment design in workload and in the department's account of its scholarship.</w:t>
      </w:r>
    </w:p>
    <w:p w14:paraId="2BCE5717"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Make the modelling of evaluative judgement, live and in front of students, a visible feature of the programme.</w:t>
      </w:r>
    </w:p>
    <w:p w14:paraId="25EFCF25"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7BEA8459"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Adopt the UNESCO teacher competency framework or an equivalent as the institution's standard for staff AI literacy, with credited development to match.</w:t>
      </w:r>
    </w:p>
    <w:p w14:paraId="6EE4363A"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Count assessment design and evaluation as scholarship in promotion criteria.</w:t>
      </w:r>
    </w:p>
    <w:p w14:paraId="44013E7D"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Publish an institutional statement on staff use of AI in teaching and assessment that models the transparency students are asked to practise.</w:t>
      </w:r>
    </w:p>
    <w:p w14:paraId="7EC71F24" w14:textId="77777777" w:rsidR="00D16027" w:rsidRDefault="00000000">
      <w:pPr>
        <w:pStyle w:val="Heading2"/>
        <w:keepNext/>
      </w:pPr>
      <w:r>
        <w:t>Key references for this chapter</w:t>
      </w:r>
    </w:p>
    <w:p w14:paraId="3802B133" w14:textId="77777777" w:rsidR="00D16027" w:rsidRDefault="00000000">
      <w:pPr>
        <w:pStyle w:val="ListParagraph"/>
        <w:numPr>
          <w:ilvl w:val="0"/>
          <w:numId w:val="3"/>
        </w:numPr>
        <w:spacing w:before="30" w:after="50"/>
      </w:pPr>
      <w:r>
        <w:rPr>
          <w:color w:val="333333"/>
          <w:sz w:val="19"/>
          <w:szCs w:val="19"/>
        </w:rPr>
        <w:t xml:space="preserve">Bearman, M. &amp; </w:t>
      </w:r>
      <w:proofErr w:type="spellStart"/>
      <w:r>
        <w:rPr>
          <w:color w:val="333333"/>
          <w:sz w:val="19"/>
          <w:szCs w:val="19"/>
        </w:rPr>
        <w:t>Ajjawi</w:t>
      </w:r>
      <w:proofErr w:type="spellEnd"/>
      <w:r>
        <w:rPr>
          <w:color w:val="333333"/>
          <w:sz w:val="19"/>
          <w:szCs w:val="19"/>
        </w:rPr>
        <w:t xml:space="preserve">, R. (2023) Learning to work with the black box: pedagogy for a world with artificial intelligence. </w:t>
      </w:r>
      <w:r>
        <w:rPr>
          <w:i/>
          <w:iCs/>
          <w:color w:val="333333"/>
          <w:sz w:val="19"/>
          <w:szCs w:val="19"/>
        </w:rPr>
        <w:t>British Journal of Educational Technology</w:t>
      </w:r>
      <w:r>
        <w:rPr>
          <w:color w:val="333333"/>
          <w:sz w:val="19"/>
          <w:szCs w:val="19"/>
        </w:rPr>
        <w:t>, 54(5), 1160–1173.</w:t>
      </w:r>
    </w:p>
    <w:p w14:paraId="5A54B496" w14:textId="77777777" w:rsidR="00D16027" w:rsidRDefault="00000000">
      <w:pPr>
        <w:pStyle w:val="ListParagraph"/>
        <w:numPr>
          <w:ilvl w:val="0"/>
          <w:numId w:val="3"/>
        </w:numPr>
        <w:spacing w:before="30" w:after="50"/>
      </w:pPr>
      <w:r>
        <w:rPr>
          <w:color w:val="333333"/>
          <w:sz w:val="19"/>
          <w:szCs w:val="19"/>
        </w:rPr>
        <w:t xml:space="preserve">Bearman, M., Nieminen, J.H. &amp; </w:t>
      </w:r>
      <w:proofErr w:type="spellStart"/>
      <w:r>
        <w:rPr>
          <w:color w:val="333333"/>
          <w:sz w:val="19"/>
          <w:szCs w:val="19"/>
        </w:rPr>
        <w:t>Ajjawi</w:t>
      </w:r>
      <w:proofErr w:type="spellEnd"/>
      <w:r>
        <w:rPr>
          <w:color w:val="333333"/>
          <w:sz w:val="19"/>
          <w:szCs w:val="19"/>
        </w:rPr>
        <w:t xml:space="preserve">, R. (2023) Designing assessment in a digital world: an organising framework. </w:t>
      </w:r>
      <w:r>
        <w:rPr>
          <w:i/>
          <w:iCs/>
          <w:color w:val="333333"/>
          <w:sz w:val="19"/>
          <w:szCs w:val="19"/>
        </w:rPr>
        <w:t>Assessment &amp; Evaluation in Higher Education</w:t>
      </w:r>
      <w:r>
        <w:rPr>
          <w:color w:val="333333"/>
          <w:sz w:val="19"/>
          <w:szCs w:val="19"/>
        </w:rPr>
        <w:t>, 48(3), 291–304.</w:t>
      </w:r>
    </w:p>
    <w:p w14:paraId="7EA0CE22" w14:textId="77777777" w:rsidR="00D16027" w:rsidRDefault="00000000">
      <w:pPr>
        <w:pStyle w:val="ListParagraph"/>
        <w:numPr>
          <w:ilvl w:val="0"/>
          <w:numId w:val="3"/>
        </w:numPr>
        <w:spacing w:before="30" w:after="50"/>
      </w:pPr>
      <w:r>
        <w:rPr>
          <w:color w:val="333333"/>
          <w:sz w:val="19"/>
          <w:szCs w:val="19"/>
        </w:rPr>
        <w:t xml:space="preserve">Bearman, M., Tai, J., Dawson, P., Boud, D. &amp; </w:t>
      </w:r>
      <w:proofErr w:type="spellStart"/>
      <w:r>
        <w:rPr>
          <w:color w:val="333333"/>
          <w:sz w:val="19"/>
          <w:szCs w:val="19"/>
        </w:rPr>
        <w:t>Ajjawi</w:t>
      </w:r>
      <w:proofErr w:type="spellEnd"/>
      <w:r>
        <w:rPr>
          <w:color w:val="333333"/>
          <w:sz w:val="19"/>
          <w:szCs w:val="19"/>
        </w:rPr>
        <w:t xml:space="preserve">, R. (2024) Developing evaluative judgement for a time of generative artificial intelligence. </w:t>
      </w:r>
      <w:r>
        <w:rPr>
          <w:i/>
          <w:iCs/>
          <w:color w:val="333333"/>
          <w:sz w:val="19"/>
          <w:szCs w:val="19"/>
        </w:rPr>
        <w:t>Assessment &amp; Evaluation in Higher Education</w:t>
      </w:r>
      <w:r>
        <w:rPr>
          <w:color w:val="333333"/>
          <w:sz w:val="19"/>
          <w:szCs w:val="19"/>
        </w:rPr>
        <w:t>, 49(6), 893–905.</w:t>
      </w:r>
    </w:p>
    <w:p w14:paraId="7A10E0EA" w14:textId="77777777" w:rsidR="00D16027" w:rsidRDefault="00000000">
      <w:pPr>
        <w:pStyle w:val="ListParagraph"/>
        <w:numPr>
          <w:ilvl w:val="0"/>
          <w:numId w:val="3"/>
        </w:numPr>
        <w:spacing w:before="30" w:after="50"/>
      </w:pPr>
      <w:proofErr w:type="spellStart"/>
      <w:r>
        <w:rPr>
          <w:color w:val="333333"/>
          <w:sz w:val="19"/>
          <w:szCs w:val="19"/>
        </w:rPr>
        <w:t>Beijaard</w:t>
      </w:r>
      <w:proofErr w:type="spellEnd"/>
      <w:r>
        <w:rPr>
          <w:color w:val="333333"/>
          <w:sz w:val="19"/>
          <w:szCs w:val="19"/>
        </w:rPr>
        <w:t xml:space="preserve">, D., Meijer, P.C. &amp; </w:t>
      </w:r>
      <w:proofErr w:type="spellStart"/>
      <w:r>
        <w:rPr>
          <w:color w:val="333333"/>
          <w:sz w:val="19"/>
          <w:szCs w:val="19"/>
        </w:rPr>
        <w:t>Verloop</w:t>
      </w:r>
      <w:proofErr w:type="spellEnd"/>
      <w:r>
        <w:rPr>
          <w:color w:val="333333"/>
          <w:sz w:val="19"/>
          <w:szCs w:val="19"/>
        </w:rPr>
        <w:t xml:space="preserve">, N. (2004) Reconsidering research on teachers' professional identity. </w:t>
      </w:r>
      <w:r>
        <w:rPr>
          <w:i/>
          <w:iCs/>
          <w:color w:val="333333"/>
          <w:sz w:val="19"/>
          <w:szCs w:val="19"/>
        </w:rPr>
        <w:t>Teaching and Teacher Education</w:t>
      </w:r>
      <w:r>
        <w:rPr>
          <w:color w:val="333333"/>
          <w:sz w:val="19"/>
          <w:szCs w:val="19"/>
        </w:rPr>
        <w:t>, 20(2), 107–128.</w:t>
      </w:r>
    </w:p>
    <w:p w14:paraId="749166DE" w14:textId="77777777" w:rsidR="00D16027" w:rsidRDefault="00000000">
      <w:pPr>
        <w:pStyle w:val="ListParagraph"/>
        <w:numPr>
          <w:ilvl w:val="0"/>
          <w:numId w:val="3"/>
        </w:numPr>
        <w:spacing w:before="30" w:after="50"/>
      </w:pPr>
      <w:r>
        <w:rPr>
          <w:color w:val="333333"/>
          <w:sz w:val="19"/>
          <w:szCs w:val="19"/>
        </w:rPr>
        <w:t xml:space="preserve">Biesta, G. (2009) Good education in an age of measurement: on the need to reconnect with the question of purpose in education. </w:t>
      </w:r>
      <w:r>
        <w:rPr>
          <w:i/>
          <w:iCs/>
          <w:color w:val="333333"/>
          <w:sz w:val="19"/>
          <w:szCs w:val="19"/>
        </w:rPr>
        <w:t>Educational Assessment, Evaluation and Accountability</w:t>
      </w:r>
      <w:r>
        <w:rPr>
          <w:color w:val="333333"/>
          <w:sz w:val="19"/>
          <w:szCs w:val="19"/>
        </w:rPr>
        <w:t>, 21(1), 33–46.</w:t>
      </w:r>
    </w:p>
    <w:p w14:paraId="09244837" w14:textId="77777777" w:rsidR="00D16027" w:rsidRDefault="00000000">
      <w:pPr>
        <w:pStyle w:val="ListParagraph"/>
        <w:numPr>
          <w:ilvl w:val="0"/>
          <w:numId w:val="3"/>
        </w:numPr>
        <w:spacing w:before="30" w:after="50"/>
      </w:pPr>
      <w:r>
        <w:rPr>
          <w:color w:val="333333"/>
          <w:sz w:val="19"/>
          <w:szCs w:val="19"/>
        </w:rPr>
        <w:t xml:space="preserve">Bower, M. et al. (2024) How should we change teaching and assessment in response to increasingly powerful generative artificial intelligence? </w:t>
      </w:r>
      <w:r>
        <w:rPr>
          <w:i/>
          <w:iCs/>
          <w:color w:val="333333"/>
          <w:sz w:val="19"/>
          <w:szCs w:val="19"/>
        </w:rPr>
        <w:t>Education and Information Technologies</w:t>
      </w:r>
      <w:r>
        <w:rPr>
          <w:color w:val="333333"/>
          <w:sz w:val="19"/>
          <w:szCs w:val="19"/>
        </w:rPr>
        <w:t>, 29, 15403–15439.</w:t>
      </w:r>
    </w:p>
    <w:p w14:paraId="4FF3194E" w14:textId="77777777" w:rsidR="00D16027" w:rsidRDefault="00000000">
      <w:pPr>
        <w:pStyle w:val="ListParagraph"/>
        <w:numPr>
          <w:ilvl w:val="0"/>
          <w:numId w:val="3"/>
        </w:numPr>
        <w:spacing w:before="30" w:after="50"/>
      </w:pPr>
      <w:r>
        <w:rPr>
          <w:color w:val="333333"/>
          <w:sz w:val="19"/>
          <w:szCs w:val="19"/>
        </w:rPr>
        <w:t xml:space="preserve">Boyer, E.L. (1990) </w:t>
      </w:r>
      <w:r>
        <w:rPr>
          <w:i/>
          <w:iCs/>
          <w:color w:val="333333"/>
          <w:sz w:val="19"/>
          <w:szCs w:val="19"/>
        </w:rPr>
        <w:t>Scholarship Reconsidered: Priorities of the Professoriate</w:t>
      </w:r>
      <w:r>
        <w:rPr>
          <w:color w:val="333333"/>
          <w:sz w:val="19"/>
          <w:szCs w:val="19"/>
        </w:rPr>
        <w:t>. Princeton, NJ: Carnegie Foundation for the Advancement of Teaching.</w:t>
      </w:r>
    </w:p>
    <w:p w14:paraId="3C1EAF6F" w14:textId="77777777" w:rsidR="00D16027" w:rsidRDefault="00000000">
      <w:pPr>
        <w:pStyle w:val="ListParagraph"/>
        <w:numPr>
          <w:ilvl w:val="0"/>
          <w:numId w:val="3"/>
        </w:numPr>
        <w:spacing w:before="30" w:after="50"/>
      </w:pPr>
      <w:proofErr w:type="spellStart"/>
      <w:r>
        <w:rPr>
          <w:color w:val="333333"/>
          <w:sz w:val="19"/>
          <w:szCs w:val="19"/>
        </w:rPr>
        <w:t>Eraut</w:t>
      </w:r>
      <w:proofErr w:type="spellEnd"/>
      <w:r>
        <w:rPr>
          <w:color w:val="333333"/>
          <w:sz w:val="19"/>
          <w:szCs w:val="19"/>
        </w:rPr>
        <w:t xml:space="preserve">, M. (2000) Non-formal learning and tacit knowledge in professional work. </w:t>
      </w:r>
      <w:r>
        <w:rPr>
          <w:i/>
          <w:iCs/>
          <w:color w:val="333333"/>
          <w:sz w:val="19"/>
          <w:szCs w:val="19"/>
        </w:rPr>
        <w:t>British Journal of Educational Psychology</w:t>
      </w:r>
      <w:r>
        <w:rPr>
          <w:color w:val="333333"/>
          <w:sz w:val="19"/>
          <w:szCs w:val="19"/>
        </w:rPr>
        <w:t>, 70(1), 113–136.</w:t>
      </w:r>
    </w:p>
    <w:p w14:paraId="003D16F6" w14:textId="77777777" w:rsidR="00D16027" w:rsidRDefault="00000000">
      <w:pPr>
        <w:pStyle w:val="ListParagraph"/>
        <w:numPr>
          <w:ilvl w:val="0"/>
          <w:numId w:val="3"/>
        </w:numPr>
        <w:spacing w:before="30" w:after="50"/>
      </w:pPr>
      <w:r>
        <w:rPr>
          <w:color w:val="333333"/>
          <w:sz w:val="19"/>
          <w:szCs w:val="19"/>
        </w:rPr>
        <w:t xml:space="preserve">Henkel, M. (2000) </w:t>
      </w:r>
      <w:r>
        <w:rPr>
          <w:i/>
          <w:iCs/>
          <w:color w:val="333333"/>
          <w:sz w:val="19"/>
          <w:szCs w:val="19"/>
        </w:rPr>
        <w:t>Academic Identities and Policy Change in Higher Education</w:t>
      </w:r>
      <w:r>
        <w:rPr>
          <w:color w:val="333333"/>
          <w:sz w:val="19"/>
          <w:szCs w:val="19"/>
        </w:rPr>
        <w:t>. London: Jessica Kingsley.</w:t>
      </w:r>
    </w:p>
    <w:p w14:paraId="42A6827B" w14:textId="77777777" w:rsidR="00D16027" w:rsidRDefault="00000000">
      <w:pPr>
        <w:pStyle w:val="ListParagraph"/>
        <w:numPr>
          <w:ilvl w:val="0"/>
          <w:numId w:val="3"/>
        </w:numPr>
        <w:spacing w:before="30" w:after="50"/>
      </w:pPr>
      <w:r>
        <w:rPr>
          <w:color w:val="333333"/>
          <w:sz w:val="19"/>
          <w:szCs w:val="19"/>
        </w:rPr>
        <w:t xml:space="preserve">Knight, P.T. (2002) Summative assessment in higher education: practices in disarray. </w:t>
      </w:r>
      <w:r>
        <w:rPr>
          <w:i/>
          <w:iCs/>
          <w:color w:val="333333"/>
          <w:sz w:val="19"/>
          <w:szCs w:val="19"/>
        </w:rPr>
        <w:t>Studies in Higher Education</w:t>
      </w:r>
      <w:r>
        <w:rPr>
          <w:color w:val="333333"/>
          <w:sz w:val="19"/>
          <w:szCs w:val="19"/>
        </w:rPr>
        <w:t>, 27(3), 275–286.</w:t>
      </w:r>
    </w:p>
    <w:p w14:paraId="08E87B7C" w14:textId="77777777" w:rsidR="00D16027" w:rsidRDefault="00000000">
      <w:pPr>
        <w:pStyle w:val="ListParagraph"/>
        <w:numPr>
          <w:ilvl w:val="0"/>
          <w:numId w:val="3"/>
        </w:numPr>
        <w:spacing w:before="30" w:after="50"/>
      </w:pPr>
      <w:r>
        <w:rPr>
          <w:color w:val="333333"/>
          <w:sz w:val="19"/>
          <w:szCs w:val="19"/>
        </w:rPr>
        <w:t xml:space="preserve">Long, D. &amp; </w:t>
      </w:r>
      <w:proofErr w:type="spellStart"/>
      <w:r>
        <w:rPr>
          <w:color w:val="333333"/>
          <w:sz w:val="19"/>
          <w:szCs w:val="19"/>
        </w:rPr>
        <w:t>Magerko</w:t>
      </w:r>
      <w:proofErr w:type="spellEnd"/>
      <w:r>
        <w:rPr>
          <w:color w:val="333333"/>
          <w:sz w:val="19"/>
          <w:szCs w:val="19"/>
        </w:rPr>
        <w:t xml:space="preserve">, B. (2020) What is AI literacy? Competencies and design considerations. </w:t>
      </w:r>
      <w:r>
        <w:rPr>
          <w:i/>
          <w:iCs/>
          <w:color w:val="333333"/>
          <w:sz w:val="19"/>
          <w:szCs w:val="19"/>
        </w:rPr>
        <w:t>Proceedings of CHI 2020</w:t>
      </w:r>
      <w:r>
        <w:rPr>
          <w:color w:val="333333"/>
          <w:sz w:val="19"/>
          <w:szCs w:val="19"/>
        </w:rPr>
        <w:t>, 1–16.</w:t>
      </w:r>
    </w:p>
    <w:p w14:paraId="59D5FAE5" w14:textId="77777777" w:rsidR="00D16027" w:rsidRDefault="00000000">
      <w:pPr>
        <w:pStyle w:val="ListParagraph"/>
        <w:numPr>
          <w:ilvl w:val="0"/>
          <w:numId w:val="3"/>
        </w:numPr>
        <w:spacing w:before="30" w:after="50"/>
      </w:pPr>
      <w:r>
        <w:rPr>
          <w:color w:val="333333"/>
          <w:sz w:val="19"/>
          <w:szCs w:val="19"/>
        </w:rPr>
        <w:t xml:space="preserve">Luckin, R. (2018) </w:t>
      </w:r>
      <w:r>
        <w:rPr>
          <w:i/>
          <w:iCs/>
          <w:color w:val="333333"/>
          <w:sz w:val="19"/>
          <w:szCs w:val="19"/>
        </w:rPr>
        <w:t>Machine Learning and Human Intelligence</w:t>
      </w:r>
      <w:r>
        <w:rPr>
          <w:color w:val="333333"/>
          <w:sz w:val="19"/>
          <w:szCs w:val="19"/>
        </w:rPr>
        <w:t>. London: UCL IOE Press.</w:t>
      </w:r>
    </w:p>
    <w:p w14:paraId="0106FB89" w14:textId="77777777" w:rsidR="00D16027" w:rsidRDefault="00000000">
      <w:pPr>
        <w:pStyle w:val="ListParagraph"/>
        <w:numPr>
          <w:ilvl w:val="0"/>
          <w:numId w:val="3"/>
        </w:numPr>
        <w:spacing w:before="30" w:after="50"/>
      </w:pPr>
      <w:r>
        <w:rPr>
          <w:color w:val="333333"/>
          <w:sz w:val="19"/>
          <w:szCs w:val="19"/>
        </w:rPr>
        <w:t xml:space="preserve">Luckin, R., Holmes, W., Griffiths, M. &amp; Forcier, L.B. (2016) </w:t>
      </w:r>
      <w:r>
        <w:rPr>
          <w:i/>
          <w:iCs/>
          <w:color w:val="333333"/>
          <w:sz w:val="19"/>
          <w:szCs w:val="19"/>
        </w:rPr>
        <w:t>Intelligence Unleashed: An Argument for AI in Education</w:t>
      </w:r>
      <w:r>
        <w:rPr>
          <w:color w:val="333333"/>
          <w:sz w:val="19"/>
          <w:szCs w:val="19"/>
        </w:rPr>
        <w:t>. London: Pearson.</w:t>
      </w:r>
    </w:p>
    <w:p w14:paraId="03EC702B" w14:textId="77777777" w:rsidR="00D16027" w:rsidRDefault="00000000">
      <w:pPr>
        <w:pStyle w:val="ListParagraph"/>
        <w:numPr>
          <w:ilvl w:val="0"/>
          <w:numId w:val="3"/>
        </w:numPr>
        <w:spacing w:before="30" w:after="50"/>
      </w:pPr>
      <w:r>
        <w:rPr>
          <w:color w:val="333333"/>
          <w:sz w:val="19"/>
          <w:szCs w:val="19"/>
        </w:rPr>
        <w:t xml:space="preserve">Mollick, E.R. &amp; Mollick, L. (2023) </w:t>
      </w:r>
      <w:r>
        <w:rPr>
          <w:i/>
          <w:iCs/>
          <w:color w:val="333333"/>
          <w:sz w:val="19"/>
          <w:szCs w:val="19"/>
        </w:rPr>
        <w:t>Assigning AI: Seven Approaches for Students, with Prompts</w:t>
      </w:r>
      <w:r>
        <w:rPr>
          <w:color w:val="333333"/>
          <w:sz w:val="19"/>
          <w:szCs w:val="19"/>
        </w:rPr>
        <w:t>. Wharton School / SSRN 4475995.</w:t>
      </w:r>
    </w:p>
    <w:p w14:paraId="2097DA58" w14:textId="77777777" w:rsidR="00D16027" w:rsidRDefault="00000000">
      <w:pPr>
        <w:pStyle w:val="ListParagraph"/>
        <w:numPr>
          <w:ilvl w:val="0"/>
          <w:numId w:val="3"/>
        </w:numPr>
        <w:spacing w:before="30" w:after="50"/>
      </w:pPr>
      <w:r>
        <w:rPr>
          <w:color w:val="333333"/>
          <w:sz w:val="19"/>
          <w:szCs w:val="19"/>
        </w:rPr>
        <w:t xml:space="preserve">Ng, D.T.K., Leung, J.K.L., Chu, S.K.W. &amp; Qiao, M.S. (2021) Conceptualizing AI literacy: an exploratory review. </w:t>
      </w:r>
      <w:r>
        <w:rPr>
          <w:i/>
          <w:iCs/>
          <w:color w:val="333333"/>
          <w:sz w:val="19"/>
          <w:szCs w:val="19"/>
        </w:rPr>
        <w:t>Computers and Education: Artificial Intelligence</w:t>
      </w:r>
      <w:r>
        <w:rPr>
          <w:color w:val="333333"/>
          <w:sz w:val="19"/>
          <w:szCs w:val="19"/>
        </w:rPr>
        <w:t>, 2, 100041.</w:t>
      </w:r>
    </w:p>
    <w:p w14:paraId="7CA03432" w14:textId="77777777" w:rsidR="00D16027" w:rsidRDefault="00000000">
      <w:pPr>
        <w:pStyle w:val="ListParagraph"/>
        <w:numPr>
          <w:ilvl w:val="0"/>
          <w:numId w:val="3"/>
        </w:numPr>
        <w:spacing w:before="30" w:after="50"/>
      </w:pPr>
      <w:r>
        <w:rPr>
          <w:color w:val="333333"/>
          <w:sz w:val="19"/>
          <w:szCs w:val="19"/>
        </w:rPr>
        <w:t xml:space="preserve">Polanyi, M. (1966) </w:t>
      </w:r>
      <w:r>
        <w:rPr>
          <w:i/>
          <w:iCs/>
          <w:color w:val="333333"/>
          <w:sz w:val="19"/>
          <w:szCs w:val="19"/>
        </w:rPr>
        <w:t>The Tacit Dimension</w:t>
      </w:r>
      <w:r>
        <w:rPr>
          <w:color w:val="333333"/>
          <w:sz w:val="19"/>
          <w:szCs w:val="19"/>
        </w:rPr>
        <w:t>. Garden City, NY: Doubleday.</w:t>
      </w:r>
    </w:p>
    <w:p w14:paraId="28FF54FE" w14:textId="77777777" w:rsidR="00D16027" w:rsidRDefault="00000000">
      <w:pPr>
        <w:pStyle w:val="ListParagraph"/>
        <w:numPr>
          <w:ilvl w:val="0"/>
          <w:numId w:val="3"/>
        </w:numPr>
        <w:spacing w:before="30" w:after="50"/>
      </w:pPr>
      <w:r>
        <w:rPr>
          <w:color w:val="333333"/>
          <w:sz w:val="19"/>
          <w:szCs w:val="19"/>
        </w:rPr>
        <w:t xml:space="preserve">Russell Group (2023) </w:t>
      </w:r>
      <w:r>
        <w:rPr>
          <w:i/>
          <w:iCs/>
          <w:color w:val="333333"/>
          <w:sz w:val="19"/>
          <w:szCs w:val="19"/>
        </w:rPr>
        <w:t>Russell Group Principles on the Use of Generative AI Tools in Education</w:t>
      </w:r>
      <w:r>
        <w:rPr>
          <w:color w:val="333333"/>
          <w:sz w:val="19"/>
          <w:szCs w:val="19"/>
        </w:rPr>
        <w:t>. London: Russell Group.</w:t>
      </w:r>
    </w:p>
    <w:p w14:paraId="666C6904" w14:textId="77777777" w:rsidR="00D16027" w:rsidRDefault="00000000">
      <w:pPr>
        <w:pStyle w:val="ListParagraph"/>
        <w:numPr>
          <w:ilvl w:val="0"/>
          <w:numId w:val="3"/>
        </w:numPr>
        <w:spacing w:before="30" w:after="50"/>
      </w:pPr>
      <w:r>
        <w:rPr>
          <w:color w:val="333333"/>
          <w:sz w:val="19"/>
          <w:szCs w:val="19"/>
        </w:rPr>
        <w:t xml:space="preserve">Sadler, D.R. (1989) Formative assessment and the design of instructional systems. </w:t>
      </w:r>
      <w:r>
        <w:rPr>
          <w:i/>
          <w:iCs/>
          <w:color w:val="333333"/>
          <w:sz w:val="19"/>
          <w:szCs w:val="19"/>
        </w:rPr>
        <w:t>Instructional Science</w:t>
      </w:r>
      <w:r>
        <w:rPr>
          <w:color w:val="333333"/>
          <w:sz w:val="19"/>
          <w:szCs w:val="19"/>
        </w:rPr>
        <w:t>, 18(2), 119–144.</w:t>
      </w:r>
    </w:p>
    <w:p w14:paraId="6805A900" w14:textId="77777777" w:rsidR="00D16027" w:rsidRDefault="00000000">
      <w:pPr>
        <w:pStyle w:val="ListParagraph"/>
        <w:numPr>
          <w:ilvl w:val="0"/>
          <w:numId w:val="3"/>
        </w:numPr>
        <w:spacing w:before="30" w:after="50"/>
      </w:pPr>
      <w:r>
        <w:rPr>
          <w:color w:val="333333"/>
          <w:sz w:val="19"/>
          <w:szCs w:val="19"/>
        </w:rPr>
        <w:t xml:space="preserve">Selwyn, N. (2019) </w:t>
      </w:r>
      <w:r>
        <w:rPr>
          <w:i/>
          <w:iCs/>
          <w:color w:val="333333"/>
          <w:sz w:val="19"/>
          <w:szCs w:val="19"/>
        </w:rPr>
        <w:t>Should Robots Replace Teachers? AI and the Future of Education</w:t>
      </w:r>
      <w:r>
        <w:rPr>
          <w:color w:val="333333"/>
          <w:sz w:val="19"/>
          <w:szCs w:val="19"/>
        </w:rPr>
        <w:t>. Cambridge: Polity.</w:t>
      </w:r>
    </w:p>
    <w:p w14:paraId="3C314A14"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Boud, D., Dawson, P. &amp; Panadero, E. (2018) Developing evaluative judgement. </w:t>
      </w:r>
      <w:r>
        <w:rPr>
          <w:i/>
          <w:iCs/>
          <w:color w:val="333333"/>
          <w:sz w:val="19"/>
          <w:szCs w:val="19"/>
        </w:rPr>
        <w:t>Higher Education</w:t>
      </w:r>
      <w:r>
        <w:rPr>
          <w:color w:val="333333"/>
          <w:sz w:val="19"/>
          <w:szCs w:val="19"/>
        </w:rPr>
        <w:t>, 76(3), 467–481.</w:t>
      </w:r>
    </w:p>
    <w:p w14:paraId="49F3BC61" w14:textId="77777777" w:rsidR="00D16027" w:rsidRDefault="00000000">
      <w:pPr>
        <w:pStyle w:val="ListParagraph"/>
        <w:numPr>
          <w:ilvl w:val="0"/>
          <w:numId w:val="3"/>
        </w:numPr>
        <w:spacing w:before="30" w:after="50"/>
      </w:pPr>
      <w:r>
        <w:rPr>
          <w:color w:val="333333"/>
          <w:sz w:val="19"/>
          <w:szCs w:val="19"/>
        </w:rPr>
        <w:t xml:space="preserve">UNESCO (2024) </w:t>
      </w:r>
      <w:r>
        <w:rPr>
          <w:i/>
          <w:iCs/>
          <w:color w:val="333333"/>
          <w:sz w:val="19"/>
          <w:szCs w:val="19"/>
        </w:rPr>
        <w:t>AI Competency Framework for Teachers</w:t>
      </w:r>
      <w:r>
        <w:rPr>
          <w:color w:val="333333"/>
          <w:sz w:val="19"/>
          <w:szCs w:val="19"/>
        </w:rPr>
        <w:t>. Paris: UNESCO.</w:t>
      </w:r>
    </w:p>
    <w:p w14:paraId="268EAA49" w14:textId="77777777" w:rsidR="00D16027" w:rsidRDefault="00000000">
      <w:pPr>
        <w:pStyle w:val="ListParagraph"/>
        <w:numPr>
          <w:ilvl w:val="0"/>
          <w:numId w:val="3"/>
        </w:numPr>
        <w:spacing w:before="30" w:after="50"/>
      </w:pPr>
      <w:r>
        <w:rPr>
          <w:color w:val="333333"/>
          <w:sz w:val="19"/>
          <w:szCs w:val="19"/>
        </w:rPr>
        <w:t xml:space="preserve">US Department of Education, Office of Educational Technology (2023) </w:t>
      </w:r>
      <w:r>
        <w:rPr>
          <w:i/>
          <w:iCs/>
          <w:color w:val="333333"/>
          <w:sz w:val="19"/>
          <w:szCs w:val="19"/>
        </w:rPr>
        <w:t>Artificial Intelligence and the Future of Teaching and Learning</w:t>
      </w:r>
      <w:r>
        <w:rPr>
          <w:color w:val="333333"/>
          <w:sz w:val="19"/>
          <w:szCs w:val="19"/>
        </w:rPr>
        <w:t>. Washington, DC.</w:t>
      </w:r>
    </w:p>
    <w:p w14:paraId="4A276C37" w14:textId="77777777" w:rsidR="00D16027" w:rsidRDefault="00000000">
      <w:pPr>
        <w:pStyle w:val="ListParagraph"/>
        <w:numPr>
          <w:ilvl w:val="0"/>
          <w:numId w:val="3"/>
        </w:numPr>
        <w:spacing w:before="30" w:after="50"/>
      </w:pPr>
      <w:r>
        <w:rPr>
          <w:color w:val="333333"/>
          <w:sz w:val="19"/>
          <w:szCs w:val="19"/>
        </w:rPr>
        <w:t xml:space="preserve">Yan, L., Greiff, S., Teuber, Z. &amp; </w:t>
      </w:r>
      <w:proofErr w:type="spellStart"/>
      <w:r>
        <w:rPr>
          <w:color w:val="333333"/>
          <w:sz w:val="19"/>
          <w:szCs w:val="19"/>
        </w:rPr>
        <w:t>Gašević</w:t>
      </w:r>
      <w:proofErr w:type="spellEnd"/>
      <w:r>
        <w:rPr>
          <w:color w:val="333333"/>
          <w:sz w:val="19"/>
          <w:szCs w:val="19"/>
        </w:rPr>
        <w:t xml:space="preserve">, D. (2024) Promises and challenges of generative artificial intelligence for human learning. </w:t>
      </w:r>
      <w:r>
        <w:rPr>
          <w:i/>
          <w:iCs/>
          <w:color w:val="333333"/>
          <w:sz w:val="19"/>
          <w:szCs w:val="19"/>
        </w:rPr>
        <w:t>Nature Human Behaviour</w:t>
      </w:r>
      <w:r>
        <w:rPr>
          <w:color w:val="333333"/>
          <w:sz w:val="19"/>
          <w:szCs w:val="19"/>
        </w:rPr>
        <w:t>, 8(10), 1839–1850.</w:t>
      </w:r>
    </w:p>
    <w:p w14:paraId="656F4E93" w14:textId="77777777" w:rsidR="00D16027" w:rsidRDefault="00000000">
      <w:r>
        <w:lastRenderedPageBreak/>
        <w:br w:type="page"/>
      </w:r>
    </w:p>
    <w:p w14:paraId="7A263A03" w14:textId="77777777" w:rsidR="00D16027" w:rsidRDefault="00000000">
      <w:pPr>
        <w:keepNext/>
        <w:spacing w:after="40"/>
      </w:pPr>
      <w:r>
        <w:rPr>
          <w:b/>
          <w:bCs/>
          <w:caps/>
          <w:color w:val="2E75B6"/>
          <w:sz w:val="22"/>
          <w:szCs w:val="22"/>
        </w:rPr>
        <w:lastRenderedPageBreak/>
        <w:t>CHAPTER 19</w:t>
      </w:r>
    </w:p>
    <w:p w14:paraId="278C7269" w14:textId="77777777" w:rsidR="00D16027" w:rsidRDefault="00000000">
      <w:pPr>
        <w:pStyle w:val="Heading1"/>
        <w:keepNext/>
      </w:pPr>
      <w:r>
        <w:t>Designing for a Moving Target</w:t>
      </w:r>
    </w:p>
    <w:p w14:paraId="520E0095" w14:textId="77777777" w:rsidR="00D16027" w:rsidRDefault="00000000">
      <w:pPr>
        <w:pBdr>
          <w:left w:val="single" w:sz="14" w:space="10" w:color="2E75B6"/>
        </w:pBdr>
        <w:shd w:val="clear" w:color="auto" w:fill="EAF3FB"/>
        <w:spacing w:after="200"/>
      </w:pPr>
      <w:r>
        <w:rPr>
          <w:i/>
          <w:iCs/>
          <w:color w:val="333333"/>
        </w:rPr>
        <w:t>AI capabilities are not static. Any assessment that is AI-proof today may not be tomorrow. This final chapter offers principles rather than prescriptions for building assessment systems that adapt as AI continues to evolve, without wholesale redesign every year, and closes the book's argument.</w:t>
      </w:r>
    </w:p>
    <w:p w14:paraId="7E39372E"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In this chapter</w:t>
      </w:r>
    </w:p>
    <w:p w14:paraId="7406E4DB"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Treat every claim about AI capability as provisional and design accordingly</w:t>
      </w:r>
    </w:p>
    <w:p w14:paraId="47869D38"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Distinguish principles-based design, which endures, from feature-based design, which does not</w:t>
      </w:r>
    </w:p>
    <w:p w14:paraId="124A4A5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Build review cycles, triggers and governance that keep assessment current</w:t>
      </w:r>
    </w:p>
    <w:p w14:paraId="47126250"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Use student voice as an early-warning system, and hold the posture of the adaptive practitioner between panic and complacency</w:t>
      </w:r>
    </w:p>
    <w:p w14:paraId="27528330" w14:textId="77777777" w:rsidR="00D16027" w:rsidRDefault="00000000">
      <w:pPr>
        <w:pStyle w:val="Heading2"/>
        <w:keepNext/>
      </w:pPr>
      <w:r>
        <w:t>19.1 The pace of change</w:t>
      </w:r>
    </w:p>
    <w:p w14:paraId="237F8009" w14:textId="77777777" w:rsidR="00D16027" w:rsidRDefault="00000000">
      <w:pPr>
        <w:spacing w:after="140"/>
      </w:pPr>
      <w:r>
        <w:t>The four years since late 2022 have compressed a generation of change. Models that produced fluent text became models that read images, ran code, searched the web, handled documents and data, spoke and listened, and finally acted autonomously across multi-step tasks. A model that failed the bar examination in early 2023 passed it months later (Katz et al. 2024). Nikolic et al. (2023) mapped the vulnerability of engineering assessment and found their map needed revising within a year. Yan et al. (2024) observe that systematic reviews of the field are out of date at publication. Forecasts of AI capability, by experts and by the companies building the systems, have been repeatedly wrong in both directions. The only safe assumption is that the systems students use next year will do things that this year's designs did not anticipate.</w:t>
      </w:r>
    </w:p>
    <w:p w14:paraId="6D5FAA90" w14:textId="77777777" w:rsidR="00D16027" w:rsidRDefault="00000000">
      <w:pPr>
        <w:spacing w:after="140"/>
      </w:pPr>
      <w:r>
        <w:t>Two developments deserve particular notice from assessment designers. First, agents: systems that take a brief, plan, gather material, iterate and deliver over hours or days. Extended projects that were once resilient because of their length are not resilient because of their length any longer. Second, ambient assistance: earpieces, glasses and real-time transcription that can bring AI into a room. Secured conditions must now consider devices as well as documents, and Dawson (2021) was right to warn that assessment security is a continuing contest rather than a settled state. Neither development undermines the designs in this book, because neither gives a machine the student's body, context, history or accountability. Both undermine any design that relied on a current limitation.</w:t>
      </w:r>
    </w:p>
    <w:p w14:paraId="0A1F5997" w14:textId="77777777" w:rsidR="00D16027" w:rsidRDefault="00000000">
      <w:pPr>
        <w:pStyle w:val="Heading2"/>
        <w:keepNext/>
      </w:pPr>
      <w:r>
        <w:t>19.2 Principles-based, not feature-based</w:t>
      </w:r>
    </w:p>
    <w:p w14:paraId="6FBCB252" w14:textId="77777777" w:rsidR="00D16027" w:rsidRDefault="00000000">
      <w:pPr>
        <w:spacing w:after="140"/>
      </w:pPr>
      <w:r>
        <w:t xml:space="preserve">Feature-based design defends against what AI currently does badly: it cannot read diagrams, so set a diagram; it does not know our reading list, so require it; it fabricates references, so check them; it cannot run code, so ask for output. Every one of those defences has already failed, and the ones invented this year will fail next year. Principles-based design locates the evidence of learning in what AI cannot supply in principle: the student's presence, process, context, dialogue and accountability (Chapter 7). It secures conditions where evidence must be secure, makes process visible where it can be, grounds tasks in what only the student has, and asks the student to account for their work. Lodge et al. (2023) framed the regulator's guidance as principles for this reason; Bearman, Nieminen and </w:t>
      </w:r>
      <w:proofErr w:type="spellStart"/>
      <w:r>
        <w:t>Ajjawi</w:t>
      </w:r>
      <w:proofErr w:type="spellEnd"/>
      <w:r>
        <w:t xml:space="preserve"> (2023) built their organising framework on what a task lets us infer rather than on what a tool can do; Dawson, Bearman, Dollinger and Boud (2024) anchored the whole discussion in validity, which does not change when the model does.</w:t>
      </w:r>
    </w:p>
    <w:p w14:paraId="3511E408" w14:textId="77777777" w:rsidR="00D16027" w:rsidRDefault="00000000">
      <w:pPr>
        <w:pBdr>
          <w:left w:val="single" w:sz="14" w:space="10" w:color="2E75B6"/>
        </w:pBdr>
        <w:shd w:val="clear" w:color="auto" w:fill="EAF3FB"/>
        <w:spacing w:before="80" w:after="160"/>
      </w:pPr>
      <w:r>
        <w:rPr>
          <w:b/>
          <w:bCs/>
          <w:color w:val="333333"/>
        </w:rPr>
        <w:t>The test:</w:t>
      </w:r>
      <w:r>
        <w:rPr>
          <w:color w:val="333333"/>
        </w:rPr>
        <w:t xml:space="preserve"> would this design still evidence the outcome if AI became twice as capable tomorrow? If the answer is yes, the design is principles-based. If it depends on the AI failing at something, it is feature-based and has a shelf life.</w:t>
      </w:r>
    </w:p>
    <w:p w14:paraId="0A65E4A5" w14:textId="77777777" w:rsidR="00D16027" w:rsidRDefault="00000000">
      <w:pPr>
        <w:keepNext/>
        <w:spacing w:before="160" w:after="80"/>
      </w:pPr>
      <w:r>
        <w:rPr>
          <w:b/>
          <w:bCs/>
          <w:color w:val="1A4F7A"/>
          <w:sz w:val="20"/>
          <w:szCs w:val="20"/>
        </w:rPr>
        <w:t>Table 19.1  Feature-based and principles-based design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86"/>
      </w:tblGrid>
      <w:tr w:rsidR="00D16027" w14:paraId="52F979D0" w14:textId="77777777">
        <w:tblPrEx>
          <w:tblCellMar>
            <w:top w:w="0" w:type="dxa"/>
            <w:bottom w:w="0" w:type="dxa"/>
          </w:tblCellMar>
        </w:tblPrEx>
        <w:trPr>
          <w:cantSplit/>
          <w:tblHeader/>
        </w:trPr>
        <w:tc>
          <w:tcPr>
            <w:tcW w:w="3000" w:type="dxa"/>
            <w:shd w:val="clear" w:color="auto" w:fill="2E75B6"/>
            <w:tcMar>
              <w:top w:w="70" w:type="dxa"/>
              <w:left w:w="100" w:type="dxa"/>
              <w:bottom w:w="70" w:type="dxa"/>
              <w:right w:w="100" w:type="dxa"/>
            </w:tcMar>
          </w:tcPr>
          <w:p w14:paraId="02014A56" w14:textId="77777777" w:rsidR="00D16027" w:rsidRDefault="00000000">
            <w:r>
              <w:rPr>
                <w:b/>
                <w:bCs/>
                <w:color w:val="FFFFFF"/>
                <w:sz w:val="19"/>
                <w:szCs w:val="19"/>
              </w:rPr>
              <w:t>Feature-based defence</w:t>
            </w:r>
          </w:p>
        </w:tc>
        <w:tc>
          <w:tcPr>
            <w:tcW w:w="2800" w:type="dxa"/>
            <w:shd w:val="clear" w:color="auto" w:fill="2E75B6"/>
            <w:tcMar>
              <w:top w:w="70" w:type="dxa"/>
              <w:left w:w="100" w:type="dxa"/>
              <w:bottom w:w="70" w:type="dxa"/>
              <w:right w:w="100" w:type="dxa"/>
            </w:tcMar>
          </w:tcPr>
          <w:p w14:paraId="068D8828" w14:textId="77777777" w:rsidR="00D16027" w:rsidRDefault="00000000">
            <w:r>
              <w:rPr>
                <w:b/>
                <w:bCs/>
                <w:color w:val="FFFFFF"/>
                <w:sz w:val="19"/>
                <w:szCs w:val="19"/>
              </w:rPr>
              <w:t>Why it fails</w:t>
            </w:r>
          </w:p>
        </w:tc>
        <w:tc>
          <w:tcPr>
            <w:tcW w:w="3586" w:type="dxa"/>
            <w:shd w:val="clear" w:color="auto" w:fill="2E75B6"/>
            <w:tcMar>
              <w:top w:w="70" w:type="dxa"/>
              <w:left w:w="100" w:type="dxa"/>
              <w:bottom w:w="70" w:type="dxa"/>
              <w:right w:w="100" w:type="dxa"/>
            </w:tcMar>
          </w:tcPr>
          <w:p w14:paraId="7EAD21E0" w14:textId="77777777" w:rsidR="00D16027" w:rsidRDefault="00000000">
            <w:r>
              <w:rPr>
                <w:b/>
                <w:bCs/>
                <w:color w:val="FFFFFF"/>
                <w:sz w:val="19"/>
                <w:szCs w:val="19"/>
              </w:rPr>
              <w:t>Principles-based equivalent</w:t>
            </w:r>
          </w:p>
        </w:tc>
      </w:tr>
      <w:tr w:rsidR="00D16027" w14:paraId="4B6E1FB9" w14:textId="77777777">
        <w:tblPrEx>
          <w:tblCellMar>
            <w:top w:w="0" w:type="dxa"/>
            <w:bottom w:w="0" w:type="dxa"/>
          </w:tblCellMar>
        </w:tblPrEx>
        <w:trPr>
          <w:cantSplit/>
        </w:trPr>
        <w:tc>
          <w:tcPr>
            <w:tcW w:w="3000" w:type="dxa"/>
            <w:tcMar>
              <w:top w:w="70" w:type="dxa"/>
              <w:left w:w="100" w:type="dxa"/>
              <w:bottom w:w="70" w:type="dxa"/>
              <w:right w:w="100" w:type="dxa"/>
            </w:tcMar>
          </w:tcPr>
          <w:p w14:paraId="47C2FD66" w14:textId="77777777" w:rsidR="00D16027" w:rsidRDefault="00000000">
            <w:r>
              <w:rPr>
                <w:sz w:val="19"/>
                <w:szCs w:val="19"/>
              </w:rPr>
              <w:t>Set tasks with diagrams, images or handwriting</w:t>
            </w:r>
          </w:p>
        </w:tc>
        <w:tc>
          <w:tcPr>
            <w:tcW w:w="2800" w:type="dxa"/>
            <w:tcMar>
              <w:top w:w="70" w:type="dxa"/>
              <w:left w:w="100" w:type="dxa"/>
              <w:bottom w:w="70" w:type="dxa"/>
              <w:right w:w="100" w:type="dxa"/>
            </w:tcMar>
          </w:tcPr>
          <w:p w14:paraId="1E800DEB" w14:textId="77777777" w:rsidR="00D16027" w:rsidRDefault="00000000">
            <w:r>
              <w:rPr>
                <w:sz w:val="19"/>
                <w:szCs w:val="19"/>
              </w:rPr>
              <w:t>Multimodal models read them</w:t>
            </w:r>
          </w:p>
        </w:tc>
        <w:tc>
          <w:tcPr>
            <w:tcW w:w="3586" w:type="dxa"/>
            <w:tcMar>
              <w:top w:w="70" w:type="dxa"/>
              <w:left w:w="100" w:type="dxa"/>
              <w:bottom w:w="70" w:type="dxa"/>
              <w:right w:w="100" w:type="dxa"/>
            </w:tcMar>
          </w:tcPr>
          <w:p w14:paraId="31A2BE5F" w14:textId="77777777" w:rsidR="00D16027" w:rsidRDefault="00000000">
            <w:r>
              <w:rPr>
                <w:sz w:val="19"/>
                <w:szCs w:val="19"/>
              </w:rPr>
              <w:t>Assess the act of producing or interpreting them, live</w:t>
            </w:r>
          </w:p>
        </w:tc>
      </w:tr>
      <w:tr w:rsidR="00D16027" w14:paraId="552785C7" w14:textId="77777777">
        <w:tblPrEx>
          <w:tblCellMar>
            <w:top w:w="0" w:type="dxa"/>
            <w:bottom w:w="0" w:type="dxa"/>
          </w:tblCellMar>
        </w:tblPrEx>
        <w:trPr>
          <w:cantSplit/>
        </w:trPr>
        <w:tc>
          <w:tcPr>
            <w:tcW w:w="3000" w:type="dxa"/>
            <w:tcMar>
              <w:top w:w="70" w:type="dxa"/>
              <w:left w:w="100" w:type="dxa"/>
              <w:bottom w:w="70" w:type="dxa"/>
              <w:right w:w="100" w:type="dxa"/>
            </w:tcMar>
          </w:tcPr>
          <w:p w14:paraId="5AC3D48C" w14:textId="77777777" w:rsidR="00D16027" w:rsidRDefault="00000000">
            <w:r>
              <w:rPr>
                <w:sz w:val="19"/>
                <w:szCs w:val="19"/>
              </w:rPr>
              <w:lastRenderedPageBreak/>
              <w:t>Require in-house readings or recent sources</w:t>
            </w:r>
          </w:p>
        </w:tc>
        <w:tc>
          <w:tcPr>
            <w:tcW w:w="2800" w:type="dxa"/>
            <w:tcMar>
              <w:top w:w="70" w:type="dxa"/>
              <w:left w:w="100" w:type="dxa"/>
              <w:bottom w:w="70" w:type="dxa"/>
              <w:right w:w="100" w:type="dxa"/>
            </w:tcMar>
          </w:tcPr>
          <w:p w14:paraId="25BDDE9F" w14:textId="77777777" w:rsidR="00D16027" w:rsidRDefault="00000000">
            <w:r>
              <w:rPr>
                <w:sz w:val="19"/>
                <w:szCs w:val="19"/>
              </w:rPr>
              <w:t>Retrieval-enabled tools read anything digital</w:t>
            </w:r>
          </w:p>
        </w:tc>
        <w:tc>
          <w:tcPr>
            <w:tcW w:w="3586" w:type="dxa"/>
            <w:tcMar>
              <w:top w:w="70" w:type="dxa"/>
              <w:left w:w="100" w:type="dxa"/>
              <w:bottom w:w="70" w:type="dxa"/>
              <w:right w:w="100" w:type="dxa"/>
            </w:tcMar>
          </w:tcPr>
          <w:p w14:paraId="0012327D" w14:textId="77777777" w:rsidR="00D16027" w:rsidRDefault="00000000">
            <w:r>
              <w:rPr>
                <w:sz w:val="19"/>
                <w:szCs w:val="19"/>
              </w:rPr>
              <w:t>Anchor in the student's own data or seminar; assess in dialogue</w:t>
            </w:r>
          </w:p>
        </w:tc>
      </w:tr>
      <w:tr w:rsidR="00D16027" w14:paraId="35E43608" w14:textId="77777777">
        <w:tblPrEx>
          <w:tblCellMar>
            <w:top w:w="0" w:type="dxa"/>
            <w:bottom w:w="0" w:type="dxa"/>
          </w:tblCellMar>
        </w:tblPrEx>
        <w:trPr>
          <w:cantSplit/>
        </w:trPr>
        <w:tc>
          <w:tcPr>
            <w:tcW w:w="3000" w:type="dxa"/>
            <w:tcMar>
              <w:top w:w="70" w:type="dxa"/>
              <w:left w:w="100" w:type="dxa"/>
              <w:bottom w:w="70" w:type="dxa"/>
              <w:right w:w="100" w:type="dxa"/>
            </w:tcMar>
          </w:tcPr>
          <w:p w14:paraId="68440F1D" w14:textId="77777777" w:rsidR="00D16027" w:rsidRDefault="00000000">
            <w:r>
              <w:rPr>
                <w:sz w:val="19"/>
                <w:szCs w:val="19"/>
              </w:rPr>
              <w:t>Rely on AI making arithmetic or citation errors</w:t>
            </w:r>
          </w:p>
        </w:tc>
        <w:tc>
          <w:tcPr>
            <w:tcW w:w="2800" w:type="dxa"/>
            <w:tcMar>
              <w:top w:w="70" w:type="dxa"/>
              <w:left w:w="100" w:type="dxa"/>
              <w:bottom w:w="70" w:type="dxa"/>
              <w:right w:w="100" w:type="dxa"/>
            </w:tcMar>
          </w:tcPr>
          <w:p w14:paraId="1604C1A0" w14:textId="77777777" w:rsidR="00D16027" w:rsidRDefault="00000000">
            <w:r>
              <w:rPr>
                <w:sz w:val="19"/>
                <w:szCs w:val="19"/>
              </w:rPr>
              <w:t>Tools now calculate and verify</w:t>
            </w:r>
          </w:p>
        </w:tc>
        <w:tc>
          <w:tcPr>
            <w:tcW w:w="3586" w:type="dxa"/>
            <w:tcMar>
              <w:top w:w="70" w:type="dxa"/>
              <w:left w:w="100" w:type="dxa"/>
              <w:bottom w:w="70" w:type="dxa"/>
              <w:right w:w="100" w:type="dxa"/>
            </w:tcMar>
          </w:tcPr>
          <w:p w14:paraId="4F84D4CA" w14:textId="77777777" w:rsidR="00D16027" w:rsidRDefault="00000000">
            <w:r>
              <w:rPr>
                <w:sz w:val="19"/>
                <w:szCs w:val="19"/>
              </w:rPr>
              <w:t>Assess the student's verification of AI output (Chapter 11)</w:t>
            </w:r>
          </w:p>
        </w:tc>
      </w:tr>
      <w:tr w:rsidR="00D16027" w14:paraId="451428DA" w14:textId="77777777">
        <w:tblPrEx>
          <w:tblCellMar>
            <w:top w:w="0" w:type="dxa"/>
            <w:bottom w:w="0" w:type="dxa"/>
          </w:tblCellMar>
        </w:tblPrEx>
        <w:trPr>
          <w:cantSplit/>
        </w:trPr>
        <w:tc>
          <w:tcPr>
            <w:tcW w:w="3000" w:type="dxa"/>
            <w:tcMar>
              <w:top w:w="70" w:type="dxa"/>
              <w:left w:w="100" w:type="dxa"/>
              <w:bottom w:w="70" w:type="dxa"/>
              <w:right w:w="100" w:type="dxa"/>
            </w:tcMar>
          </w:tcPr>
          <w:p w14:paraId="0EF992EC" w14:textId="77777777" w:rsidR="00D16027" w:rsidRDefault="00000000">
            <w:r>
              <w:rPr>
                <w:sz w:val="19"/>
                <w:szCs w:val="19"/>
              </w:rPr>
              <w:t>Make projects long and multi-stage</w:t>
            </w:r>
          </w:p>
        </w:tc>
        <w:tc>
          <w:tcPr>
            <w:tcW w:w="2800" w:type="dxa"/>
            <w:tcMar>
              <w:top w:w="70" w:type="dxa"/>
              <w:left w:w="100" w:type="dxa"/>
              <w:bottom w:w="70" w:type="dxa"/>
              <w:right w:w="100" w:type="dxa"/>
            </w:tcMar>
          </w:tcPr>
          <w:p w14:paraId="17861C30" w14:textId="77777777" w:rsidR="00D16027" w:rsidRDefault="00000000">
            <w:r>
              <w:rPr>
                <w:sz w:val="19"/>
                <w:szCs w:val="19"/>
              </w:rPr>
              <w:t>Agents work over days</w:t>
            </w:r>
          </w:p>
        </w:tc>
        <w:tc>
          <w:tcPr>
            <w:tcW w:w="3586" w:type="dxa"/>
            <w:tcMar>
              <w:top w:w="70" w:type="dxa"/>
              <w:left w:w="100" w:type="dxa"/>
              <w:bottom w:w="70" w:type="dxa"/>
              <w:right w:w="100" w:type="dxa"/>
            </w:tcMar>
          </w:tcPr>
          <w:p w14:paraId="0EF4169C" w14:textId="77777777" w:rsidR="00D16027" w:rsidRDefault="00000000">
            <w:r>
              <w:rPr>
                <w:sz w:val="19"/>
                <w:szCs w:val="19"/>
              </w:rPr>
              <w:t>Make stages contemporaneous, secured at the start, and discussed</w:t>
            </w:r>
          </w:p>
        </w:tc>
      </w:tr>
      <w:tr w:rsidR="00D16027" w14:paraId="59235287" w14:textId="77777777">
        <w:tblPrEx>
          <w:tblCellMar>
            <w:top w:w="0" w:type="dxa"/>
            <w:bottom w:w="0" w:type="dxa"/>
          </w:tblCellMar>
        </w:tblPrEx>
        <w:trPr>
          <w:cantSplit/>
        </w:trPr>
        <w:tc>
          <w:tcPr>
            <w:tcW w:w="3000" w:type="dxa"/>
            <w:tcMar>
              <w:top w:w="70" w:type="dxa"/>
              <w:left w:w="100" w:type="dxa"/>
              <w:bottom w:w="70" w:type="dxa"/>
              <w:right w:w="100" w:type="dxa"/>
            </w:tcMar>
          </w:tcPr>
          <w:p w14:paraId="3170064B" w14:textId="77777777" w:rsidR="00D16027" w:rsidRDefault="00000000">
            <w:r>
              <w:rPr>
                <w:sz w:val="19"/>
                <w:szCs w:val="19"/>
              </w:rPr>
              <w:t>Change titles annually; use obscure topics</w:t>
            </w:r>
          </w:p>
        </w:tc>
        <w:tc>
          <w:tcPr>
            <w:tcW w:w="2800" w:type="dxa"/>
            <w:tcMar>
              <w:top w:w="70" w:type="dxa"/>
              <w:left w:w="100" w:type="dxa"/>
              <w:bottom w:w="70" w:type="dxa"/>
              <w:right w:w="100" w:type="dxa"/>
            </w:tcMar>
          </w:tcPr>
          <w:p w14:paraId="31AE2F95" w14:textId="77777777" w:rsidR="00D16027" w:rsidRDefault="00000000">
            <w:r>
              <w:rPr>
                <w:sz w:val="19"/>
                <w:szCs w:val="19"/>
              </w:rPr>
              <w:t>The model has never seen this year's title either</w:t>
            </w:r>
          </w:p>
        </w:tc>
        <w:tc>
          <w:tcPr>
            <w:tcW w:w="3586" w:type="dxa"/>
            <w:tcMar>
              <w:top w:w="70" w:type="dxa"/>
              <w:left w:w="100" w:type="dxa"/>
              <w:bottom w:w="70" w:type="dxa"/>
              <w:right w:w="100" w:type="dxa"/>
            </w:tcMar>
          </w:tcPr>
          <w:p w14:paraId="026433C9" w14:textId="77777777" w:rsidR="00D16027" w:rsidRDefault="00000000">
            <w:r>
              <w:rPr>
                <w:sz w:val="19"/>
                <w:szCs w:val="19"/>
              </w:rPr>
              <w:t>Change the conditions and the evidence, not the topic</w:t>
            </w:r>
          </w:p>
        </w:tc>
      </w:tr>
      <w:tr w:rsidR="00D16027" w14:paraId="4C95377F" w14:textId="77777777">
        <w:tblPrEx>
          <w:tblCellMar>
            <w:top w:w="0" w:type="dxa"/>
            <w:bottom w:w="0" w:type="dxa"/>
          </w:tblCellMar>
        </w:tblPrEx>
        <w:trPr>
          <w:cantSplit/>
        </w:trPr>
        <w:tc>
          <w:tcPr>
            <w:tcW w:w="3000" w:type="dxa"/>
            <w:tcMar>
              <w:top w:w="70" w:type="dxa"/>
              <w:left w:w="100" w:type="dxa"/>
              <w:bottom w:w="70" w:type="dxa"/>
              <w:right w:w="100" w:type="dxa"/>
            </w:tcMar>
          </w:tcPr>
          <w:p w14:paraId="3B21DAD7" w14:textId="77777777" w:rsidR="00D16027" w:rsidRDefault="00000000">
            <w:r>
              <w:rPr>
                <w:sz w:val="19"/>
                <w:szCs w:val="19"/>
              </w:rPr>
              <w:t>Prohibit AI and rely on detection</w:t>
            </w:r>
          </w:p>
        </w:tc>
        <w:tc>
          <w:tcPr>
            <w:tcW w:w="2800" w:type="dxa"/>
            <w:tcMar>
              <w:top w:w="70" w:type="dxa"/>
              <w:left w:w="100" w:type="dxa"/>
              <w:bottom w:w="70" w:type="dxa"/>
              <w:right w:w="100" w:type="dxa"/>
            </w:tcMar>
          </w:tcPr>
          <w:p w14:paraId="1CD533C3" w14:textId="77777777" w:rsidR="00D16027" w:rsidRDefault="00000000">
            <w:r>
              <w:rPr>
                <w:sz w:val="19"/>
                <w:szCs w:val="19"/>
              </w:rPr>
              <w:t>Detection is unreliable and biased</w:t>
            </w:r>
          </w:p>
        </w:tc>
        <w:tc>
          <w:tcPr>
            <w:tcW w:w="3586" w:type="dxa"/>
            <w:tcMar>
              <w:top w:w="70" w:type="dxa"/>
              <w:left w:w="100" w:type="dxa"/>
              <w:bottom w:w="70" w:type="dxa"/>
              <w:right w:w="100" w:type="dxa"/>
            </w:tcMar>
          </w:tcPr>
          <w:p w14:paraId="3A2F8885" w14:textId="77777777" w:rsidR="00D16027" w:rsidRDefault="00000000">
            <w:r>
              <w:rPr>
                <w:sz w:val="19"/>
                <w:szCs w:val="19"/>
              </w:rPr>
              <w:t>Secure the conditions or design the evidence; declare where permitted</w:t>
            </w:r>
          </w:p>
        </w:tc>
      </w:tr>
    </w:tbl>
    <w:p w14:paraId="137EF388" w14:textId="77777777" w:rsidR="00D16027" w:rsidRDefault="00D16027">
      <w:pPr>
        <w:spacing w:after="120"/>
      </w:pPr>
    </w:p>
    <w:p w14:paraId="08516D92" w14:textId="77777777" w:rsidR="00D16027" w:rsidRDefault="00000000">
      <w:pPr>
        <w:pStyle w:val="Heading2"/>
        <w:keepNext/>
      </w:pPr>
      <w:r>
        <w:t>19.3 Review cycles and triggers</w:t>
      </w:r>
    </w:p>
    <w:p w14:paraId="36E52041" w14:textId="77777777" w:rsidR="00D16027" w:rsidRDefault="00000000">
      <w:pPr>
        <w:spacing w:after="140"/>
      </w:pPr>
      <w:r>
        <w:t xml:space="preserve">A principles-based portfolio needs less redesign but not no review. Lodge et al. (2025) describe enacting reform as a continuing quality process rather than a project with an end date, and the Australian regulator's requirement for institutional action plans has become a requirement for their maintenance. A workable cycle has three parts. </w:t>
      </w:r>
      <w:r>
        <w:rPr>
          <w:b/>
          <w:bCs/>
        </w:rPr>
        <w:t>Annual</w:t>
      </w:r>
      <w:r>
        <w:t xml:space="preserve">: the programme audit and coverage check (Chapter 14); the benchmark of each module's main task against current tools (Chapter 2); review of task-level AI permission labels; the equity data by format (Chapter 16); and a check that policy, templates and staff guidance still reflect sector guidance. </w:t>
      </w:r>
      <w:r>
        <w:rPr>
          <w:b/>
          <w:bCs/>
        </w:rPr>
        <w:t>Triggered</w:t>
      </w:r>
      <w:r>
        <w:t xml:space="preserve">: an out-of-cycle review when a major model release changes capability materially, when a pattern of misconduct cases or conversation failures appears on a task, when a regulator or professional body changes its expectations, or when the institution changes its licensed tools. </w:t>
      </w:r>
      <w:r>
        <w:rPr>
          <w:b/>
          <w:bCs/>
        </w:rPr>
        <w:t>Standing</w:t>
      </w:r>
      <w:r>
        <w:t>: a named owner at programme and institutional level, and a horizon-scanning function that maintains the plain-language capability briefing for staff. The review is a quality process, and it belongs in the annual monitoring that programmes already do.</w:t>
      </w:r>
    </w:p>
    <w:p w14:paraId="0F132985" w14:textId="77777777" w:rsidR="00D16027" w:rsidRDefault="00000000">
      <w:pPr>
        <w:keepNext/>
        <w:spacing w:before="160" w:after="80"/>
      </w:pPr>
      <w:r>
        <w:rPr>
          <w:b/>
          <w:bCs/>
          <w:color w:val="1A4F7A"/>
          <w:sz w:val="20"/>
          <w:szCs w:val="20"/>
        </w:rPr>
        <w:t>Table 19.2  A review calendar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00"/>
        <w:gridCol w:w="2586"/>
      </w:tblGrid>
      <w:tr w:rsidR="00D16027" w14:paraId="61FAA5A3" w14:textId="77777777">
        <w:tblPrEx>
          <w:tblCellMar>
            <w:top w:w="0" w:type="dxa"/>
            <w:bottom w:w="0" w:type="dxa"/>
          </w:tblCellMar>
        </w:tblPrEx>
        <w:trPr>
          <w:cantSplit/>
          <w:tblHeader/>
        </w:trPr>
        <w:tc>
          <w:tcPr>
            <w:tcW w:w="2300" w:type="dxa"/>
            <w:shd w:val="clear" w:color="auto" w:fill="2E75B6"/>
            <w:tcMar>
              <w:top w:w="70" w:type="dxa"/>
              <w:left w:w="100" w:type="dxa"/>
              <w:bottom w:w="70" w:type="dxa"/>
              <w:right w:w="100" w:type="dxa"/>
            </w:tcMar>
          </w:tcPr>
          <w:p w14:paraId="6D2C86DD" w14:textId="77777777" w:rsidR="00D16027" w:rsidRDefault="00000000">
            <w:r>
              <w:rPr>
                <w:b/>
                <w:bCs/>
                <w:color w:val="FFFFFF"/>
                <w:sz w:val="19"/>
                <w:szCs w:val="19"/>
              </w:rPr>
              <w:t>When</w:t>
            </w:r>
          </w:p>
        </w:tc>
        <w:tc>
          <w:tcPr>
            <w:tcW w:w="4500" w:type="dxa"/>
            <w:shd w:val="clear" w:color="auto" w:fill="2E75B6"/>
            <w:tcMar>
              <w:top w:w="70" w:type="dxa"/>
              <w:left w:w="100" w:type="dxa"/>
              <w:bottom w:w="70" w:type="dxa"/>
              <w:right w:w="100" w:type="dxa"/>
            </w:tcMar>
          </w:tcPr>
          <w:p w14:paraId="603ECB49" w14:textId="77777777" w:rsidR="00D16027" w:rsidRDefault="00000000">
            <w:r>
              <w:rPr>
                <w:b/>
                <w:bCs/>
                <w:color w:val="FFFFFF"/>
                <w:sz w:val="19"/>
                <w:szCs w:val="19"/>
              </w:rPr>
              <w:t>What is reviewed</w:t>
            </w:r>
          </w:p>
        </w:tc>
        <w:tc>
          <w:tcPr>
            <w:tcW w:w="2586" w:type="dxa"/>
            <w:shd w:val="clear" w:color="auto" w:fill="2E75B6"/>
            <w:tcMar>
              <w:top w:w="70" w:type="dxa"/>
              <w:left w:w="100" w:type="dxa"/>
              <w:bottom w:w="70" w:type="dxa"/>
              <w:right w:w="100" w:type="dxa"/>
            </w:tcMar>
          </w:tcPr>
          <w:p w14:paraId="6409AB39" w14:textId="77777777" w:rsidR="00D16027" w:rsidRDefault="00000000">
            <w:r>
              <w:rPr>
                <w:b/>
                <w:bCs/>
                <w:color w:val="FFFFFF"/>
                <w:sz w:val="19"/>
                <w:szCs w:val="19"/>
              </w:rPr>
              <w:t>Who</w:t>
            </w:r>
          </w:p>
        </w:tc>
      </w:tr>
      <w:tr w:rsidR="00D16027" w14:paraId="0825D0E4" w14:textId="77777777">
        <w:tblPrEx>
          <w:tblCellMar>
            <w:top w:w="0" w:type="dxa"/>
            <w:bottom w:w="0" w:type="dxa"/>
          </w:tblCellMar>
        </w:tblPrEx>
        <w:trPr>
          <w:cantSplit/>
        </w:trPr>
        <w:tc>
          <w:tcPr>
            <w:tcW w:w="2300" w:type="dxa"/>
            <w:tcMar>
              <w:top w:w="70" w:type="dxa"/>
              <w:left w:w="100" w:type="dxa"/>
              <w:bottom w:w="70" w:type="dxa"/>
              <w:right w:w="100" w:type="dxa"/>
            </w:tcMar>
          </w:tcPr>
          <w:p w14:paraId="67B148B0" w14:textId="77777777" w:rsidR="00D16027" w:rsidRDefault="00000000">
            <w:r>
              <w:rPr>
                <w:sz w:val="19"/>
                <w:szCs w:val="19"/>
              </w:rPr>
              <w:t>Annually, before the academic year</w:t>
            </w:r>
          </w:p>
        </w:tc>
        <w:tc>
          <w:tcPr>
            <w:tcW w:w="4500" w:type="dxa"/>
            <w:tcMar>
              <w:top w:w="70" w:type="dxa"/>
              <w:left w:w="100" w:type="dxa"/>
              <w:bottom w:w="70" w:type="dxa"/>
              <w:right w:w="100" w:type="dxa"/>
            </w:tcMar>
          </w:tcPr>
          <w:p w14:paraId="173E660D" w14:textId="77777777" w:rsidR="00D16027" w:rsidRDefault="00000000">
            <w:r>
              <w:rPr>
                <w:sz w:val="19"/>
                <w:szCs w:val="19"/>
              </w:rPr>
              <w:t>Programme audit; coverage check; benchmark of main tasks; permission labels; equity data by format; policy and templates against sector guidance</w:t>
            </w:r>
          </w:p>
        </w:tc>
        <w:tc>
          <w:tcPr>
            <w:tcW w:w="2586" w:type="dxa"/>
            <w:tcMar>
              <w:top w:w="70" w:type="dxa"/>
              <w:left w:w="100" w:type="dxa"/>
              <w:bottom w:w="70" w:type="dxa"/>
              <w:right w:w="100" w:type="dxa"/>
            </w:tcMar>
          </w:tcPr>
          <w:p w14:paraId="4FDDB998" w14:textId="77777777" w:rsidR="00D16027" w:rsidRDefault="00000000">
            <w:r>
              <w:rPr>
                <w:sz w:val="19"/>
                <w:szCs w:val="19"/>
              </w:rPr>
              <w:t>Programme team, with a student partner; reported to faculty</w:t>
            </w:r>
          </w:p>
        </w:tc>
      </w:tr>
      <w:tr w:rsidR="00D16027" w14:paraId="685E0D8E" w14:textId="77777777">
        <w:tblPrEx>
          <w:tblCellMar>
            <w:top w:w="0" w:type="dxa"/>
            <w:bottom w:w="0" w:type="dxa"/>
          </w:tblCellMar>
        </w:tblPrEx>
        <w:trPr>
          <w:cantSplit/>
        </w:trPr>
        <w:tc>
          <w:tcPr>
            <w:tcW w:w="2300" w:type="dxa"/>
            <w:tcMar>
              <w:top w:w="70" w:type="dxa"/>
              <w:left w:w="100" w:type="dxa"/>
              <w:bottom w:w="70" w:type="dxa"/>
              <w:right w:w="100" w:type="dxa"/>
            </w:tcMar>
          </w:tcPr>
          <w:p w14:paraId="2DCB780C" w14:textId="77777777" w:rsidR="00D16027" w:rsidRDefault="00000000">
            <w:r>
              <w:rPr>
                <w:sz w:val="19"/>
                <w:szCs w:val="19"/>
              </w:rPr>
              <w:t>On trigger</w:t>
            </w:r>
          </w:p>
        </w:tc>
        <w:tc>
          <w:tcPr>
            <w:tcW w:w="4500" w:type="dxa"/>
            <w:tcMar>
              <w:top w:w="70" w:type="dxa"/>
              <w:left w:w="100" w:type="dxa"/>
              <w:bottom w:w="70" w:type="dxa"/>
              <w:right w:w="100" w:type="dxa"/>
            </w:tcMar>
          </w:tcPr>
          <w:p w14:paraId="71C92731" w14:textId="77777777" w:rsidR="00D16027" w:rsidRDefault="00000000">
            <w:r>
              <w:rPr>
                <w:sz w:val="19"/>
                <w:szCs w:val="19"/>
              </w:rPr>
              <w:t>The affected tasks or policy: major model release; misconduct or viva-failure pattern; regulator or PSRB change; tool change</w:t>
            </w:r>
          </w:p>
        </w:tc>
        <w:tc>
          <w:tcPr>
            <w:tcW w:w="2586" w:type="dxa"/>
            <w:tcMar>
              <w:top w:w="70" w:type="dxa"/>
              <w:left w:w="100" w:type="dxa"/>
              <w:bottom w:w="70" w:type="dxa"/>
              <w:right w:w="100" w:type="dxa"/>
            </w:tcMar>
          </w:tcPr>
          <w:p w14:paraId="4CF183E7" w14:textId="77777777" w:rsidR="00D16027" w:rsidRDefault="00000000">
            <w:r>
              <w:rPr>
                <w:sz w:val="19"/>
                <w:szCs w:val="19"/>
              </w:rPr>
              <w:t>Module lead with programme leader; central service advises</w:t>
            </w:r>
          </w:p>
        </w:tc>
      </w:tr>
      <w:tr w:rsidR="00D16027" w14:paraId="2C43D30D" w14:textId="77777777">
        <w:tblPrEx>
          <w:tblCellMar>
            <w:top w:w="0" w:type="dxa"/>
            <w:bottom w:w="0" w:type="dxa"/>
          </w:tblCellMar>
        </w:tblPrEx>
        <w:trPr>
          <w:cantSplit/>
        </w:trPr>
        <w:tc>
          <w:tcPr>
            <w:tcW w:w="2300" w:type="dxa"/>
            <w:tcMar>
              <w:top w:w="70" w:type="dxa"/>
              <w:left w:w="100" w:type="dxa"/>
              <w:bottom w:w="70" w:type="dxa"/>
              <w:right w:w="100" w:type="dxa"/>
            </w:tcMar>
          </w:tcPr>
          <w:p w14:paraId="7B3AFC37" w14:textId="77777777" w:rsidR="00D16027" w:rsidRDefault="00000000">
            <w:r>
              <w:rPr>
                <w:sz w:val="19"/>
                <w:szCs w:val="19"/>
              </w:rPr>
              <w:t>Continuously</w:t>
            </w:r>
          </w:p>
        </w:tc>
        <w:tc>
          <w:tcPr>
            <w:tcW w:w="4500" w:type="dxa"/>
            <w:tcMar>
              <w:top w:w="70" w:type="dxa"/>
              <w:left w:w="100" w:type="dxa"/>
              <w:bottom w:w="70" w:type="dxa"/>
              <w:right w:w="100" w:type="dxa"/>
            </w:tcMar>
          </w:tcPr>
          <w:p w14:paraId="20EABEF2" w14:textId="77777777" w:rsidR="00D16027" w:rsidRDefault="00000000">
            <w:r>
              <w:rPr>
                <w:sz w:val="19"/>
                <w:szCs w:val="19"/>
              </w:rPr>
              <w:t>Capability briefing; horizon scanning; sector guidance</w:t>
            </w:r>
          </w:p>
        </w:tc>
        <w:tc>
          <w:tcPr>
            <w:tcW w:w="2586" w:type="dxa"/>
            <w:tcMar>
              <w:top w:w="70" w:type="dxa"/>
              <w:left w:w="100" w:type="dxa"/>
              <w:bottom w:w="70" w:type="dxa"/>
              <w:right w:w="100" w:type="dxa"/>
            </w:tcMar>
          </w:tcPr>
          <w:p w14:paraId="68AC1238" w14:textId="77777777" w:rsidR="00D16027" w:rsidRDefault="00000000">
            <w:r>
              <w:rPr>
                <w:sz w:val="19"/>
                <w:szCs w:val="19"/>
              </w:rPr>
              <w:t>Central learning and teaching service</w:t>
            </w:r>
          </w:p>
        </w:tc>
      </w:tr>
      <w:tr w:rsidR="00D16027" w14:paraId="4FAFA293" w14:textId="77777777">
        <w:tblPrEx>
          <w:tblCellMar>
            <w:top w:w="0" w:type="dxa"/>
            <w:bottom w:w="0" w:type="dxa"/>
          </w:tblCellMar>
        </w:tblPrEx>
        <w:trPr>
          <w:cantSplit/>
        </w:trPr>
        <w:tc>
          <w:tcPr>
            <w:tcW w:w="2300" w:type="dxa"/>
            <w:tcMar>
              <w:top w:w="70" w:type="dxa"/>
              <w:left w:w="100" w:type="dxa"/>
              <w:bottom w:w="70" w:type="dxa"/>
              <w:right w:w="100" w:type="dxa"/>
            </w:tcMar>
          </w:tcPr>
          <w:p w14:paraId="410451FE" w14:textId="77777777" w:rsidR="00D16027" w:rsidRDefault="00000000">
            <w:r>
              <w:rPr>
                <w:sz w:val="19"/>
                <w:szCs w:val="19"/>
              </w:rPr>
              <w:t>Every three to five years</w:t>
            </w:r>
          </w:p>
        </w:tc>
        <w:tc>
          <w:tcPr>
            <w:tcW w:w="4500" w:type="dxa"/>
            <w:tcMar>
              <w:top w:w="70" w:type="dxa"/>
              <w:left w:w="100" w:type="dxa"/>
              <w:bottom w:w="70" w:type="dxa"/>
              <w:right w:w="100" w:type="dxa"/>
            </w:tcMar>
          </w:tcPr>
          <w:p w14:paraId="5DCA66EC" w14:textId="77777777" w:rsidR="00D16027" w:rsidRDefault="00000000">
            <w:r>
              <w:rPr>
                <w:sz w:val="19"/>
                <w:szCs w:val="19"/>
              </w:rPr>
              <w:t>The spectrum map and Lane 1 placement; programme outcomes including AI literacy</w:t>
            </w:r>
          </w:p>
        </w:tc>
        <w:tc>
          <w:tcPr>
            <w:tcW w:w="2586" w:type="dxa"/>
            <w:tcMar>
              <w:top w:w="70" w:type="dxa"/>
              <w:left w:w="100" w:type="dxa"/>
              <w:bottom w:w="70" w:type="dxa"/>
              <w:right w:w="100" w:type="dxa"/>
            </w:tcMar>
          </w:tcPr>
          <w:p w14:paraId="38DB49EC" w14:textId="77777777" w:rsidR="00D16027" w:rsidRDefault="00000000">
            <w:r>
              <w:rPr>
                <w:sz w:val="19"/>
                <w:szCs w:val="19"/>
              </w:rPr>
              <w:t>Periodic review panel</w:t>
            </w:r>
          </w:p>
        </w:tc>
      </w:tr>
    </w:tbl>
    <w:p w14:paraId="1FFCB1F4" w14:textId="77777777" w:rsidR="00D16027" w:rsidRDefault="00D16027">
      <w:pPr>
        <w:spacing w:after="120"/>
      </w:pPr>
    </w:p>
    <w:p w14:paraId="3C439B3B" w14:textId="77777777" w:rsidR="00D16027" w:rsidRDefault="00000000">
      <w:pPr>
        <w:pStyle w:val="Heading2"/>
        <w:keepNext/>
      </w:pPr>
      <w:r>
        <w:t>19.4 Student voice as an early-warning system</w:t>
      </w:r>
    </w:p>
    <w:p w14:paraId="08A70C1D" w14:textId="77777777" w:rsidR="00D16027" w:rsidRDefault="00000000">
      <w:pPr>
        <w:spacing w:after="140"/>
      </w:pPr>
      <w:r>
        <w:t xml:space="preserve">Students find out what AI can do to an assessment before staff do, because they are trying. Lodge et al. (2023) identify student voice as a component of trustworthy assessment, and Healey, Flint and Harrington (2014) supply the partnership methods. Three mechanisms convert what students know into what the programme needs. An anonymous annual survey of actual AI use by task, on the HEPI model but institution-specific, shows where nominal prohibitions have failed. Student partners on the audit team bring that knowledge into redesign. And red-teaming exercises, in which students are invited, with permission and without penalty, to show how a task could be completed with AI, are the most direct benchmark available and a powerful lesson in evaluative judgement for those who take </w:t>
      </w:r>
      <w:r>
        <w:lastRenderedPageBreak/>
        <w:t>part. Students who have been asked how to break an assessment understand why it was then redesigned.</w:t>
      </w:r>
    </w:p>
    <w:p w14:paraId="0B887AAC" w14:textId="77777777" w:rsidR="00D16027" w:rsidRDefault="00000000">
      <w:pPr>
        <w:pStyle w:val="Heading2"/>
        <w:keepNext/>
      </w:pPr>
      <w:r>
        <w:t>19.5 Institutional readiness</w:t>
      </w:r>
    </w:p>
    <w:p w14:paraId="0DD6CC90" w14:textId="77777777" w:rsidR="00D16027" w:rsidRDefault="00000000">
      <w:pPr>
        <w:spacing w:after="140"/>
      </w:pPr>
      <w:r>
        <w:t xml:space="preserve">Chan's (2023) framework locates readiness in three dimensions, and the weakest, in his data, were governance and operations. Institutional readiness for a moving target has five components. </w:t>
      </w:r>
      <w:r>
        <w:rPr>
          <w:b/>
          <w:bCs/>
        </w:rPr>
        <w:t>Policy agility</w:t>
      </w:r>
      <w:r>
        <w:t xml:space="preserve">: an annual review clause in AI policy, and delegated authority for programme teams to adjust task-level permissions without a full approval cycle. </w:t>
      </w:r>
      <w:r>
        <w:rPr>
          <w:b/>
          <w:bCs/>
        </w:rPr>
        <w:t>Monitoring</w:t>
      </w:r>
      <w:r>
        <w:t xml:space="preserve">: data on AI use, assessment outcomes, misconduct cases and equity, by format, reviewed by a named body. </w:t>
      </w:r>
      <w:r>
        <w:rPr>
          <w:b/>
          <w:bCs/>
        </w:rPr>
        <w:t>Tools</w:t>
      </w:r>
      <w:r>
        <w:t xml:space="preserve">: institutional licences with data-protection cover, kept current, and a capability briefing that tells staff what the licensed and public tools can now do. </w:t>
      </w:r>
      <w:r>
        <w:rPr>
          <w:b/>
          <w:bCs/>
        </w:rPr>
        <w:t>Horizon scanning and scenario planning</w:t>
      </w:r>
      <w:r>
        <w:t xml:space="preserve">: a small function that watches the field, and an annual exercise asking what the institution would do if a specific capability arrived, so that the answer exists before it is needed. </w:t>
      </w:r>
      <w:r>
        <w:rPr>
          <w:b/>
          <w:bCs/>
        </w:rPr>
        <w:t>Regulatory alignment</w:t>
      </w:r>
      <w:r>
        <w:t>: compliance with the EU AI Act's requirements where AI touches marking (Chapter 13), and readiness for the reporting that regulators increasingly require. Yan et al. (2024) add that ethical readiness, privacy and transparency, must be built rather than assumed.</w:t>
      </w:r>
    </w:p>
    <w:p w14:paraId="04726D02" w14:textId="77777777" w:rsidR="00D16027" w:rsidRDefault="00000000">
      <w:pPr>
        <w:pStyle w:val="Heading2"/>
        <w:keepNext/>
      </w:pPr>
      <w:r>
        <w:t>19.6 Between panic and complacency</w:t>
      </w:r>
    </w:p>
    <w:p w14:paraId="34CC9E26" w14:textId="77777777" w:rsidR="00D16027" w:rsidRDefault="00000000">
      <w:pPr>
        <w:spacing w:after="140"/>
      </w:pPr>
      <w:r>
        <w:t>Institutions have failed in two directions. Panic produced blanket bans, detection contracts and a retreat to the examination hall; the evidence reviewed in this book shows each to be ineffective, inequitable or both. Complacency produced the assumption that AI was a passing concern, that a policy statement would suffice, or that the problem belonged to someone else; Corbin, Dawson and Liu (2025) show that discursive responses leave assessment exactly as vulnerable as before. The alternative posture is the one Schön (1983) described for professionals generally: reflective, experimental and evidence-seeking. The adaptive practitioner tests their own tasks, redesigns on principles, evaluates, shares, and revises; treats every capability claim as provisional; and neither over-reacts to the latest demonstration nor under-reacts to the trend. Institutions cultivate that posture by making it the norm: credited time, shared evidence, communities of practice and a quality process that expects revision.</w:t>
      </w:r>
    </w:p>
    <w:p w14:paraId="28DBE907" w14:textId="77777777" w:rsidR="00D16027" w:rsidRDefault="00000000">
      <w:pPr>
        <w:pStyle w:val="Heading2"/>
        <w:keepNext/>
      </w:pPr>
      <w:r>
        <w:t>19.7 The argument of this book</w:t>
      </w:r>
    </w:p>
    <w:p w14:paraId="1787877D" w14:textId="77777777" w:rsidR="00D16027" w:rsidRDefault="00000000">
      <w:pPr>
        <w:spacing w:after="140"/>
      </w:pPr>
      <w:r>
        <w:t>The argument can be stated briefly. For two centuries a well-made written artefact was taken as evidence that its author had done the thinking. Generative AI has ended that inference for unsupervised work, and no detector will restore it. The right response is not to police the artefact but to relocate the evidence: to what the student does under secured conditions, to the process by which the work developed, to the context that only the student has, to the conversation in which they account for it, and to their judgement about what the machine produced. Validity matters more than cheating (Dawson et al. 2024). Assessment should both equip students for a world with AI and produce trustworthy judgements about what they can do (Lodge et al. 2023). A programme that spans the spectrum deliberately, secures its evidence where its claims are made, integrates AI where practice does, and reviews itself annually will remain valid as the technology changes, because it no longer depends on what the technology cannot do.</w:t>
      </w:r>
    </w:p>
    <w:p w14:paraId="45658700" w14:textId="77777777" w:rsidR="00D16027" w:rsidRDefault="00000000">
      <w:pPr>
        <w:spacing w:after="140"/>
      </w:pPr>
      <w:r>
        <w:t>None of this is new. Constructive alignment, backward design, formative assessment, authentic assessment, programmatic assessment, evaluative judgement and sustainable assessment all predate AI and all point in the same direction. Assessment scholars have argued for decades that the best assessment is about the student rather than the artefact: about what they can do, in context, with judgement, and can defend. Such assessment was always hard for a machine to replace, because it was always about the person. Generative AI has not changed what good assessment is. It has removed the excuse for not doing it.</w:t>
      </w:r>
    </w:p>
    <w:p w14:paraId="62F8D481" w14:textId="77777777" w:rsidR="00D16027" w:rsidRDefault="00000000">
      <w:pPr>
        <w:keepNext/>
        <w:pBdr>
          <w:top w:val="single" w:sz="4" w:space="4" w:color="EEF6EF"/>
          <w:left w:val="single" w:sz="14" w:space="10" w:color="4E8A5E"/>
        </w:pBdr>
        <w:shd w:val="clear" w:color="auto" w:fill="EEF6EF"/>
        <w:spacing w:before="200"/>
      </w:pPr>
      <w:r>
        <w:rPr>
          <w:b/>
          <w:bCs/>
          <w:caps/>
          <w:color w:val="4E8A5E"/>
          <w:sz w:val="19"/>
          <w:szCs w:val="19"/>
        </w:rPr>
        <w:t>In practice (illustrative)  |  Designing for a moving target</w:t>
      </w:r>
    </w:p>
    <w:p w14:paraId="7EFD39F8" w14:textId="77777777" w:rsidR="00D16027" w:rsidRDefault="00000000">
      <w:pPr>
        <w:pBdr>
          <w:left w:val="single" w:sz="14" w:space="10" w:color="4E8A5E"/>
        </w:pBdr>
        <w:shd w:val="clear" w:color="auto" w:fill="EEF6EF"/>
        <w:spacing w:after="60"/>
      </w:pPr>
      <w:r>
        <w:rPr>
          <w:b/>
          <w:bCs/>
          <w:color w:val="333333"/>
          <w:sz w:val="20"/>
          <w:szCs w:val="20"/>
        </w:rPr>
        <w:t>An institution's review calendar.</w:t>
      </w:r>
      <w:r>
        <w:rPr>
          <w:color w:val="333333"/>
          <w:sz w:val="20"/>
          <w:szCs w:val="20"/>
        </w:rPr>
        <w:t xml:space="preserve"> Every June the programme audit, benchmark and equity data go to faculty; every September the capability briefing is reissued; any major model release triggers a two-week check of the highest-stakes tasks. The expectation, to be tested against the review records, is that the </w:t>
      </w:r>
      <w:r>
        <w:rPr>
          <w:color w:val="333333"/>
          <w:sz w:val="20"/>
          <w:szCs w:val="20"/>
        </w:rPr>
        <w:lastRenderedPageBreak/>
        <w:t>annual review comes to take a day and that the number of redesigns required falls as principles-based designs replace feature-based ones.</w:t>
      </w:r>
    </w:p>
    <w:p w14:paraId="53A5C884" w14:textId="77777777" w:rsidR="00D16027" w:rsidRDefault="00000000">
      <w:pPr>
        <w:pBdr>
          <w:left w:val="single" w:sz="14" w:space="10" w:color="4E8A5E"/>
        </w:pBdr>
        <w:shd w:val="clear" w:color="auto" w:fill="EEF6EF"/>
        <w:spacing w:after="60"/>
      </w:pPr>
      <w:r>
        <w:rPr>
          <w:b/>
          <w:bCs/>
          <w:color w:val="333333"/>
          <w:sz w:val="20"/>
          <w:szCs w:val="20"/>
        </w:rPr>
        <w:t>A student red-team exercise.</w:t>
      </w:r>
      <w:r>
        <w:rPr>
          <w:color w:val="333333"/>
          <w:sz w:val="20"/>
          <w:szCs w:val="20"/>
        </w:rPr>
        <w:t xml:space="preserve"> Before a module's main task is finalised, twelve student volunteers spend an hour trying to complete it with AI and report what worked. The module lead adjusts the conditions and the evidence. The students, briefed on the outcome, become the module's most convincing explainers of why the task takes the form it does.</w:t>
      </w:r>
    </w:p>
    <w:p w14:paraId="1A0A5FAD" w14:textId="77777777" w:rsidR="00D16027" w:rsidRDefault="00000000">
      <w:pPr>
        <w:pBdr>
          <w:left w:val="single" w:sz="14" w:space="10" w:color="4E8A5E"/>
        </w:pBdr>
        <w:shd w:val="clear" w:color="auto" w:fill="EEF6EF"/>
        <w:spacing w:after="200"/>
      </w:pPr>
      <w:r>
        <w:rPr>
          <w:b/>
          <w:bCs/>
          <w:color w:val="333333"/>
          <w:sz w:val="20"/>
          <w:szCs w:val="20"/>
        </w:rPr>
        <w:t>A scenario workshop.</w:t>
      </w:r>
      <w:r>
        <w:rPr>
          <w:color w:val="333333"/>
          <w:sz w:val="20"/>
          <w:szCs w:val="20"/>
        </w:rPr>
        <w:t xml:space="preserve"> Programme leaders spend an afternoon on three prompts: what if AI can attend and respond in a live oral through an earpiece; what if a licensed tool is withdrawn; what if a professional body mandates a new secured format. Each produces a one-page contingency, filed with the programme's action plan.</w:t>
      </w:r>
    </w:p>
    <w:p w14:paraId="1B051CA8" w14:textId="77777777" w:rsidR="00D16027" w:rsidRDefault="00000000">
      <w:pPr>
        <w:keepNext/>
        <w:pBdr>
          <w:top w:val="single" w:sz="4" w:space="4" w:color="F4F4F4"/>
          <w:left w:val="single" w:sz="14" w:space="10" w:color="555555"/>
        </w:pBdr>
        <w:shd w:val="clear" w:color="auto" w:fill="F4F4F4"/>
        <w:spacing w:before="200"/>
      </w:pPr>
      <w:r>
        <w:rPr>
          <w:b/>
          <w:bCs/>
          <w:caps/>
          <w:color w:val="555555"/>
          <w:sz w:val="19"/>
          <w:szCs w:val="19"/>
        </w:rPr>
        <w:t>Try this  |  Future-proof one design</w:t>
      </w:r>
    </w:p>
    <w:p w14:paraId="2E292456"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Apply the test in section 19.2 to your redesigned task: would it still evidence the outcome if AI became twice as capable?</w:t>
      </w:r>
    </w:p>
    <w:p w14:paraId="7B63BFC5"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List every element that depends on a current limitation of AI. Replace each with a principles-based equivalent from Table 19.1.</w:t>
      </w:r>
    </w:p>
    <w:p w14:paraId="3CC0E22D"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Add the task to the annual benchmark and set its trigger conditions.</w:t>
      </w:r>
    </w:p>
    <w:p w14:paraId="4EB1AAB1" w14:textId="77777777" w:rsidR="00D16027" w:rsidRDefault="00000000">
      <w:pPr>
        <w:pStyle w:val="ListParagraph"/>
        <w:numPr>
          <w:ilvl w:val="0"/>
          <w:numId w:val="2"/>
        </w:numPr>
        <w:pBdr>
          <w:left w:val="single" w:sz="14" w:space="10" w:color="555555"/>
        </w:pBdr>
        <w:shd w:val="clear" w:color="auto" w:fill="F4F4F4"/>
        <w:spacing w:before="20" w:after="30"/>
      </w:pPr>
      <w:r>
        <w:rPr>
          <w:color w:val="333333"/>
          <w:sz w:val="20"/>
          <w:szCs w:val="20"/>
        </w:rPr>
        <w:t>Ask three students to try to break it before it runs.</w:t>
      </w:r>
    </w:p>
    <w:p w14:paraId="10EE3A0C" w14:textId="77777777" w:rsidR="00D16027" w:rsidRDefault="00000000">
      <w:pPr>
        <w:pStyle w:val="ListParagraph"/>
        <w:numPr>
          <w:ilvl w:val="0"/>
          <w:numId w:val="2"/>
        </w:numPr>
        <w:pBdr>
          <w:left w:val="single" w:sz="14" w:space="10" w:color="555555"/>
        </w:pBdr>
        <w:shd w:val="clear" w:color="auto" w:fill="F4F4F4"/>
        <w:spacing w:before="20" w:after="200"/>
      </w:pPr>
      <w:r>
        <w:rPr>
          <w:color w:val="333333"/>
          <w:sz w:val="20"/>
          <w:szCs w:val="20"/>
        </w:rPr>
        <w:t>Write one paragraph on what you would change if the task failed the benchmark next year, and file it with the plan.</w:t>
      </w:r>
    </w:p>
    <w:p w14:paraId="1E35877F" w14:textId="77777777" w:rsidR="00D16027" w:rsidRDefault="00000000">
      <w:pPr>
        <w:pStyle w:val="Heading2"/>
        <w:keepNext/>
      </w:pPr>
      <w:r>
        <w:t>What this means for you</w:t>
      </w:r>
    </w:p>
    <w:p w14:paraId="069BE244"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individual academics</w:t>
      </w:r>
    </w:p>
    <w:p w14:paraId="2543F6FD"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Design on principles; test annually; treat every capability claim, including those in this book, as provisional.</w:t>
      </w:r>
    </w:p>
    <w:p w14:paraId="3B6708CC"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Invite students to break your assessment before it runs. They will find what you missed, and they will understand what you then do.</w:t>
      </w:r>
    </w:p>
    <w:p w14:paraId="7AC95F7C"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Keep the posture: reflective, experimental, evidence-seeking, and neither panicked nor complacent.</w:t>
      </w:r>
    </w:p>
    <w:p w14:paraId="1A610F09"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programme leaders</w:t>
      </w:r>
    </w:p>
    <w:p w14:paraId="188A90D5"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Put the audit, benchmark and equity review into annual monitoring, with a student partner, and set the trigger conditions for out-of-cycle review.</w:t>
      </w:r>
    </w:p>
    <w:p w14:paraId="16E2F693"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Revisit the spectrum map and Lane 1 placement at periodic review, and the AI-literacy outcomes with it.</w:t>
      </w:r>
    </w:p>
    <w:p w14:paraId="1C1A2BEA"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Run the scenario workshop once a year; the contingencies it produces are cheap and the alternative is improvisation.</w:t>
      </w:r>
    </w:p>
    <w:p w14:paraId="33136090" w14:textId="77777777" w:rsidR="00D16027" w:rsidRDefault="00000000">
      <w:pPr>
        <w:keepNext/>
        <w:pBdr>
          <w:top w:val="single" w:sz="4" w:space="4" w:color="EAF3FB"/>
          <w:left w:val="single" w:sz="14" w:space="10" w:color="1A4F7A"/>
        </w:pBdr>
        <w:shd w:val="clear" w:color="auto" w:fill="EAF3FB"/>
        <w:spacing w:before="200"/>
      </w:pPr>
      <w:r>
        <w:rPr>
          <w:b/>
          <w:bCs/>
          <w:caps/>
          <w:color w:val="1A4F7A"/>
          <w:sz w:val="19"/>
          <w:szCs w:val="19"/>
        </w:rPr>
        <w:t>For institutional policy-makers</w:t>
      </w:r>
    </w:p>
    <w:p w14:paraId="096C42C4"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Write an annual review clause into AI policy and delegate task-level permission changes to programme teams.</w:t>
      </w:r>
    </w:p>
    <w:p w14:paraId="194A1380" w14:textId="77777777" w:rsidR="00D16027" w:rsidRDefault="00000000">
      <w:pPr>
        <w:pStyle w:val="ListParagraph"/>
        <w:numPr>
          <w:ilvl w:val="0"/>
          <w:numId w:val="2"/>
        </w:numPr>
        <w:pBdr>
          <w:left w:val="single" w:sz="14" w:space="10" w:color="1A4F7A"/>
        </w:pBdr>
        <w:shd w:val="clear" w:color="auto" w:fill="EAF3FB"/>
        <w:spacing w:before="20" w:after="30"/>
      </w:pPr>
      <w:r>
        <w:rPr>
          <w:color w:val="333333"/>
          <w:sz w:val="20"/>
          <w:szCs w:val="20"/>
        </w:rPr>
        <w:t>Fund the horizon-scanning function and the capability briefing; they are the institution's early-warning system.</w:t>
      </w:r>
    </w:p>
    <w:p w14:paraId="49DAD51D" w14:textId="77777777" w:rsidR="00D16027" w:rsidRDefault="00000000">
      <w:pPr>
        <w:pStyle w:val="ListParagraph"/>
        <w:numPr>
          <w:ilvl w:val="0"/>
          <w:numId w:val="2"/>
        </w:numPr>
        <w:pBdr>
          <w:left w:val="single" w:sz="14" w:space="10" w:color="1A4F7A"/>
        </w:pBdr>
        <w:shd w:val="clear" w:color="auto" w:fill="EAF3FB"/>
        <w:spacing w:before="20" w:after="200"/>
      </w:pPr>
      <w:r>
        <w:rPr>
          <w:color w:val="333333"/>
          <w:sz w:val="20"/>
          <w:szCs w:val="20"/>
        </w:rPr>
        <w:t>Report to governing bodies on assessment validity, not on detection rates. The question that matters is whether the institution can trust its own judgements about what its graduates can do.</w:t>
      </w:r>
    </w:p>
    <w:p w14:paraId="6B2E9B8A" w14:textId="77777777" w:rsidR="00D16027" w:rsidRDefault="00000000">
      <w:pPr>
        <w:pStyle w:val="Heading2"/>
        <w:keepNext/>
      </w:pPr>
      <w:r>
        <w:t>Key references for this chapter</w:t>
      </w:r>
    </w:p>
    <w:p w14:paraId="7611ED73" w14:textId="77777777" w:rsidR="00D16027" w:rsidRDefault="00000000">
      <w:pPr>
        <w:pStyle w:val="ListParagraph"/>
        <w:numPr>
          <w:ilvl w:val="0"/>
          <w:numId w:val="3"/>
        </w:numPr>
        <w:spacing w:before="30" w:after="50"/>
      </w:pPr>
      <w:r>
        <w:rPr>
          <w:color w:val="333333"/>
          <w:sz w:val="19"/>
          <w:szCs w:val="19"/>
        </w:rPr>
        <w:t xml:space="preserve">Bearman, M., Nieminen, J.H. &amp; </w:t>
      </w:r>
      <w:proofErr w:type="spellStart"/>
      <w:r>
        <w:rPr>
          <w:color w:val="333333"/>
          <w:sz w:val="19"/>
          <w:szCs w:val="19"/>
        </w:rPr>
        <w:t>Ajjawi</w:t>
      </w:r>
      <w:proofErr w:type="spellEnd"/>
      <w:r>
        <w:rPr>
          <w:color w:val="333333"/>
          <w:sz w:val="19"/>
          <w:szCs w:val="19"/>
        </w:rPr>
        <w:t xml:space="preserve">, R. (2023) Designing assessment in a digital world: an organising framework. </w:t>
      </w:r>
      <w:r>
        <w:rPr>
          <w:i/>
          <w:iCs/>
          <w:color w:val="333333"/>
          <w:sz w:val="19"/>
          <w:szCs w:val="19"/>
        </w:rPr>
        <w:t>Assessment &amp; Evaluation in Higher Education</w:t>
      </w:r>
      <w:r>
        <w:rPr>
          <w:color w:val="333333"/>
          <w:sz w:val="19"/>
          <w:szCs w:val="19"/>
        </w:rPr>
        <w:t>, 48(3), 291–304.</w:t>
      </w:r>
    </w:p>
    <w:p w14:paraId="28CF3968"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30DA2286"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3B6B3D0E" w14:textId="77777777" w:rsidR="00D16027" w:rsidRDefault="00000000">
      <w:pPr>
        <w:pStyle w:val="ListParagraph"/>
        <w:numPr>
          <w:ilvl w:val="0"/>
          <w:numId w:val="3"/>
        </w:numPr>
        <w:spacing w:before="30" w:after="50"/>
      </w:pPr>
      <w:r>
        <w:rPr>
          <w:color w:val="333333"/>
          <w:sz w:val="19"/>
          <w:szCs w:val="19"/>
        </w:rPr>
        <w:t xml:space="preserve">Dawson, P. (2021) </w:t>
      </w:r>
      <w:r>
        <w:rPr>
          <w:i/>
          <w:iCs/>
          <w:color w:val="333333"/>
          <w:sz w:val="19"/>
          <w:szCs w:val="19"/>
        </w:rPr>
        <w:t>Defending Assessment Security in a Digital World</w:t>
      </w:r>
      <w:r>
        <w:rPr>
          <w:color w:val="333333"/>
          <w:sz w:val="19"/>
          <w:szCs w:val="19"/>
        </w:rPr>
        <w:t>. London: Routledge.</w:t>
      </w:r>
    </w:p>
    <w:p w14:paraId="1C121BC7" w14:textId="77777777" w:rsidR="00D16027" w:rsidRDefault="00000000">
      <w:pPr>
        <w:pStyle w:val="ListParagraph"/>
        <w:numPr>
          <w:ilvl w:val="0"/>
          <w:numId w:val="3"/>
        </w:numPr>
        <w:spacing w:before="30" w:after="50"/>
      </w:pPr>
      <w:r>
        <w:rPr>
          <w:color w:val="333333"/>
          <w:sz w:val="19"/>
          <w:szCs w:val="19"/>
        </w:rPr>
        <w:lastRenderedPageBreak/>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7DC06506" w14:textId="77777777" w:rsidR="00D16027" w:rsidRDefault="00000000">
      <w:pPr>
        <w:pStyle w:val="ListParagraph"/>
        <w:numPr>
          <w:ilvl w:val="0"/>
          <w:numId w:val="3"/>
        </w:numPr>
        <w:spacing w:before="30" w:after="50"/>
      </w:pPr>
      <w:r>
        <w:rPr>
          <w:color w:val="333333"/>
          <w:sz w:val="19"/>
          <w:szCs w:val="19"/>
        </w:rPr>
        <w:t xml:space="preserve">Healey, M., Flint, A. &amp; Harrington, K. (2014) </w:t>
      </w:r>
      <w:r>
        <w:rPr>
          <w:i/>
          <w:iCs/>
          <w:color w:val="333333"/>
          <w:sz w:val="19"/>
          <w:szCs w:val="19"/>
        </w:rPr>
        <w:t>Engagement Through Partnership: Students as Partners in Learning and Teaching in Higher Education</w:t>
      </w:r>
      <w:r>
        <w:rPr>
          <w:color w:val="333333"/>
          <w:sz w:val="19"/>
          <w:szCs w:val="19"/>
        </w:rPr>
        <w:t>. York: Higher Education Academy.</w:t>
      </w:r>
    </w:p>
    <w:p w14:paraId="58F09F2C" w14:textId="77777777" w:rsidR="00D16027" w:rsidRDefault="00000000">
      <w:pPr>
        <w:pStyle w:val="ListParagraph"/>
        <w:numPr>
          <w:ilvl w:val="0"/>
          <w:numId w:val="3"/>
        </w:numPr>
        <w:spacing w:before="30" w:after="50"/>
      </w:pPr>
      <w:r>
        <w:rPr>
          <w:color w:val="333333"/>
          <w:sz w:val="19"/>
          <w:szCs w:val="19"/>
        </w:rPr>
        <w:t xml:space="preserve">Katz, D.M., Bommarito, M.J., Gao, S. &amp; Arredondo, P. (2024) GPT-4 passes the bar exam. </w:t>
      </w:r>
      <w:r>
        <w:rPr>
          <w:i/>
          <w:iCs/>
          <w:color w:val="333333"/>
          <w:sz w:val="19"/>
          <w:szCs w:val="19"/>
        </w:rPr>
        <w:t>Philosophical Transactions of the Royal Society A</w:t>
      </w:r>
      <w:r>
        <w:rPr>
          <w:color w:val="333333"/>
          <w:sz w:val="19"/>
          <w:szCs w:val="19"/>
        </w:rPr>
        <w:t>, 382(2270), 20230254.</w:t>
      </w:r>
    </w:p>
    <w:p w14:paraId="22174EE7" w14:textId="77777777" w:rsidR="00D16027" w:rsidRDefault="00000000">
      <w:pPr>
        <w:pStyle w:val="ListParagraph"/>
        <w:numPr>
          <w:ilvl w:val="0"/>
          <w:numId w:val="3"/>
        </w:numPr>
        <w:spacing w:before="30" w:after="50"/>
      </w:pPr>
      <w:r>
        <w:rPr>
          <w:color w:val="333333"/>
          <w:sz w:val="19"/>
          <w:szCs w:val="19"/>
        </w:rPr>
        <w:t xml:space="preserve">Lodge, J.M. et al. (2025) </w:t>
      </w:r>
      <w:r>
        <w:rPr>
          <w:i/>
          <w:iCs/>
          <w:color w:val="333333"/>
          <w:sz w:val="19"/>
          <w:szCs w:val="19"/>
        </w:rPr>
        <w:t>Enacting Assessment Reform in a Time of Artificial Intelligence</w:t>
      </w:r>
      <w:r>
        <w:rPr>
          <w:color w:val="333333"/>
          <w:sz w:val="19"/>
          <w:szCs w:val="19"/>
        </w:rPr>
        <w:t>. Melbourne: TEQSA.</w:t>
      </w:r>
    </w:p>
    <w:p w14:paraId="733AA751"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TEQSA.</w:t>
      </w:r>
    </w:p>
    <w:p w14:paraId="2C31BF7E" w14:textId="77777777" w:rsidR="00D16027" w:rsidRDefault="00000000">
      <w:pPr>
        <w:pStyle w:val="ListParagraph"/>
        <w:numPr>
          <w:ilvl w:val="0"/>
          <w:numId w:val="3"/>
        </w:numPr>
        <w:spacing w:before="30" w:after="50"/>
      </w:pPr>
      <w:r>
        <w:rPr>
          <w:color w:val="333333"/>
          <w:sz w:val="19"/>
          <w:szCs w:val="19"/>
        </w:rPr>
        <w:t xml:space="preserve">Nikolic, S. et al. (2023) ChatGPT versus engineering education assessment. </w:t>
      </w:r>
      <w:r>
        <w:rPr>
          <w:i/>
          <w:iCs/>
          <w:color w:val="333333"/>
          <w:sz w:val="19"/>
          <w:szCs w:val="19"/>
        </w:rPr>
        <w:t>European Journal of Engineering Education</w:t>
      </w:r>
      <w:r>
        <w:rPr>
          <w:color w:val="333333"/>
          <w:sz w:val="19"/>
          <w:szCs w:val="19"/>
        </w:rPr>
        <w:t>, 48(4), 559–614.</w:t>
      </w:r>
    </w:p>
    <w:p w14:paraId="0B8C225D" w14:textId="77777777" w:rsidR="00D16027" w:rsidRDefault="00000000">
      <w:pPr>
        <w:pStyle w:val="ListParagraph"/>
        <w:numPr>
          <w:ilvl w:val="0"/>
          <w:numId w:val="3"/>
        </w:numPr>
        <w:spacing w:before="30" w:after="50"/>
      </w:pPr>
      <w:r>
        <w:rPr>
          <w:color w:val="333333"/>
          <w:sz w:val="19"/>
          <w:szCs w:val="19"/>
        </w:rPr>
        <w:t xml:space="preserve">Schön, D.A. (1983) </w:t>
      </w:r>
      <w:r>
        <w:rPr>
          <w:i/>
          <w:iCs/>
          <w:color w:val="333333"/>
          <w:sz w:val="19"/>
          <w:szCs w:val="19"/>
        </w:rPr>
        <w:t>The Reflective Practitioner: How Professionals Think in Action</w:t>
      </w:r>
      <w:r>
        <w:rPr>
          <w:color w:val="333333"/>
          <w:sz w:val="19"/>
          <w:szCs w:val="19"/>
        </w:rPr>
        <w:t>. New York: Basic Books.</w:t>
      </w:r>
    </w:p>
    <w:p w14:paraId="1A0EF83E" w14:textId="77777777" w:rsidR="00D16027" w:rsidRDefault="00000000">
      <w:pPr>
        <w:pStyle w:val="ListParagraph"/>
        <w:numPr>
          <w:ilvl w:val="0"/>
          <w:numId w:val="3"/>
        </w:numPr>
        <w:spacing w:before="30" w:after="50"/>
      </w:pPr>
      <w:r>
        <w:rPr>
          <w:color w:val="333333"/>
          <w:sz w:val="19"/>
          <w:szCs w:val="19"/>
        </w:rPr>
        <w:t xml:space="preserve">Yan, L. et al. (2024) Practical and ethical challenges of large language models in education: a systematic scoping review. </w:t>
      </w:r>
      <w:r>
        <w:rPr>
          <w:i/>
          <w:iCs/>
          <w:color w:val="333333"/>
          <w:sz w:val="19"/>
          <w:szCs w:val="19"/>
        </w:rPr>
        <w:t>British Journal of Educational Technology</w:t>
      </w:r>
      <w:r>
        <w:rPr>
          <w:color w:val="333333"/>
          <w:sz w:val="19"/>
          <w:szCs w:val="19"/>
        </w:rPr>
        <w:t>, 55(1), 90–112.</w:t>
      </w:r>
    </w:p>
    <w:p w14:paraId="4B562DAD" w14:textId="77777777" w:rsidR="00D16027" w:rsidRDefault="00000000">
      <w:pPr>
        <w:pStyle w:val="ListParagraph"/>
        <w:numPr>
          <w:ilvl w:val="0"/>
          <w:numId w:val="3"/>
        </w:numPr>
        <w:spacing w:before="30" w:after="50"/>
      </w:pPr>
      <w:r>
        <w:rPr>
          <w:color w:val="333333"/>
          <w:sz w:val="19"/>
          <w:szCs w:val="19"/>
        </w:rPr>
        <w:t xml:space="preserve">Yan, L., Greiff, S., Teuber, Z. &amp; </w:t>
      </w:r>
      <w:proofErr w:type="spellStart"/>
      <w:r>
        <w:rPr>
          <w:color w:val="333333"/>
          <w:sz w:val="19"/>
          <w:szCs w:val="19"/>
        </w:rPr>
        <w:t>Gašević</w:t>
      </w:r>
      <w:proofErr w:type="spellEnd"/>
      <w:r>
        <w:rPr>
          <w:color w:val="333333"/>
          <w:sz w:val="19"/>
          <w:szCs w:val="19"/>
        </w:rPr>
        <w:t xml:space="preserve">, D. (2024) Promises and challenges of generative artificial intelligence for human learning. </w:t>
      </w:r>
      <w:r>
        <w:rPr>
          <w:i/>
          <w:iCs/>
          <w:color w:val="333333"/>
          <w:sz w:val="19"/>
          <w:szCs w:val="19"/>
        </w:rPr>
        <w:t>Nature Human Behaviour</w:t>
      </w:r>
      <w:r>
        <w:rPr>
          <w:color w:val="333333"/>
          <w:sz w:val="19"/>
          <w:szCs w:val="19"/>
        </w:rPr>
        <w:t>, 8(10), 1839–1850.</w:t>
      </w:r>
    </w:p>
    <w:p w14:paraId="442326CE" w14:textId="77777777" w:rsidR="00D16027" w:rsidRDefault="00000000">
      <w:r>
        <w:br w:type="page"/>
      </w:r>
    </w:p>
    <w:p w14:paraId="13948854" w14:textId="77777777" w:rsidR="00D16027" w:rsidRDefault="00D16027">
      <w:pPr>
        <w:spacing w:after="800"/>
      </w:pPr>
    </w:p>
    <w:p w14:paraId="443EA9AD" w14:textId="77777777" w:rsidR="00D16027" w:rsidRDefault="00D16027">
      <w:pPr>
        <w:spacing w:after="60"/>
      </w:pPr>
    </w:p>
    <w:p w14:paraId="33001D4D" w14:textId="77777777" w:rsidR="00D16027" w:rsidRDefault="00000000">
      <w:pPr>
        <w:pStyle w:val="Heading1"/>
        <w:keepNext/>
        <w:pBdr>
          <w:bottom w:val="single" w:sz="12" w:space="6" w:color="2E75B6"/>
        </w:pBdr>
        <w:spacing w:after="200"/>
      </w:pPr>
      <w:r>
        <w:rPr>
          <w:sz w:val="48"/>
          <w:szCs w:val="48"/>
        </w:rPr>
        <w:t>Appendices</w:t>
      </w:r>
    </w:p>
    <w:p w14:paraId="2670E971" w14:textId="77777777" w:rsidR="00D16027" w:rsidRDefault="00000000">
      <w:pPr>
        <w:spacing w:before="200" w:after="120"/>
      </w:pPr>
      <w:r>
        <w:rPr>
          <w:i/>
          <w:iCs/>
          <w:color w:val="555555"/>
          <w:sz w:val="23"/>
          <w:szCs w:val="23"/>
        </w:rPr>
        <w:t>Tools, terms, further reading and sample briefs that consolidate the practical material from the chapters into forms that can be used directly.</w:t>
      </w:r>
    </w:p>
    <w:p w14:paraId="54B85F0E" w14:textId="77777777" w:rsidR="00D16027" w:rsidRDefault="00000000">
      <w:r>
        <w:br w:type="page"/>
      </w:r>
    </w:p>
    <w:p w14:paraId="40236F1B" w14:textId="77777777" w:rsidR="00D16027" w:rsidRDefault="00000000">
      <w:pPr>
        <w:keepNext/>
        <w:spacing w:after="40"/>
      </w:pPr>
      <w:r>
        <w:rPr>
          <w:b/>
          <w:bCs/>
          <w:caps/>
          <w:color w:val="2E75B6"/>
          <w:sz w:val="22"/>
          <w:szCs w:val="22"/>
        </w:rPr>
        <w:lastRenderedPageBreak/>
        <w:t>Appendix A</w:t>
      </w:r>
    </w:p>
    <w:p w14:paraId="2A6A428A" w14:textId="77777777" w:rsidR="00D16027" w:rsidRDefault="00000000">
      <w:pPr>
        <w:pStyle w:val="Heading1"/>
        <w:keepNext/>
      </w:pPr>
      <w:r>
        <w:t>Assessment Audit Tool and Redesign Template</w:t>
      </w:r>
    </w:p>
    <w:p w14:paraId="498778E8" w14:textId="77777777" w:rsidR="00D16027" w:rsidRDefault="00000000">
      <w:pPr>
        <w:pBdr>
          <w:left w:val="single" w:sz="14" w:space="10" w:color="2E75B6"/>
        </w:pBdr>
        <w:shd w:val="clear" w:color="auto" w:fill="EAF3FB"/>
        <w:spacing w:after="200"/>
      </w:pPr>
      <w:r>
        <w:rPr>
          <w:i/>
          <w:iCs/>
          <w:color w:val="333333"/>
        </w:rPr>
        <w:t>A ready-to-use structured framework, consolidating the audit and planning instruments from Chapters 1, 2, 4, 5, 6, 14 and 16. Complete Part 1 for every summative task; Part 2 for each task selected for redesign.</w:t>
      </w:r>
    </w:p>
    <w:p w14:paraId="6D362EC6" w14:textId="77777777" w:rsidR="00D16027" w:rsidRDefault="00000000">
      <w:pPr>
        <w:pStyle w:val="Heading2"/>
        <w:keepNext/>
      </w:pPr>
      <w:r>
        <w:t>Part 1: Audit record (one row per summative task)</w:t>
      </w:r>
    </w:p>
    <w:p w14:paraId="52AD619B" w14:textId="77777777" w:rsidR="00D16027" w:rsidRDefault="00000000">
      <w:pPr>
        <w:keepNext/>
        <w:spacing w:before="160" w:after="80"/>
      </w:pPr>
      <w:r>
        <w:rPr>
          <w:b/>
          <w:bCs/>
          <w:color w:val="1A4F7A"/>
          <w:sz w:val="20"/>
          <w:szCs w:val="20"/>
        </w:rPr>
        <w:t>A.1  Audit record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86"/>
      </w:tblGrid>
      <w:tr w:rsidR="00D16027" w14:paraId="4B2A84D8" w14:textId="77777777">
        <w:tblPrEx>
          <w:tblCellMar>
            <w:top w:w="0" w:type="dxa"/>
            <w:bottom w:w="0" w:type="dxa"/>
          </w:tblCellMar>
        </w:tblPrEx>
        <w:trPr>
          <w:cantSplit/>
          <w:tblHeader/>
        </w:trPr>
        <w:tc>
          <w:tcPr>
            <w:tcW w:w="4400" w:type="dxa"/>
            <w:shd w:val="clear" w:color="auto" w:fill="2E75B6"/>
            <w:tcMar>
              <w:top w:w="70" w:type="dxa"/>
              <w:left w:w="100" w:type="dxa"/>
              <w:bottom w:w="70" w:type="dxa"/>
              <w:right w:w="100" w:type="dxa"/>
            </w:tcMar>
          </w:tcPr>
          <w:p w14:paraId="608664ED" w14:textId="77777777" w:rsidR="00D16027" w:rsidRDefault="00000000">
            <w:r>
              <w:rPr>
                <w:b/>
                <w:bCs/>
                <w:color w:val="FFFFFF"/>
                <w:sz w:val="19"/>
                <w:szCs w:val="19"/>
              </w:rPr>
              <w:t>Field</w:t>
            </w:r>
          </w:p>
        </w:tc>
        <w:tc>
          <w:tcPr>
            <w:tcW w:w="4986" w:type="dxa"/>
            <w:shd w:val="clear" w:color="auto" w:fill="2E75B6"/>
            <w:tcMar>
              <w:top w:w="70" w:type="dxa"/>
              <w:left w:w="100" w:type="dxa"/>
              <w:bottom w:w="70" w:type="dxa"/>
              <w:right w:w="100" w:type="dxa"/>
            </w:tcMar>
          </w:tcPr>
          <w:p w14:paraId="1EDACE56" w14:textId="77777777" w:rsidR="00D16027" w:rsidRDefault="00000000">
            <w:r>
              <w:rPr>
                <w:b/>
                <w:bCs/>
                <w:color w:val="FFFFFF"/>
                <w:sz w:val="19"/>
                <w:szCs w:val="19"/>
              </w:rPr>
              <w:t>Entry</w:t>
            </w:r>
          </w:p>
        </w:tc>
      </w:tr>
      <w:tr w:rsidR="00D16027" w14:paraId="5495FC7C" w14:textId="77777777">
        <w:tblPrEx>
          <w:tblCellMar>
            <w:top w:w="0" w:type="dxa"/>
            <w:bottom w:w="0" w:type="dxa"/>
          </w:tblCellMar>
        </w:tblPrEx>
        <w:trPr>
          <w:cantSplit/>
        </w:trPr>
        <w:tc>
          <w:tcPr>
            <w:tcW w:w="4400" w:type="dxa"/>
            <w:tcMar>
              <w:top w:w="70" w:type="dxa"/>
              <w:left w:w="100" w:type="dxa"/>
              <w:bottom w:w="70" w:type="dxa"/>
              <w:right w:w="100" w:type="dxa"/>
            </w:tcMar>
          </w:tcPr>
          <w:p w14:paraId="393736E0" w14:textId="77777777" w:rsidR="00D16027" w:rsidRDefault="00000000">
            <w:r>
              <w:rPr>
                <w:sz w:val="19"/>
                <w:szCs w:val="19"/>
              </w:rPr>
              <w:t>Task, module, year, weighting, cohort size</w:t>
            </w:r>
          </w:p>
        </w:tc>
        <w:tc>
          <w:tcPr>
            <w:tcW w:w="4986" w:type="dxa"/>
            <w:tcMar>
              <w:top w:w="70" w:type="dxa"/>
              <w:left w:w="100" w:type="dxa"/>
              <w:bottom w:w="70" w:type="dxa"/>
              <w:right w:w="100" w:type="dxa"/>
            </w:tcMar>
          </w:tcPr>
          <w:p w14:paraId="1640F224" w14:textId="77777777" w:rsidR="00D16027" w:rsidRDefault="00D16027"/>
        </w:tc>
      </w:tr>
      <w:tr w:rsidR="00D16027" w14:paraId="66FED7F3" w14:textId="77777777">
        <w:tblPrEx>
          <w:tblCellMar>
            <w:top w:w="0" w:type="dxa"/>
            <w:bottom w:w="0" w:type="dxa"/>
          </w:tblCellMar>
        </w:tblPrEx>
        <w:trPr>
          <w:cantSplit/>
        </w:trPr>
        <w:tc>
          <w:tcPr>
            <w:tcW w:w="4400" w:type="dxa"/>
            <w:tcMar>
              <w:top w:w="70" w:type="dxa"/>
              <w:left w:w="100" w:type="dxa"/>
              <w:bottom w:w="70" w:type="dxa"/>
              <w:right w:w="100" w:type="dxa"/>
            </w:tcMar>
          </w:tcPr>
          <w:p w14:paraId="1903FDBC" w14:textId="77777777" w:rsidR="00D16027" w:rsidRDefault="00000000">
            <w:r>
              <w:rPr>
                <w:sz w:val="19"/>
                <w:szCs w:val="19"/>
              </w:rPr>
              <w:t>Outcome(s) assessed, as stated</w:t>
            </w:r>
          </w:p>
        </w:tc>
        <w:tc>
          <w:tcPr>
            <w:tcW w:w="4986" w:type="dxa"/>
            <w:tcMar>
              <w:top w:w="70" w:type="dxa"/>
              <w:left w:w="100" w:type="dxa"/>
              <w:bottom w:w="70" w:type="dxa"/>
              <w:right w:w="100" w:type="dxa"/>
            </w:tcMar>
          </w:tcPr>
          <w:p w14:paraId="4929E339" w14:textId="77777777" w:rsidR="00D16027" w:rsidRDefault="00D16027"/>
        </w:tc>
      </w:tr>
      <w:tr w:rsidR="00D16027" w14:paraId="5AC1DB9A" w14:textId="77777777">
        <w:tblPrEx>
          <w:tblCellMar>
            <w:top w:w="0" w:type="dxa"/>
            <w:bottom w:w="0" w:type="dxa"/>
          </w:tblCellMar>
        </w:tblPrEx>
        <w:trPr>
          <w:cantSplit/>
        </w:trPr>
        <w:tc>
          <w:tcPr>
            <w:tcW w:w="4400" w:type="dxa"/>
            <w:tcMar>
              <w:top w:w="70" w:type="dxa"/>
              <w:left w:w="100" w:type="dxa"/>
              <w:bottom w:w="70" w:type="dxa"/>
              <w:right w:w="100" w:type="dxa"/>
            </w:tcMar>
          </w:tcPr>
          <w:p w14:paraId="59AF61BD" w14:textId="77777777" w:rsidR="00D16027" w:rsidRDefault="00000000">
            <w:r>
              <w:rPr>
                <w:sz w:val="19"/>
                <w:szCs w:val="19"/>
              </w:rPr>
              <w:t>Alignment: does the task require what the outcome's verb says? Gap noted</w:t>
            </w:r>
          </w:p>
        </w:tc>
        <w:tc>
          <w:tcPr>
            <w:tcW w:w="4986" w:type="dxa"/>
            <w:tcMar>
              <w:top w:w="70" w:type="dxa"/>
              <w:left w:w="100" w:type="dxa"/>
              <w:bottom w:w="70" w:type="dxa"/>
              <w:right w:w="100" w:type="dxa"/>
            </w:tcMar>
          </w:tcPr>
          <w:p w14:paraId="38456F0B" w14:textId="77777777" w:rsidR="00D16027" w:rsidRDefault="00D16027"/>
        </w:tc>
      </w:tr>
      <w:tr w:rsidR="00D16027" w14:paraId="58F03181" w14:textId="77777777">
        <w:tblPrEx>
          <w:tblCellMar>
            <w:top w:w="0" w:type="dxa"/>
            <w:bottom w:w="0" w:type="dxa"/>
          </w:tblCellMar>
        </w:tblPrEx>
        <w:trPr>
          <w:cantSplit/>
        </w:trPr>
        <w:tc>
          <w:tcPr>
            <w:tcW w:w="4400" w:type="dxa"/>
            <w:tcMar>
              <w:top w:w="70" w:type="dxa"/>
              <w:left w:w="100" w:type="dxa"/>
              <w:bottom w:w="70" w:type="dxa"/>
              <w:right w:w="100" w:type="dxa"/>
            </w:tcMar>
          </w:tcPr>
          <w:p w14:paraId="5A127E48" w14:textId="77777777" w:rsidR="00D16027" w:rsidRDefault="00000000">
            <w:r>
              <w:rPr>
                <w:sz w:val="19"/>
                <w:szCs w:val="19"/>
              </w:rPr>
              <w:t>Purpose: certify / learn / both (name the part that must be secure)</w:t>
            </w:r>
          </w:p>
        </w:tc>
        <w:tc>
          <w:tcPr>
            <w:tcW w:w="4986" w:type="dxa"/>
            <w:tcMar>
              <w:top w:w="70" w:type="dxa"/>
              <w:left w:w="100" w:type="dxa"/>
              <w:bottom w:w="70" w:type="dxa"/>
              <w:right w:w="100" w:type="dxa"/>
            </w:tcMar>
          </w:tcPr>
          <w:p w14:paraId="12837A1C" w14:textId="77777777" w:rsidR="00D16027" w:rsidRDefault="00D16027"/>
        </w:tc>
      </w:tr>
      <w:tr w:rsidR="00D16027" w14:paraId="55B85137" w14:textId="77777777">
        <w:tblPrEx>
          <w:tblCellMar>
            <w:top w:w="0" w:type="dxa"/>
            <w:bottom w:w="0" w:type="dxa"/>
          </w:tblCellMar>
        </w:tblPrEx>
        <w:trPr>
          <w:cantSplit/>
        </w:trPr>
        <w:tc>
          <w:tcPr>
            <w:tcW w:w="4400" w:type="dxa"/>
            <w:tcMar>
              <w:top w:w="70" w:type="dxa"/>
              <w:left w:w="100" w:type="dxa"/>
              <w:bottom w:w="70" w:type="dxa"/>
              <w:right w:w="100" w:type="dxa"/>
            </w:tcMar>
          </w:tcPr>
          <w:p w14:paraId="11A7F796" w14:textId="77777777" w:rsidR="00D16027" w:rsidRDefault="00000000">
            <w:r>
              <w:rPr>
                <w:sz w:val="19"/>
                <w:szCs w:val="19"/>
              </w:rPr>
              <w:t>Conditions of production and current AI permission (AIAS level if labelled)</w:t>
            </w:r>
          </w:p>
        </w:tc>
        <w:tc>
          <w:tcPr>
            <w:tcW w:w="4986" w:type="dxa"/>
            <w:tcMar>
              <w:top w:w="70" w:type="dxa"/>
              <w:left w:w="100" w:type="dxa"/>
              <w:bottom w:w="70" w:type="dxa"/>
              <w:right w:w="100" w:type="dxa"/>
            </w:tcMar>
          </w:tcPr>
          <w:p w14:paraId="73D1E12C" w14:textId="77777777" w:rsidR="00D16027" w:rsidRDefault="00D16027"/>
        </w:tc>
      </w:tr>
      <w:tr w:rsidR="00D16027" w14:paraId="29A49E93" w14:textId="77777777">
        <w:tblPrEx>
          <w:tblCellMar>
            <w:top w:w="0" w:type="dxa"/>
            <w:bottom w:w="0" w:type="dxa"/>
          </w:tblCellMar>
        </w:tblPrEx>
        <w:trPr>
          <w:cantSplit/>
        </w:trPr>
        <w:tc>
          <w:tcPr>
            <w:tcW w:w="4400" w:type="dxa"/>
            <w:tcMar>
              <w:top w:w="70" w:type="dxa"/>
              <w:left w:w="100" w:type="dxa"/>
              <w:bottom w:w="70" w:type="dxa"/>
              <w:right w:w="100" w:type="dxa"/>
            </w:tcMar>
          </w:tcPr>
          <w:p w14:paraId="1B108B1E" w14:textId="77777777" w:rsidR="00D16027" w:rsidRDefault="00000000">
            <w:r>
              <w:rPr>
                <w:sz w:val="19"/>
                <w:szCs w:val="19"/>
              </w:rPr>
              <w:t>Vulnerability score, six dimensions (0–2 each): conditions / evidence type / context specificity / cognitive demand in context / stakes / verification</w:t>
            </w:r>
          </w:p>
        </w:tc>
        <w:tc>
          <w:tcPr>
            <w:tcW w:w="4986" w:type="dxa"/>
            <w:tcMar>
              <w:top w:w="70" w:type="dxa"/>
              <w:left w:w="100" w:type="dxa"/>
              <w:bottom w:w="70" w:type="dxa"/>
              <w:right w:w="100" w:type="dxa"/>
            </w:tcMar>
          </w:tcPr>
          <w:p w14:paraId="64B5B318" w14:textId="77777777" w:rsidR="00D16027" w:rsidRDefault="00000000">
            <w:r>
              <w:rPr>
                <w:sz w:val="19"/>
                <w:szCs w:val="19"/>
              </w:rPr>
              <w:t>___ / ___ / ___ / ___ / ___ / ___   Total: ___   Band: low (0–3) / medium (4–7) / high (8–12)</w:t>
            </w:r>
          </w:p>
        </w:tc>
      </w:tr>
      <w:tr w:rsidR="00D16027" w14:paraId="677B178F" w14:textId="77777777">
        <w:tblPrEx>
          <w:tblCellMar>
            <w:top w:w="0" w:type="dxa"/>
            <w:bottom w:w="0" w:type="dxa"/>
          </w:tblCellMar>
        </w:tblPrEx>
        <w:trPr>
          <w:cantSplit/>
        </w:trPr>
        <w:tc>
          <w:tcPr>
            <w:tcW w:w="4400" w:type="dxa"/>
            <w:tcMar>
              <w:top w:w="70" w:type="dxa"/>
              <w:left w:w="100" w:type="dxa"/>
              <w:bottom w:w="70" w:type="dxa"/>
              <w:right w:w="100" w:type="dxa"/>
            </w:tcMar>
          </w:tcPr>
          <w:p w14:paraId="2B6434BC" w14:textId="77777777" w:rsidR="00D16027" w:rsidRDefault="00000000">
            <w:r>
              <w:rPr>
                <w:sz w:val="19"/>
                <w:szCs w:val="19"/>
              </w:rPr>
              <w:t>Empirical test: grade awarded to AI output from two tools; principal failure points</w:t>
            </w:r>
          </w:p>
        </w:tc>
        <w:tc>
          <w:tcPr>
            <w:tcW w:w="4986" w:type="dxa"/>
            <w:tcMar>
              <w:top w:w="70" w:type="dxa"/>
              <w:left w:w="100" w:type="dxa"/>
              <w:bottom w:w="70" w:type="dxa"/>
              <w:right w:w="100" w:type="dxa"/>
            </w:tcMar>
          </w:tcPr>
          <w:p w14:paraId="3E47E724" w14:textId="77777777" w:rsidR="00D16027" w:rsidRDefault="00D16027"/>
        </w:tc>
      </w:tr>
      <w:tr w:rsidR="00D16027" w14:paraId="7CFCE382" w14:textId="77777777">
        <w:tblPrEx>
          <w:tblCellMar>
            <w:top w:w="0" w:type="dxa"/>
            <w:bottom w:w="0" w:type="dxa"/>
          </w:tblCellMar>
        </w:tblPrEx>
        <w:trPr>
          <w:cantSplit/>
        </w:trPr>
        <w:tc>
          <w:tcPr>
            <w:tcW w:w="4400" w:type="dxa"/>
            <w:tcMar>
              <w:top w:w="70" w:type="dxa"/>
              <w:left w:w="100" w:type="dxa"/>
              <w:bottom w:w="70" w:type="dxa"/>
              <w:right w:w="100" w:type="dxa"/>
            </w:tcMar>
          </w:tcPr>
          <w:p w14:paraId="7843ADBA" w14:textId="77777777" w:rsidR="00D16027" w:rsidRDefault="00000000">
            <w:r>
              <w:rPr>
                <w:sz w:val="19"/>
                <w:szCs w:val="19"/>
              </w:rPr>
              <w:t>Position: excluded / resilient / integrated / unintended (prohibited but unsecured)</w:t>
            </w:r>
          </w:p>
        </w:tc>
        <w:tc>
          <w:tcPr>
            <w:tcW w:w="4986" w:type="dxa"/>
            <w:tcMar>
              <w:top w:w="70" w:type="dxa"/>
              <w:left w:w="100" w:type="dxa"/>
              <w:bottom w:w="70" w:type="dxa"/>
              <w:right w:w="100" w:type="dxa"/>
            </w:tcMar>
          </w:tcPr>
          <w:p w14:paraId="576C9E2C" w14:textId="77777777" w:rsidR="00D16027" w:rsidRDefault="00D16027"/>
        </w:tc>
      </w:tr>
      <w:tr w:rsidR="00D16027" w14:paraId="1929EA19" w14:textId="77777777">
        <w:tblPrEx>
          <w:tblCellMar>
            <w:top w:w="0" w:type="dxa"/>
            <w:bottom w:w="0" w:type="dxa"/>
          </w:tblCellMar>
        </w:tblPrEx>
        <w:trPr>
          <w:cantSplit/>
        </w:trPr>
        <w:tc>
          <w:tcPr>
            <w:tcW w:w="4400" w:type="dxa"/>
            <w:tcMar>
              <w:top w:w="70" w:type="dxa"/>
              <w:left w:w="100" w:type="dxa"/>
              <w:bottom w:w="70" w:type="dxa"/>
              <w:right w:w="100" w:type="dxa"/>
            </w:tcMar>
          </w:tcPr>
          <w:p w14:paraId="0CB0F727" w14:textId="77777777" w:rsidR="00D16027" w:rsidRDefault="00000000">
            <w:r>
              <w:rPr>
                <w:sz w:val="19"/>
                <w:szCs w:val="19"/>
              </w:rPr>
              <w:t>Priority: high / medium / low, with reason (stakes, accreditation, cohort size, case history, review window)</w:t>
            </w:r>
          </w:p>
        </w:tc>
        <w:tc>
          <w:tcPr>
            <w:tcW w:w="4986" w:type="dxa"/>
            <w:tcMar>
              <w:top w:w="70" w:type="dxa"/>
              <w:left w:w="100" w:type="dxa"/>
              <w:bottom w:w="70" w:type="dxa"/>
              <w:right w:w="100" w:type="dxa"/>
            </w:tcMar>
          </w:tcPr>
          <w:p w14:paraId="7C064FA2" w14:textId="77777777" w:rsidR="00D16027" w:rsidRDefault="00D16027"/>
        </w:tc>
      </w:tr>
    </w:tbl>
    <w:p w14:paraId="78067873" w14:textId="77777777" w:rsidR="00D16027" w:rsidRDefault="00D16027">
      <w:pPr>
        <w:spacing w:after="120"/>
      </w:pPr>
    </w:p>
    <w:p w14:paraId="2B47DCE6" w14:textId="77777777" w:rsidR="00D16027" w:rsidRDefault="00000000">
      <w:pPr>
        <w:pStyle w:val="Heading2"/>
        <w:keepNext/>
      </w:pPr>
      <w:r>
        <w:t>Part 2: Programme coverage check</w:t>
      </w:r>
    </w:p>
    <w:p w14:paraId="7EF2269D" w14:textId="77777777" w:rsidR="00D16027" w:rsidRDefault="00000000">
      <w:pPr>
        <w:keepNext/>
        <w:spacing w:before="160" w:after="80"/>
      </w:pPr>
      <w:r>
        <w:rPr>
          <w:b/>
          <w:bCs/>
          <w:color w:val="1A4F7A"/>
          <w:sz w:val="20"/>
          <w:szCs w:val="20"/>
        </w:rPr>
        <w:t>A.2  Coverage check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800"/>
        <w:gridCol w:w="1186"/>
      </w:tblGrid>
      <w:tr w:rsidR="00D16027" w14:paraId="3584246F" w14:textId="77777777">
        <w:tblPrEx>
          <w:tblCellMar>
            <w:top w:w="0" w:type="dxa"/>
            <w:bottom w:w="0" w:type="dxa"/>
          </w:tblCellMar>
        </w:tblPrEx>
        <w:trPr>
          <w:cantSplit/>
          <w:tblHeader/>
        </w:trPr>
        <w:tc>
          <w:tcPr>
            <w:tcW w:w="2600" w:type="dxa"/>
            <w:shd w:val="clear" w:color="auto" w:fill="2E75B6"/>
            <w:tcMar>
              <w:top w:w="70" w:type="dxa"/>
              <w:left w:w="100" w:type="dxa"/>
              <w:bottom w:w="70" w:type="dxa"/>
              <w:right w:w="100" w:type="dxa"/>
            </w:tcMar>
          </w:tcPr>
          <w:p w14:paraId="2AC044AE" w14:textId="77777777" w:rsidR="00D16027" w:rsidRDefault="00000000">
            <w:r>
              <w:rPr>
                <w:b/>
                <w:bCs/>
                <w:color w:val="FFFFFF"/>
                <w:sz w:val="19"/>
                <w:szCs w:val="19"/>
              </w:rPr>
              <w:t>Programme outcome</w:t>
            </w:r>
          </w:p>
        </w:tc>
        <w:tc>
          <w:tcPr>
            <w:tcW w:w="2800" w:type="dxa"/>
            <w:shd w:val="clear" w:color="auto" w:fill="2E75B6"/>
            <w:tcMar>
              <w:top w:w="70" w:type="dxa"/>
              <w:left w:w="100" w:type="dxa"/>
              <w:bottom w:w="70" w:type="dxa"/>
              <w:right w:w="100" w:type="dxa"/>
            </w:tcMar>
          </w:tcPr>
          <w:p w14:paraId="2D179390" w14:textId="77777777" w:rsidR="00D16027" w:rsidRDefault="00000000">
            <w:r>
              <w:rPr>
                <w:b/>
                <w:bCs/>
                <w:color w:val="FFFFFF"/>
                <w:sz w:val="19"/>
                <w:szCs w:val="19"/>
              </w:rPr>
              <w:t>Where assured in the excluded or resilient zone (module, task)</w:t>
            </w:r>
          </w:p>
        </w:tc>
        <w:tc>
          <w:tcPr>
            <w:tcW w:w="2800" w:type="dxa"/>
            <w:shd w:val="clear" w:color="auto" w:fill="2E75B6"/>
            <w:tcMar>
              <w:top w:w="70" w:type="dxa"/>
              <w:left w:w="100" w:type="dxa"/>
              <w:bottom w:w="70" w:type="dxa"/>
              <w:right w:w="100" w:type="dxa"/>
            </w:tcMar>
          </w:tcPr>
          <w:p w14:paraId="7C84D8AB" w14:textId="77777777" w:rsidR="00D16027" w:rsidRDefault="00000000">
            <w:r>
              <w:rPr>
                <w:b/>
                <w:bCs/>
                <w:color w:val="FFFFFF"/>
                <w:sz w:val="19"/>
                <w:szCs w:val="19"/>
              </w:rPr>
              <w:t>Where AI-related capability is assessed in the integrated zone</w:t>
            </w:r>
          </w:p>
        </w:tc>
        <w:tc>
          <w:tcPr>
            <w:tcW w:w="1186" w:type="dxa"/>
            <w:shd w:val="clear" w:color="auto" w:fill="2E75B6"/>
            <w:tcMar>
              <w:top w:w="70" w:type="dxa"/>
              <w:left w:w="100" w:type="dxa"/>
              <w:bottom w:w="70" w:type="dxa"/>
              <w:right w:w="100" w:type="dxa"/>
            </w:tcMar>
          </w:tcPr>
          <w:p w14:paraId="0F7924C4" w14:textId="77777777" w:rsidR="00D16027" w:rsidRDefault="00000000">
            <w:r>
              <w:rPr>
                <w:b/>
                <w:bCs/>
                <w:color w:val="FFFFFF"/>
                <w:sz w:val="19"/>
                <w:szCs w:val="19"/>
              </w:rPr>
              <w:t>Gap?</w:t>
            </w:r>
          </w:p>
        </w:tc>
      </w:tr>
      <w:tr w:rsidR="00D16027" w14:paraId="7163B4E5" w14:textId="77777777">
        <w:tblPrEx>
          <w:tblCellMar>
            <w:top w:w="0" w:type="dxa"/>
            <w:bottom w:w="0" w:type="dxa"/>
          </w:tblCellMar>
        </w:tblPrEx>
        <w:trPr>
          <w:cantSplit/>
        </w:trPr>
        <w:tc>
          <w:tcPr>
            <w:tcW w:w="2600" w:type="dxa"/>
            <w:tcMar>
              <w:top w:w="70" w:type="dxa"/>
              <w:left w:w="100" w:type="dxa"/>
              <w:bottom w:w="70" w:type="dxa"/>
              <w:right w:w="100" w:type="dxa"/>
            </w:tcMar>
          </w:tcPr>
          <w:p w14:paraId="297676C4" w14:textId="77777777" w:rsidR="00D16027" w:rsidRDefault="00D16027"/>
        </w:tc>
        <w:tc>
          <w:tcPr>
            <w:tcW w:w="2800" w:type="dxa"/>
            <w:tcMar>
              <w:top w:w="70" w:type="dxa"/>
              <w:left w:w="100" w:type="dxa"/>
              <w:bottom w:w="70" w:type="dxa"/>
              <w:right w:w="100" w:type="dxa"/>
            </w:tcMar>
          </w:tcPr>
          <w:p w14:paraId="40B6F8C5" w14:textId="77777777" w:rsidR="00D16027" w:rsidRDefault="00D16027"/>
        </w:tc>
        <w:tc>
          <w:tcPr>
            <w:tcW w:w="2800" w:type="dxa"/>
            <w:tcMar>
              <w:top w:w="70" w:type="dxa"/>
              <w:left w:w="100" w:type="dxa"/>
              <w:bottom w:w="70" w:type="dxa"/>
              <w:right w:w="100" w:type="dxa"/>
            </w:tcMar>
          </w:tcPr>
          <w:p w14:paraId="467286EA" w14:textId="77777777" w:rsidR="00D16027" w:rsidRDefault="00D16027"/>
        </w:tc>
        <w:tc>
          <w:tcPr>
            <w:tcW w:w="1186" w:type="dxa"/>
            <w:tcMar>
              <w:top w:w="70" w:type="dxa"/>
              <w:left w:w="100" w:type="dxa"/>
              <w:bottom w:w="70" w:type="dxa"/>
              <w:right w:w="100" w:type="dxa"/>
            </w:tcMar>
          </w:tcPr>
          <w:p w14:paraId="32AEA7AF" w14:textId="77777777" w:rsidR="00D16027" w:rsidRDefault="00D16027"/>
        </w:tc>
      </w:tr>
      <w:tr w:rsidR="00D16027" w14:paraId="052BF3F8" w14:textId="77777777">
        <w:tblPrEx>
          <w:tblCellMar>
            <w:top w:w="0" w:type="dxa"/>
            <w:bottom w:w="0" w:type="dxa"/>
          </w:tblCellMar>
        </w:tblPrEx>
        <w:trPr>
          <w:cantSplit/>
        </w:trPr>
        <w:tc>
          <w:tcPr>
            <w:tcW w:w="2600" w:type="dxa"/>
            <w:tcMar>
              <w:top w:w="70" w:type="dxa"/>
              <w:left w:w="100" w:type="dxa"/>
              <w:bottom w:w="70" w:type="dxa"/>
              <w:right w:w="100" w:type="dxa"/>
            </w:tcMar>
          </w:tcPr>
          <w:p w14:paraId="191FAA9B" w14:textId="77777777" w:rsidR="00D16027" w:rsidRDefault="00D16027"/>
        </w:tc>
        <w:tc>
          <w:tcPr>
            <w:tcW w:w="2800" w:type="dxa"/>
            <w:tcMar>
              <w:top w:w="70" w:type="dxa"/>
              <w:left w:w="100" w:type="dxa"/>
              <w:bottom w:w="70" w:type="dxa"/>
              <w:right w:w="100" w:type="dxa"/>
            </w:tcMar>
          </w:tcPr>
          <w:p w14:paraId="6EE0C80F" w14:textId="77777777" w:rsidR="00D16027" w:rsidRDefault="00D16027"/>
        </w:tc>
        <w:tc>
          <w:tcPr>
            <w:tcW w:w="2800" w:type="dxa"/>
            <w:tcMar>
              <w:top w:w="70" w:type="dxa"/>
              <w:left w:w="100" w:type="dxa"/>
              <w:bottom w:w="70" w:type="dxa"/>
              <w:right w:w="100" w:type="dxa"/>
            </w:tcMar>
          </w:tcPr>
          <w:p w14:paraId="4067D9CA" w14:textId="77777777" w:rsidR="00D16027" w:rsidRDefault="00D16027"/>
        </w:tc>
        <w:tc>
          <w:tcPr>
            <w:tcW w:w="1186" w:type="dxa"/>
            <w:tcMar>
              <w:top w:w="70" w:type="dxa"/>
              <w:left w:w="100" w:type="dxa"/>
              <w:bottom w:w="70" w:type="dxa"/>
              <w:right w:w="100" w:type="dxa"/>
            </w:tcMar>
          </w:tcPr>
          <w:p w14:paraId="6B1AFB6A" w14:textId="77777777" w:rsidR="00D16027" w:rsidRDefault="00D16027"/>
        </w:tc>
      </w:tr>
      <w:tr w:rsidR="00D16027" w14:paraId="0DFC67AE" w14:textId="77777777">
        <w:tblPrEx>
          <w:tblCellMar>
            <w:top w:w="0" w:type="dxa"/>
            <w:bottom w:w="0" w:type="dxa"/>
          </w:tblCellMar>
        </w:tblPrEx>
        <w:trPr>
          <w:cantSplit/>
        </w:trPr>
        <w:tc>
          <w:tcPr>
            <w:tcW w:w="2600" w:type="dxa"/>
            <w:tcMar>
              <w:top w:w="70" w:type="dxa"/>
              <w:left w:w="100" w:type="dxa"/>
              <w:bottom w:w="70" w:type="dxa"/>
              <w:right w:w="100" w:type="dxa"/>
            </w:tcMar>
          </w:tcPr>
          <w:p w14:paraId="023B1849" w14:textId="77777777" w:rsidR="00D16027" w:rsidRDefault="00D16027"/>
        </w:tc>
        <w:tc>
          <w:tcPr>
            <w:tcW w:w="2800" w:type="dxa"/>
            <w:tcMar>
              <w:top w:w="70" w:type="dxa"/>
              <w:left w:w="100" w:type="dxa"/>
              <w:bottom w:w="70" w:type="dxa"/>
              <w:right w:w="100" w:type="dxa"/>
            </w:tcMar>
          </w:tcPr>
          <w:p w14:paraId="301F5BEC" w14:textId="77777777" w:rsidR="00D16027" w:rsidRDefault="00D16027"/>
        </w:tc>
        <w:tc>
          <w:tcPr>
            <w:tcW w:w="2800" w:type="dxa"/>
            <w:tcMar>
              <w:top w:w="70" w:type="dxa"/>
              <w:left w:w="100" w:type="dxa"/>
              <w:bottom w:w="70" w:type="dxa"/>
              <w:right w:w="100" w:type="dxa"/>
            </w:tcMar>
          </w:tcPr>
          <w:p w14:paraId="3E163771" w14:textId="77777777" w:rsidR="00D16027" w:rsidRDefault="00D16027"/>
        </w:tc>
        <w:tc>
          <w:tcPr>
            <w:tcW w:w="1186" w:type="dxa"/>
            <w:tcMar>
              <w:top w:w="70" w:type="dxa"/>
              <w:left w:w="100" w:type="dxa"/>
              <w:bottom w:w="70" w:type="dxa"/>
              <w:right w:w="100" w:type="dxa"/>
            </w:tcMar>
          </w:tcPr>
          <w:p w14:paraId="7559B833" w14:textId="77777777" w:rsidR="00D16027" w:rsidRDefault="00D16027"/>
        </w:tc>
      </w:tr>
      <w:tr w:rsidR="00D16027" w14:paraId="12D10028" w14:textId="77777777">
        <w:tblPrEx>
          <w:tblCellMar>
            <w:top w:w="0" w:type="dxa"/>
            <w:bottom w:w="0" w:type="dxa"/>
          </w:tblCellMar>
        </w:tblPrEx>
        <w:trPr>
          <w:cantSplit/>
        </w:trPr>
        <w:tc>
          <w:tcPr>
            <w:tcW w:w="2600" w:type="dxa"/>
            <w:tcMar>
              <w:top w:w="70" w:type="dxa"/>
              <w:left w:w="100" w:type="dxa"/>
              <w:bottom w:w="70" w:type="dxa"/>
              <w:right w:w="100" w:type="dxa"/>
            </w:tcMar>
          </w:tcPr>
          <w:p w14:paraId="27222819" w14:textId="77777777" w:rsidR="00D16027" w:rsidRDefault="00D16027"/>
        </w:tc>
        <w:tc>
          <w:tcPr>
            <w:tcW w:w="2800" w:type="dxa"/>
            <w:tcMar>
              <w:top w:w="70" w:type="dxa"/>
              <w:left w:w="100" w:type="dxa"/>
              <w:bottom w:w="70" w:type="dxa"/>
              <w:right w:w="100" w:type="dxa"/>
            </w:tcMar>
          </w:tcPr>
          <w:p w14:paraId="64690F29" w14:textId="77777777" w:rsidR="00D16027" w:rsidRDefault="00D16027"/>
        </w:tc>
        <w:tc>
          <w:tcPr>
            <w:tcW w:w="2800" w:type="dxa"/>
            <w:tcMar>
              <w:top w:w="70" w:type="dxa"/>
              <w:left w:w="100" w:type="dxa"/>
              <w:bottom w:w="70" w:type="dxa"/>
              <w:right w:w="100" w:type="dxa"/>
            </w:tcMar>
          </w:tcPr>
          <w:p w14:paraId="2D778E0F" w14:textId="77777777" w:rsidR="00D16027" w:rsidRDefault="00D16027"/>
        </w:tc>
        <w:tc>
          <w:tcPr>
            <w:tcW w:w="1186" w:type="dxa"/>
            <w:tcMar>
              <w:top w:w="70" w:type="dxa"/>
              <w:left w:w="100" w:type="dxa"/>
              <w:bottom w:w="70" w:type="dxa"/>
              <w:right w:w="100" w:type="dxa"/>
            </w:tcMar>
          </w:tcPr>
          <w:p w14:paraId="5E919A15" w14:textId="77777777" w:rsidR="00D16027" w:rsidRDefault="00D16027"/>
        </w:tc>
      </w:tr>
    </w:tbl>
    <w:p w14:paraId="76FFC0EA" w14:textId="77777777" w:rsidR="00D16027" w:rsidRDefault="00D16027">
      <w:pPr>
        <w:spacing w:after="120"/>
      </w:pPr>
    </w:p>
    <w:p w14:paraId="4C98CEAA" w14:textId="77777777" w:rsidR="00D16027" w:rsidRDefault="00000000">
      <w:pPr>
        <w:pStyle w:val="Heading2"/>
        <w:keepNext/>
      </w:pPr>
      <w:r>
        <w:lastRenderedPageBreak/>
        <w:t>Part 3: Redesign Planning Template (one per task)</w:t>
      </w:r>
    </w:p>
    <w:p w14:paraId="1D3D1AC3" w14:textId="77777777" w:rsidR="00D16027" w:rsidRDefault="00000000">
      <w:pPr>
        <w:keepNext/>
        <w:spacing w:before="160" w:after="80"/>
      </w:pPr>
      <w:r>
        <w:rPr>
          <w:b/>
          <w:bCs/>
          <w:color w:val="1A4F7A"/>
          <w:sz w:val="20"/>
          <w:szCs w:val="20"/>
        </w:rPr>
        <w:t>A.3  Redesign plan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86"/>
      </w:tblGrid>
      <w:tr w:rsidR="00D16027" w14:paraId="18F38B72" w14:textId="77777777">
        <w:tblPrEx>
          <w:tblCellMar>
            <w:top w:w="0" w:type="dxa"/>
            <w:bottom w:w="0" w:type="dxa"/>
          </w:tblCellMar>
        </w:tblPrEx>
        <w:trPr>
          <w:cantSplit/>
          <w:tblHeader/>
        </w:trPr>
        <w:tc>
          <w:tcPr>
            <w:tcW w:w="4400" w:type="dxa"/>
            <w:shd w:val="clear" w:color="auto" w:fill="2E75B6"/>
            <w:tcMar>
              <w:top w:w="70" w:type="dxa"/>
              <w:left w:w="100" w:type="dxa"/>
              <w:bottom w:w="70" w:type="dxa"/>
              <w:right w:w="100" w:type="dxa"/>
            </w:tcMar>
          </w:tcPr>
          <w:p w14:paraId="4C387DDC" w14:textId="77777777" w:rsidR="00D16027" w:rsidRDefault="00000000">
            <w:r>
              <w:rPr>
                <w:b/>
                <w:bCs/>
                <w:color w:val="FFFFFF"/>
                <w:sz w:val="19"/>
                <w:szCs w:val="19"/>
              </w:rPr>
              <w:t>Field</w:t>
            </w:r>
          </w:p>
        </w:tc>
        <w:tc>
          <w:tcPr>
            <w:tcW w:w="4986" w:type="dxa"/>
            <w:shd w:val="clear" w:color="auto" w:fill="2E75B6"/>
            <w:tcMar>
              <w:top w:w="70" w:type="dxa"/>
              <w:left w:w="100" w:type="dxa"/>
              <w:bottom w:w="70" w:type="dxa"/>
              <w:right w:w="100" w:type="dxa"/>
            </w:tcMar>
          </w:tcPr>
          <w:p w14:paraId="2E4144A7" w14:textId="77777777" w:rsidR="00D16027" w:rsidRDefault="00000000">
            <w:r>
              <w:rPr>
                <w:b/>
                <w:bCs/>
                <w:color w:val="FFFFFF"/>
                <w:sz w:val="19"/>
                <w:szCs w:val="19"/>
              </w:rPr>
              <w:t>Entry</w:t>
            </w:r>
          </w:p>
        </w:tc>
      </w:tr>
      <w:tr w:rsidR="00D16027" w14:paraId="0F08C99C" w14:textId="77777777">
        <w:tblPrEx>
          <w:tblCellMar>
            <w:top w:w="0" w:type="dxa"/>
            <w:bottom w:w="0" w:type="dxa"/>
          </w:tblCellMar>
        </w:tblPrEx>
        <w:trPr>
          <w:cantSplit/>
        </w:trPr>
        <w:tc>
          <w:tcPr>
            <w:tcW w:w="4400" w:type="dxa"/>
            <w:tcMar>
              <w:top w:w="70" w:type="dxa"/>
              <w:left w:w="100" w:type="dxa"/>
              <w:bottom w:w="70" w:type="dxa"/>
              <w:right w:w="100" w:type="dxa"/>
            </w:tcMar>
          </w:tcPr>
          <w:p w14:paraId="5239408C" w14:textId="77777777" w:rsidR="00D16027" w:rsidRDefault="00000000">
            <w:r>
              <w:rPr>
                <w:sz w:val="19"/>
                <w:szCs w:val="19"/>
              </w:rPr>
              <w:t>Task and diagnosis: validity threat (construct-irrelevant variance / under-representation); current position; empirical result</w:t>
            </w:r>
          </w:p>
        </w:tc>
        <w:tc>
          <w:tcPr>
            <w:tcW w:w="4986" w:type="dxa"/>
            <w:tcMar>
              <w:top w:w="70" w:type="dxa"/>
              <w:left w:w="100" w:type="dxa"/>
              <w:bottom w:w="70" w:type="dxa"/>
              <w:right w:w="100" w:type="dxa"/>
            </w:tcMar>
          </w:tcPr>
          <w:p w14:paraId="796E142C" w14:textId="77777777" w:rsidR="00D16027" w:rsidRDefault="00D16027"/>
        </w:tc>
      </w:tr>
      <w:tr w:rsidR="00D16027" w14:paraId="0547C025" w14:textId="77777777">
        <w:tblPrEx>
          <w:tblCellMar>
            <w:top w:w="0" w:type="dxa"/>
            <w:bottom w:w="0" w:type="dxa"/>
          </w:tblCellMar>
        </w:tblPrEx>
        <w:trPr>
          <w:cantSplit/>
        </w:trPr>
        <w:tc>
          <w:tcPr>
            <w:tcW w:w="4400" w:type="dxa"/>
            <w:tcMar>
              <w:top w:w="70" w:type="dxa"/>
              <w:left w:w="100" w:type="dxa"/>
              <w:bottom w:w="70" w:type="dxa"/>
              <w:right w:w="100" w:type="dxa"/>
            </w:tcMar>
          </w:tcPr>
          <w:p w14:paraId="5F2B0F41" w14:textId="77777777" w:rsidR="00D16027" w:rsidRDefault="00000000">
            <w:r>
              <w:rPr>
                <w:sz w:val="19"/>
                <w:szCs w:val="19"/>
              </w:rPr>
              <w:t>Target zone and AIAS level, with one-sentence rationale for students</w:t>
            </w:r>
          </w:p>
        </w:tc>
        <w:tc>
          <w:tcPr>
            <w:tcW w:w="4986" w:type="dxa"/>
            <w:tcMar>
              <w:top w:w="70" w:type="dxa"/>
              <w:left w:w="100" w:type="dxa"/>
              <w:bottom w:w="70" w:type="dxa"/>
              <w:right w:w="100" w:type="dxa"/>
            </w:tcMar>
          </w:tcPr>
          <w:p w14:paraId="11F5298D" w14:textId="77777777" w:rsidR="00D16027" w:rsidRDefault="00D16027"/>
        </w:tc>
      </w:tr>
      <w:tr w:rsidR="00D16027" w14:paraId="07D3A58A" w14:textId="77777777">
        <w:tblPrEx>
          <w:tblCellMar>
            <w:top w:w="0" w:type="dxa"/>
            <w:bottom w:w="0" w:type="dxa"/>
          </w:tblCellMar>
        </w:tblPrEx>
        <w:trPr>
          <w:cantSplit/>
        </w:trPr>
        <w:tc>
          <w:tcPr>
            <w:tcW w:w="4400" w:type="dxa"/>
            <w:tcMar>
              <w:top w:w="70" w:type="dxa"/>
              <w:left w:w="100" w:type="dxa"/>
              <w:bottom w:w="70" w:type="dxa"/>
              <w:right w:w="100" w:type="dxa"/>
            </w:tcMar>
          </w:tcPr>
          <w:p w14:paraId="2CA30E94" w14:textId="77777777" w:rsidR="00D16027" w:rsidRDefault="00000000">
            <w:r>
              <w:rPr>
                <w:sz w:val="19"/>
                <w:szCs w:val="19"/>
              </w:rPr>
              <w:t>Design lever(s): secured conditions / process evidence / context specificity / dialogue / integration</w:t>
            </w:r>
          </w:p>
        </w:tc>
        <w:tc>
          <w:tcPr>
            <w:tcW w:w="4986" w:type="dxa"/>
            <w:tcMar>
              <w:top w:w="70" w:type="dxa"/>
              <w:left w:w="100" w:type="dxa"/>
              <w:bottom w:w="70" w:type="dxa"/>
              <w:right w:w="100" w:type="dxa"/>
            </w:tcMar>
          </w:tcPr>
          <w:p w14:paraId="06731405" w14:textId="77777777" w:rsidR="00D16027" w:rsidRDefault="00D16027"/>
        </w:tc>
      </w:tr>
      <w:tr w:rsidR="00D16027" w14:paraId="6DAD2802" w14:textId="77777777">
        <w:tblPrEx>
          <w:tblCellMar>
            <w:top w:w="0" w:type="dxa"/>
            <w:bottom w:w="0" w:type="dxa"/>
          </w:tblCellMar>
        </w:tblPrEx>
        <w:trPr>
          <w:cantSplit/>
        </w:trPr>
        <w:tc>
          <w:tcPr>
            <w:tcW w:w="4400" w:type="dxa"/>
            <w:tcMar>
              <w:top w:w="70" w:type="dxa"/>
              <w:left w:w="100" w:type="dxa"/>
              <w:bottom w:w="70" w:type="dxa"/>
              <w:right w:w="100" w:type="dxa"/>
            </w:tcMar>
          </w:tcPr>
          <w:p w14:paraId="5D824891" w14:textId="77777777" w:rsidR="00D16027" w:rsidRDefault="00000000">
            <w:r>
              <w:rPr>
                <w:sz w:val="19"/>
                <w:szCs w:val="19"/>
              </w:rPr>
              <w:t>Revised outcome with conditions clause (verb, object, conditions, standard)</w:t>
            </w:r>
          </w:p>
        </w:tc>
        <w:tc>
          <w:tcPr>
            <w:tcW w:w="4986" w:type="dxa"/>
            <w:tcMar>
              <w:top w:w="70" w:type="dxa"/>
              <w:left w:w="100" w:type="dxa"/>
              <w:bottom w:w="70" w:type="dxa"/>
              <w:right w:w="100" w:type="dxa"/>
            </w:tcMar>
          </w:tcPr>
          <w:p w14:paraId="6A26CDAC" w14:textId="77777777" w:rsidR="00D16027" w:rsidRDefault="00D16027"/>
        </w:tc>
      </w:tr>
      <w:tr w:rsidR="00D16027" w14:paraId="0033B9B6" w14:textId="77777777">
        <w:tblPrEx>
          <w:tblCellMar>
            <w:top w:w="0" w:type="dxa"/>
            <w:bottom w:w="0" w:type="dxa"/>
          </w:tblCellMar>
        </w:tblPrEx>
        <w:trPr>
          <w:cantSplit/>
        </w:trPr>
        <w:tc>
          <w:tcPr>
            <w:tcW w:w="4400" w:type="dxa"/>
            <w:tcMar>
              <w:top w:w="70" w:type="dxa"/>
              <w:left w:w="100" w:type="dxa"/>
              <w:bottom w:w="70" w:type="dxa"/>
              <w:right w:w="100" w:type="dxa"/>
            </w:tcMar>
          </w:tcPr>
          <w:p w14:paraId="26E4BD7A" w14:textId="77777777" w:rsidR="00D16027" w:rsidRDefault="00000000">
            <w:r>
              <w:rPr>
                <w:sz w:val="19"/>
                <w:szCs w:val="19"/>
              </w:rPr>
              <w:t>Artefacts required and what is contemporaneous</w:t>
            </w:r>
          </w:p>
        </w:tc>
        <w:tc>
          <w:tcPr>
            <w:tcW w:w="4986" w:type="dxa"/>
            <w:tcMar>
              <w:top w:w="70" w:type="dxa"/>
              <w:left w:w="100" w:type="dxa"/>
              <w:bottom w:w="70" w:type="dxa"/>
              <w:right w:w="100" w:type="dxa"/>
            </w:tcMar>
          </w:tcPr>
          <w:p w14:paraId="3045C8C3" w14:textId="77777777" w:rsidR="00D16027" w:rsidRDefault="00D16027"/>
        </w:tc>
      </w:tr>
      <w:tr w:rsidR="00D16027" w14:paraId="1B91CCC0" w14:textId="77777777">
        <w:tblPrEx>
          <w:tblCellMar>
            <w:top w:w="0" w:type="dxa"/>
            <w:bottom w:w="0" w:type="dxa"/>
          </w:tblCellMar>
        </w:tblPrEx>
        <w:trPr>
          <w:cantSplit/>
        </w:trPr>
        <w:tc>
          <w:tcPr>
            <w:tcW w:w="4400" w:type="dxa"/>
            <w:tcMar>
              <w:top w:w="70" w:type="dxa"/>
              <w:left w:w="100" w:type="dxa"/>
              <w:bottom w:w="70" w:type="dxa"/>
              <w:right w:w="100" w:type="dxa"/>
            </w:tcMar>
          </w:tcPr>
          <w:p w14:paraId="5B681890" w14:textId="77777777" w:rsidR="00D16027" w:rsidRDefault="00000000">
            <w:r>
              <w:rPr>
                <w:sz w:val="19"/>
                <w:szCs w:val="19"/>
              </w:rPr>
              <w:t>Verification: who talks to whom, for how long, sampling policy, recording</w:t>
            </w:r>
          </w:p>
        </w:tc>
        <w:tc>
          <w:tcPr>
            <w:tcW w:w="4986" w:type="dxa"/>
            <w:tcMar>
              <w:top w:w="70" w:type="dxa"/>
              <w:left w:w="100" w:type="dxa"/>
              <w:bottom w:w="70" w:type="dxa"/>
              <w:right w:w="100" w:type="dxa"/>
            </w:tcMar>
          </w:tcPr>
          <w:p w14:paraId="438334EA" w14:textId="77777777" w:rsidR="00D16027" w:rsidRDefault="00D16027"/>
        </w:tc>
      </w:tr>
      <w:tr w:rsidR="00D16027" w14:paraId="1622082A" w14:textId="77777777">
        <w:tblPrEx>
          <w:tblCellMar>
            <w:top w:w="0" w:type="dxa"/>
            <w:bottom w:w="0" w:type="dxa"/>
          </w:tblCellMar>
        </w:tblPrEx>
        <w:trPr>
          <w:cantSplit/>
        </w:trPr>
        <w:tc>
          <w:tcPr>
            <w:tcW w:w="4400" w:type="dxa"/>
            <w:tcMar>
              <w:top w:w="70" w:type="dxa"/>
              <w:left w:w="100" w:type="dxa"/>
              <w:bottom w:w="70" w:type="dxa"/>
              <w:right w:w="100" w:type="dxa"/>
            </w:tcMar>
          </w:tcPr>
          <w:p w14:paraId="4368B020" w14:textId="77777777" w:rsidR="00D16027" w:rsidRDefault="00000000">
            <w:r>
              <w:rPr>
                <w:sz w:val="19"/>
                <w:szCs w:val="19"/>
              </w:rPr>
              <w:t>Equity review (Appendix A, Part 4) completed and attached</w:t>
            </w:r>
          </w:p>
        </w:tc>
        <w:tc>
          <w:tcPr>
            <w:tcW w:w="4986" w:type="dxa"/>
            <w:tcMar>
              <w:top w:w="70" w:type="dxa"/>
              <w:left w:w="100" w:type="dxa"/>
              <w:bottom w:w="70" w:type="dxa"/>
              <w:right w:w="100" w:type="dxa"/>
            </w:tcMar>
          </w:tcPr>
          <w:p w14:paraId="22399551" w14:textId="77777777" w:rsidR="00D16027" w:rsidRDefault="00000000">
            <w:r>
              <w:rPr>
                <w:sz w:val="19"/>
                <w:szCs w:val="19"/>
              </w:rPr>
              <w:t>Yes / No</w:t>
            </w:r>
          </w:p>
        </w:tc>
      </w:tr>
      <w:tr w:rsidR="00D16027" w14:paraId="4198871D" w14:textId="77777777">
        <w:tblPrEx>
          <w:tblCellMar>
            <w:top w:w="0" w:type="dxa"/>
            <w:bottom w:w="0" w:type="dxa"/>
          </w:tblCellMar>
        </w:tblPrEx>
        <w:trPr>
          <w:cantSplit/>
        </w:trPr>
        <w:tc>
          <w:tcPr>
            <w:tcW w:w="4400" w:type="dxa"/>
            <w:tcMar>
              <w:top w:w="70" w:type="dxa"/>
              <w:left w:w="100" w:type="dxa"/>
              <w:bottom w:w="70" w:type="dxa"/>
              <w:right w:w="100" w:type="dxa"/>
            </w:tcMar>
          </w:tcPr>
          <w:p w14:paraId="329FEE87" w14:textId="77777777" w:rsidR="00D16027" w:rsidRDefault="00000000">
            <w:r>
              <w:rPr>
                <w:sz w:val="19"/>
                <w:szCs w:val="19"/>
              </w:rPr>
              <w:t>Student workload before and after (hours)</w:t>
            </w:r>
          </w:p>
        </w:tc>
        <w:tc>
          <w:tcPr>
            <w:tcW w:w="4986" w:type="dxa"/>
            <w:tcMar>
              <w:top w:w="70" w:type="dxa"/>
              <w:left w:w="100" w:type="dxa"/>
              <w:bottom w:w="70" w:type="dxa"/>
              <w:right w:w="100" w:type="dxa"/>
            </w:tcMar>
          </w:tcPr>
          <w:p w14:paraId="3C8E7E85" w14:textId="77777777" w:rsidR="00D16027" w:rsidRDefault="00000000">
            <w:r>
              <w:rPr>
                <w:sz w:val="19"/>
                <w:szCs w:val="19"/>
              </w:rPr>
              <w:t>Before: ___   After: ___</w:t>
            </w:r>
          </w:p>
        </w:tc>
      </w:tr>
      <w:tr w:rsidR="00D16027" w14:paraId="2229CF53" w14:textId="77777777">
        <w:tblPrEx>
          <w:tblCellMar>
            <w:top w:w="0" w:type="dxa"/>
            <w:bottom w:w="0" w:type="dxa"/>
          </w:tblCellMar>
        </w:tblPrEx>
        <w:trPr>
          <w:cantSplit/>
        </w:trPr>
        <w:tc>
          <w:tcPr>
            <w:tcW w:w="4400" w:type="dxa"/>
            <w:tcMar>
              <w:top w:w="70" w:type="dxa"/>
              <w:left w:w="100" w:type="dxa"/>
              <w:bottom w:w="70" w:type="dxa"/>
              <w:right w:w="100" w:type="dxa"/>
            </w:tcMar>
          </w:tcPr>
          <w:p w14:paraId="1384325D" w14:textId="77777777" w:rsidR="00D16027" w:rsidRDefault="00000000">
            <w:r>
              <w:rPr>
                <w:sz w:val="19"/>
                <w:szCs w:val="19"/>
              </w:rPr>
              <w:t>Staff workload before and after (setting, marking, conversations, moderation; hours)</w:t>
            </w:r>
          </w:p>
        </w:tc>
        <w:tc>
          <w:tcPr>
            <w:tcW w:w="4986" w:type="dxa"/>
            <w:tcMar>
              <w:top w:w="70" w:type="dxa"/>
              <w:left w:w="100" w:type="dxa"/>
              <w:bottom w:w="70" w:type="dxa"/>
              <w:right w:w="100" w:type="dxa"/>
            </w:tcMar>
          </w:tcPr>
          <w:p w14:paraId="518CD08F" w14:textId="77777777" w:rsidR="00D16027" w:rsidRDefault="00000000">
            <w:r>
              <w:rPr>
                <w:sz w:val="19"/>
                <w:szCs w:val="19"/>
              </w:rPr>
              <w:t>Before: ___   After year 1: ___   After steady state: ___</w:t>
            </w:r>
          </w:p>
        </w:tc>
      </w:tr>
      <w:tr w:rsidR="00D16027" w14:paraId="1062DBA3" w14:textId="77777777">
        <w:tblPrEx>
          <w:tblCellMar>
            <w:top w:w="0" w:type="dxa"/>
            <w:bottom w:w="0" w:type="dxa"/>
          </w:tblCellMar>
        </w:tblPrEx>
        <w:trPr>
          <w:cantSplit/>
        </w:trPr>
        <w:tc>
          <w:tcPr>
            <w:tcW w:w="4400" w:type="dxa"/>
            <w:tcMar>
              <w:top w:w="70" w:type="dxa"/>
              <w:left w:w="100" w:type="dxa"/>
              <w:bottom w:w="70" w:type="dxa"/>
              <w:right w:w="100" w:type="dxa"/>
            </w:tcMar>
          </w:tcPr>
          <w:p w14:paraId="390360AB" w14:textId="77777777" w:rsidR="00D16027" w:rsidRDefault="00000000">
            <w:r>
              <w:rPr>
                <w:sz w:val="19"/>
                <w:szCs w:val="19"/>
              </w:rPr>
              <w:t>What is removed</w:t>
            </w:r>
          </w:p>
        </w:tc>
        <w:tc>
          <w:tcPr>
            <w:tcW w:w="4986" w:type="dxa"/>
            <w:tcMar>
              <w:top w:w="70" w:type="dxa"/>
              <w:left w:w="100" w:type="dxa"/>
              <w:bottom w:w="70" w:type="dxa"/>
              <w:right w:w="100" w:type="dxa"/>
            </w:tcMar>
          </w:tcPr>
          <w:p w14:paraId="51A05ED4" w14:textId="77777777" w:rsidR="00D16027" w:rsidRDefault="00D16027"/>
        </w:tc>
      </w:tr>
      <w:tr w:rsidR="00D16027" w14:paraId="41066985" w14:textId="77777777">
        <w:tblPrEx>
          <w:tblCellMar>
            <w:top w:w="0" w:type="dxa"/>
            <w:bottom w:w="0" w:type="dxa"/>
          </w:tblCellMar>
        </w:tblPrEx>
        <w:trPr>
          <w:cantSplit/>
        </w:trPr>
        <w:tc>
          <w:tcPr>
            <w:tcW w:w="4400" w:type="dxa"/>
            <w:tcMar>
              <w:top w:w="70" w:type="dxa"/>
              <w:left w:w="100" w:type="dxa"/>
              <w:bottom w:w="70" w:type="dxa"/>
              <w:right w:w="100" w:type="dxa"/>
            </w:tcMar>
          </w:tcPr>
          <w:p w14:paraId="3B90AFEA" w14:textId="77777777" w:rsidR="00D16027" w:rsidRDefault="00000000">
            <w:r>
              <w:rPr>
                <w:sz w:val="19"/>
                <w:szCs w:val="19"/>
              </w:rPr>
              <w:t>Standardisation and moderation: criteria, exemplars, sampling, second marking</w:t>
            </w:r>
          </w:p>
        </w:tc>
        <w:tc>
          <w:tcPr>
            <w:tcW w:w="4986" w:type="dxa"/>
            <w:tcMar>
              <w:top w:w="70" w:type="dxa"/>
              <w:left w:w="100" w:type="dxa"/>
              <w:bottom w:w="70" w:type="dxa"/>
              <w:right w:w="100" w:type="dxa"/>
            </w:tcMar>
          </w:tcPr>
          <w:p w14:paraId="38B98A96" w14:textId="77777777" w:rsidR="00D16027" w:rsidRDefault="00D16027"/>
        </w:tc>
      </w:tr>
      <w:tr w:rsidR="00D16027" w14:paraId="77D56096" w14:textId="77777777">
        <w:tblPrEx>
          <w:tblCellMar>
            <w:top w:w="0" w:type="dxa"/>
            <w:bottom w:w="0" w:type="dxa"/>
          </w:tblCellMar>
        </w:tblPrEx>
        <w:trPr>
          <w:cantSplit/>
        </w:trPr>
        <w:tc>
          <w:tcPr>
            <w:tcW w:w="4400" w:type="dxa"/>
            <w:tcMar>
              <w:top w:w="70" w:type="dxa"/>
              <w:left w:w="100" w:type="dxa"/>
              <w:bottom w:w="70" w:type="dxa"/>
              <w:right w:w="100" w:type="dxa"/>
            </w:tcMar>
          </w:tcPr>
          <w:p w14:paraId="2E0AE2AB" w14:textId="77777777" w:rsidR="00D16027" w:rsidRDefault="00000000">
            <w:r>
              <w:rPr>
                <w:sz w:val="19"/>
                <w:szCs w:val="19"/>
              </w:rPr>
              <w:t>Approval route (minor / major), timeline, external examiner notification, student communication</w:t>
            </w:r>
          </w:p>
        </w:tc>
        <w:tc>
          <w:tcPr>
            <w:tcW w:w="4986" w:type="dxa"/>
            <w:tcMar>
              <w:top w:w="70" w:type="dxa"/>
              <w:left w:w="100" w:type="dxa"/>
              <w:bottom w:w="70" w:type="dxa"/>
              <w:right w:w="100" w:type="dxa"/>
            </w:tcMar>
          </w:tcPr>
          <w:p w14:paraId="72A67B4E" w14:textId="77777777" w:rsidR="00D16027" w:rsidRDefault="00D16027"/>
        </w:tc>
      </w:tr>
      <w:tr w:rsidR="00D16027" w14:paraId="332F95E6" w14:textId="77777777">
        <w:tblPrEx>
          <w:tblCellMar>
            <w:top w:w="0" w:type="dxa"/>
            <w:bottom w:w="0" w:type="dxa"/>
          </w:tblCellMar>
        </w:tblPrEx>
        <w:trPr>
          <w:cantSplit/>
        </w:trPr>
        <w:tc>
          <w:tcPr>
            <w:tcW w:w="4400" w:type="dxa"/>
            <w:tcMar>
              <w:top w:w="70" w:type="dxa"/>
              <w:left w:w="100" w:type="dxa"/>
              <w:bottom w:w="70" w:type="dxa"/>
              <w:right w:w="100" w:type="dxa"/>
            </w:tcMar>
          </w:tcPr>
          <w:p w14:paraId="4FE74112" w14:textId="77777777" w:rsidR="00D16027" w:rsidRDefault="00000000">
            <w:r>
              <w:rPr>
                <w:sz w:val="19"/>
                <w:szCs w:val="19"/>
              </w:rPr>
              <w:t>Owner</w:t>
            </w:r>
          </w:p>
        </w:tc>
        <w:tc>
          <w:tcPr>
            <w:tcW w:w="4986" w:type="dxa"/>
            <w:tcMar>
              <w:top w:w="70" w:type="dxa"/>
              <w:left w:w="100" w:type="dxa"/>
              <w:bottom w:w="70" w:type="dxa"/>
              <w:right w:w="100" w:type="dxa"/>
            </w:tcMar>
          </w:tcPr>
          <w:p w14:paraId="75B81CA3" w14:textId="77777777" w:rsidR="00D16027" w:rsidRDefault="00D16027"/>
        </w:tc>
      </w:tr>
      <w:tr w:rsidR="00D16027" w14:paraId="62251929" w14:textId="77777777">
        <w:tblPrEx>
          <w:tblCellMar>
            <w:top w:w="0" w:type="dxa"/>
            <w:bottom w:w="0" w:type="dxa"/>
          </w:tblCellMar>
        </w:tblPrEx>
        <w:trPr>
          <w:cantSplit/>
        </w:trPr>
        <w:tc>
          <w:tcPr>
            <w:tcW w:w="4400" w:type="dxa"/>
            <w:tcMar>
              <w:top w:w="70" w:type="dxa"/>
              <w:left w:w="100" w:type="dxa"/>
              <w:bottom w:w="70" w:type="dxa"/>
              <w:right w:w="100" w:type="dxa"/>
            </w:tcMar>
          </w:tcPr>
          <w:p w14:paraId="4396559F" w14:textId="77777777" w:rsidR="00D16027" w:rsidRDefault="00000000">
            <w:r>
              <w:rPr>
                <w:sz w:val="19"/>
                <w:szCs w:val="19"/>
              </w:rPr>
              <w:t>Evaluation measures after first cycle: AI test result; mark distribution; conversation outcomes; student feedback; cases; staff time</w:t>
            </w:r>
          </w:p>
        </w:tc>
        <w:tc>
          <w:tcPr>
            <w:tcW w:w="4986" w:type="dxa"/>
            <w:tcMar>
              <w:top w:w="70" w:type="dxa"/>
              <w:left w:w="100" w:type="dxa"/>
              <w:bottom w:w="70" w:type="dxa"/>
              <w:right w:w="100" w:type="dxa"/>
            </w:tcMar>
          </w:tcPr>
          <w:p w14:paraId="795F9005" w14:textId="77777777" w:rsidR="00D16027" w:rsidRDefault="00D16027"/>
        </w:tc>
      </w:tr>
    </w:tbl>
    <w:p w14:paraId="444311C9" w14:textId="77777777" w:rsidR="00D16027" w:rsidRDefault="00D16027">
      <w:pPr>
        <w:spacing w:after="120"/>
      </w:pPr>
    </w:p>
    <w:p w14:paraId="5C0E2854" w14:textId="77777777" w:rsidR="00D16027" w:rsidRDefault="00000000">
      <w:pPr>
        <w:pStyle w:val="Heading2"/>
        <w:keepNext/>
      </w:pPr>
      <w:r>
        <w:t>Part 4: Equity review</w:t>
      </w:r>
    </w:p>
    <w:p w14:paraId="262E1654" w14:textId="77777777" w:rsidR="00D16027" w:rsidRDefault="00000000">
      <w:pPr>
        <w:keepNext/>
        <w:spacing w:before="160" w:after="80"/>
      </w:pPr>
      <w:r>
        <w:rPr>
          <w:b/>
          <w:bCs/>
          <w:color w:val="1A4F7A"/>
          <w:sz w:val="20"/>
          <w:szCs w:val="20"/>
        </w:rPr>
        <w:t>A.4  Equity review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600"/>
        <w:gridCol w:w="3186"/>
      </w:tblGrid>
      <w:tr w:rsidR="00D16027" w14:paraId="66F93196" w14:textId="77777777">
        <w:tblPrEx>
          <w:tblCellMar>
            <w:top w:w="0" w:type="dxa"/>
            <w:bottom w:w="0" w:type="dxa"/>
          </w:tblCellMar>
        </w:tblPrEx>
        <w:trPr>
          <w:cantSplit/>
          <w:tblHeader/>
        </w:trPr>
        <w:tc>
          <w:tcPr>
            <w:tcW w:w="1600" w:type="dxa"/>
            <w:shd w:val="clear" w:color="auto" w:fill="2E75B6"/>
            <w:tcMar>
              <w:top w:w="70" w:type="dxa"/>
              <w:left w:w="100" w:type="dxa"/>
              <w:bottom w:w="70" w:type="dxa"/>
              <w:right w:w="100" w:type="dxa"/>
            </w:tcMar>
          </w:tcPr>
          <w:p w14:paraId="511B5900" w14:textId="77777777" w:rsidR="00D16027" w:rsidRDefault="00000000">
            <w:r>
              <w:rPr>
                <w:b/>
                <w:bCs/>
                <w:color w:val="FFFFFF"/>
                <w:sz w:val="19"/>
                <w:szCs w:val="19"/>
              </w:rPr>
              <w:t>Dimension</w:t>
            </w:r>
          </w:p>
        </w:tc>
        <w:tc>
          <w:tcPr>
            <w:tcW w:w="4600" w:type="dxa"/>
            <w:shd w:val="clear" w:color="auto" w:fill="2E75B6"/>
            <w:tcMar>
              <w:top w:w="70" w:type="dxa"/>
              <w:left w:w="100" w:type="dxa"/>
              <w:bottom w:w="70" w:type="dxa"/>
              <w:right w:w="100" w:type="dxa"/>
            </w:tcMar>
          </w:tcPr>
          <w:p w14:paraId="21322F97" w14:textId="77777777" w:rsidR="00D16027" w:rsidRDefault="00000000">
            <w:r>
              <w:rPr>
                <w:b/>
                <w:bCs/>
                <w:color w:val="FFFFFF"/>
                <w:sz w:val="19"/>
                <w:szCs w:val="19"/>
              </w:rPr>
              <w:t>Questions</w:t>
            </w:r>
          </w:p>
        </w:tc>
        <w:tc>
          <w:tcPr>
            <w:tcW w:w="3186" w:type="dxa"/>
            <w:shd w:val="clear" w:color="auto" w:fill="2E75B6"/>
            <w:tcMar>
              <w:top w:w="70" w:type="dxa"/>
              <w:left w:w="100" w:type="dxa"/>
              <w:bottom w:w="70" w:type="dxa"/>
              <w:right w:w="100" w:type="dxa"/>
            </w:tcMar>
          </w:tcPr>
          <w:p w14:paraId="1D587E7D" w14:textId="77777777" w:rsidR="00D16027" w:rsidRDefault="00000000">
            <w:r>
              <w:rPr>
                <w:b/>
                <w:bCs/>
                <w:color w:val="FFFFFF"/>
                <w:sz w:val="19"/>
                <w:szCs w:val="19"/>
              </w:rPr>
              <w:t>Response and action</w:t>
            </w:r>
          </w:p>
        </w:tc>
      </w:tr>
      <w:tr w:rsidR="00D16027" w14:paraId="284AD84A" w14:textId="77777777">
        <w:tblPrEx>
          <w:tblCellMar>
            <w:top w:w="0" w:type="dxa"/>
            <w:bottom w:w="0" w:type="dxa"/>
          </w:tblCellMar>
        </w:tblPrEx>
        <w:trPr>
          <w:cantSplit/>
        </w:trPr>
        <w:tc>
          <w:tcPr>
            <w:tcW w:w="1600" w:type="dxa"/>
            <w:tcMar>
              <w:top w:w="70" w:type="dxa"/>
              <w:left w:w="100" w:type="dxa"/>
              <w:bottom w:w="70" w:type="dxa"/>
              <w:right w:w="100" w:type="dxa"/>
            </w:tcMar>
          </w:tcPr>
          <w:p w14:paraId="00F03FD5" w14:textId="77777777" w:rsidR="00D16027" w:rsidRDefault="00000000">
            <w:r>
              <w:rPr>
                <w:sz w:val="19"/>
                <w:szCs w:val="19"/>
              </w:rPr>
              <w:t>Access</w:t>
            </w:r>
          </w:p>
        </w:tc>
        <w:tc>
          <w:tcPr>
            <w:tcW w:w="4600" w:type="dxa"/>
            <w:tcMar>
              <w:top w:w="70" w:type="dxa"/>
              <w:left w:w="100" w:type="dxa"/>
              <w:bottom w:w="70" w:type="dxa"/>
              <w:right w:w="100" w:type="dxa"/>
            </w:tcMar>
          </w:tcPr>
          <w:p w14:paraId="1BCD76EB" w14:textId="77777777" w:rsidR="00D16027" w:rsidRDefault="00000000">
            <w:r>
              <w:rPr>
                <w:sz w:val="19"/>
                <w:szCs w:val="19"/>
              </w:rPr>
              <w:t>Required, permitted or excluded AI? Tool provided if required? Free tier assumed if permitted? Exclusion secured by conditions?</w:t>
            </w:r>
          </w:p>
        </w:tc>
        <w:tc>
          <w:tcPr>
            <w:tcW w:w="3186" w:type="dxa"/>
            <w:tcMar>
              <w:top w:w="70" w:type="dxa"/>
              <w:left w:w="100" w:type="dxa"/>
              <w:bottom w:w="70" w:type="dxa"/>
              <w:right w:w="100" w:type="dxa"/>
            </w:tcMar>
          </w:tcPr>
          <w:p w14:paraId="3457D31D" w14:textId="77777777" w:rsidR="00D16027" w:rsidRDefault="00D16027"/>
        </w:tc>
      </w:tr>
      <w:tr w:rsidR="00D16027" w14:paraId="1ECAA329" w14:textId="77777777">
        <w:tblPrEx>
          <w:tblCellMar>
            <w:top w:w="0" w:type="dxa"/>
            <w:bottom w:w="0" w:type="dxa"/>
          </w:tblCellMar>
        </w:tblPrEx>
        <w:trPr>
          <w:cantSplit/>
        </w:trPr>
        <w:tc>
          <w:tcPr>
            <w:tcW w:w="1600" w:type="dxa"/>
            <w:tcMar>
              <w:top w:w="70" w:type="dxa"/>
              <w:left w:w="100" w:type="dxa"/>
              <w:bottom w:w="70" w:type="dxa"/>
              <w:right w:w="100" w:type="dxa"/>
            </w:tcMar>
          </w:tcPr>
          <w:p w14:paraId="5A585B6C" w14:textId="77777777" w:rsidR="00D16027" w:rsidRDefault="00000000">
            <w:r>
              <w:rPr>
                <w:sz w:val="19"/>
                <w:szCs w:val="19"/>
              </w:rPr>
              <w:t>AI literacy</w:t>
            </w:r>
          </w:p>
        </w:tc>
        <w:tc>
          <w:tcPr>
            <w:tcW w:w="4600" w:type="dxa"/>
            <w:tcMar>
              <w:top w:w="70" w:type="dxa"/>
              <w:left w:w="100" w:type="dxa"/>
              <w:bottom w:w="70" w:type="dxa"/>
              <w:right w:w="100" w:type="dxa"/>
            </w:tcMar>
          </w:tcPr>
          <w:p w14:paraId="0AB819D6" w14:textId="77777777" w:rsidR="00D16027" w:rsidRDefault="00000000">
            <w:r>
              <w:rPr>
                <w:sz w:val="19"/>
                <w:szCs w:val="19"/>
              </w:rPr>
              <w:t>Has the assumed capability been taught formatively to every student? Where?</w:t>
            </w:r>
          </w:p>
        </w:tc>
        <w:tc>
          <w:tcPr>
            <w:tcW w:w="3186" w:type="dxa"/>
            <w:tcMar>
              <w:top w:w="70" w:type="dxa"/>
              <w:left w:w="100" w:type="dxa"/>
              <w:bottom w:w="70" w:type="dxa"/>
              <w:right w:w="100" w:type="dxa"/>
            </w:tcMar>
          </w:tcPr>
          <w:p w14:paraId="53C3EF92" w14:textId="77777777" w:rsidR="00D16027" w:rsidRDefault="00D16027"/>
        </w:tc>
      </w:tr>
      <w:tr w:rsidR="00D16027" w14:paraId="61D6972F" w14:textId="77777777">
        <w:tblPrEx>
          <w:tblCellMar>
            <w:top w:w="0" w:type="dxa"/>
            <w:bottom w:w="0" w:type="dxa"/>
          </w:tblCellMar>
        </w:tblPrEx>
        <w:trPr>
          <w:cantSplit/>
        </w:trPr>
        <w:tc>
          <w:tcPr>
            <w:tcW w:w="1600" w:type="dxa"/>
            <w:tcMar>
              <w:top w:w="70" w:type="dxa"/>
              <w:left w:w="100" w:type="dxa"/>
              <w:bottom w:w="70" w:type="dxa"/>
              <w:right w:w="100" w:type="dxa"/>
            </w:tcMar>
          </w:tcPr>
          <w:p w14:paraId="5EE21DAE" w14:textId="77777777" w:rsidR="00D16027" w:rsidRDefault="00000000">
            <w:r>
              <w:rPr>
                <w:sz w:val="19"/>
                <w:szCs w:val="19"/>
              </w:rPr>
              <w:t>Language</w:t>
            </w:r>
          </w:p>
        </w:tc>
        <w:tc>
          <w:tcPr>
            <w:tcW w:w="4600" w:type="dxa"/>
            <w:tcMar>
              <w:top w:w="70" w:type="dxa"/>
              <w:left w:w="100" w:type="dxa"/>
              <w:bottom w:w="70" w:type="dxa"/>
              <w:right w:w="100" w:type="dxa"/>
            </w:tcMar>
          </w:tcPr>
          <w:p w14:paraId="2399887C" w14:textId="77777777" w:rsidR="00D16027" w:rsidRDefault="00000000">
            <w:r>
              <w:rPr>
                <w:sz w:val="19"/>
                <w:szCs w:val="19"/>
              </w:rPr>
              <w:t>Language-assistance line stated with examples? Detector scores excluded from decisions? AI-assisted marking checked by language background?</w:t>
            </w:r>
          </w:p>
        </w:tc>
        <w:tc>
          <w:tcPr>
            <w:tcW w:w="3186" w:type="dxa"/>
            <w:tcMar>
              <w:top w:w="70" w:type="dxa"/>
              <w:left w:w="100" w:type="dxa"/>
              <w:bottom w:w="70" w:type="dxa"/>
              <w:right w:w="100" w:type="dxa"/>
            </w:tcMar>
          </w:tcPr>
          <w:p w14:paraId="5415C294" w14:textId="77777777" w:rsidR="00D16027" w:rsidRDefault="00D16027"/>
        </w:tc>
      </w:tr>
      <w:tr w:rsidR="00D16027" w14:paraId="4C6BD0FA" w14:textId="77777777">
        <w:tblPrEx>
          <w:tblCellMar>
            <w:top w:w="0" w:type="dxa"/>
            <w:bottom w:w="0" w:type="dxa"/>
          </w:tblCellMar>
        </w:tblPrEx>
        <w:trPr>
          <w:cantSplit/>
        </w:trPr>
        <w:tc>
          <w:tcPr>
            <w:tcW w:w="1600" w:type="dxa"/>
            <w:tcMar>
              <w:top w:w="70" w:type="dxa"/>
              <w:left w:w="100" w:type="dxa"/>
              <w:bottom w:w="70" w:type="dxa"/>
              <w:right w:w="100" w:type="dxa"/>
            </w:tcMar>
          </w:tcPr>
          <w:p w14:paraId="0072C3BD" w14:textId="77777777" w:rsidR="00D16027" w:rsidRDefault="00000000">
            <w:r>
              <w:rPr>
                <w:sz w:val="19"/>
                <w:szCs w:val="19"/>
              </w:rPr>
              <w:t>Disability</w:t>
            </w:r>
          </w:p>
        </w:tc>
        <w:tc>
          <w:tcPr>
            <w:tcW w:w="4600" w:type="dxa"/>
            <w:tcMar>
              <w:top w:w="70" w:type="dxa"/>
              <w:left w:w="100" w:type="dxa"/>
              <w:bottom w:w="70" w:type="dxa"/>
              <w:right w:w="100" w:type="dxa"/>
            </w:tcMar>
          </w:tcPr>
          <w:p w14:paraId="4DCBDF15" w14:textId="77777777" w:rsidR="00D16027" w:rsidRDefault="00000000">
            <w:r>
              <w:rPr>
                <w:sz w:val="19"/>
                <w:szCs w:val="19"/>
              </w:rPr>
              <w:t>Adjustments for the format pre-planned? Assistive use recognised? Alternatives preserve the evidence?</w:t>
            </w:r>
          </w:p>
        </w:tc>
        <w:tc>
          <w:tcPr>
            <w:tcW w:w="3186" w:type="dxa"/>
            <w:tcMar>
              <w:top w:w="70" w:type="dxa"/>
              <w:left w:w="100" w:type="dxa"/>
              <w:bottom w:w="70" w:type="dxa"/>
              <w:right w:w="100" w:type="dxa"/>
            </w:tcMar>
          </w:tcPr>
          <w:p w14:paraId="213A1607" w14:textId="77777777" w:rsidR="00D16027" w:rsidRDefault="00D16027"/>
        </w:tc>
      </w:tr>
      <w:tr w:rsidR="00D16027" w14:paraId="25D34C23" w14:textId="77777777">
        <w:tblPrEx>
          <w:tblCellMar>
            <w:top w:w="0" w:type="dxa"/>
            <w:bottom w:w="0" w:type="dxa"/>
          </w:tblCellMar>
        </w:tblPrEx>
        <w:trPr>
          <w:cantSplit/>
        </w:trPr>
        <w:tc>
          <w:tcPr>
            <w:tcW w:w="1600" w:type="dxa"/>
            <w:tcMar>
              <w:top w:w="70" w:type="dxa"/>
              <w:left w:w="100" w:type="dxa"/>
              <w:bottom w:w="70" w:type="dxa"/>
              <w:right w:w="100" w:type="dxa"/>
            </w:tcMar>
          </w:tcPr>
          <w:p w14:paraId="5F3CD6C4" w14:textId="77777777" w:rsidR="00D16027" w:rsidRDefault="00000000">
            <w:r>
              <w:rPr>
                <w:sz w:val="19"/>
                <w:szCs w:val="19"/>
              </w:rPr>
              <w:lastRenderedPageBreak/>
              <w:t>Side-effects</w:t>
            </w:r>
          </w:p>
        </w:tc>
        <w:tc>
          <w:tcPr>
            <w:tcW w:w="4600" w:type="dxa"/>
            <w:tcMar>
              <w:top w:w="70" w:type="dxa"/>
              <w:left w:w="100" w:type="dxa"/>
              <w:bottom w:w="70" w:type="dxa"/>
              <w:right w:w="100" w:type="dxa"/>
            </w:tcMar>
          </w:tcPr>
          <w:p w14:paraId="3C081623" w14:textId="77777777" w:rsidR="00D16027" w:rsidRDefault="00000000">
            <w:r>
              <w:rPr>
                <w:sz w:val="19"/>
                <w:szCs w:val="19"/>
              </w:rPr>
              <w:t>Who cannot easily do this as designed? Context provided? Choice offered? Resource-poor default?</w:t>
            </w:r>
          </w:p>
        </w:tc>
        <w:tc>
          <w:tcPr>
            <w:tcW w:w="3186" w:type="dxa"/>
            <w:tcMar>
              <w:top w:w="70" w:type="dxa"/>
              <w:left w:w="100" w:type="dxa"/>
              <w:bottom w:w="70" w:type="dxa"/>
              <w:right w:w="100" w:type="dxa"/>
            </w:tcMar>
          </w:tcPr>
          <w:p w14:paraId="1D461D00" w14:textId="77777777" w:rsidR="00D16027" w:rsidRDefault="00D16027"/>
        </w:tc>
      </w:tr>
      <w:tr w:rsidR="00D16027" w14:paraId="24AD986C" w14:textId="77777777">
        <w:tblPrEx>
          <w:tblCellMar>
            <w:top w:w="0" w:type="dxa"/>
            <w:bottom w:w="0" w:type="dxa"/>
          </w:tblCellMar>
        </w:tblPrEx>
        <w:trPr>
          <w:cantSplit/>
        </w:trPr>
        <w:tc>
          <w:tcPr>
            <w:tcW w:w="1600" w:type="dxa"/>
            <w:tcMar>
              <w:top w:w="70" w:type="dxa"/>
              <w:left w:w="100" w:type="dxa"/>
              <w:bottom w:w="70" w:type="dxa"/>
              <w:right w:w="100" w:type="dxa"/>
            </w:tcMar>
          </w:tcPr>
          <w:p w14:paraId="361CAAF7" w14:textId="77777777" w:rsidR="00D16027" w:rsidRDefault="00000000">
            <w:r>
              <w:rPr>
                <w:sz w:val="19"/>
                <w:szCs w:val="19"/>
              </w:rPr>
              <w:t>Monitoring</w:t>
            </w:r>
          </w:p>
        </w:tc>
        <w:tc>
          <w:tcPr>
            <w:tcW w:w="4600" w:type="dxa"/>
            <w:tcMar>
              <w:top w:w="70" w:type="dxa"/>
              <w:left w:w="100" w:type="dxa"/>
              <w:bottom w:w="70" w:type="dxa"/>
              <w:right w:w="100" w:type="dxa"/>
            </w:tcMar>
          </w:tcPr>
          <w:p w14:paraId="04D78DD1" w14:textId="77777777" w:rsidR="00D16027" w:rsidRDefault="00000000">
            <w:r>
              <w:rPr>
                <w:sz w:val="19"/>
                <w:szCs w:val="19"/>
              </w:rPr>
              <w:t>Outcomes monitored by group after first cycle? Who reviews?</w:t>
            </w:r>
          </w:p>
        </w:tc>
        <w:tc>
          <w:tcPr>
            <w:tcW w:w="3186" w:type="dxa"/>
            <w:tcMar>
              <w:top w:w="70" w:type="dxa"/>
              <w:left w:w="100" w:type="dxa"/>
              <w:bottom w:w="70" w:type="dxa"/>
              <w:right w:w="100" w:type="dxa"/>
            </w:tcMar>
          </w:tcPr>
          <w:p w14:paraId="5C68345C" w14:textId="77777777" w:rsidR="00D16027" w:rsidRDefault="00D16027"/>
        </w:tc>
      </w:tr>
    </w:tbl>
    <w:p w14:paraId="32BD2966" w14:textId="77777777" w:rsidR="00D16027" w:rsidRDefault="00D16027">
      <w:pPr>
        <w:spacing w:after="120"/>
      </w:pPr>
    </w:p>
    <w:p w14:paraId="1DE9F072" w14:textId="77777777" w:rsidR="00D16027" w:rsidRDefault="00000000">
      <w:r>
        <w:br w:type="page"/>
      </w:r>
    </w:p>
    <w:p w14:paraId="32B9F658" w14:textId="77777777" w:rsidR="00D16027" w:rsidRDefault="00000000">
      <w:pPr>
        <w:keepNext/>
        <w:spacing w:after="40"/>
      </w:pPr>
      <w:r>
        <w:rPr>
          <w:b/>
          <w:bCs/>
          <w:caps/>
          <w:color w:val="2E75B6"/>
          <w:sz w:val="22"/>
          <w:szCs w:val="22"/>
        </w:rPr>
        <w:lastRenderedPageBreak/>
        <w:t>Appendix B</w:t>
      </w:r>
    </w:p>
    <w:p w14:paraId="232C58E6" w14:textId="77777777" w:rsidR="00D16027" w:rsidRDefault="00000000">
      <w:pPr>
        <w:pStyle w:val="Heading1"/>
        <w:keepNext/>
      </w:pPr>
      <w:r>
        <w:t>Glossary of AI Terms for Educators</w:t>
      </w:r>
    </w:p>
    <w:p w14:paraId="775B3B9B" w14:textId="77777777" w:rsidR="00D16027" w:rsidRDefault="00000000">
      <w:pPr>
        <w:pBdr>
          <w:left w:val="single" w:sz="14" w:space="10" w:color="2E75B6"/>
        </w:pBdr>
        <w:shd w:val="clear" w:color="auto" w:fill="EAF3FB"/>
        <w:spacing w:after="200"/>
      </w:pPr>
      <w:r>
        <w:rPr>
          <w:i/>
          <w:iCs/>
          <w:color w:val="333333"/>
        </w:rPr>
        <w:t>Accessible definitions of the technical terms used in this book, with a note on why each matters for assessment.</w:t>
      </w:r>
    </w:p>
    <w:p w14:paraId="020A912A" w14:textId="77777777" w:rsidR="00D16027" w:rsidRDefault="00000000">
      <w:pPr>
        <w:keepNext/>
        <w:spacing w:before="160" w:after="80"/>
      </w:pPr>
      <w:r>
        <w:rPr>
          <w:b/>
          <w:bCs/>
          <w:color w:val="1A4F7A"/>
          <w:sz w:val="20"/>
          <w:szCs w:val="20"/>
        </w:rPr>
        <w:t>B.1  Glossary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286"/>
      </w:tblGrid>
      <w:tr w:rsidR="00D16027" w14:paraId="6EF6156C" w14:textId="77777777">
        <w:tblPrEx>
          <w:tblCellMar>
            <w:top w:w="0" w:type="dxa"/>
            <w:bottom w:w="0" w:type="dxa"/>
          </w:tblCellMar>
        </w:tblPrEx>
        <w:trPr>
          <w:cantSplit/>
          <w:tblHeader/>
        </w:trPr>
        <w:tc>
          <w:tcPr>
            <w:tcW w:w="2300" w:type="dxa"/>
            <w:shd w:val="clear" w:color="auto" w:fill="2E75B6"/>
            <w:tcMar>
              <w:top w:w="70" w:type="dxa"/>
              <w:left w:w="100" w:type="dxa"/>
              <w:bottom w:w="70" w:type="dxa"/>
              <w:right w:w="100" w:type="dxa"/>
            </w:tcMar>
          </w:tcPr>
          <w:p w14:paraId="6A6FA271" w14:textId="77777777" w:rsidR="00D16027" w:rsidRDefault="00000000">
            <w:r>
              <w:rPr>
                <w:b/>
                <w:bCs/>
                <w:color w:val="FFFFFF"/>
                <w:sz w:val="19"/>
                <w:szCs w:val="19"/>
              </w:rPr>
              <w:t>Term</w:t>
            </w:r>
          </w:p>
        </w:tc>
        <w:tc>
          <w:tcPr>
            <w:tcW w:w="3800" w:type="dxa"/>
            <w:shd w:val="clear" w:color="auto" w:fill="2E75B6"/>
            <w:tcMar>
              <w:top w:w="70" w:type="dxa"/>
              <w:left w:w="100" w:type="dxa"/>
              <w:bottom w:w="70" w:type="dxa"/>
              <w:right w:w="100" w:type="dxa"/>
            </w:tcMar>
          </w:tcPr>
          <w:p w14:paraId="57B7AD02" w14:textId="77777777" w:rsidR="00D16027" w:rsidRDefault="00000000">
            <w:r>
              <w:rPr>
                <w:b/>
                <w:bCs/>
                <w:color w:val="FFFFFF"/>
                <w:sz w:val="19"/>
                <w:szCs w:val="19"/>
              </w:rPr>
              <w:t>Meaning</w:t>
            </w:r>
          </w:p>
        </w:tc>
        <w:tc>
          <w:tcPr>
            <w:tcW w:w="3286" w:type="dxa"/>
            <w:shd w:val="clear" w:color="auto" w:fill="2E75B6"/>
            <w:tcMar>
              <w:top w:w="70" w:type="dxa"/>
              <w:left w:w="100" w:type="dxa"/>
              <w:bottom w:w="70" w:type="dxa"/>
              <w:right w:w="100" w:type="dxa"/>
            </w:tcMar>
          </w:tcPr>
          <w:p w14:paraId="3C74FC0B" w14:textId="77777777" w:rsidR="00D16027" w:rsidRDefault="00000000">
            <w:r>
              <w:rPr>
                <w:b/>
                <w:bCs/>
                <w:color w:val="FFFFFF"/>
                <w:sz w:val="19"/>
                <w:szCs w:val="19"/>
              </w:rPr>
              <w:t>Why it matters for assessment</w:t>
            </w:r>
          </w:p>
        </w:tc>
      </w:tr>
      <w:tr w:rsidR="00D16027" w14:paraId="58B2754B" w14:textId="77777777">
        <w:tblPrEx>
          <w:tblCellMar>
            <w:top w:w="0" w:type="dxa"/>
            <w:bottom w:w="0" w:type="dxa"/>
          </w:tblCellMar>
        </w:tblPrEx>
        <w:trPr>
          <w:cantSplit/>
        </w:trPr>
        <w:tc>
          <w:tcPr>
            <w:tcW w:w="2300" w:type="dxa"/>
            <w:tcMar>
              <w:top w:w="70" w:type="dxa"/>
              <w:left w:w="100" w:type="dxa"/>
              <w:bottom w:w="70" w:type="dxa"/>
              <w:right w:w="100" w:type="dxa"/>
            </w:tcMar>
          </w:tcPr>
          <w:p w14:paraId="71A0D1DC" w14:textId="77777777" w:rsidR="00D16027" w:rsidRDefault="00000000">
            <w:r>
              <w:rPr>
                <w:sz w:val="19"/>
                <w:szCs w:val="19"/>
              </w:rPr>
              <w:t>Agent (agentic AI)</w:t>
            </w:r>
          </w:p>
        </w:tc>
        <w:tc>
          <w:tcPr>
            <w:tcW w:w="3800" w:type="dxa"/>
            <w:tcMar>
              <w:top w:w="70" w:type="dxa"/>
              <w:left w:w="100" w:type="dxa"/>
              <w:bottom w:w="70" w:type="dxa"/>
              <w:right w:w="100" w:type="dxa"/>
            </w:tcMar>
          </w:tcPr>
          <w:p w14:paraId="419FC80D" w14:textId="77777777" w:rsidR="00D16027" w:rsidRDefault="00000000">
            <w:r>
              <w:rPr>
                <w:sz w:val="19"/>
                <w:szCs w:val="19"/>
              </w:rPr>
              <w:t>A system that plans and carries out a multi-step task, using tools and iterating, with minimal human prompting</w:t>
            </w:r>
          </w:p>
        </w:tc>
        <w:tc>
          <w:tcPr>
            <w:tcW w:w="3286" w:type="dxa"/>
            <w:tcMar>
              <w:top w:w="70" w:type="dxa"/>
              <w:left w:w="100" w:type="dxa"/>
              <w:bottom w:w="70" w:type="dxa"/>
              <w:right w:w="100" w:type="dxa"/>
            </w:tcMar>
          </w:tcPr>
          <w:p w14:paraId="29CA808D" w14:textId="77777777" w:rsidR="00D16027" w:rsidRDefault="00000000">
            <w:r>
              <w:rPr>
                <w:sz w:val="19"/>
                <w:szCs w:val="19"/>
              </w:rPr>
              <w:t>Extended projects are no longer resilient because of length; stage them, secure the start, and discuss them</w:t>
            </w:r>
          </w:p>
        </w:tc>
      </w:tr>
      <w:tr w:rsidR="00D16027" w14:paraId="452D6F59" w14:textId="77777777">
        <w:tblPrEx>
          <w:tblCellMar>
            <w:top w:w="0" w:type="dxa"/>
            <w:bottom w:w="0" w:type="dxa"/>
          </w:tblCellMar>
        </w:tblPrEx>
        <w:trPr>
          <w:cantSplit/>
        </w:trPr>
        <w:tc>
          <w:tcPr>
            <w:tcW w:w="2300" w:type="dxa"/>
            <w:tcMar>
              <w:top w:w="70" w:type="dxa"/>
              <w:left w:w="100" w:type="dxa"/>
              <w:bottom w:w="70" w:type="dxa"/>
              <w:right w:w="100" w:type="dxa"/>
            </w:tcMar>
          </w:tcPr>
          <w:p w14:paraId="514A9071" w14:textId="77777777" w:rsidR="00D16027" w:rsidRDefault="00000000">
            <w:r>
              <w:rPr>
                <w:sz w:val="19"/>
                <w:szCs w:val="19"/>
              </w:rPr>
              <w:t>AI Assessment Scale (AIAS)</w:t>
            </w:r>
          </w:p>
        </w:tc>
        <w:tc>
          <w:tcPr>
            <w:tcW w:w="3800" w:type="dxa"/>
            <w:tcMar>
              <w:top w:w="70" w:type="dxa"/>
              <w:left w:w="100" w:type="dxa"/>
              <w:bottom w:w="70" w:type="dxa"/>
              <w:right w:w="100" w:type="dxa"/>
            </w:tcMar>
          </w:tcPr>
          <w:p w14:paraId="349422DB" w14:textId="77777777" w:rsidR="00D16027" w:rsidRDefault="00000000">
            <w:r>
              <w:rPr>
                <w:sz w:val="19"/>
                <w:szCs w:val="19"/>
              </w:rPr>
              <w:t>A five-level framework for stating permitted AI use on a task (Perkins et al. 2024; revised 2025)</w:t>
            </w:r>
          </w:p>
        </w:tc>
        <w:tc>
          <w:tcPr>
            <w:tcW w:w="3286" w:type="dxa"/>
            <w:tcMar>
              <w:top w:w="70" w:type="dxa"/>
              <w:left w:w="100" w:type="dxa"/>
              <w:bottom w:w="70" w:type="dxa"/>
              <w:right w:w="100" w:type="dxa"/>
            </w:tcMar>
          </w:tcPr>
          <w:p w14:paraId="320A034D" w14:textId="77777777" w:rsidR="00D16027" w:rsidRDefault="00000000">
            <w:r>
              <w:rPr>
                <w:sz w:val="19"/>
                <w:szCs w:val="19"/>
              </w:rPr>
              <w:t>The common vocabulary this book recommends for every brief</w:t>
            </w:r>
          </w:p>
        </w:tc>
      </w:tr>
      <w:tr w:rsidR="00D16027" w14:paraId="32BE8B0F" w14:textId="77777777">
        <w:tblPrEx>
          <w:tblCellMar>
            <w:top w:w="0" w:type="dxa"/>
            <w:bottom w:w="0" w:type="dxa"/>
          </w:tblCellMar>
        </w:tblPrEx>
        <w:trPr>
          <w:cantSplit/>
        </w:trPr>
        <w:tc>
          <w:tcPr>
            <w:tcW w:w="2300" w:type="dxa"/>
            <w:tcMar>
              <w:top w:w="70" w:type="dxa"/>
              <w:left w:w="100" w:type="dxa"/>
              <w:bottom w:w="70" w:type="dxa"/>
              <w:right w:w="100" w:type="dxa"/>
            </w:tcMar>
          </w:tcPr>
          <w:p w14:paraId="7B158305" w14:textId="77777777" w:rsidR="00D16027" w:rsidRDefault="00000000">
            <w:r>
              <w:rPr>
                <w:sz w:val="19"/>
                <w:szCs w:val="19"/>
              </w:rPr>
              <w:t>Automated essay scoring (AES)</w:t>
            </w:r>
          </w:p>
        </w:tc>
        <w:tc>
          <w:tcPr>
            <w:tcW w:w="3800" w:type="dxa"/>
            <w:tcMar>
              <w:top w:w="70" w:type="dxa"/>
              <w:left w:w="100" w:type="dxa"/>
              <w:bottom w:w="70" w:type="dxa"/>
              <w:right w:w="100" w:type="dxa"/>
            </w:tcMar>
          </w:tcPr>
          <w:p w14:paraId="035040EB" w14:textId="77777777" w:rsidR="00D16027" w:rsidRDefault="00000000">
            <w:r>
              <w:rPr>
                <w:sz w:val="19"/>
                <w:szCs w:val="19"/>
              </w:rPr>
              <w:t>Software that scores writing using features correlated with human scores</w:t>
            </w:r>
          </w:p>
        </w:tc>
        <w:tc>
          <w:tcPr>
            <w:tcW w:w="3286" w:type="dxa"/>
            <w:tcMar>
              <w:top w:w="70" w:type="dxa"/>
              <w:left w:w="100" w:type="dxa"/>
              <w:bottom w:w="70" w:type="dxa"/>
              <w:right w:w="100" w:type="dxa"/>
            </w:tcMar>
          </w:tcPr>
          <w:p w14:paraId="38D732A4" w14:textId="77777777" w:rsidR="00D16027" w:rsidRDefault="00000000">
            <w:r>
              <w:rPr>
                <w:sz w:val="19"/>
                <w:szCs w:val="19"/>
              </w:rPr>
              <w:t>Reliable but often measuring proxies; historically biased by group</w:t>
            </w:r>
          </w:p>
        </w:tc>
      </w:tr>
      <w:tr w:rsidR="00D16027" w14:paraId="1693586C" w14:textId="77777777">
        <w:tblPrEx>
          <w:tblCellMar>
            <w:top w:w="0" w:type="dxa"/>
            <w:bottom w:w="0" w:type="dxa"/>
          </w:tblCellMar>
        </w:tblPrEx>
        <w:trPr>
          <w:cantSplit/>
        </w:trPr>
        <w:tc>
          <w:tcPr>
            <w:tcW w:w="2300" w:type="dxa"/>
            <w:tcMar>
              <w:top w:w="70" w:type="dxa"/>
              <w:left w:w="100" w:type="dxa"/>
              <w:bottom w:w="70" w:type="dxa"/>
              <w:right w:w="100" w:type="dxa"/>
            </w:tcMar>
          </w:tcPr>
          <w:p w14:paraId="52E981E2" w14:textId="77777777" w:rsidR="00D16027" w:rsidRDefault="00000000">
            <w:r>
              <w:rPr>
                <w:sz w:val="19"/>
                <w:szCs w:val="19"/>
              </w:rPr>
              <w:t>Chain of thought / reasoning model</w:t>
            </w:r>
          </w:p>
        </w:tc>
        <w:tc>
          <w:tcPr>
            <w:tcW w:w="3800" w:type="dxa"/>
            <w:tcMar>
              <w:top w:w="70" w:type="dxa"/>
              <w:left w:w="100" w:type="dxa"/>
              <w:bottom w:w="70" w:type="dxa"/>
              <w:right w:w="100" w:type="dxa"/>
            </w:tcMar>
          </w:tcPr>
          <w:p w14:paraId="6328A739" w14:textId="77777777" w:rsidR="00D16027" w:rsidRDefault="00000000">
            <w:r>
              <w:rPr>
                <w:sz w:val="19"/>
                <w:szCs w:val="19"/>
              </w:rPr>
              <w:t>A model that generates intermediate reasoning steps before answering</w:t>
            </w:r>
          </w:p>
        </w:tc>
        <w:tc>
          <w:tcPr>
            <w:tcW w:w="3286" w:type="dxa"/>
            <w:tcMar>
              <w:top w:w="70" w:type="dxa"/>
              <w:left w:w="100" w:type="dxa"/>
              <w:bottom w:w="70" w:type="dxa"/>
              <w:right w:w="100" w:type="dxa"/>
            </w:tcMar>
          </w:tcPr>
          <w:p w14:paraId="29A413AB" w14:textId="77777777" w:rsidR="00D16027" w:rsidRDefault="00000000">
            <w:r>
              <w:rPr>
                <w:sz w:val="19"/>
                <w:szCs w:val="19"/>
              </w:rPr>
              <w:t>Reduces arithmetic and logic errors that older designs relied on</w:t>
            </w:r>
          </w:p>
        </w:tc>
      </w:tr>
      <w:tr w:rsidR="00D16027" w14:paraId="10C98979" w14:textId="77777777">
        <w:tblPrEx>
          <w:tblCellMar>
            <w:top w:w="0" w:type="dxa"/>
            <w:bottom w:w="0" w:type="dxa"/>
          </w:tblCellMar>
        </w:tblPrEx>
        <w:trPr>
          <w:cantSplit/>
        </w:trPr>
        <w:tc>
          <w:tcPr>
            <w:tcW w:w="2300" w:type="dxa"/>
            <w:tcMar>
              <w:top w:w="70" w:type="dxa"/>
              <w:left w:w="100" w:type="dxa"/>
              <w:bottom w:w="70" w:type="dxa"/>
              <w:right w:w="100" w:type="dxa"/>
            </w:tcMar>
          </w:tcPr>
          <w:p w14:paraId="2DB3DDC9" w14:textId="77777777" w:rsidR="00D16027" w:rsidRDefault="00000000">
            <w:r>
              <w:rPr>
                <w:sz w:val="19"/>
                <w:szCs w:val="19"/>
              </w:rPr>
              <w:t>Construct validity</w:t>
            </w:r>
          </w:p>
        </w:tc>
        <w:tc>
          <w:tcPr>
            <w:tcW w:w="3800" w:type="dxa"/>
            <w:tcMar>
              <w:top w:w="70" w:type="dxa"/>
              <w:left w:w="100" w:type="dxa"/>
              <w:bottom w:w="70" w:type="dxa"/>
              <w:right w:w="100" w:type="dxa"/>
            </w:tcMar>
          </w:tcPr>
          <w:p w14:paraId="6850247C" w14:textId="77777777" w:rsidR="00D16027" w:rsidRDefault="00000000">
            <w:r>
              <w:rPr>
                <w:sz w:val="19"/>
                <w:szCs w:val="19"/>
              </w:rPr>
              <w:t>The degree to which an assessment measures the capability it claims to</w:t>
            </w:r>
          </w:p>
        </w:tc>
        <w:tc>
          <w:tcPr>
            <w:tcW w:w="3286" w:type="dxa"/>
            <w:tcMar>
              <w:top w:w="70" w:type="dxa"/>
              <w:left w:w="100" w:type="dxa"/>
              <w:bottom w:w="70" w:type="dxa"/>
              <w:right w:w="100" w:type="dxa"/>
            </w:tcMar>
          </w:tcPr>
          <w:p w14:paraId="6594994A" w14:textId="77777777" w:rsidR="00D16027" w:rsidRDefault="00000000">
            <w:r>
              <w:rPr>
                <w:sz w:val="19"/>
                <w:szCs w:val="19"/>
              </w:rPr>
              <w:t>The organising concept of AI-era redesign</w:t>
            </w:r>
          </w:p>
        </w:tc>
      </w:tr>
      <w:tr w:rsidR="00D16027" w14:paraId="20B1FA2F" w14:textId="77777777">
        <w:tblPrEx>
          <w:tblCellMar>
            <w:top w:w="0" w:type="dxa"/>
            <w:bottom w:w="0" w:type="dxa"/>
          </w:tblCellMar>
        </w:tblPrEx>
        <w:trPr>
          <w:cantSplit/>
        </w:trPr>
        <w:tc>
          <w:tcPr>
            <w:tcW w:w="2300" w:type="dxa"/>
            <w:tcMar>
              <w:top w:w="70" w:type="dxa"/>
              <w:left w:w="100" w:type="dxa"/>
              <w:bottom w:w="70" w:type="dxa"/>
              <w:right w:w="100" w:type="dxa"/>
            </w:tcMar>
          </w:tcPr>
          <w:p w14:paraId="1EAB956A" w14:textId="77777777" w:rsidR="00D16027" w:rsidRDefault="00000000">
            <w:r>
              <w:rPr>
                <w:sz w:val="19"/>
                <w:szCs w:val="19"/>
              </w:rPr>
              <w:t>Contemporaneous evidence</w:t>
            </w:r>
          </w:p>
        </w:tc>
        <w:tc>
          <w:tcPr>
            <w:tcW w:w="3800" w:type="dxa"/>
            <w:tcMar>
              <w:top w:w="70" w:type="dxa"/>
              <w:left w:w="100" w:type="dxa"/>
              <w:bottom w:w="70" w:type="dxa"/>
              <w:right w:w="100" w:type="dxa"/>
            </w:tcMar>
          </w:tcPr>
          <w:p w14:paraId="378FCEA9" w14:textId="77777777" w:rsidR="00D16027" w:rsidRDefault="00000000">
            <w:r>
              <w:rPr>
                <w:sz w:val="19"/>
                <w:szCs w:val="19"/>
              </w:rPr>
              <w:t>Process artefacts produced and captured at the time, with dates</w:t>
            </w:r>
          </w:p>
        </w:tc>
        <w:tc>
          <w:tcPr>
            <w:tcW w:w="3286" w:type="dxa"/>
            <w:tcMar>
              <w:top w:w="70" w:type="dxa"/>
              <w:left w:w="100" w:type="dxa"/>
              <w:bottom w:w="70" w:type="dxa"/>
              <w:right w:w="100" w:type="dxa"/>
            </w:tcMar>
          </w:tcPr>
          <w:p w14:paraId="22F80A5B" w14:textId="77777777" w:rsidR="00D16027" w:rsidRDefault="00000000">
            <w:r>
              <w:rPr>
                <w:sz w:val="19"/>
                <w:szCs w:val="19"/>
              </w:rPr>
              <w:t>What makes process evidence hard to backfill</w:t>
            </w:r>
          </w:p>
        </w:tc>
      </w:tr>
      <w:tr w:rsidR="00D16027" w14:paraId="2C11D7D1" w14:textId="77777777">
        <w:tblPrEx>
          <w:tblCellMar>
            <w:top w:w="0" w:type="dxa"/>
            <w:bottom w:w="0" w:type="dxa"/>
          </w:tblCellMar>
        </w:tblPrEx>
        <w:trPr>
          <w:cantSplit/>
        </w:trPr>
        <w:tc>
          <w:tcPr>
            <w:tcW w:w="2300" w:type="dxa"/>
            <w:tcMar>
              <w:top w:w="70" w:type="dxa"/>
              <w:left w:w="100" w:type="dxa"/>
              <w:bottom w:w="70" w:type="dxa"/>
              <w:right w:w="100" w:type="dxa"/>
            </w:tcMar>
          </w:tcPr>
          <w:p w14:paraId="66D7AE98" w14:textId="77777777" w:rsidR="00D16027" w:rsidRDefault="00000000">
            <w:r>
              <w:rPr>
                <w:sz w:val="19"/>
                <w:szCs w:val="19"/>
              </w:rPr>
              <w:t>Declaration</w:t>
            </w:r>
          </w:p>
        </w:tc>
        <w:tc>
          <w:tcPr>
            <w:tcW w:w="3800" w:type="dxa"/>
            <w:tcMar>
              <w:top w:w="70" w:type="dxa"/>
              <w:left w:w="100" w:type="dxa"/>
              <w:bottom w:w="70" w:type="dxa"/>
              <w:right w:w="100" w:type="dxa"/>
            </w:tcMar>
          </w:tcPr>
          <w:p w14:paraId="7B51EF08" w14:textId="77777777" w:rsidR="00D16027" w:rsidRDefault="00000000">
            <w:r>
              <w:rPr>
                <w:sz w:val="19"/>
                <w:szCs w:val="19"/>
              </w:rPr>
              <w:t>A structured statement of AI tools used, purpose, extent and verification, submitted with work</w:t>
            </w:r>
          </w:p>
        </w:tc>
        <w:tc>
          <w:tcPr>
            <w:tcW w:w="3286" w:type="dxa"/>
            <w:tcMar>
              <w:top w:w="70" w:type="dxa"/>
              <w:left w:w="100" w:type="dxa"/>
              <w:bottom w:w="70" w:type="dxa"/>
              <w:right w:w="100" w:type="dxa"/>
            </w:tcMar>
          </w:tcPr>
          <w:p w14:paraId="114C02BD" w14:textId="77777777" w:rsidR="00D16027" w:rsidRDefault="00000000">
            <w:r>
              <w:rPr>
                <w:sz w:val="19"/>
                <w:szCs w:val="19"/>
              </w:rPr>
              <w:t>The second integrity mechanism after design</w:t>
            </w:r>
          </w:p>
        </w:tc>
      </w:tr>
      <w:tr w:rsidR="00D16027" w14:paraId="4B8A18E0" w14:textId="77777777">
        <w:tblPrEx>
          <w:tblCellMar>
            <w:top w:w="0" w:type="dxa"/>
            <w:bottom w:w="0" w:type="dxa"/>
          </w:tblCellMar>
        </w:tblPrEx>
        <w:trPr>
          <w:cantSplit/>
        </w:trPr>
        <w:tc>
          <w:tcPr>
            <w:tcW w:w="2300" w:type="dxa"/>
            <w:tcMar>
              <w:top w:w="70" w:type="dxa"/>
              <w:left w:w="100" w:type="dxa"/>
              <w:bottom w:w="70" w:type="dxa"/>
              <w:right w:w="100" w:type="dxa"/>
            </w:tcMar>
          </w:tcPr>
          <w:p w14:paraId="43912785" w14:textId="77777777" w:rsidR="00D16027" w:rsidRDefault="00000000">
            <w:r>
              <w:rPr>
                <w:sz w:val="19"/>
                <w:szCs w:val="19"/>
              </w:rPr>
              <w:t>Detector</w:t>
            </w:r>
          </w:p>
        </w:tc>
        <w:tc>
          <w:tcPr>
            <w:tcW w:w="3800" w:type="dxa"/>
            <w:tcMar>
              <w:top w:w="70" w:type="dxa"/>
              <w:left w:w="100" w:type="dxa"/>
              <w:bottom w:w="70" w:type="dxa"/>
              <w:right w:w="100" w:type="dxa"/>
            </w:tcMar>
          </w:tcPr>
          <w:p w14:paraId="32A5F4CE" w14:textId="77777777" w:rsidR="00D16027" w:rsidRDefault="00000000">
            <w:r>
              <w:rPr>
                <w:sz w:val="19"/>
                <w:szCs w:val="19"/>
              </w:rPr>
              <w:t>A classifier estimating whether text was machine-generated</w:t>
            </w:r>
          </w:p>
        </w:tc>
        <w:tc>
          <w:tcPr>
            <w:tcW w:w="3286" w:type="dxa"/>
            <w:tcMar>
              <w:top w:w="70" w:type="dxa"/>
              <w:left w:w="100" w:type="dxa"/>
              <w:bottom w:w="70" w:type="dxa"/>
              <w:right w:w="100" w:type="dxa"/>
            </w:tcMar>
          </w:tcPr>
          <w:p w14:paraId="23AD545C" w14:textId="77777777" w:rsidR="00D16027" w:rsidRDefault="00000000">
            <w:r>
              <w:rPr>
                <w:sz w:val="19"/>
                <w:szCs w:val="19"/>
              </w:rPr>
              <w:t>Unreliable and biased; not a basis for integrity decisions</w:t>
            </w:r>
          </w:p>
        </w:tc>
      </w:tr>
      <w:tr w:rsidR="00D16027" w14:paraId="3B28CA8D" w14:textId="77777777">
        <w:tblPrEx>
          <w:tblCellMar>
            <w:top w:w="0" w:type="dxa"/>
            <w:bottom w:w="0" w:type="dxa"/>
          </w:tblCellMar>
        </w:tblPrEx>
        <w:trPr>
          <w:cantSplit/>
        </w:trPr>
        <w:tc>
          <w:tcPr>
            <w:tcW w:w="2300" w:type="dxa"/>
            <w:tcMar>
              <w:top w:w="70" w:type="dxa"/>
              <w:left w:w="100" w:type="dxa"/>
              <w:bottom w:w="70" w:type="dxa"/>
              <w:right w:w="100" w:type="dxa"/>
            </w:tcMar>
          </w:tcPr>
          <w:p w14:paraId="0BE91FD9" w14:textId="77777777" w:rsidR="00D16027" w:rsidRDefault="00000000">
            <w:r>
              <w:rPr>
                <w:sz w:val="19"/>
                <w:szCs w:val="19"/>
              </w:rPr>
              <w:t>Evaluative judgement</w:t>
            </w:r>
          </w:p>
        </w:tc>
        <w:tc>
          <w:tcPr>
            <w:tcW w:w="3800" w:type="dxa"/>
            <w:tcMar>
              <w:top w:w="70" w:type="dxa"/>
              <w:left w:w="100" w:type="dxa"/>
              <w:bottom w:w="70" w:type="dxa"/>
              <w:right w:w="100" w:type="dxa"/>
            </w:tcMar>
          </w:tcPr>
          <w:p w14:paraId="09776C7A" w14:textId="77777777" w:rsidR="00D16027" w:rsidRDefault="00000000">
            <w:r>
              <w:rPr>
                <w:sz w:val="19"/>
                <w:szCs w:val="19"/>
              </w:rPr>
              <w:t>The capability to judge the quality of one's own and others' work (Tai et al. 2018)</w:t>
            </w:r>
          </w:p>
        </w:tc>
        <w:tc>
          <w:tcPr>
            <w:tcW w:w="3286" w:type="dxa"/>
            <w:tcMar>
              <w:top w:w="70" w:type="dxa"/>
              <w:left w:w="100" w:type="dxa"/>
              <w:bottom w:w="70" w:type="dxa"/>
              <w:right w:w="100" w:type="dxa"/>
            </w:tcMar>
          </w:tcPr>
          <w:p w14:paraId="458930FA" w14:textId="77777777" w:rsidR="00D16027" w:rsidRDefault="00000000">
            <w:r>
              <w:rPr>
                <w:sz w:val="19"/>
                <w:szCs w:val="19"/>
              </w:rPr>
              <w:t>The central graduate capability in an AI world; assessed through critique and defence</w:t>
            </w:r>
          </w:p>
        </w:tc>
      </w:tr>
      <w:tr w:rsidR="00D16027" w14:paraId="7EACA460" w14:textId="77777777">
        <w:tblPrEx>
          <w:tblCellMar>
            <w:top w:w="0" w:type="dxa"/>
            <w:bottom w:w="0" w:type="dxa"/>
          </w:tblCellMar>
        </w:tblPrEx>
        <w:trPr>
          <w:cantSplit/>
        </w:trPr>
        <w:tc>
          <w:tcPr>
            <w:tcW w:w="2300" w:type="dxa"/>
            <w:tcMar>
              <w:top w:w="70" w:type="dxa"/>
              <w:left w:w="100" w:type="dxa"/>
              <w:bottom w:w="70" w:type="dxa"/>
              <w:right w:w="100" w:type="dxa"/>
            </w:tcMar>
          </w:tcPr>
          <w:p w14:paraId="26EF53FF" w14:textId="77777777" w:rsidR="00D16027" w:rsidRDefault="00000000">
            <w:r>
              <w:rPr>
                <w:sz w:val="19"/>
                <w:szCs w:val="19"/>
              </w:rPr>
              <w:t>Fine-tuning</w:t>
            </w:r>
          </w:p>
        </w:tc>
        <w:tc>
          <w:tcPr>
            <w:tcW w:w="3800" w:type="dxa"/>
            <w:tcMar>
              <w:top w:w="70" w:type="dxa"/>
              <w:left w:w="100" w:type="dxa"/>
              <w:bottom w:w="70" w:type="dxa"/>
              <w:right w:w="100" w:type="dxa"/>
            </w:tcMar>
          </w:tcPr>
          <w:p w14:paraId="46763022" w14:textId="77777777" w:rsidR="00D16027" w:rsidRDefault="00000000">
            <w:r>
              <w:rPr>
                <w:sz w:val="19"/>
                <w:szCs w:val="19"/>
              </w:rPr>
              <w:t>Further training of a model on a specific dataset</w:t>
            </w:r>
          </w:p>
        </w:tc>
        <w:tc>
          <w:tcPr>
            <w:tcW w:w="3286" w:type="dxa"/>
            <w:tcMar>
              <w:top w:w="70" w:type="dxa"/>
              <w:left w:w="100" w:type="dxa"/>
              <w:bottom w:w="70" w:type="dxa"/>
              <w:right w:w="100" w:type="dxa"/>
            </w:tcMar>
          </w:tcPr>
          <w:p w14:paraId="3F2161AB" w14:textId="77777777" w:rsidR="00D16027" w:rsidRDefault="00000000">
            <w:r>
              <w:rPr>
                <w:sz w:val="19"/>
                <w:szCs w:val="19"/>
              </w:rPr>
              <w:t>Institutional or disciplinary models may differ from public ones</w:t>
            </w:r>
          </w:p>
        </w:tc>
      </w:tr>
      <w:tr w:rsidR="00D16027" w14:paraId="636ED7CD" w14:textId="77777777">
        <w:tblPrEx>
          <w:tblCellMar>
            <w:top w:w="0" w:type="dxa"/>
            <w:bottom w:w="0" w:type="dxa"/>
          </w:tblCellMar>
        </w:tblPrEx>
        <w:trPr>
          <w:cantSplit/>
        </w:trPr>
        <w:tc>
          <w:tcPr>
            <w:tcW w:w="2300" w:type="dxa"/>
            <w:tcMar>
              <w:top w:w="70" w:type="dxa"/>
              <w:left w:w="100" w:type="dxa"/>
              <w:bottom w:w="70" w:type="dxa"/>
              <w:right w:w="100" w:type="dxa"/>
            </w:tcMar>
          </w:tcPr>
          <w:p w14:paraId="402AED1D" w14:textId="77777777" w:rsidR="00D16027" w:rsidRDefault="00000000">
            <w:r>
              <w:rPr>
                <w:sz w:val="19"/>
                <w:szCs w:val="19"/>
              </w:rPr>
              <w:t>Foundation model</w:t>
            </w:r>
          </w:p>
        </w:tc>
        <w:tc>
          <w:tcPr>
            <w:tcW w:w="3800" w:type="dxa"/>
            <w:tcMar>
              <w:top w:w="70" w:type="dxa"/>
              <w:left w:w="100" w:type="dxa"/>
              <w:bottom w:w="70" w:type="dxa"/>
              <w:right w:w="100" w:type="dxa"/>
            </w:tcMar>
          </w:tcPr>
          <w:p w14:paraId="49D73D4A" w14:textId="77777777" w:rsidR="00D16027" w:rsidRDefault="00000000">
            <w:r>
              <w:rPr>
                <w:sz w:val="19"/>
                <w:szCs w:val="19"/>
              </w:rPr>
              <w:t>A large model trained on broad data, adaptable to many tasks</w:t>
            </w:r>
          </w:p>
        </w:tc>
        <w:tc>
          <w:tcPr>
            <w:tcW w:w="3286" w:type="dxa"/>
            <w:tcMar>
              <w:top w:w="70" w:type="dxa"/>
              <w:left w:w="100" w:type="dxa"/>
              <w:bottom w:w="70" w:type="dxa"/>
              <w:right w:w="100" w:type="dxa"/>
            </w:tcMar>
          </w:tcPr>
          <w:p w14:paraId="61570BDC" w14:textId="77777777" w:rsidR="00D16027" w:rsidRDefault="00000000">
            <w:r>
              <w:rPr>
                <w:sz w:val="19"/>
                <w:szCs w:val="19"/>
              </w:rPr>
              <w:t>The general-purpose systems students use</w:t>
            </w:r>
          </w:p>
        </w:tc>
      </w:tr>
      <w:tr w:rsidR="00D16027" w14:paraId="14BA4796" w14:textId="77777777">
        <w:tblPrEx>
          <w:tblCellMar>
            <w:top w:w="0" w:type="dxa"/>
            <w:bottom w:w="0" w:type="dxa"/>
          </w:tblCellMar>
        </w:tblPrEx>
        <w:trPr>
          <w:cantSplit/>
        </w:trPr>
        <w:tc>
          <w:tcPr>
            <w:tcW w:w="2300" w:type="dxa"/>
            <w:tcMar>
              <w:top w:w="70" w:type="dxa"/>
              <w:left w:w="100" w:type="dxa"/>
              <w:bottom w:w="70" w:type="dxa"/>
              <w:right w:w="100" w:type="dxa"/>
            </w:tcMar>
          </w:tcPr>
          <w:p w14:paraId="2E59CE5B" w14:textId="77777777" w:rsidR="00D16027" w:rsidRDefault="00000000">
            <w:r>
              <w:rPr>
                <w:sz w:val="19"/>
                <w:szCs w:val="19"/>
              </w:rPr>
              <w:t>Hallucination</w:t>
            </w:r>
          </w:p>
        </w:tc>
        <w:tc>
          <w:tcPr>
            <w:tcW w:w="3800" w:type="dxa"/>
            <w:tcMar>
              <w:top w:w="70" w:type="dxa"/>
              <w:left w:w="100" w:type="dxa"/>
              <w:bottom w:w="70" w:type="dxa"/>
              <w:right w:w="100" w:type="dxa"/>
            </w:tcMar>
          </w:tcPr>
          <w:p w14:paraId="464E4EB4" w14:textId="77777777" w:rsidR="00D16027" w:rsidRDefault="00000000">
            <w:r>
              <w:rPr>
                <w:sz w:val="19"/>
                <w:szCs w:val="19"/>
              </w:rPr>
              <w:t>Fluent, confident, false output, including invented sources</w:t>
            </w:r>
          </w:p>
        </w:tc>
        <w:tc>
          <w:tcPr>
            <w:tcW w:w="3286" w:type="dxa"/>
            <w:tcMar>
              <w:top w:w="70" w:type="dxa"/>
              <w:left w:w="100" w:type="dxa"/>
              <w:bottom w:w="70" w:type="dxa"/>
              <w:right w:w="100" w:type="dxa"/>
            </w:tcMar>
          </w:tcPr>
          <w:p w14:paraId="452E1A78" w14:textId="77777777" w:rsidR="00D16027" w:rsidRDefault="00000000">
            <w:r>
              <w:rPr>
                <w:sz w:val="19"/>
                <w:szCs w:val="19"/>
              </w:rPr>
              <w:t>A reason to require verification; not a reliable defence</w:t>
            </w:r>
          </w:p>
        </w:tc>
      </w:tr>
      <w:tr w:rsidR="00D16027" w14:paraId="19C7F836" w14:textId="77777777">
        <w:tblPrEx>
          <w:tblCellMar>
            <w:top w:w="0" w:type="dxa"/>
            <w:bottom w:w="0" w:type="dxa"/>
          </w:tblCellMar>
        </w:tblPrEx>
        <w:trPr>
          <w:cantSplit/>
        </w:trPr>
        <w:tc>
          <w:tcPr>
            <w:tcW w:w="2300" w:type="dxa"/>
            <w:tcMar>
              <w:top w:w="70" w:type="dxa"/>
              <w:left w:w="100" w:type="dxa"/>
              <w:bottom w:w="70" w:type="dxa"/>
              <w:right w:w="100" w:type="dxa"/>
            </w:tcMar>
          </w:tcPr>
          <w:p w14:paraId="4958FEBD" w14:textId="77777777" w:rsidR="00D16027" w:rsidRDefault="00000000">
            <w:r>
              <w:rPr>
                <w:sz w:val="19"/>
                <w:szCs w:val="19"/>
              </w:rPr>
              <w:t>Interactive oral assessment (IOA)</w:t>
            </w:r>
          </w:p>
        </w:tc>
        <w:tc>
          <w:tcPr>
            <w:tcW w:w="3800" w:type="dxa"/>
            <w:tcMar>
              <w:top w:w="70" w:type="dxa"/>
              <w:left w:w="100" w:type="dxa"/>
              <w:bottom w:w="70" w:type="dxa"/>
              <w:right w:w="100" w:type="dxa"/>
            </w:tcMar>
          </w:tcPr>
          <w:p w14:paraId="763169CE" w14:textId="77777777" w:rsidR="00D16027" w:rsidRDefault="00000000">
            <w:r>
              <w:rPr>
                <w:sz w:val="19"/>
                <w:szCs w:val="19"/>
              </w:rPr>
              <w:t>An unscripted, scenario-based conversation between assessor and student</w:t>
            </w:r>
          </w:p>
        </w:tc>
        <w:tc>
          <w:tcPr>
            <w:tcW w:w="3286" w:type="dxa"/>
            <w:tcMar>
              <w:top w:w="70" w:type="dxa"/>
              <w:left w:w="100" w:type="dxa"/>
              <w:bottom w:w="70" w:type="dxa"/>
              <w:right w:w="100" w:type="dxa"/>
            </w:tcMar>
          </w:tcPr>
          <w:p w14:paraId="60B4F92C" w14:textId="77777777" w:rsidR="00D16027" w:rsidRDefault="00000000">
            <w:r>
              <w:rPr>
                <w:sz w:val="19"/>
                <w:szCs w:val="19"/>
              </w:rPr>
              <w:t>A standalone secured format with integrity and employability benefits</w:t>
            </w:r>
          </w:p>
        </w:tc>
      </w:tr>
      <w:tr w:rsidR="00D16027" w14:paraId="2809D391" w14:textId="77777777">
        <w:tblPrEx>
          <w:tblCellMar>
            <w:top w:w="0" w:type="dxa"/>
            <w:bottom w:w="0" w:type="dxa"/>
          </w:tblCellMar>
        </w:tblPrEx>
        <w:trPr>
          <w:cantSplit/>
        </w:trPr>
        <w:tc>
          <w:tcPr>
            <w:tcW w:w="2300" w:type="dxa"/>
            <w:tcMar>
              <w:top w:w="70" w:type="dxa"/>
              <w:left w:w="100" w:type="dxa"/>
              <w:bottom w:w="70" w:type="dxa"/>
              <w:right w:w="100" w:type="dxa"/>
            </w:tcMar>
          </w:tcPr>
          <w:p w14:paraId="2789E053" w14:textId="77777777" w:rsidR="00D16027" w:rsidRDefault="00000000">
            <w:r>
              <w:rPr>
                <w:sz w:val="19"/>
                <w:szCs w:val="19"/>
              </w:rPr>
              <w:t>Lane 1 / Lane 2</w:t>
            </w:r>
          </w:p>
        </w:tc>
        <w:tc>
          <w:tcPr>
            <w:tcW w:w="3800" w:type="dxa"/>
            <w:tcMar>
              <w:top w:w="70" w:type="dxa"/>
              <w:left w:w="100" w:type="dxa"/>
              <w:bottom w:w="70" w:type="dxa"/>
              <w:right w:w="100" w:type="dxa"/>
            </w:tcMar>
          </w:tcPr>
          <w:p w14:paraId="6F6F862C" w14:textId="77777777" w:rsidR="00D16027" w:rsidRDefault="00000000">
            <w:r>
              <w:rPr>
                <w:sz w:val="19"/>
                <w:szCs w:val="19"/>
              </w:rPr>
              <w:t>Secured assessment of learning / open assessment for learning (University of Sydney)</w:t>
            </w:r>
          </w:p>
        </w:tc>
        <w:tc>
          <w:tcPr>
            <w:tcW w:w="3286" w:type="dxa"/>
            <w:tcMar>
              <w:top w:w="70" w:type="dxa"/>
              <w:left w:w="100" w:type="dxa"/>
              <w:bottom w:w="70" w:type="dxa"/>
              <w:right w:w="100" w:type="dxa"/>
            </w:tcMar>
          </w:tcPr>
          <w:p w14:paraId="247B44C4" w14:textId="77777777" w:rsidR="00D16027" w:rsidRDefault="00000000">
            <w:r>
              <w:rPr>
                <w:sz w:val="19"/>
                <w:szCs w:val="19"/>
              </w:rPr>
              <w:t>Maps to the excluded zone and the resilient and integrated zones</w:t>
            </w:r>
          </w:p>
        </w:tc>
      </w:tr>
      <w:tr w:rsidR="00D16027" w14:paraId="30103839" w14:textId="77777777">
        <w:tblPrEx>
          <w:tblCellMar>
            <w:top w:w="0" w:type="dxa"/>
            <w:bottom w:w="0" w:type="dxa"/>
          </w:tblCellMar>
        </w:tblPrEx>
        <w:trPr>
          <w:cantSplit/>
        </w:trPr>
        <w:tc>
          <w:tcPr>
            <w:tcW w:w="2300" w:type="dxa"/>
            <w:tcMar>
              <w:top w:w="70" w:type="dxa"/>
              <w:left w:w="100" w:type="dxa"/>
              <w:bottom w:w="70" w:type="dxa"/>
              <w:right w:w="100" w:type="dxa"/>
            </w:tcMar>
          </w:tcPr>
          <w:p w14:paraId="1C063CA4" w14:textId="77777777" w:rsidR="00D16027" w:rsidRDefault="00000000">
            <w:r>
              <w:rPr>
                <w:sz w:val="19"/>
                <w:szCs w:val="19"/>
              </w:rPr>
              <w:t>Large language model (LLM)</w:t>
            </w:r>
          </w:p>
        </w:tc>
        <w:tc>
          <w:tcPr>
            <w:tcW w:w="3800" w:type="dxa"/>
            <w:tcMar>
              <w:top w:w="70" w:type="dxa"/>
              <w:left w:w="100" w:type="dxa"/>
              <w:bottom w:w="70" w:type="dxa"/>
              <w:right w:w="100" w:type="dxa"/>
            </w:tcMar>
          </w:tcPr>
          <w:p w14:paraId="365126B0" w14:textId="77777777" w:rsidR="00D16027" w:rsidRDefault="00000000">
            <w:r>
              <w:rPr>
                <w:sz w:val="19"/>
                <w:szCs w:val="19"/>
              </w:rPr>
              <w:t>A model trained to predict the next token, producing fluent text</w:t>
            </w:r>
          </w:p>
        </w:tc>
        <w:tc>
          <w:tcPr>
            <w:tcW w:w="3286" w:type="dxa"/>
            <w:tcMar>
              <w:top w:w="70" w:type="dxa"/>
              <w:left w:w="100" w:type="dxa"/>
              <w:bottom w:w="70" w:type="dxa"/>
              <w:right w:w="100" w:type="dxa"/>
            </w:tcMar>
          </w:tcPr>
          <w:p w14:paraId="6245EFDF" w14:textId="77777777" w:rsidR="00D16027" w:rsidRDefault="00000000">
            <w:r>
              <w:rPr>
                <w:sz w:val="19"/>
                <w:szCs w:val="19"/>
              </w:rPr>
              <w:t>The basis of generative text tools; fluency is not understanding</w:t>
            </w:r>
          </w:p>
        </w:tc>
      </w:tr>
      <w:tr w:rsidR="00D16027" w14:paraId="5EBECCF3" w14:textId="77777777">
        <w:tblPrEx>
          <w:tblCellMar>
            <w:top w:w="0" w:type="dxa"/>
            <w:bottom w:w="0" w:type="dxa"/>
          </w:tblCellMar>
        </w:tblPrEx>
        <w:trPr>
          <w:cantSplit/>
        </w:trPr>
        <w:tc>
          <w:tcPr>
            <w:tcW w:w="2300" w:type="dxa"/>
            <w:tcMar>
              <w:top w:w="70" w:type="dxa"/>
              <w:left w:w="100" w:type="dxa"/>
              <w:bottom w:w="70" w:type="dxa"/>
              <w:right w:w="100" w:type="dxa"/>
            </w:tcMar>
          </w:tcPr>
          <w:p w14:paraId="79499FFF" w14:textId="77777777" w:rsidR="00D16027" w:rsidRDefault="00000000">
            <w:r>
              <w:rPr>
                <w:sz w:val="19"/>
                <w:szCs w:val="19"/>
              </w:rPr>
              <w:t>Multimodal model</w:t>
            </w:r>
          </w:p>
        </w:tc>
        <w:tc>
          <w:tcPr>
            <w:tcW w:w="3800" w:type="dxa"/>
            <w:tcMar>
              <w:top w:w="70" w:type="dxa"/>
              <w:left w:w="100" w:type="dxa"/>
              <w:bottom w:w="70" w:type="dxa"/>
              <w:right w:w="100" w:type="dxa"/>
            </w:tcMar>
          </w:tcPr>
          <w:p w14:paraId="188BE9CF" w14:textId="77777777" w:rsidR="00D16027" w:rsidRDefault="00000000">
            <w:r>
              <w:rPr>
                <w:sz w:val="19"/>
                <w:szCs w:val="19"/>
              </w:rPr>
              <w:t>A model handling images, audio and video as well as text</w:t>
            </w:r>
          </w:p>
        </w:tc>
        <w:tc>
          <w:tcPr>
            <w:tcW w:w="3286" w:type="dxa"/>
            <w:tcMar>
              <w:top w:w="70" w:type="dxa"/>
              <w:left w:w="100" w:type="dxa"/>
              <w:bottom w:w="70" w:type="dxa"/>
              <w:right w:w="100" w:type="dxa"/>
            </w:tcMar>
          </w:tcPr>
          <w:p w14:paraId="4A955A87" w14:textId="77777777" w:rsidR="00D16027" w:rsidRDefault="00000000">
            <w:r>
              <w:rPr>
                <w:sz w:val="19"/>
                <w:szCs w:val="19"/>
              </w:rPr>
              <w:t>Diagrams, photographs and handwriting are no longer AI-proof</w:t>
            </w:r>
          </w:p>
        </w:tc>
      </w:tr>
      <w:tr w:rsidR="00D16027" w14:paraId="523DC018" w14:textId="77777777">
        <w:tblPrEx>
          <w:tblCellMar>
            <w:top w:w="0" w:type="dxa"/>
            <w:bottom w:w="0" w:type="dxa"/>
          </w:tblCellMar>
        </w:tblPrEx>
        <w:trPr>
          <w:cantSplit/>
        </w:trPr>
        <w:tc>
          <w:tcPr>
            <w:tcW w:w="2300" w:type="dxa"/>
            <w:tcMar>
              <w:top w:w="70" w:type="dxa"/>
              <w:left w:w="100" w:type="dxa"/>
              <w:bottom w:w="70" w:type="dxa"/>
              <w:right w:w="100" w:type="dxa"/>
            </w:tcMar>
          </w:tcPr>
          <w:p w14:paraId="58C9734C" w14:textId="77777777" w:rsidR="00D16027" w:rsidRDefault="00000000">
            <w:r>
              <w:rPr>
                <w:sz w:val="19"/>
                <w:szCs w:val="19"/>
              </w:rPr>
              <w:t>Perplexity</w:t>
            </w:r>
          </w:p>
        </w:tc>
        <w:tc>
          <w:tcPr>
            <w:tcW w:w="3800" w:type="dxa"/>
            <w:tcMar>
              <w:top w:w="70" w:type="dxa"/>
              <w:left w:w="100" w:type="dxa"/>
              <w:bottom w:w="70" w:type="dxa"/>
              <w:right w:w="100" w:type="dxa"/>
            </w:tcMar>
          </w:tcPr>
          <w:p w14:paraId="43590F77" w14:textId="77777777" w:rsidR="00D16027" w:rsidRDefault="00000000">
            <w:r>
              <w:rPr>
                <w:sz w:val="19"/>
                <w:szCs w:val="19"/>
              </w:rPr>
              <w:t>A measure of how predictable a text is to a model</w:t>
            </w:r>
          </w:p>
        </w:tc>
        <w:tc>
          <w:tcPr>
            <w:tcW w:w="3286" w:type="dxa"/>
            <w:tcMar>
              <w:top w:w="70" w:type="dxa"/>
              <w:left w:w="100" w:type="dxa"/>
              <w:bottom w:w="70" w:type="dxa"/>
              <w:right w:w="100" w:type="dxa"/>
            </w:tcMar>
          </w:tcPr>
          <w:p w14:paraId="4AB30E70" w14:textId="77777777" w:rsidR="00D16027" w:rsidRDefault="00000000">
            <w:r>
              <w:rPr>
                <w:sz w:val="19"/>
                <w:szCs w:val="19"/>
              </w:rPr>
              <w:t>Low perplexity in second-language writing drives detector bias</w:t>
            </w:r>
          </w:p>
        </w:tc>
      </w:tr>
      <w:tr w:rsidR="00D16027" w14:paraId="33CB3E2F" w14:textId="77777777">
        <w:tblPrEx>
          <w:tblCellMar>
            <w:top w:w="0" w:type="dxa"/>
            <w:bottom w:w="0" w:type="dxa"/>
          </w:tblCellMar>
        </w:tblPrEx>
        <w:trPr>
          <w:cantSplit/>
        </w:trPr>
        <w:tc>
          <w:tcPr>
            <w:tcW w:w="2300" w:type="dxa"/>
            <w:tcMar>
              <w:top w:w="70" w:type="dxa"/>
              <w:left w:w="100" w:type="dxa"/>
              <w:bottom w:w="70" w:type="dxa"/>
              <w:right w:w="100" w:type="dxa"/>
            </w:tcMar>
          </w:tcPr>
          <w:p w14:paraId="25FF37A8" w14:textId="77777777" w:rsidR="00D16027" w:rsidRDefault="00000000">
            <w:r>
              <w:rPr>
                <w:sz w:val="19"/>
                <w:szCs w:val="19"/>
              </w:rPr>
              <w:lastRenderedPageBreak/>
              <w:t>Process evidence</w:t>
            </w:r>
          </w:p>
        </w:tc>
        <w:tc>
          <w:tcPr>
            <w:tcW w:w="3800" w:type="dxa"/>
            <w:tcMar>
              <w:top w:w="70" w:type="dxa"/>
              <w:left w:w="100" w:type="dxa"/>
              <w:bottom w:w="70" w:type="dxa"/>
              <w:right w:w="100" w:type="dxa"/>
            </w:tcMar>
          </w:tcPr>
          <w:p w14:paraId="4B06E0D4" w14:textId="77777777" w:rsidR="00D16027" w:rsidRDefault="00000000">
            <w:r>
              <w:rPr>
                <w:sz w:val="19"/>
                <w:szCs w:val="19"/>
              </w:rPr>
              <w:t>Artefacts showing how work developed: drafts, notebooks, repositories, logs</w:t>
            </w:r>
          </w:p>
        </w:tc>
        <w:tc>
          <w:tcPr>
            <w:tcW w:w="3286" w:type="dxa"/>
            <w:tcMar>
              <w:top w:w="70" w:type="dxa"/>
              <w:left w:w="100" w:type="dxa"/>
              <w:bottom w:w="70" w:type="dxa"/>
              <w:right w:w="100" w:type="dxa"/>
            </w:tcMar>
          </w:tcPr>
          <w:p w14:paraId="61EBF2B7" w14:textId="77777777" w:rsidR="00D16027" w:rsidRDefault="00000000">
            <w:r>
              <w:rPr>
                <w:sz w:val="19"/>
                <w:szCs w:val="19"/>
              </w:rPr>
              <w:t>Relocates the evidence from product to cognition over time</w:t>
            </w:r>
          </w:p>
        </w:tc>
      </w:tr>
      <w:tr w:rsidR="00D16027" w14:paraId="572362E8" w14:textId="77777777">
        <w:tblPrEx>
          <w:tblCellMar>
            <w:top w:w="0" w:type="dxa"/>
            <w:bottom w:w="0" w:type="dxa"/>
          </w:tblCellMar>
        </w:tblPrEx>
        <w:trPr>
          <w:cantSplit/>
        </w:trPr>
        <w:tc>
          <w:tcPr>
            <w:tcW w:w="2300" w:type="dxa"/>
            <w:tcMar>
              <w:top w:w="70" w:type="dxa"/>
              <w:left w:w="100" w:type="dxa"/>
              <w:bottom w:w="70" w:type="dxa"/>
              <w:right w:w="100" w:type="dxa"/>
            </w:tcMar>
          </w:tcPr>
          <w:p w14:paraId="171D538A" w14:textId="77777777" w:rsidR="00D16027" w:rsidRDefault="00000000">
            <w:r>
              <w:rPr>
                <w:sz w:val="19"/>
                <w:szCs w:val="19"/>
              </w:rPr>
              <w:t>Prompt</w:t>
            </w:r>
          </w:p>
        </w:tc>
        <w:tc>
          <w:tcPr>
            <w:tcW w:w="3800" w:type="dxa"/>
            <w:tcMar>
              <w:top w:w="70" w:type="dxa"/>
              <w:left w:w="100" w:type="dxa"/>
              <w:bottom w:w="70" w:type="dxa"/>
              <w:right w:w="100" w:type="dxa"/>
            </w:tcMar>
          </w:tcPr>
          <w:p w14:paraId="5B1A8D07" w14:textId="77777777" w:rsidR="00D16027" w:rsidRDefault="00000000">
            <w:r>
              <w:rPr>
                <w:sz w:val="19"/>
                <w:szCs w:val="19"/>
              </w:rPr>
              <w:t>The instruction and context given to a model</w:t>
            </w:r>
          </w:p>
        </w:tc>
        <w:tc>
          <w:tcPr>
            <w:tcW w:w="3286" w:type="dxa"/>
            <w:tcMar>
              <w:top w:w="70" w:type="dxa"/>
              <w:left w:w="100" w:type="dxa"/>
              <w:bottom w:w="70" w:type="dxa"/>
              <w:right w:w="100" w:type="dxa"/>
            </w:tcMar>
          </w:tcPr>
          <w:p w14:paraId="24A132B7" w14:textId="77777777" w:rsidR="00D16027" w:rsidRDefault="00000000">
            <w:r>
              <w:rPr>
                <w:sz w:val="19"/>
                <w:szCs w:val="19"/>
              </w:rPr>
              <w:t>Problem formulation is the durable skill beneath prompting</w:t>
            </w:r>
          </w:p>
        </w:tc>
      </w:tr>
      <w:tr w:rsidR="00D16027" w14:paraId="473D6898" w14:textId="77777777">
        <w:tblPrEx>
          <w:tblCellMar>
            <w:top w:w="0" w:type="dxa"/>
            <w:bottom w:w="0" w:type="dxa"/>
          </w:tblCellMar>
        </w:tblPrEx>
        <w:trPr>
          <w:cantSplit/>
        </w:trPr>
        <w:tc>
          <w:tcPr>
            <w:tcW w:w="2300" w:type="dxa"/>
            <w:tcMar>
              <w:top w:w="70" w:type="dxa"/>
              <w:left w:w="100" w:type="dxa"/>
              <w:bottom w:w="70" w:type="dxa"/>
              <w:right w:w="100" w:type="dxa"/>
            </w:tcMar>
          </w:tcPr>
          <w:p w14:paraId="0396429D" w14:textId="77777777" w:rsidR="00D16027" w:rsidRDefault="00000000">
            <w:r>
              <w:rPr>
                <w:sz w:val="19"/>
                <w:szCs w:val="19"/>
              </w:rPr>
              <w:t>Prompt injection</w:t>
            </w:r>
          </w:p>
        </w:tc>
        <w:tc>
          <w:tcPr>
            <w:tcW w:w="3800" w:type="dxa"/>
            <w:tcMar>
              <w:top w:w="70" w:type="dxa"/>
              <w:left w:w="100" w:type="dxa"/>
              <w:bottom w:w="70" w:type="dxa"/>
              <w:right w:w="100" w:type="dxa"/>
            </w:tcMar>
          </w:tcPr>
          <w:p w14:paraId="36863CD4" w14:textId="77777777" w:rsidR="00D16027" w:rsidRDefault="00000000">
            <w:r>
              <w:rPr>
                <w:sz w:val="19"/>
                <w:szCs w:val="19"/>
              </w:rPr>
              <w:t>Text embedded in input that instructs the model to behave differently</w:t>
            </w:r>
          </w:p>
        </w:tc>
        <w:tc>
          <w:tcPr>
            <w:tcW w:w="3286" w:type="dxa"/>
            <w:tcMar>
              <w:top w:w="70" w:type="dxa"/>
              <w:left w:w="100" w:type="dxa"/>
              <w:bottom w:w="70" w:type="dxa"/>
              <w:right w:w="100" w:type="dxa"/>
            </w:tcMar>
          </w:tcPr>
          <w:p w14:paraId="56D868E8" w14:textId="77777777" w:rsidR="00D16027" w:rsidRDefault="00000000">
            <w:r>
              <w:rPr>
                <w:sz w:val="19"/>
                <w:szCs w:val="19"/>
              </w:rPr>
              <w:t>A risk to AI-assisted marking; human review required</w:t>
            </w:r>
          </w:p>
        </w:tc>
      </w:tr>
      <w:tr w:rsidR="00D16027" w14:paraId="13A6EA30" w14:textId="77777777">
        <w:tblPrEx>
          <w:tblCellMar>
            <w:top w:w="0" w:type="dxa"/>
            <w:bottom w:w="0" w:type="dxa"/>
          </w:tblCellMar>
        </w:tblPrEx>
        <w:trPr>
          <w:cantSplit/>
        </w:trPr>
        <w:tc>
          <w:tcPr>
            <w:tcW w:w="2300" w:type="dxa"/>
            <w:tcMar>
              <w:top w:w="70" w:type="dxa"/>
              <w:left w:w="100" w:type="dxa"/>
              <w:bottom w:w="70" w:type="dxa"/>
              <w:right w:w="100" w:type="dxa"/>
            </w:tcMar>
          </w:tcPr>
          <w:p w14:paraId="19E260AB" w14:textId="77777777" w:rsidR="00D16027" w:rsidRDefault="00000000">
            <w:r>
              <w:rPr>
                <w:sz w:val="19"/>
                <w:szCs w:val="19"/>
              </w:rPr>
              <w:t>Reinforcement learning from human feedback (RLHF)</w:t>
            </w:r>
          </w:p>
        </w:tc>
        <w:tc>
          <w:tcPr>
            <w:tcW w:w="3800" w:type="dxa"/>
            <w:tcMar>
              <w:top w:w="70" w:type="dxa"/>
              <w:left w:w="100" w:type="dxa"/>
              <w:bottom w:w="70" w:type="dxa"/>
              <w:right w:w="100" w:type="dxa"/>
            </w:tcMar>
          </w:tcPr>
          <w:p w14:paraId="1CA3449C" w14:textId="77777777" w:rsidR="00D16027" w:rsidRDefault="00000000">
            <w:r>
              <w:rPr>
                <w:sz w:val="19"/>
                <w:szCs w:val="19"/>
              </w:rPr>
              <w:t>Training that tunes a model to produce responses humans prefer</w:t>
            </w:r>
          </w:p>
        </w:tc>
        <w:tc>
          <w:tcPr>
            <w:tcW w:w="3286" w:type="dxa"/>
            <w:tcMar>
              <w:top w:w="70" w:type="dxa"/>
              <w:left w:w="100" w:type="dxa"/>
              <w:bottom w:w="70" w:type="dxa"/>
              <w:right w:w="100" w:type="dxa"/>
            </w:tcMar>
          </w:tcPr>
          <w:p w14:paraId="3E8BC8E6" w14:textId="77777777" w:rsidR="00D16027" w:rsidRDefault="00000000">
            <w:r>
              <w:rPr>
                <w:sz w:val="19"/>
                <w:szCs w:val="19"/>
              </w:rPr>
              <w:t>Explains why output is confident and agreeable, including when wrong</w:t>
            </w:r>
          </w:p>
        </w:tc>
      </w:tr>
      <w:tr w:rsidR="00D16027" w14:paraId="6F92C53F" w14:textId="77777777">
        <w:tblPrEx>
          <w:tblCellMar>
            <w:top w:w="0" w:type="dxa"/>
            <w:bottom w:w="0" w:type="dxa"/>
          </w:tblCellMar>
        </w:tblPrEx>
        <w:trPr>
          <w:cantSplit/>
        </w:trPr>
        <w:tc>
          <w:tcPr>
            <w:tcW w:w="2300" w:type="dxa"/>
            <w:tcMar>
              <w:top w:w="70" w:type="dxa"/>
              <w:left w:w="100" w:type="dxa"/>
              <w:bottom w:w="70" w:type="dxa"/>
              <w:right w:w="100" w:type="dxa"/>
            </w:tcMar>
          </w:tcPr>
          <w:p w14:paraId="0572E39F" w14:textId="77777777" w:rsidR="00D16027" w:rsidRDefault="00000000">
            <w:r>
              <w:rPr>
                <w:sz w:val="19"/>
                <w:szCs w:val="19"/>
              </w:rPr>
              <w:t>Retrieval-augmented generation (RAG)</w:t>
            </w:r>
          </w:p>
        </w:tc>
        <w:tc>
          <w:tcPr>
            <w:tcW w:w="3800" w:type="dxa"/>
            <w:tcMar>
              <w:top w:w="70" w:type="dxa"/>
              <w:left w:w="100" w:type="dxa"/>
              <w:bottom w:w="70" w:type="dxa"/>
              <w:right w:w="100" w:type="dxa"/>
            </w:tcMar>
          </w:tcPr>
          <w:p w14:paraId="2392F65F" w14:textId="77777777" w:rsidR="00D16027" w:rsidRDefault="00000000">
            <w:r>
              <w:rPr>
                <w:sz w:val="19"/>
                <w:szCs w:val="19"/>
              </w:rPr>
              <w:t>The model retrieves documents before answering</w:t>
            </w:r>
          </w:p>
        </w:tc>
        <w:tc>
          <w:tcPr>
            <w:tcW w:w="3286" w:type="dxa"/>
            <w:tcMar>
              <w:top w:w="70" w:type="dxa"/>
              <w:left w:w="100" w:type="dxa"/>
              <w:bottom w:w="70" w:type="dxa"/>
              <w:right w:w="100" w:type="dxa"/>
            </w:tcMar>
          </w:tcPr>
          <w:p w14:paraId="58026969" w14:textId="77777777" w:rsidR="00D16027" w:rsidRDefault="00000000">
            <w:r>
              <w:rPr>
                <w:sz w:val="19"/>
                <w:szCs w:val="19"/>
              </w:rPr>
              <w:t>Removes the "AI doesn't know our materials" defence</w:t>
            </w:r>
          </w:p>
        </w:tc>
      </w:tr>
      <w:tr w:rsidR="00D16027" w14:paraId="3836E5BF" w14:textId="77777777">
        <w:tblPrEx>
          <w:tblCellMar>
            <w:top w:w="0" w:type="dxa"/>
            <w:bottom w:w="0" w:type="dxa"/>
          </w:tblCellMar>
        </w:tblPrEx>
        <w:trPr>
          <w:cantSplit/>
        </w:trPr>
        <w:tc>
          <w:tcPr>
            <w:tcW w:w="2300" w:type="dxa"/>
            <w:tcMar>
              <w:top w:w="70" w:type="dxa"/>
              <w:left w:w="100" w:type="dxa"/>
              <w:bottom w:w="70" w:type="dxa"/>
              <w:right w:w="100" w:type="dxa"/>
            </w:tcMar>
          </w:tcPr>
          <w:p w14:paraId="6CA5F580" w14:textId="77777777" w:rsidR="00D16027" w:rsidRDefault="00000000">
            <w:r>
              <w:rPr>
                <w:sz w:val="19"/>
                <w:szCs w:val="19"/>
              </w:rPr>
              <w:t>Spectrum (this book)</w:t>
            </w:r>
          </w:p>
        </w:tc>
        <w:tc>
          <w:tcPr>
            <w:tcW w:w="3800" w:type="dxa"/>
            <w:tcMar>
              <w:top w:w="70" w:type="dxa"/>
              <w:left w:w="100" w:type="dxa"/>
              <w:bottom w:w="70" w:type="dxa"/>
              <w:right w:w="100" w:type="dxa"/>
            </w:tcMar>
          </w:tcPr>
          <w:p w14:paraId="35C813D4" w14:textId="77777777" w:rsidR="00D16027" w:rsidRDefault="00000000">
            <w:r>
              <w:rPr>
                <w:sz w:val="19"/>
                <w:szCs w:val="19"/>
              </w:rPr>
              <w:t>AI-excluded, AI-resilient and AI-integrated zones, plus the unintended position</w:t>
            </w:r>
          </w:p>
        </w:tc>
        <w:tc>
          <w:tcPr>
            <w:tcW w:w="3286" w:type="dxa"/>
            <w:tcMar>
              <w:top w:w="70" w:type="dxa"/>
              <w:left w:w="100" w:type="dxa"/>
              <w:bottom w:w="70" w:type="dxa"/>
              <w:right w:w="100" w:type="dxa"/>
            </w:tcMar>
          </w:tcPr>
          <w:p w14:paraId="57AD8E3F" w14:textId="77777777" w:rsidR="00D16027" w:rsidRDefault="00000000">
            <w:r>
              <w:rPr>
                <w:sz w:val="19"/>
                <w:szCs w:val="19"/>
              </w:rPr>
              <w:t>The organising framework for positioning and choosing</w:t>
            </w:r>
          </w:p>
        </w:tc>
      </w:tr>
      <w:tr w:rsidR="00D16027" w14:paraId="39E4FA46" w14:textId="77777777">
        <w:tblPrEx>
          <w:tblCellMar>
            <w:top w:w="0" w:type="dxa"/>
            <w:bottom w:w="0" w:type="dxa"/>
          </w:tblCellMar>
        </w:tblPrEx>
        <w:trPr>
          <w:cantSplit/>
        </w:trPr>
        <w:tc>
          <w:tcPr>
            <w:tcW w:w="2300" w:type="dxa"/>
            <w:tcMar>
              <w:top w:w="70" w:type="dxa"/>
              <w:left w:w="100" w:type="dxa"/>
              <w:bottom w:w="70" w:type="dxa"/>
              <w:right w:w="100" w:type="dxa"/>
            </w:tcMar>
          </w:tcPr>
          <w:p w14:paraId="2D18A894" w14:textId="77777777" w:rsidR="00D16027" w:rsidRDefault="00000000">
            <w:r>
              <w:rPr>
                <w:sz w:val="19"/>
                <w:szCs w:val="19"/>
              </w:rPr>
              <w:t>Token</w:t>
            </w:r>
          </w:p>
        </w:tc>
        <w:tc>
          <w:tcPr>
            <w:tcW w:w="3800" w:type="dxa"/>
            <w:tcMar>
              <w:top w:w="70" w:type="dxa"/>
              <w:left w:w="100" w:type="dxa"/>
              <w:bottom w:w="70" w:type="dxa"/>
              <w:right w:w="100" w:type="dxa"/>
            </w:tcMar>
          </w:tcPr>
          <w:p w14:paraId="26080797" w14:textId="77777777" w:rsidR="00D16027" w:rsidRDefault="00000000">
            <w:r>
              <w:rPr>
                <w:sz w:val="19"/>
                <w:szCs w:val="19"/>
              </w:rPr>
              <w:t>A fragment of text, roughly a word or part of a word, that models process</w:t>
            </w:r>
          </w:p>
        </w:tc>
        <w:tc>
          <w:tcPr>
            <w:tcW w:w="3286" w:type="dxa"/>
            <w:tcMar>
              <w:top w:w="70" w:type="dxa"/>
              <w:left w:w="100" w:type="dxa"/>
              <w:bottom w:w="70" w:type="dxa"/>
              <w:right w:w="100" w:type="dxa"/>
            </w:tcMar>
          </w:tcPr>
          <w:p w14:paraId="1D17ECD2" w14:textId="77777777" w:rsidR="00D16027" w:rsidRDefault="00000000">
            <w:r>
              <w:rPr>
                <w:sz w:val="19"/>
                <w:szCs w:val="19"/>
              </w:rPr>
              <w:t>Underlies context limits and cost</w:t>
            </w:r>
          </w:p>
        </w:tc>
      </w:tr>
      <w:tr w:rsidR="00D16027" w14:paraId="1D252DEF" w14:textId="77777777">
        <w:tblPrEx>
          <w:tblCellMar>
            <w:top w:w="0" w:type="dxa"/>
            <w:bottom w:w="0" w:type="dxa"/>
          </w:tblCellMar>
        </w:tblPrEx>
        <w:trPr>
          <w:cantSplit/>
        </w:trPr>
        <w:tc>
          <w:tcPr>
            <w:tcW w:w="2300" w:type="dxa"/>
            <w:tcMar>
              <w:top w:w="70" w:type="dxa"/>
              <w:left w:w="100" w:type="dxa"/>
              <w:bottom w:w="70" w:type="dxa"/>
              <w:right w:w="100" w:type="dxa"/>
            </w:tcMar>
          </w:tcPr>
          <w:p w14:paraId="20621BEF" w14:textId="77777777" w:rsidR="00D16027" w:rsidRDefault="00000000">
            <w:r>
              <w:rPr>
                <w:sz w:val="19"/>
                <w:szCs w:val="19"/>
              </w:rPr>
              <w:t>Two-lane approach</w:t>
            </w:r>
          </w:p>
        </w:tc>
        <w:tc>
          <w:tcPr>
            <w:tcW w:w="3800" w:type="dxa"/>
            <w:tcMar>
              <w:top w:w="70" w:type="dxa"/>
              <w:left w:w="100" w:type="dxa"/>
              <w:bottom w:w="70" w:type="dxa"/>
              <w:right w:w="100" w:type="dxa"/>
            </w:tcMar>
          </w:tcPr>
          <w:p w14:paraId="6ED664C1" w14:textId="77777777" w:rsidR="00D16027" w:rsidRDefault="00000000">
            <w:r>
              <w:rPr>
                <w:sz w:val="19"/>
                <w:szCs w:val="19"/>
              </w:rPr>
              <w:t>See Lane 1 / Lane 2</w:t>
            </w:r>
          </w:p>
        </w:tc>
        <w:tc>
          <w:tcPr>
            <w:tcW w:w="3286" w:type="dxa"/>
            <w:tcMar>
              <w:top w:w="70" w:type="dxa"/>
              <w:left w:w="100" w:type="dxa"/>
              <w:bottom w:w="70" w:type="dxa"/>
              <w:right w:w="100" w:type="dxa"/>
            </w:tcMar>
          </w:tcPr>
          <w:p w14:paraId="31E44483" w14:textId="77777777" w:rsidR="00D16027" w:rsidRDefault="00D16027"/>
        </w:tc>
      </w:tr>
      <w:tr w:rsidR="00D16027" w14:paraId="51F4761F" w14:textId="77777777">
        <w:tblPrEx>
          <w:tblCellMar>
            <w:top w:w="0" w:type="dxa"/>
            <w:bottom w:w="0" w:type="dxa"/>
          </w:tblCellMar>
        </w:tblPrEx>
        <w:trPr>
          <w:cantSplit/>
        </w:trPr>
        <w:tc>
          <w:tcPr>
            <w:tcW w:w="2300" w:type="dxa"/>
            <w:tcMar>
              <w:top w:w="70" w:type="dxa"/>
              <w:left w:w="100" w:type="dxa"/>
              <w:bottom w:w="70" w:type="dxa"/>
              <w:right w:w="100" w:type="dxa"/>
            </w:tcMar>
          </w:tcPr>
          <w:p w14:paraId="365FE338" w14:textId="77777777" w:rsidR="00D16027" w:rsidRDefault="00000000">
            <w:r>
              <w:rPr>
                <w:sz w:val="19"/>
                <w:szCs w:val="19"/>
              </w:rPr>
              <w:t>Vulnerability score</w:t>
            </w:r>
          </w:p>
        </w:tc>
        <w:tc>
          <w:tcPr>
            <w:tcW w:w="3800" w:type="dxa"/>
            <w:tcMar>
              <w:top w:w="70" w:type="dxa"/>
              <w:left w:w="100" w:type="dxa"/>
              <w:bottom w:w="70" w:type="dxa"/>
              <w:right w:w="100" w:type="dxa"/>
            </w:tcMar>
          </w:tcPr>
          <w:p w14:paraId="179CBA6E" w14:textId="77777777" w:rsidR="00D16027" w:rsidRDefault="00000000">
            <w:r>
              <w:rPr>
                <w:sz w:val="19"/>
                <w:szCs w:val="19"/>
              </w:rPr>
              <w:t>This book's six-dimension heuristic (Chapter 5)</w:t>
            </w:r>
          </w:p>
        </w:tc>
        <w:tc>
          <w:tcPr>
            <w:tcW w:w="3286" w:type="dxa"/>
            <w:tcMar>
              <w:top w:w="70" w:type="dxa"/>
              <w:left w:w="100" w:type="dxa"/>
              <w:bottom w:w="70" w:type="dxa"/>
              <w:right w:w="100" w:type="dxa"/>
            </w:tcMar>
          </w:tcPr>
          <w:p w14:paraId="72A8D4B1" w14:textId="77777777" w:rsidR="00D16027" w:rsidRDefault="00000000">
            <w:r>
              <w:rPr>
                <w:sz w:val="19"/>
                <w:szCs w:val="19"/>
              </w:rPr>
              <w:t>Makes vulnerability visible and comparable across a portfolio</w:t>
            </w:r>
          </w:p>
        </w:tc>
      </w:tr>
    </w:tbl>
    <w:p w14:paraId="2A646BCA" w14:textId="77777777" w:rsidR="00D16027" w:rsidRDefault="00D16027">
      <w:pPr>
        <w:spacing w:after="120"/>
      </w:pPr>
    </w:p>
    <w:p w14:paraId="6987E6C4" w14:textId="77777777" w:rsidR="00D16027" w:rsidRDefault="00000000">
      <w:r>
        <w:br w:type="page"/>
      </w:r>
    </w:p>
    <w:p w14:paraId="1DACEADC" w14:textId="77777777" w:rsidR="00D16027" w:rsidRDefault="00000000">
      <w:pPr>
        <w:keepNext/>
        <w:spacing w:after="40"/>
      </w:pPr>
      <w:r>
        <w:rPr>
          <w:b/>
          <w:bCs/>
          <w:caps/>
          <w:color w:val="2E75B6"/>
          <w:sz w:val="22"/>
          <w:szCs w:val="22"/>
        </w:rPr>
        <w:lastRenderedPageBreak/>
        <w:t>Appendix C</w:t>
      </w:r>
    </w:p>
    <w:p w14:paraId="0DBAC4DB" w14:textId="77777777" w:rsidR="00D16027" w:rsidRDefault="00000000">
      <w:pPr>
        <w:pStyle w:val="Heading1"/>
        <w:keepNext/>
      </w:pPr>
      <w:r>
        <w:t>Annotated Bibliography and Further Reading</w:t>
      </w:r>
    </w:p>
    <w:p w14:paraId="511EAB3F" w14:textId="77777777" w:rsidR="00D16027" w:rsidRDefault="00000000">
      <w:pPr>
        <w:pBdr>
          <w:left w:val="single" w:sz="14" w:space="10" w:color="2E75B6"/>
        </w:pBdr>
        <w:shd w:val="clear" w:color="auto" w:fill="EAF3FB"/>
        <w:spacing w:after="200"/>
      </w:pPr>
      <w:r>
        <w:rPr>
          <w:i/>
          <w:iCs/>
          <w:color w:val="333333"/>
        </w:rPr>
        <w:t>An extended guide to the literature for readers who wish to go deeper, grouped by theme. Full references appear at the end of each chapter.</w:t>
      </w:r>
    </w:p>
    <w:p w14:paraId="209C77BD" w14:textId="77777777" w:rsidR="00D16027" w:rsidRDefault="00000000">
      <w:pPr>
        <w:pStyle w:val="Heading2"/>
        <w:keepNext/>
      </w:pPr>
      <w:r>
        <w:t>Foundations of assessment</w:t>
      </w:r>
    </w:p>
    <w:p w14:paraId="2DAA5E0F" w14:textId="77777777" w:rsidR="00D16027" w:rsidRDefault="00000000">
      <w:pPr>
        <w:pStyle w:val="ListParagraph"/>
        <w:numPr>
          <w:ilvl w:val="0"/>
          <w:numId w:val="2"/>
        </w:numPr>
        <w:spacing w:before="40" w:after="40"/>
      </w:pPr>
      <w:r>
        <w:rPr>
          <w:i/>
          <w:iCs/>
        </w:rPr>
        <w:t xml:space="preserve">Biggs &amp; Tang (2011), </w:t>
      </w:r>
      <w:r>
        <w:t>Teaching for Quality Learning at University</w:t>
      </w:r>
      <w:r>
        <w:rPr>
          <w:i/>
          <w:iCs/>
        </w:rPr>
        <w:t>.</w:t>
      </w:r>
      <w:r>
        <w:t>* Constructive alignment; the first check on any task.</w:t>
      </w:r>
    </w:p>
    <w:p w14:paraId="7BE73B77" w14:textId="77777777" w:rsidR="00D16027" w:rsidRDefault="00000000">
      <w:pPr>
        <w:pStyle w:val="ListParagraph"/>
        <w:numPr>
          <w:ilvl w:val="0"/>
          <w:numId w:val="2"/>
        </w:numPr>
        <w:spacing w:before="40" w:after="40"/>
      </w:pPr>
      <w:r>
        <w:rPr>
          <w:i/>
          <w:iCs/>
        </w:rPr>
        <w:t xml:space="preserve">Wiggins &amp; McTighe (2005), </w:t>
      </w:r>
      <w:r>
        <w:t>Understanding by Design</w:t>
      </w:r>
      <w:r>
        <w:rPr>
          <w:i/>
          <w:iCs/>
        </w:rPr>
        <w:t>.</w:t>
      </w:r>
      <w:r>
        <w:t>* Backward design; the evidence question.</w:t>
      </w:r>
    </w:p>
    <w:p w14:paraId="70E13226" w14:textId="77777777" w:rsidR="00D16027" w:rsidRDefault="00000000">
      <w:pPr>
        <w:pStyle w:val="ListParagraph"/>
        <w:numPr>
          <w:ilvl w:val="0"/>
          <w:numId w:val="2"/>
        </w:numPr>
        <w:spacing w:before="40" w:after="40"/>
      </w:pPr>
      <w:r>
        <w:rPr>
          <w:b/>
          <w:bCs/>
        </w:rPr>
        <w:t>Black &amp; Wiliam (1998); Wiliam (2011).</w:t>
      </w:r>
      <w:r>
        <w:t xml:space="preserve"> The case for formative assessment and the mechanics of feedback that works.</w:t>
      </w:r>
    </w:p>
    <w:p w14:paraId="0A4DC7A1" w14:textId="77777777" w:rsidR="00D16027" w:rsidRDefault="00000000">
      <w:pPr>
        <w:pStyle w:val="ListParagraph"/>
        <w:numPr>
          <w:ilvl w:val="0"/>
          <w:numId w:val="2"/>
        </w:numPr>
        <w:spacing w:before="40" w:after="40"/>
      </w:pPr>
      <w:r>
        <w:rPr>
          <w:b/>
          <w:bCs/>
        </w:rPr>
        <w:t>Sadler (1989, 2009).</w:t>
      </w:r>
      <w:r>
        <w:t xml:space="preserve"> The feedback gap; the limits of criteria.</w:t>
      </w:r>
    </w:p>
    <w:p w14:paraId="64F02DA6" w14:textId="77777777" w:rsidR="00D16027" w:rsidRDefault="00000000">
      <w:pPr>
        <w:pStyle w:val="ListParagraph"/>
        <w:numPr>
          <w:ilvl w:val="0"/>
          <w:numId w:val="2"/>
        </w:numPr>
        <w:spacing w:before="40" w:after="40"/>
      </w:pPr>
      <w:r>
        <w:rPr>
          <w:i/>
          <w:iCs/>
        </w:rPr>
        <w:t xml:space="preserve">Pellegrino, </w:t>
      </w:r>
      <w:proofErr w:type="spellStart"/>
      <w:r>
        <w:rPr>
          <w:i/>
          <w:iCs/>
        </w:rPr>
        <w:t>Chudowsky</w:t>
      </w:r>
      <w:proofErr w:type="spellEnd"/>
      <w:r>
        <w:rPr>
          <w:i/>
          <w:iCs/>
        </w:rPr>
        <w:t xml:space="preserve"> &amp; Glaser (2001), </w:t>
      </w:r>
      <w:r>
        <w:t>Knowing What Students Know</w:t>
      </w:r>
      <w:r>
        <w:rPr>
          <w:i/>
          <w:iCs/>
        </w:rPr>
        <w:t>.</w:t>
      </w:r>
      <w:r>
        <w:t>* The assessment triangle; the science of inference from evidence.</w:t>
      </w:r>
    </w:p>
    <w:p w14:paraId="6D14220D" w14:textId="77777777" w:rsidR="00D16027" w:rsidRDefault="00000000">
      <w:pPr>
        <w:pStyle w:val="ListParagraph"/>
        <w:numPr>
          <w:ilvl w:val="0"/>
          <w:numId w:val="2"/>
        </w:numPr>
        <w:spacing w:before="40" w:after="40"/>
      </w:pPr>
      <w:r>
        <w:rPr>
          <w:b/>
          <w:bCs/>
        </w:rPr>
        <w:t>Messick (1989); Kane (2013).</w:t>
      </w:r>
      <w:r>
        <w:t xml:space="preserve"> Validity as interpretation and argument.</w:t>
      </w:r>
    </w:p>
    <w:p w14:paraId="386B4A61" w14:textId="77777777" w:rsidR="00D16027" w:rsidRDefault="00000000">
      <w:pPr>
        <w:pStyle w:val="ListParagraph"/>
        <w:numPr>
          <w:ilvl w:val="0"/>
          <w:numId w:val="2"/>
        </w:numPr>
        <w:spacing w:before="40" w:after="40"/>
      </w:pPr>
      <w:r>
        <w:rPr>
          <w:b/>
          <w:bCs/>
        </w:rPr>
        <w:t>Boud (2000); Boud &amp; Soler (2016).</w:t>
      </w:r>
      <w:r>
        <w:t xml:space="preserve"> Sustainable assessment.</w:t>
      </w:r>
    </w:p>
    <w:p w14:paraId="0711363F" w14:textId="77777777" w:rsidR="00D16027" w:rsidRDefault="00000000">
      <w:pPr>
        <w:pStyle w:val="ListParagraph"/>
        <w:numPr>
          <w:ilvl w:val="0"/>
          <w:numId w:val="2"/>
        </w:numPr>
        <w:spacing w:before="40" w:after="40"/>
      </w:pPr>
      <w:r>
        <w:rPr>
          <w:b/>
          <w:bCs/>
        </w:rPr>
        <w:t>van der Vleuten &amp; Schuwirth (2005); van der Vleuten et al. (2012).</w:t>
      </w:r>
      <w:r>
        <w:t xml:space="preserve"> Programmatic assessment.</w:t>
      </w:r>
    </w:p>
    <w:p w14:paraId="3A5ABB8B" w14:textId="77777777" w:rsidR="00D16027" w:rsidRDefault="00000000">
      <w:pPr>
        <w:pStyle w:val="ListParagraph"/>
        <w:numPr>
          <w:ilvl w:val="0"/>
          <w:numId w:val="2"/>
        </w:numPr>
        <w:spacing w:before="40" w:after="40"/>
      </w:pPr>
      <w:r>
        <w:rPr>
          <w:i/>
          <w:iCs/>
        </w:rPr>
        <w:t xml:space="preserve">Tai et al. (2018); Boud, </w:t>
      </w:r>
      <w:proofErr w:type="spellStart"/>
      <w:r>
        <w:rPr>
          <w:i/>
          <w:iCs/>
        </w:rPr>
        <w:t>Ajjawi</w:t>
      </w:r>
      <w:proofErr w:type="spellEnd"/>
      <w:r>
        <w:rPr>
          <w:i/>
          <w:iCs/>
        </w:rPr>
        <w:t xml:space="preserve">, Dawson &amp; Tai (eds.) (2018), </w:t>
      </w:r>
      <w:r>
        <w:t>Developing Evaluative Judgement in Higher Education</w:t>
      </w:r>
      <w:r>
        <w:rPr>
          <w:i/>
          <w:iCs/>
        </w:rPr>
        <w:t>.</w:t>
      </w:r>
      <w:r>
        <w:t>* The capability this book places at the centre.</w:t>
      </w:r>
    </w:p>
    <w:p w14:paraId="45D9A73A" w14:textId="77777777" w:rsidR="00D16027" w:rsidRDefault="00000000">
      <w:pPr>
        <w:pStyle w:val="ListParagraph"/>
        <w:numPr>
          <w:ilvl w:val="0"/>
          <w:numId w:val="2"/>
        </w:numPr>
        <w:spacing w:before="40" w:after="40"/>
      </w:pPr>
      <w:r>
        <w:rPr>
          <w:b/>
          <w:bCs/>
        </w:rPr>
        <w:t>Carless &amp; Boud (2018); Winstone &amp; Carless (2019).</w:t>
      </w:r>
      <w:r>
        <w:t xml:space="preserve"> Feedback literacy and feedback design.</w:t>
      </w:r>
    </w:p>
    <w:p w14:paraId="49F12CD8" w14:textId="77777777" w:rsidR="00D16027" w:rsidRDefault="00000000">
      <w:pPr>
        <w:pStyle w:val="ListParagraph"/>
        <w:numPr>
          <w:ilvl w:val="0"/>
          <w:numId w:val="2"/>
        </w:numPr>
        <w:spacing w:before="40" w:after="40"/>
      </w:pPr>
      <w:r>
        <w:rPr>
          <w:b/>
          <w:bCs/>
        </w:rPr>
        <w:t>Ashford-Rowe et al. (2014); Villarroel et al. (2018); Gulikers et al. (2004); McArthur (2023).</w:t>
      </w:r>
      <w:r>
        <w:t xml:space="preserve"> Authentic assessment and its critique.</w:t>
      </w:r>
    </w:p>
    <w:p w14:paraId="44522CF7" w14:textId="77777777" w:rsidR="00D16027" w:rsidRDefault="00000000">
      <w:pPr>
        <w:pStyle w:val="Heading2"/>
        <w:keepNext/>
      </w:pPr>
      <w:r>
        <w:t>Generative AI and its capabilities</w:t>
      </w:r>
    </w:p>
    <w:p w14:paraId="1F93D90C" w14:textId="77777777" w:rsidR="00D16027" w:rsidRDefault="00000000">
      <w:pPr>
        <w:pStyle w:val="ListParagraph"/>
        <w:numPr>
          <w:ilvl w:val="0"/>
          <w:numId w:val="2"/>
        </w:numPr>
        <w:spacing w:before="40" w:after="40"/>
      </w:pPr>
      <w:r>
        <w:rPr>
          <w:b/>
          <w:bCs/>
        </w:rPr>
        <w:t xml:space="preserve">Kung et al. (2023); Choi et al. (2023); Katz et al. (2024); </w:t>
      </w:r>
      <w:proofErr w:type="spellStart"/>
      <w:r>
        <w:rPr>
          <w:b/>
          <w:bCs/>
        </w:rPr>
        <w:t>Terwiesch</w:t>
      </w:r>
      <w:proofErr w:type="spellEnd"/>
      <w:r>
        <w:rPr>
          <w:b/>
          <w:bCs/>
        </w:rPr>
        <w:t xml:space="preserve"> (2023); Finnie-Ansley et al. (2022); Nikolic et al. (2023); Frieder et al. (2023).</w:t>
      </w:r>
      <w:r>
        <w:t xml:space="preserve"> The benchmark studies: AI on real assessments across medicine, law, business, computing, engineering and mathematics.</w:t>
      </w:r>
    </w:p>
    <w:p w14:paraId="05FA689F" w14:textId="77777777" w:rsidR="00D16027" w:rsidRDefault="00000000">
      <w:pPr>
        <w:pStyle w:val="ListParagraph"/>
        <w:numPr>
          <w:ilvl w:val="0"/>
          <w:numId w:val="2"/>
        </w:numPr>
        <w:spacing w:before="40" w:after="40"/>
      </w:pPr>
      <w:r>
        <w:rPr>
          <w:i/>
          <w:iCs/>
        </w:rPr>
        <w:t xml:space="preserve">Yan et al. (2024, </w:t>
      </w:r>
      <w:r>
        <w:t>BJET</w:t>
      </w:r>
      <w:r>
        <w:rPr>
          <w:i/>
          <w:iCs/>
        </w:rPr>
        <w:t xml:space="preserve">); Yan et al. (2024, </w:t>
      </w:r>
      <w:r>
        <w:t>Nature Human Behaviour</w:t>
      </w:r>
      <w:r>
        <w:rPr>
          <w:i/>
          <w:iCs/>
        </w:rPr>
        <w:t xml:space="preserve">); </w:t>
      </w:r>
      <w:proofErr w:type="spellStart"/>
      <w:r>
        <w:rPr>
          <w:i/>
          <w:iCs/>
        </w:rPr>
        <w:t>Kasneci</w:t>
      </w:r>
      <w:proofErr w:type="spellEnd"/>
      <w:r>
        <w:rPr>
          <w:i/>
          <w:iCs/>
        </w:rPr>
        <w:t xml:space="preserve"> et al. (2023).</w:t>
      </w:r>
      <w:r>
        <w:t>* Systematic and synthetic overviews of promise and risk.</w:t>
      </w:r>
    </w:p>
    <w:p w14:paraId="728C4545" w14:textId="77777777" w:rsidR="00D16027" w:rsidRDefault="00000000">
      <w:pPr>
        <w:pStyle w:val="ListParagraph"/>
        <w:numPr>
          <w:ilvl w:val="0"/>
          <w:numId w:val="2"/>
        </w:numPr>
        <w:spacing w:before="40" w:after="40"/>
      </w:pPr>
      <w:r>
        <w:rPr>
          <w:b/>
          <w:bCs/>
        </w:rPr>
        <w:t xml:space="preserve">Bender et al. (2021); </w:t>
      </w:r>
      <w:proofErr w:type="spellStart"/>
      <w:r>
        <w:rPr>
          <w:b/>
          <w:bCs/>
        </w:rPr>
        <w:t>Bommasani</w:t>
      </w:r>
      <w:proofErr w:type="spellEnd"/>
      <w:r>
        <w:rPr>
          <w:b/>
          <w:bCs/>
        </w:rPr>
        <w:t xml:space="preserve"> et al. (2021).</w:t>
      </w:r>
      <w:r>
        <w:t xml:space="preserve"> What these systems are, from two perspectives.</w:t>
      </w:r>
    </w:p>
    <w:p w14:paraId="0A4A5A09" w14:textId="77777777" w:rsidR="00D16027" w:rsidRDefault="00000000">
      <w:pPr>
        <w:pStyle w:val="ListParagraph"/>
        <w:numPr>
          <w:ilvl w:val="0"/>
          <w:numId w:val="2"/>
        </w:numPr>
        <w:spacing w:before="40" w:after="40"/>
      </w:pPr>
      <w:r>
        <w:rPr>
          <w:i/>
          <w:iCs/>
        </w:rPr>
        <w:t xml:space="preserve">Luckin (2018); Luckin et al. (2016); Selwyn (2019); Holmes, Bialik &amp; Fadel (2019), </w:t>
      </w:r>
      <w:r>
        <w:t>Artificial Intelligence in Education</w:t>
      </w:r>
      <w:r>
        <w:rPr>
          <w:i/>
          <w:iCs/>
        </w:rPr>
        <w:t>.</w:t>
      </w:r>
      <w:r>
        <w:t>* The longer view on AI and human intelligence in education.</w:t>
      </w:r>
    </w:p>
    <w:p w14:paraId="616CC962" w14:textId="77777777" w:rsidR="00D16027" w:rsidRDefault="00000000">
      <w:pPr>
        <w:pStyle w:val="Heading2"/>
        <w:keepNext/>
      </w:pPr>
      <w:r>
        <w:t>Validity, integrity and detection</w:t>
      </w:r>
    </w:p>
    <w:p w14:paraId="2576A4B2" w14:textId="77777777" w:rsidR="00D16027" w:rsidRDefault="00000000">
      <w:pPr>
        <w:pStyle w:val="ListParagraph"/>
        <w:numPr>
          <w:ilvl w:val="0"/>
          <w:numId w:val="2"/>
        </w:numPr>
        <w:spacing w:before="40" w:after="40"/>
      </w:pPr>
      <w:r>
        <w:rPr>
          <w:b/>
          <w:bCs/>
        </w:rPr>
        <w:t>Dawson, Bearman, Dollinger &amp; Boud (2024), "Validity matters more than cheating".</w:t>
      </w:r>
      <w:r>
        <w:t xml:space="preserve"> The article this book is built around.</w:t>
      </w:r>
    </w:p>
    <w:p w14:paraId="53991050" w14:textId="77777777" w:rsidR="00D16027" w:rsidRDefault="00000000">
      <w:pPr>
        <w:pStyle w:val="ListParagraph"/>
        <w:numPr>
          <w:ilvl w:val="0"/>
          <w:numId w:val="2"/>
        </w:numPr>
        <w:spacing w:before="40" w:after="40"/>
      </w:pPr>
      <w:r>
        <w:rPr>
          <w:i/>
          <w:iCs/>
        </w:rPr>
        <w:t xml:space="preserve">Dawson (2021), </w:t>
      </w:r>
      <w:r>
        <w:t>Defending Assessment Security in a Digital World</w:t>
      </w:r>
      <w:r>
        <w:rPr>
          <w:i/>
          <w:iCs/>
        </w:rPr>
        <w:t>.</w:t>
      </w:r>
      <w:r>
        <w:t>* Security as a validity issue, before AI.</w:t>
      </w:r>
    </w:p>
    <w:p w14:paraId="3213AA20" w14:textId="77777777" w:rsidR="00D16027" w:rsidRDefault="00000000">
      <w:pPr>
        <w:pStyle w:val="ListParagraph"/>
        <w:numPr>
          <w:ilvl w:val="0"/>
          <w:numId w:val="2"/>
        </w:numPr>
        <w:spacing w:before="40" w:after="40"/>
      </w:pPr>
      <w:r>
        <w:rPr>
          <w:b/>
          <w:bCs/>
        </w:rPr>
        <w:t>Corbin, Dawson &amp; Liu (2025), "Talk is cheap".</w:t>
      </w:r>
      <w:r>
        <w:t xml:space="preserve"> Discursive versus structural change.</w:t>
      </w:r>
    </w:p>
    <w:p w14:paraId="37725808" w14:textId="77777777" w:rsidR="00D16027" w:rsidRDefault="00000000">
      <w:pPr>
        <w:pStyle w:val="ListParagraph"/>
        <w:numPr>
          <w:ilvl w:val="0"/>
          <w:numId w:val="2"/>
        </w:numPr>
        <w:spacing w:before="40" w:after="40"/>
      </w:pPr>
      <w:r>
        <w:rPr>
          <w:b/>
          <w:bCs/>
        </w:rPr>
        <w:t>Weber-Wulff et al. (2023); Liang et al. (2023); Perkins et al. (2024, bypass).</w:t>
      </w:r>
      <w:r>
        <w:t xml:space="preserve"> The evidence against detection.</w:t>
      </w:r>
    </w:p>
    <w:p w14:paraId="38A7EC8B" w14:textId="77777777" w:rsidR="00D16027" w:rsidRDefault="00000000">
      <w:pPr>
        <w:pStyle w:val="ListParagraph"/>
        <w:numPr>
          <w:ilvl w:val="0"/>
          <w:numId w:val="2"/>
        </w:numPr>
        <w:spacing w:before="40" w:after="40"/>
      </w:pPr>
      <w:r>
        <w:rPr>
          <w:b/>
          <w:bCs/>
        </w:rPr>
        <w:t>Eaton (2023); Cotton, Cotton &amp; Shipway (2023); Perkins (2023).</w:t>
      </w:r>
      <w:r>
        <w:t xml:space="preserve"> Integrity after plagiarism.</w:t>
      </w:r>
    </w:p>
    <w:p w14:paraId="1D2A6ED5" w14:textId="77777777" w:rsidR="00D16027" w:rsidRDefault="00000000">
      <w:pPr>
        <w:pStyle w:val="ListParagraph"/>
        <w:numPr>
          <w:ilvl w:val="0"/>
          <w:numId w:val="2"/>
        </w:numPr>
        <w:spacing w:before="40" w:after="40"/>
      </w:pPr>
      <w:proofErr w:type="spellStart"/>
      <w:r>
        <w:rPr>
          <w:b/>
          <w:bCs/>
        </w:rPr>
        <w:t>Bretag</w:t>
      </w:r>
      <w:proofErr w:type="spellEnd"/>
      <w:r>
        <w:rPr>
          <w:b/>
          <w:bCs/>
        </w:rPr>
        <w:t xml:space="preserve"> et al. (2019); Newton (2018).</w:t>
      </w:r>
      <w:r>
        <w:t xml:space="preserve"> Contract cheating: prevalence and predictors.</w:t>
      </w:r>
    </w:p>
    <w:p w14:paraId="7FEAAF27" w14:textId="77777777" w:rsidR="00D16027" w:rsidRDefault="00000000">
      <w:pPr>
        <w:pStyle w:val="Heading2"/>
        <w:keepNext/>
      </w:pPr>
      <w:r>
        <w:lastRenderedPageBreak/>
        <w:t>Design frameworks and institutional responses</w:t>
      </w:r>
    </w:p>
    <w:p w14:paraId="694E59D6" w14:textId="77777777" w:rsidR="00D16027" w:rsidRDefault="00000000">
      <w:pPr>
        <w:pStyle w:val="ListParagraph"/>
        <w:numPr>
          <w:ilvl w:val="0"/>
          <w:numId w:val="2"/>
        </w:numPr>
        <w:spacing w:before="40" w:after="40"/>
      </w:pPr>
      <w:r>
        <w:rPr>
          <w:i/>
          <w:iCs/>
        </w:rPr>
        <w:t xml:space="preserve">Lodge, Howard, Bearman, Dawson &amp; Associates (2023), </w:t>
      </w:r>
      <w:r>
        <w:t>Assessment Reform for the Age of AI</w:t>
      </w:r>
      <w:r>
        <w:rPr>
          <w:i/>
          <w:iCs/>
        </w:rPr>
        <w:t xml:space="preserve"> (TEQSA); Lodge et al. (2025).</w:t>
      </w:r>
      <w:r>
        <w:t>* The two principles and their enactment.</w:t>
      </w:r>
    </w:p>
    <w:p w14:paraId="7DD94B84" w14:textId="77777777" w:rsidR="00D16027" w:rsidRDefault="00000000">
      <w:pPr>
        <w:pStyle w:val="ListParagraph"/>
        <w:numPr>
          <w:ilvl w:val="0"/>
          <w:numId w:val="2"/>
        </w:numPr>
        <w:spacing w:before="40" w:after="40"/>
      </w:pPr>
      <w:r>
        <w:rPr>
          <w:b/>
          <w:bCs/>
        </w:rPr>
        <w:t>Liu &amp; Bridgeman (2023); Bridgeman, Liu &amp; Weeks (2024).</w:t>
      </w:r>
      <w:r>
        <w:t xml:space="preserve"> The two-lane approach.</w:t>
      </w:r>
    </w:p>
    <w:p w14:paraId="143312EC" w14:textId="77777777" w:rsidR="00D16027" w:rsidRDefault="00000000">
      <w:pPr>
        <w:pStyle w:val="ListParagraph"/>
        <w:numPr>
          <w:ilvl w:val="0"/>
          <w:numId w:val="2"/>
        </w:numPr>
        <w:spacing w:before="40" w:after="40"/>
      </w:pPr>
      <w:r>
        <w:rPr>
          <w:b/>
          <w:bCs/>
        </w:rPr>
        <w:t xml:space="preserve">Perkins, Furze, Roe &amp; </w:t>
      </w:r>
      <w:proofErr w:type="spellStart"/>
      <w:r>
        <w:rPr>
          <w:b/>
          <w:bCs/>
        </w:rPr>
        <w:t>MacVaugh</w:t>
      </w:r>
      <w:proofErr w:type="spellEnd"/>
      <w:r>
        <w:rPr>
          <w:b/>
          <w:bCs/>
        </w:rPr>
        <w:t xml:space="preserve"> (2024); Perkins, Roe &amp; Furze (2025); Furze et al. (2024).</w:t>
      </w:r>
      <w:r>
        <w:t xml:space="preserve"> The AI Assessment Scale and its pilot.</w:t>
      </w:r>
    </w:p>
    <w:p w14:paraId="0669A6E7" w14:textId="77777777" w:rsidR="00D16027" w:rsidRDefault="00000000">
      <w:pPr>
        <w:pStyle w:val="ListParagraph"/>
        <w:numPr>
          <w:ilvl w:val="0"/>
          <w:numId w:val="2"/>
        </w:numPr>
        <w:spacing w:before="40" w:after="40"/>
      </w:pPr>
      <w:r>
        <w:rPr>
          <w:b/>
          <w:bCs/>
        </w:rPr>
        <w:t xml:space="preserve">Bearman, Nieminen &amp; </w:t>
      </w:r>
      <w:proofErr w:type="spellStart"/>
      <w:r>
        <w:rPr>
          <w:b/>
          <w:bCs/>
        </w:rPr>
        <w:t>Ajjawi</w:t>
      </w:r>
      <w:proofErr w:type="spellEnd"/>
      <w:r>
        <w:rPr>
          <w:b/>
          <w:bCs/>
        </w:rPr>
        <w:t xml:space="preserve"> (2023).</w:t>
      </w:r>
      <w:r>
        <w:t xml:space="preserve"> An organising framework for assessment in a digital world.</w:t>
      </w:r>
    </w:p>
    <w:p w14:paraId="1E34A41E" w14:textId="77777777" w:rsidR="00D16027" w:rsidRDefault="00000000">
      <w:pPr>
        <w:pStyle w:val="ListParagraph"/>
        <w:numPr>
          <w:ilvl w:val="0"/>
          <w:numId w:val="2"/>
        </w:numPr>
        <w:spacing w:before="40" w:after="40"/>
      </w:pPr>
      <w:r>
        <w:rPr>
          <w:b/>
          <w:bCs/>
        </w:rPr>
        <w:t xml:space="preserve">Bearman &amp; </w:t>
      </w:r>
      <w:proofErr w:type="spellStart"/>
      <w:r>
        <w:rPr>
          <w:b/>
          <w:bCs/>
        </w:rPr>
        <w:t>Ajjawi</w:t>
      </w:r>
      <w:proofErr w:type="spellEnd"/>
      <w:r>
        <w:rPr>
          <w:b/>
          <w:bCs/>
        </w:rPr>
        <w:t xml:space="preserve"> (2023); Bearman et al. (2024).</w:t>
      </w:r>
      <w:r>
        <w:t xml:space="preserve"> Pedagogy and evaluative judgement for a world with AI.</w:t>
      </w:r>
    </w:p>
    <w:p w14:paraId="6488CF37" w14:textId="77777777" w:rsidR="00D16027" w:rsidRDefault="00000000">
      <w:pPr>
        <w:pStyle w:val="ListParagraph"/>
        <w:numPr>
          <w:ilvl w:val="0"/>
          <w:numId w:val="2"/>
        </w:numPr>
        <w:spacing w:before="40" w:after="40"/>
      </w:pPr>
      <w:r>
        <w:rPr>
          <w:b/>
          <w:bCs/>
        </w:rPr>
        <w:t>Moorhouse, Yeo &amp; Li (2023).</w:t>
      </w:r>
      <w:r>
        <w:t xml:space="preserve"> What top-ranked universities' AI guidance recommends.</w:t>
      </w:r>
    </w:p>
    <w:p w14:paraId="6F825349" w14:textId="77777777" w:rsidR="00D16027" w:rsidRDefault="00000000">
      <w:pPr>
        <w:pStyle w:val="ListParagraph"/>
        <w:numPr>
          <w:ilvl w:val="0"/>
          <w:numId w:val="2"/>
        </w:numPr>
        <w:spacing w:before="40" w:after="40"/>
      </w:pPr>
      <w:r>
        <w:rPr>
          <w:b/>
          <w:bCs/>
        </w:rPr>
        <w:t>Chan (2023); Chan &amp; Hu (2023).</w:t>
      </w:r>
      <w:r>
        <w:t xml:space="preserve"> A policy framework, and student voices.</w:t>
      </w:r>
    </w:p>
    <w:p w14:paraId="75C1FD58" w14:textId="77777777" w:rsidR="00D16027" w:rsidRDefault="00000000">
      <w:pPr>
        <w:pStyle w:val="ListParagraph"/>
        <w:numPr>
          <w:ilvl w:val="0"/>
          <w:numId w:val="2"/>
        </w:numPr>
        <w:spacing w:before="40" w:after="40"/>
      </w:pPr>
      <w:proofErr w:type="spellStart"/>
      <w:r>
        <w:rPr>
          <w:b/>
          <w:bCs/>
        </w:rPr>
        <w:t>Sotiriadou</w:t>
      </w:r>
      <w:proofErr w:type="spellEnd"/>
      <w:r>
        <w:rPr>
          <w:b/>
          <w:bCs/>
        </w:rPr>
        <w:t xml:space="preserve"> et al. (2020); Ward et al. (2023); </w:t>
      </w:r>
      <w:proofErr w:type="spellStart"/>
      <w:r>
        <w:rPr>
          <w:b/>
          <w:bCs/>
        </w:rPr>
        <w:t>Huxham</w:t>
      </w:r>
      <w:proofErr w:type="spellEnd"/>
      <w:r>
        <w:rPr>
          <w:b/>
          <w:bCs/>
        </w:rPr>
        <w:t xml:space="preserve"> et al. (2012); Joughin (1998).</w:t>
      </w:r>
      <w:r>
        <w:t xml:space="preserve"> Oral and interactive oral assessment.</w:t>
      </w:r>
    </w:p>
    <w:p w14:paraId="2E21137A" w14:textId="77777777" w:rsidR="00D16027" w:rsidRDefault="00000000">
      <w:pPr>
        <w:pStyle w:val="Heading2"/>
        <w:keepNext/>
      </w:pPr>
      <w:r>
        <w:t>Feedback, marking and learning effects</w:t>
      </w:r>
    </w:p>
    <w:p w14:paraId="45F5088F" w14:textId="77777777" w:rsidR="00D16027" w:rsidRDefault="00000000">
      <w:pPr>
        <w:pStyle w:val="ListParagraph"/>
        <w:numPr>
          <w:ilvl w:val="0"/>
          <w:numId w:val="2"/>
        </w:numPr>
        <w:spacing w:before="40" w:after="40"/>
      </w:pPr>
      <w:proofErr w:type="spellStart"/>
      <w:r>
        <w:rPr>
          <w:b/>
          <w:bCs/>
        </w:rPr>
        <w:t>Steiss</w:t>
      </w:r>
      <w:proofErr w:type="spellEnd"/>
      <w:r>
        <w:rPr>
          <w:b/>
          <w:bCs/>
        </w:rPr>
        <w:t xml:space="preserve"> et al. (2024); Dai et al. (2023); Meyer et al. (2024); Escalante et al. (2023); </w:t>
      </w:r>
      <w:proofErr w:type="spellStart"/>
      <w:r>
        <w:rPr>
          <w:b/>
          <w:bCs/>
        </w:rPr>
        <w:t>Banihashem</w:t>
      </w:r>
      <w:proofErr w:type="spellEnd"/>
      <w:r>
        <w:rPr>
          <w:b/>
          <w:bCs/>
        </w:rPr>
        <w:t xml:space="preserve"> et al. (2025).</w:t>
      </w:r>
      <w:r>
        <w:t xml:space="preserve"> AI feedback: quality, effects and hybrid models.</w:t>
      </w:r>
    </w:p>
    <w:p w14:paraId="64563C99" w14:textId="77777777" w:rsidR="00D16027" w:rsidRDefault="00000000">
      <w:pPr>
        <w:pStyle w:val="ListParagraph"/>
        <w:numPr>
          <w:ilvl w:val="0"/>
          <w:numId w:val="2"/>
        </w:numPr>
        <w:spacing w:before="40" w:after="40"/>
      </w:pPr>
      <w:r>
        <w:rPr>
          <w:b/>
          <w:bCs/>
        </w:rPr>
        <w:t xml:space="preserve">Mizumoto &amp; Eguchi (2023); </w:t>
      </w:r>
      <w:proofErr w:type="spellStart"/>
      <w:r>
        <w:rPr>
          <w:b/>
          <w:bCs/>
        </w:rPr>
        <w:t>Kortemeyer</w:t>
      </w:r>
      <w:proofErr w:type="spellEnd"/>
      <w:r>
        <w:rPr>
          <w:b/>
          <w:bCs/>
        </w:rPr>
        <w:t xml:space="preserve"> (2023); Bulut et al. (2024); Bridgeman, Trapani &amp; Attali (2012); Perelman (2014).</w:t>
      </w:r>
      <w:r>
        <w:t xml:space="preserve"> AI and automated marking: accuracy, bias and critique.</w:t>
      </w:r>
    </w:p>
    <w:p w14:paraId="5B5FB3F0" w14:textId="77777777" w:rsidR="00D16027" w:rsidRDefault="00000000">
      <w:pPr>
        <w:pStyle w:val="ListParagraph"/>
        <w:numPr>
          <w:ilvl w:val="0"/>
          <w:numId w:val="2"/>
        </w:numPr>
        <w:spacing w:before="40" w:after="40"/>
      </w:pPr>
      <w:r>
        <w:rPr>
          <w:b/>
          <w:bCs/>
        </w:rPr>
        <w:t>Darvishi et al. (2024); Bastani et al. (2024); Fan et al. (2025).</w:t>
      </w:r>
      <w:r>
        <w:t xml:space="preserve"> Learning offloading, agency and metacognitive laziness.</w:t>
      </w:r>
    </w:p>
    <w:p w14:paraId="0186EFC8" w14:textId="77777777" w:rsidR="00D16027" w:rsidRDefault="00000000">
      <w:pPr>
        <w:pStyle w:val="Heading2"/>
        <w:keepNext/>
      </w:pPr>
      <w:r>
        <w:t>Equity, policy and change</w:t>
      </w:r>
    </w:p>
    <w:p w14:paraId="30A98D38" w14:textId="77777777" w:rsidR="00D16027" w:rsidRDefault="00000000">
      <w:pPr>
        <w:pStyle w:val="ListParagraph"/>
        <w:numPr>
          <w:ilvl w:val="0"/>
          <w:numId w:val="2"/>
        </w:numPr>
        <w:spacing w:before="40" w:after="40"/>
      </w:pPr>
      <w:r>
        <w:rPr>
          <w:b/>
          <w:bCs/>
        </w:rPr>
        <w:t>Nieminen (2022); Tai et al. (2023); CAST (2018).</w:t>
      </w:r>
      <w:r>
        <w:t xml:space="preserve"> Assessment for inclusion.</w:t>
      </w:r>
    </w:p>
    <w:p w14:paraId="739B74B5" w14:textId="77777777" w:rsidR="00D16027" w:rsidRDefault="00000000">
      <w:pPr>
        <w:pStyle w:val="ListParagraph"/>
        <w:numPr>
          <w:ilvl w:val="0"/>
          <w:numId w:val="2"/>
        </w:numPr>
        <w:spacing w:before="40" w:after="40"/>
      </w:pPr>
      <w:r>
        <w:rPr>
          <w:b/>
          <w:bCs/>
        </w:rPr>
        <w:t>Freeman (2024, 2025), HEPI/</w:t>
      </w:r>
      <w:proofErr w:type="spellStart"/>
      <w:r>
        <w:rPr>
          <w:b/>
          <w:bCs/>
        </w:rPr>
        <w:t>Kortext</w:t>
      </w:r>
      <w:proofErr w:type="spellEnd"/>
      <w:r>
        <w:rPr>
          <w:b/>
          <w:bCs/>
        </w:rPr>
        <w:t xml:space="preserve"> surveys; Digital Education Council (2024).</w:t>
      </w:r>
      <w:r>
        <w:t xml:space="preserve"> Student use, access and literacy data.</w:t>
      </w:r>
    </w:p>
    <w:p w14:paraId="2DD94784" w14:textId="77777777" w:rsidR="00D16027" w:rsidRDefault="00000000">
      <w:pPr>
        <w:pStyle w:val="ListParagraph"/>
        <w:numPr>
          <w:ilvl w:val="0"/>
          <w:numId w:val="2"/>
        </w:numPr>
        <w:spacing w:before="40" w:after="40"/>
      </w:pPr>
      <w:r>
        <w:rPr>
          <w:b/>
          <w:bCs/>
        </w:rPr>
        <w:t>UNESCO (2023, 2024); US Department of Education (2023); Russell Group (2023); QAA (2023); European Union (2024), AI Act.</w:t>
      </w:r>
      <w:r>
        <w:t xml:space="preserve"> Policy and regulatory frameworks.</w:t>
      </w:r>
    </w:p>
    <w:p w14:paraId="039969A6" w14:textId="77777777" w:rsidR="00D16027" w:rsidRDefault="00000000">
      <w:pPr>
        <w:pStyle w:val="ListParagraph"/>
        <w:numPr>
          <w:ilvl w:val="0"/>
          <w:numId w:val="2"/>
        </w:numPr>
        <w:spacing w:before="40" w:after="40"/>
      </w:pPr>
      <w:r>
        <w:rPr>
          <w:b/>
          <w:bCs/>
        </w:rPr>
        <w:t xml:space="preserve">Holmes &amp; </w:t>
      </w:r>
      <w:proofErr w:type="spellStart"/>
      <w:r>
        <w:rPr>
          <w:b/>
          <w:bCs/>
        </w:rPr>
        <w:t>Porayska-Pomsta</w:t>
      </w:r>
      <w:proofErr w:type="spellEnd"/>
      <w:r>
        <w:rPr>
          <w:b/>
          <w:bCs/>
        </w:rPr>
        <w:t xml:space="preserve"> (2022).</w:t>
      </w:r>
      <w:r>
        <w:t xml:space="preserve"> The ethics of AI in education.</w:t>
      </w:r>
    </w:p>
    <w:p w14:paraId="2F76BEDA" w14:textId="77777777" w:rsidR="00D16027" w:rsidRDefault="00000000">
      <w:pPr>
        <w:pStyle w:val="ListParagraph"/>
        <w:numPr>
          <w:ilvl w:val="0"/>
          <w:numId w:val="2"/>
        </w:numPr>
        <w:spacing w:before="40" w:after="40"/>
      </w:pPr>
      <w:r>
        <w:rPr>
          <w:b/>
          <w:bCs/>
        </w:rPr>
        <w:t xml:space="preserve">Kotter (1996); Fullan (2007); </w:t>
      </w:r>
      <w:proofErr w:type="spellStart"/>
      <w:r>
        <w:rPr>
          <w:b/>
          <w:bCs/>
        </w:rPr>
        <w:t>Trowler</w:t>
      </w:r>
      <w:proofErr w:type="spellEnd"/>
      <w:r>
        <w:rPr>
          <w:b/>
          <w:bCs/>
        </w:rPr>
        <w:t xml:space="preserve"> (2008); Wenger (1998); Healey, Flint &amp; Harrington (2014); Bovill (2020).</w:t>
      </w:r>
      <w:r>
        <w:t xml:space="preserve"> Change, culture, communities and partnership.</w:t>
      </w:r>
    </w:p>
    <w:p w14:paraId="798477D9" w14:textId="77777777" w:rsidR="00D16027" w:rsidRDefault="00000000">
      <w:pPr>
        <w:pStyle w:val="Heading2"/>
        <w:keepNext/>
      </w:pPr>
      <w:r>
        <w:t>Journals to follow</w:t>
      </w:r>
    </w:p>
    <w:p w14:paraId="69F6CB0C" w14:textId="77777777" w:rsidR="00D16027" w:rsidRDefault="00000000">
      <w:pPr>
        <w:pStyle w:val="ListParagraph"/>
        <w:numPr>
          <w:ilvl w:val="0"/>
          <w:numId w:val="2"/>
        </w:numPr>
        <w:spacing w:before="40" w:after="40"/>
      </w:pPr>
      <w:r>
        <w:rPr>
          <w:i/>
          <w:iCs/>
        </w:rPr>
        <w:t>Assessment &amp; Evaluation in Higher Education</w:t>
      </w:r>
      <w:r>
        <w:t xml:space="preserve">; </w:t>
      </w:r>
      <w:r>
        <w:rPr>
          <w:i/>
          <w:iCs/>
        </w:rPr>
        <w:t>Studies in Higher Education</w:t>
      </w:r>
      <w:r>
        <w:t xml:space="preserve">; </w:t>
      </w:r>
      <w:r>
        <w:rPr>
          <w:i/>
          <w:iCs/>
        </w:rPr>
        <w:t>Higher Education</w:t>
      </w:r>
      <w:r>
        <w:t xml:space="preserve">; </w:t>
      </w:r>
      <w:r>
        <w:rPr>
          <w:i/>
          <w:iCs/>
        </w:rPr>
        <w:t>Teaching in Higher Education</w:t>
      </w:r>
      <w:r>
        <w:t xml:space="preserve">; </w:t>
      </w:r>
      <w:r>
        <w:rPr>
          <w:i/>
          <w:iCs/>
        </w:rPr>
        <w:t>Higher Education Research &amp; Development</w:t>
      </w:r>
      <w:r>
        <w:t>.</w:t>
      </w:r>
    </w:p>
    <w:p w14:paraId="3BD87815" w14:textId="77777777" w:rsidR="00D16027" w:rsidRDefault="00000000">
      <w:pPr>
        <w:pStyle w:val="ListParagraph"/>
        <w:numPr>
          <w:ilvl w:val="0"/>
          <w:numId w:val="2"/>
        </w:numPr>
        <w:spacing w:before="40" w:after="40"/>
      </w:pPr>
      <w:r>
        <w:rPr>
          <w:i/>
          <w:iCs/>
        </w:rPr>
        <w:t>British Journal of Educational Technology</w:t>
      </w:r>
      <w:r>
        <w:t xml:space="preserve">; </w:t>
      </w:r>
      <w:r>
        <w:rPr>
          <w:i/>
          <w:iCs/>
        </w:rPr>
        <w:t>Computers &amp; Education</w:t>
      </w:r>
      <w:r>
        <w:t xml:space="preserve">; </w:t>
      </w:r>
      <w:r>
        <w:rPr>
          <w:i/>
          <w:iCs/>
        </w:rPr>
        <w:t>Computers and Education: Artificial Intelligence</w:t>
      </w:r>
      <w:r>
        <w:t xml:space="preserve">; </w:t>
      </w:r>
      <w:r>
        <w:rPr>
          <w:i/>
          <w:iCs/>
        </w:rPr>
        <w:t>International Journal of Educational Technology in Higher Education</w:t>
      </w:r>
      <w:r>
        <w:t xml:space="preserve">; </w:t>
      </w:r>
      <w:r>
        <w:rPr>
          <w:i/>
          <w:iCs/>
        </w:rPr>
        <w:t>International Journal of Artificial Intelligence in Education</w:t>
      </w:r>
      <w:r>
        <w:t>.</w:t>
      </w:r>
    </w:p>
    <w:p w14:paraId="7A83869B" w14:textId="77777777" w:rsidR="00D16027" w:rsidRDefault="00000000">
      <w:pPr>
        <w:pStyle w:val="ListParagraph"/>
        <w:numPr>
          <w:ilvl w:val="0"/>
          <w:numId w:val="2"/>
        </w:numPr>
        <w:spacing w:before="40" w:after="40"/>
      </w:pPr>
      <w:r>
        <w:rPr>
          <w:i/>
          <w:iCs/>
        </w:rPr>
        <w:t>International Journal for Educational Integrity</w:t>
      </w:r>
      <w:r>
        <w:t xml:space="preserve">; </w:t>
      </w:r>
      <w:r>
        <w:rPr>
          <w:i/>
          <w:iCs/>
        </w:rPr>
        <w:t>Journal of University Teaching and Learning Practice</w:t>
      </w:r>
      <w:r>
        <w:t xml:space="preserve">; </w:t>
      </w:r>
      <w:r>
        <w:rPr>
          <w:i/>
          <w:iCs/>
        </w:rPr>
        <w:t>Language Testing</w:t>
      </w:r>
      <w:r>
        <w:t xml:space="preserve">; </w:t>
      </w:r>
      <w:r>
        <w:rPr>
          <w:i/>
          <w:iCs/>
        </w:rPr>
        <w:t>Medical Education</w:t>
      </w:r>
      <w:r>
        <w:t xml:space="preserve">; </w:t>
      </w:r>
      <w:r>
        <w:rPr>
          <w:i/>
          <w:iCs/>
        </w:rPr>
        <w:t>Medical Teacher</w:t>
      </w:r>
      <w:r>
        <w:t>.</w:t>
      </w:r>
    </w:p>
    <w:p w14:paraId="22CFE55E" w14:textId="77777777" w:rsidR="00D16027" w:rsidRDefault="00000000">
      <w:r>
        <w:br w:type="page"/>
      </w:r>
    </w:p>
    <w:p w14:paraId="1C9F00C5" w14:textId="77777777" w:rsidR="00D16027" w:rsidRDefault="00000000">
      <w:pPr>
        <w:keepNext/>
        <w:spacing w:after="40"/>
      </w:pPr>
      <w:r>
        <w:rPr>
          <w:b/>
          <w:bCs/>
          <w:caps/>
          <w:color w:val="2E75B6"/>
          <w:sz w:val="22"/>
          <w:szCs w:val="22"/>
        </w:rPr>
        <w:lastRenderedPageBreak/>
        <w:t>Appendix D</w:t>
      </w:r>
    </w:p>
    <w:p w14:paraId="1AED5332" w14:textId="77777777" w:rsidR="00D16027" w:rsidRDefault="00000000">
      <w:pPr>
        <w:pStyle w:val="Heading1"/>
        <w:keepNext/>
      </w:pPr>
      <w:r>
        <w:t>Sample Assessment Briefs Across Disciplines</w:t>
      </w:r>
    </w:p>
    <w:p w14:paraId="1D9D5F89" w14:textId="77777777" w:rsidR="00D16027" w:rsidRDefault="00000000">
      <w:pPr>
        <w:pBdr>
          <w:left w:val="single" w:sz="14" w:space="10" w:color="2E75B6"/>
        </w:pBdr>
        <w:shd w:val="clear" w:color="auto" w:fill="EAF3FB"/>
        <w:spacing w:after="200"/>
      </w:pPr>
      <w:r>
        <w:rPr>
          <w:i/>
          <w:iCs/>
          <w:color w:val="333333"/>
        </w:rPr>
        <w:t>Eight worked briefs showing redesigned assessments in the form students would see them, each labelled with its zone and AI Assessment Scale level. They are templates to adapt, not prescriptions.</w:t>
      </w:r>
    </w:p>
    <w:p w14:paraId="3966D15A" w14:textId="77777777" w:rsidR="00D16027" w:rsidRDefault="00000000">
      <w:pPr>
        <w:pStyle w:val="Heading3"/>
        <w:keepNext/>
      </w:pPr>
      <w:r>
        <w:t>D.1  Nursing: placement case conference (resilient, with secured conversation)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44C10E89"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387A4795"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4618E975" w14:textId="77777777" w:rsidR="00D16027" w:rsidRDefault="00000000">
            <w:r>
              <w:rPr>
                <w:b/>
                <w:bCs/>
                <w:color w:val="FFFFFF"/>
                <w:sz w:val="19"/>
                <w:szCs w:val="19"/>
              </w:rPr>
              <w:t>Detail</w:t>
            </w:r>
          </w:p>
        </w:tc>
      </w:tr>
      <w:tr w:rsidR="00D16027" w14:paraId="65D533C8" w14:textId="77777777">
        <w:tblPrEx>
          <w:tblCellMar>
            <w:top w:w="0" w:type="dxa"/>
            <w:bottom w:w="0" w:type="dxa"/>
          </w:tblCellMar>
        </w:tblPrEx>
        <w:trPr>
          <w:cantSplit/>
        </w:trPr>
        <w:tc>
          <w:tcPr>
            <w:tcW w:w="2000" w:type="dxa"/>
            <w:tcMar>
              <w:top w:w="70" w:type="dxa"/>
              <w:left w:w="100" w:type="dxa"/>
              <w:bottom w:w="70" w:type="dxa"/>
              <w:right w:w="100" w:type="dxa"/>
            </w:tcMar>
          </w:tcPr>
          <w:p w14:paraId="3D57803A" w14:textId="77777777" w:rsidR="00D16027" w:rsidRDefault="00000000">
            <w:r>
              <w:rPr>
                <w:sz w:val="19"/>
                <w:szCs w:val="19"/>
              </w:rPr>
              <w:t>Outcome</w:t>
            </w:r>
          </w:p>
        </w:tc>
        <w:tc>
          <w:tcPr>
            <w:tcW w:w="7386" w:type="dxa"/>
            <w:tcMar>
              <w:top w:w="70" w:type="dxa"/>
              <w:left w:w="100" w:type="dxa"/>
              <w:bottom w:w="70" w:type="dxa"/>
              <w:right w:w="100" w:type="dxa"/>
            </w:tcMar>
          </w:tcPr>
          <w:p w14:paraId="60DEFE78" w14:textId="77777777" w:rsidR="00D16027" w:rsidRDefault="00000000">
            <w:r>
              <w:rPr>
                <w:sz w:val="19"/>
                <w:szCs w:val="19"/>
              </w:rPr>
              <w:t>Reflect critically on a specific clinical interaction from placement, evidenced by contemporaneous notes, and explore it in dialogue with a practice assessor</w:t>
            </w:r>
          </w:p>
        </w:tc>
      </w:tr>
      <w:tr w:rsidR="00D16027" w14:paraId="51244EAB" w14:textId="77777777">
        <w:tblPrEx>
          <w:tblCellMar>
            <w:top w:w="0" w:type="dxa"/>
            <w:bottom w:w="0" w:type="dxa"/>
          </w:tblCellMar>
        </w:tblPrEx>
        <w:trPr>
          <w:cantSplit/>
        </w:trPr>
        <w:tc>
          <w:tcPr>
            <w:tcW w:w="2000" w:type="dxa"/>
            <w:tcMar>
              <w:top w:w="70" w:type="dxa"/>
              <w:left w:w="100" w:type="dxa"/>
              <w:bottom w:w="70" w:type="dxa"/>
              <w:right w:w="100" w:type="dxa"/>
            </w:tcMar>
          </w:tcPr>
          <w:p w14:paraId="3F3078F7" w14:textId="77777777" w:rsidR="00D16027" w:rsidRDefault="00000000">
            <w:r>
              <w:rPr>
                <w:sz w:val="19"/>
                <w:szCs w:val="19"/>
              </w:rPr>
              <w:t>Task</w:t>
            </w:r>
          </w:p>
        </w:tc>
        <w:tc>
          <w:tcPr>
            <w:tcW w:w="7386" w:type="dxa"/>
            <w:tcMar>
              <w:top w:w="70" w:type="dxa"/>
              <w:left w:w="100" w:type="dxa"/>
              <w:bottom w:w="70" w:type="dxa"/>
              <w:right w:w="100" w:type="dxa"/>
            </w:tcMar>
          </w:tcPr>
          <w:p w14:paraId="419D787E" w14:textId="77777777" w:rsidR="00D16027" w:rsidRDefault="00000000">
            <w:r>
              <w:rPr>
                <w:sz w:val="19"/>
                <w:szCs w:val="19"/>
              </w:rPr>
              <w:t>Maintain the placement e-portfolio (two structured incident logs per week, dated). Select one incident. Write a 1,000-word reflective account anchored to the log entry, stating what you did, what else you considered and what you would do differently. Attend a twenty-minute case conference with your practice assessor.</w:t>
            </w:r>
          </w:p>
        </w:tc>
      </w:tr>
      <w:tr w:rsidR="00D16027" w14:paraId="39EFD85C" w14:textId="77777777">
        <w:tblPrEx>
          <w:tblCellMar>
            <w:top w:w="0" w:type="dxa"/>
            <w:bottom w:w="0" w:type="dxa"/>
          </w:tblCellMar>
        </w:tblPrEx>
        <w:trPr>
          <w:cantSplit/>
        </w:trPr>
        <w:tc>
          <w:tcPr>
            <w:tcW w:w="2000" w:type="dxa"/>
            <w:tcMar>
              <w:top w:w="70" w:type="dxa"/>
              <w:left w:w="100" w:type="dxa"/>
              <w:bottom w:w="70" w:type="dxa"/>
              <w:right w:w="100" w:type="dxa"/>
            </w:tcMar>
          </w:tcPr>
          <w:p w14:paraId="78EAC83D" w14:textId="77777777" w:rsidR="00D16027" w:rsidRDefault="00000000">
            <w:r>
              <w:rPr>
                <w:sz w:val="19"/>
                <w:szCs w:val="19"/>
              </w:rPr>
              <w:t>Conditions and AI</w:t>
            </w:r>
          </w:p>
        </w:tc>
        <w:tc>
          <w:tcPr>
            <w:tcW w:w="7386" w:type="dxa"/>
            <w:tcMar>
              <w:top w:w="70" w:type="dxa"/>
              <w:left w:w="100" w:type="dxa"/>
              <w:bottom w:w="70" w:type="dxa"/>
              <w:right w:w="100" w:type="dxa"/>
            </w:tcMar>
          </w:tcPr>
          <w:p w14:paraId="6210CF5C" w14:textId="77777777" w:rsidR="00D16027" w:rsidRDefault="00000000">
            <w:r>
              <w:rPr>
                <w:sz w:val="19"/>
                <w:szCs w:val="19"/>
              </w:rPr>
              <w:t>Unsupervised writing; conference secured. AIAS Level 3: AI may be used to improve clarity and structure of your own account; it may not generate content. Declare use.</w:t>
            </w:r>
          </w:p>
        </w:tc>
      </w:tr>
      <w:tr w:rsidR="00D16027" w14:paraId="70D28895" w14:textId="77777777">
        <w:tblPrEx>
          <w:tblCellMar>
            <w:top w:w="0" w:type="dxa"/>
            <w:bottom w:w="0" w:type="dxa"/>
          </w:tblCellMar>
        </w:tblPrEx>
        <w:trPr>
          <w:cantSplit/>
        </w:trPr>
        <w:tc>
          <w:tcPr>
            <w:tcW w:w="2000" w:type="dxa"/>
            <w:tcMar>
              <w:top w:w="70" w:type="dxa"/>
              <w:left w:w="100" w:type="dxa"/>
              <w:bottom w:w="70" w:type="dxa"/>
              <w:right w:w="100" w:type="dxa"/>
            </w:tcMar>
          </w:tcPr>
          <w:p w14:paraId="414C1664" w14:textId="77777777" w:rsidR="00D16027" w:rsidRDefault="00000000">
            <w:r>
              <w:rPr>
                <w:sz w:val="19"/>
                <w:szCs w:val="19"/>
              </w:rPr>
              <w:t>Artefacts</w:t>
            </w:r>
          </w:p>
        </w:tc>
        <w:tc>
          <w:tcPr>
            <w:tcW w:w="7386" w:type="dxa"/>
            <w:tcMar>
              <w:top w:w="70" w:type="dxa"/>
              <w:left w:w="100" w:type="dxa"/>
              <w:bottom w:w="70" w:type="dxa"/>
              <w:right w:w="100" w:type="dxa"/>
            </w:tcMar>
          </w:tcPr>
          <w:p w14:paraId="1F03D36C" w14:textId="77777777" w:rsidR="00D16027" w:rsidRDefault="00000000">
            <w:r>
              <w:rPr>
                <w:sz w:val="19"/>
                <w:szCs w:val="19"/>
              </w:rPr>
              <w:t>E-portfolio logs; reflective account; declaration; assessor sign-off</w:t>
            </w:r>
          </w:p>
        </w:tc>
      </w:tr>
      <w:tr w:rsidR="00D16027" w14:paraId="5D6C48FC" w14:textId="77777777">
        <w:tblPrEx>
          <w:tblCellMar>
            <w:top w:w="0" w:type="dxa"/>
            <w:bottom w:w="0" w:type="dxa"/>
          </w:tblCellMar>
        </w:tblPrEx>
        <w:trPr>
          <w:cantSplit/>
        </w:trPr>
        <w:tc>
          <w:tcPr>
            <w:tcW w:w="2000" w:type="dxa"/>
            <w:tcMar>
              <w:top w:w="70" w:type="dxa"/>
              <w:left w:w="100" w:type="dxa"/>
              <w:bottom w:w="70" w:type="dxa"/>
              <w:right w:w="100" w:type="dxa"/>
            </w:tcMar>
          </w:tcPr>
          <w:p w14:paraId="57CEBEBA" w14:textId="77777777" w:rsidR="00D16027" w:rsidRDefault="00000000">
            <w:r>
              <w:rPr>
                <w:sz w:val="19"/>
                <w:szCs w:val="19"/>
              </w:rPr>
              <w:t>Verification</w:t>
            </w:r>
          </w:p>
        </w:tc>
        <w:tc>
          <w:tcPr>
            <w:tcW w:w="7386" w:type="dxa"/>
            <w:tcMar>
              <w:top w:w="70" w:type="dxa"/>
              <w:left w:w="100" w:type="dxa"/>
              <w:bottom w:w="70" w:type="dxa"/>
              <w:right w:w="100" w:type="dxa"/>
            </w:tcMar>
          </w:tcPr>
          <w:p w14:paraId="3177D67D" w14:textId="77777777" w:rsidR="00D16027" w:rsidRDefault="00000000">
            <w:r>
              <w:rPr>
                <w:sz w:val="19"/>
                <w:szCs w:val="19"/>
              </w:rPr>
              <w:t>Every student attends the conference; recorded</w:t>
            </w:r>
          </w:p>
        </w:tc>
      </w:tr>
      <w:tr w:rsidR="00D16027" w14:paraId="243DF013" w14:textId="77777777">
        <w:tblPrEx>
          <w:tblCellMar>
            <w:top w:w="0" w:type="dxa"/>
            <w:bottom w:w="0" w:type="dxa"/>
          </w:tblCellMar>
        </w:tblPrEx>
        <w:trPr>
          <w:cantSplit/>
        </w:trPr>
        <w:tc>
          <w:tcPr>
            <w:tcW w:w="2000" w:type="dxa"/>
            <w:tcMar>
              <w:top w:w="70" w:type="dxa"/>
              <w:left w:w="100" w:type="dxa"/>
              <w:bottom w:w="70" w:type="dxa"/>
              <w:right w:w="100" w:type="dxa"/>
            </w:tcMar>
          </w:tcPr>
          <w:p w14:paraId="1E38C1A4" w14:textId="77777777" w:rsidR="00D16027" w:rsidRDefault="00000000">
            <w:r>
              <w:rPr>
                <w:sz w:val="19"/>
                <w:szCs w:val="19"/>
              </w:rPr>
              <w:t>Criteria</w:t>
            </w:r>
          </w:p>
        </w:tc>
        <w:tc>
          <w:tcPr>
            <w:tcW w:w="7386" w:type="dxa"/>
            <w:tcMar>
              <w:top w:w="70" w:type="dxa"/>
              <w:left w:w="100" w:type="dxa"/>
              <w:bottom w:w="70" w:type="dxa"/>
              <w:right w:w="100" w:type="dxa"/>
            </w:tcMar>
          </w:tcPr>
          <w:p w14:paraId="02697F1B" w14:textId="77777777" w:rsidR="00D16027" w:rsidRDefault="00000000">
            <w:r>
              <w:rPr>
                <w:sz w:val="19"/>
                <w:szCs w:val="19"/>
              </w:rPr>
              <w:t>Specificity and evidential anchoring; quality of clinical reasoning; honesty of analysis; ability to extend in conversation. Generic reflection scores in the lowest band.</w:t>
            </w:r>
          </w:p>
        </w:tc>
      </w:tr>
    </w:tbl>
    <w:p w14:paraId="772FC465" w14:textId="77777777" w:rsidR="00D16027" w:rsidRDefault="00D16027">
      <w:pPr>
        <w:spacing w:after="120"/>
      </w:pPr>
    </w:p>
    <w:p w14:paraId="7E8E5012" w14:textId="77777777" w:rsidR="00D16027" w:rsidRDefault="00000000">
      <w:pPr>
        <w:pStyle w:val="Heading3"/>
        <w:keepNext/>
      </w:pPr>
      <w:r>
        <w:t>D.2  Law: AI contract clause critique (integrated)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3179337E"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34A2CCA2"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649133B3" w14:textId="77777777" w:rsidR="00D16027" w:rsidRDefault="00000000">
            <w:r>
              <w:rPr>
                <w:b/>
                <w:bCs/>
                <w:color w:val="FFFFFF"/>
                <w:sz w:val="19"/>
                <w:szCs w:val="19"/>
              </w:rPr>
              <w:t>Detail</w:t>
            </w:r>
          </w:p>
        </w:tc>
      </w:tr>
      <w:tr w:rsidR="00D16027" w14:paraId="158D1DED" w14:textId="77777777">
        <w:tblPrEx>
          <w:tblCellMar>
            <w:top w:w="0" w:type="dxa"/>
            <w:bottom w:w="0" w:type="dxa"/>
          </w:tblCellMar>
        </w:tblPrEx>
        <w:trPr>
          <w:cantSplit/>
        </w:trPr>
        <w:tc>
          <w:tcPr>
            <w:tcW w:w="2000" w:type="dxa"/>
            <w:tcMar>
              <w:top w:w="70" w:type="dxa"/>
              <w:left w:w="100" w:type="dxa"/>
              <w:bottom w:w="70" w:type="dxa"/>
              <w:right w:w="100" w:type="dxa"/>
            </w:tcMar>
          </w:tcPr>
          <w:p w14:paraId="11B93DF8" w14:textId="77777777" w:rsidR="00D16027" w:rsidRDefault="00000000">
            <w:r>
              <w:rPr>
                <w:sz w:val="19"/>
                <w:szCs w:val="19"/>
              </w:rPr>
              <w:t>Outcome</w:t>
            </w:r>
          </w:p>
        </w:tc>
        <w:tc>
          <w:tcPr>
            <w:tcW w:w="7386" w:type="dxa"/>
            <w:tcMar>
              <w:top w:w="70" w:type="dxa"/>
              <w:left w:w="100" w:type="dxa"/>
              <w:bottom w:w="70" w:type="dxa"/>
              <w:right w:w="100" w:type="dxa"/>
            </w:tcMar>
          </w:tcPr>
          <w:p w14:paraId="0A8B1ABB" w14:textId="77777777" w:rsidR="00D16027" w:rsidRDefault="00000000">
            <w:r>
              <w:rPr>
                <w:sz w:val="19"/>
                <w:szCs w:val="19"/>
              </w:rPr>
              <w:t>Critically evaluate AI-generated legal drafting against client instructions and current law, and redraft with justification</w:t>
            </w:r>
          </w:p>
        </w:tc>
      </w:tr>
      <w:tr w:rsidR="00D16027" w14:paraId="6DBBB827" w14:textId="77777777">
        <w:tblPrEx>
          <w:tblCellMar>
            <w:top w:w="0" w:type="dxa"/>
            <w:bottom w:w="0" w:type="dxa"/>
          </w:tblCellMar>
        </w:tblPrEx>
        <w:trPr>
          <w:cantSplit/>
        </w:trPr>
        <w:tc>
          <w:tcPr>
            <w:tcW w:w="2000" w:type="dxa"/>
            <w:tcMar>
              <w:top w:w="70" w:type="dxa"/>
              <w:left w:w="100" w:type="dxa"/>
              <w:bottom w:w="70" w:type="dxa"/>
              <w:right w:w="100" w:type="dxa"/>
            </w:tcMar>
          </w:tcPr>
          <w:p w14:paraId="61C1C418" w14:textId="77777777" w:rsidR="00D16027" w:rsidRDefault="00000000">
            <w:r>
              <w:rPr>
                <w:sz w:val="19"/>
                <w:szCs w:val="19"/>
              </w:rPr>
              <w:t>Task</w:t>
            </w:r>
          </w:p>
        </w:tc>
        <w:tc>
          <w:tcPr>
            <w:tcW w:w="7386" w:type="dxa"/>
            <w:tcMar>
              <w:top w:w="70" w:type="dxa"/>
              <w:left w:w="100" w:type="dxa"/>
              <w:bottom w:w="70" w:type="dxa"/>
              <w:right w:w="100" w:type="dxa"/>
            </w:tcMar>
          </w:tcPr>
          <w:p w14:paraId="618CB2FF" w14:textId="77777777" w:rsidR="00D16027" w:rsidRDefault="00000000">
            <w:r>
              <w:rPr>
                <w:sz w:val="19"/>
                <w:szCs w:val="19"/>
              </w:rPr>
              <w:t>You are given a client instruction and an AI-drafted exclusion clause. Identify every error, risk and omission; redraft the clause; write a 600-word memo to the supervising partner explaining what the AI got wrong, how you verified each correction against authority, and what you would tell the client.</w:t>
            </w:r>
          </w:p>
        </w:tc>
      </w:tr>
      <w:tr w:rsidR="00D16027" w14:paraId="28DA5992" w14:textId="77777777">
        <w:tblPrEx>
          <w:tblCellMar>
            <w:top w:w="0" w:type="dxa"/>
            <w:bottom w:w="0" w:type="dxa"/>
          </w:tblCellMar>
        </w:tblPrEx>
        <w:trPr>
          <w:cantSplit/>
        </w:trPr>
        <w:tc>
          <w:tcPr>
            <w:tcW w:w="2000" w:type="dxa"/>
            <w:tcMar>
              <w:top w:w="70" w:type="dxa"/>
              <w:left w:w="100" w:type="dxa"/>
              <w:bottom w:w="70" w:type="dxa"/>
              <w:right w:w="100" w:type="dxa"/>
            </w:tcMar>
          </w:tcPr>
          <w:p w14:paraId="55949000" w14:textId="77777777" w:rsidR="00D16027" w:rsidRDefault="00000000">
            <w:r>
              <w:rPr>
                <w:sz w:val="19"/>
                <w:szCs w:val="19"/>
              </w:rPr>
              <w:t>Conditions and AI</w:t>
            </w:r>
          </w:p>
        </w:tc>
        <w:tc>
          <w:tcPr>
            <w:tcW w:w="7386" w:type="dxa"/>
            <w:tcMar>
              <w:top w:w="70" w:type="dxa"/>
              <w:left w:w="100" w:type="dxa"/>
              <w:bottom w:w="70" w:type="dxa"/>
              <w:right w:w="100" w:type="dxa"/>
            </w:tcMar>
          </w:tcPr>
          <w:p w14:paraId="3F653621" w14:textId="77777777" w:rsidR="00D16027" w:rsidRDefault="00000000">
            <w:r>
              <w:rPr>
                <w:sz w:val="19"/>
                <w:szCs w:val="19"/>
              </w:rPr>
              <w:t>Unsupervised. AIAS Level 5: you may use AI freely, including to test your redraft; the memo must document how.</w:t>
            </w:r>
          </w:p>
        </w:tc>
      </w:tr>
      <w:tr w:rsidR="00D16027" w14:paraId="232AF0BE" w14:textId="77777777">
        <w:tblPrEx>
          <w:tblCellMar>
            <w:top w:w="0" w:type="dxa"/>
            <w:bottom w:w="0" w:type="dxa"/>
          </w:tblCellMar>
        </w:tblPrEx>
        <w:trPr>
          <w:cantSplit/>
        </w:trPr>
        <w:tc>
          <w:tcPr>
            <w:tcW w:w="2000" w:type="dxa"/>
            <w:tcMar>
              <w:top w:w="70" w:type="dxa"/>
              <w:left w:w="100" w:type="dxa"/>
              <w:bottom w:w="70" w:type="dxa"/>
              <w:right w:w="100" w:type="dxa"/>
            </w:tcMar>
          </w:tcPr>
          <w:p w14:paraId="5BAAF7C0" w14:textId="77777777" w:rsidR="00D16027" w:rsidRDefault="00000000">
            <w:r>
              <w:rPr>
                <w:sz w:val="19"/>
                <w:szCs w:val="19"/>
              </w:rPr>
              <w:t>Artefacts</w:t>
            </w:r>
          </w:p>
        </w:tc>
        <w:tc>
          <w:tcPr>
            <w:tcW w:w="7386" w:type="dxa"/>
            <w:tcMar>
              <w:top w:w="70" w:type="dxa"/>
              <w:left w:w="100" w:type="dxa"/>
              <w:bottom w:w="70" w:type="dxa"/>
              <w:right w:w="100" w:type="dxa"/>
            </w:tcMar>
          </w:tcPr>
          <w:p w14:paraId="48EF660E" w14:textId="77777777" w:rsidR="00D16027" w:rsidRDefault="00000000">
            <w:r>
              <w:rPr>
                <w:sz w:val="19"/>
                <w:szCs w:val="19"/>
              </w:rPr>
              <w:t>Annotated original; redraft; memo; verification log; declaration</w:t>
            </w:r>
          </w:p>
        </w:tc>
      </w:tr>
      <w:tr w:rsidR="00D16027" w14:paraId="35B0BC6F" w14:textId="77777777">
        <w:tblPrEx>
          <w:tblCellMar>
            <w:top w:w="0" w:type="dxa"/>
            <w:bottom w:w="0" w:type="dxa"/>
          </w:tblCellMar>
        </w:tblPrEx>
        <w:trPr>
          <w:cantSplit/>
        </w:trPr>
        <w:tc>
          <w:tcPr>
            <w:tcW w:w="2000" w:type="dxa"/>
            <w:tcMar>
              <w:top w:w="70" w:type="dxa"/>
              <w:left w:w="100" w:type="dxa"/>
              <w:bottom w:w="70" w:type="dxa"/>
              <w:right w:w="100" w:type="dxa"/>
            </w:tcMar>
          </w:tcPr>
          <w:p w14:paraId="416271B4" w14:textId="77777777" w:rsidR="00D16027" w:rsidRDefault="00000000">
            <w:r>
              <w:rPr>
                <w:sz w:val="19"/>
                <w:szCs w:val="19"/>
              </w:rPr>
              <w:t>Verification</w:t>
            </w:r>
          </w:p>
        </w:tc>
        <w:tc>
          <w:tcPr>
            <w:tcW w:w="7386" w:type="dxa"/>
            <w:tcMar>
              <w:top w:w="70" w:type="dxa"/>
              <w:left w:w="100" w:type="dxa"/>
              <w:bottom w:w="70" w:type="dxa"/>
              <w:right w:w="100" w:type="dxa"/>
            </w:tcMar>
          </w:tcPr>
          <w:p w14:paraId="78B0E792" w14:textId="77777777" w:rsidR="00D16027" w:rsidRDefault="00000000">
            <w:r>
              <w:rPr>
                <w:sz w:val="19"/>
                <w:szCs w:val="19"/>
              </w:rPr>
              <w:t>Sampled ten-minute conversation (one in three) on two of your judgements</w:t>
            </w:r>
          </w:p>
        </w:tc>
      </w:tr>
      <w:tr w:rsidR="00D16027" w14:paraId="09658E08" w14:textId="77777777">
        <w:tblPrEx>
          <w:tblCellMar>
            <w:top w:w="0" w:type="dxa"/>
            <w:bottom w:w="0" w:type="dxa"/>
          </w:tblCellMar>
        </w:tblPrEx>
        <w:trPr>
          <w:cantSplit/>
        </w:trPr>
        <w:tc>
          <w:tcPr>
            <w:tcW w:w="2000" w:type="dxa"/>
            <w:tcMar>
              <w:top w:w="70" w:type="dxa"/>
              <w:left w:w="100" w:type="dxa"/>
              <w:bottom w:w="70" w:type="dxa"/>
              <w:right w:w="100" w:type="dxa"/>
            </w:tcMar>
          </w:tcPr>
          <w:p w14:paraId="5839B37B" w14:textId="77777777" w:rsidR="00D16027" w:rsidRDefault="00000000">
            <w:r>
              <w:rPr>
                <w:sz w:val="19"/>
                <w:szCs w:val="19"/>
              </w:rPr>
              <w:t>Criteria</w:t>
            </w:r>
          </w:p>
        </w:tc>
        <w:tc>
          <w:tcPr>
            <w:tcW w:w="7386" w:type="dxa"/>
            <w:tcMar>
              <w:top w:w="70" w:type="dxa"/>
              <w:left w:w="100" w:type="dxa"/>
              <w:bottom w:w="70" w:type="dxa"/>
              <w:right w:w="100" w:type="dxa"/>
            </w:tcMar>
          </w:tcPr>
          <w:p w14:paraId="38A768A0" w14:textId="77777777" w:rsidR="00D16027" w:rsidRDefault="00000000">
            <w:r>
              <w:rPr>
                <w:sz w:val="19"/>
                <w:szCs w:val="19"/>
              </w:rPr>
              <w:t>Accuracy and completeness of error identification; quality of verification; legal quality of redraft; clarity of client-facing explanation</w:t>
            </w:r>
          </w:p>
        </w:tc>
      </w:tr>
    </w:tbl>
    <w:p w14:paraId="18067C76" w14:textId="77777777" w:rsidR="00D16027" w:rsidRDefault="00D16027">
      <w:pPr>
        <w:spacing w:after="120"/>
      </w:pPr>
    </w:p>
    <w:p w14:paraId="4BE16D25" w14:textId="77777777" w:rsidR="00D16027" w:rsidRDefault="00000000">
      <w:pPr>
        <w:pStyle w:val="Heading3"/>
        <w:keepNext/>
      </w:pPr>
      <w:r>
        <w:t>D.3  Mechanical engineering: client redesign with oral defence (resilient)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4D8C2013"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2224F9B6"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7F8C89B7" w14:textId="77777777" w:rsidR="00D16027" w:rsidRDefault="00000000">
            <w:r>
              <w:rPr>
                <w:b/>
                <w:bCs/>
                <w:color w:val="FFFFFF"/>
                <w:sz w:val="19"/>
                <w:szCs w:val="19"/>
              </w:rPr>
              <w:t>Detail</w:t>
            </w:r>
          </w:p>
        </w:tc>
      </w:tr>
      <w:tr w:rsidR="00D16027" w14:paraId="00EA4C5F" w14:textId="77777777">
        <w:tblPrEx>
          <w:tblCellMar>
            <w:top w:w="0" w:type="dxa"/>
            <w:bottom w:w="0" w:type="dxa"/>
          </w:tblCellMar>
        </w:tblPrEx>
        <w:trPr>
          <w:cantSplit/>
        </w:trPr>
        <w:tc>
          <w:tcPr>
            <w:tcW w:w="2000" w:type="dxa"/>
            <w:tcMar>
              <w:top w:w="70" w:type="dxa"/>
              <w:left w:w="100" w:type="dxa"/>
              <w:bottom w:w="70" w:type="dxa"/>
              <w:right w:w="100" w:type="dxa"/>
            </w:tcMar>
          </w:tcPr>
          <w:p w14:paraId="13B756A4" w14:textId="77777777" w:rsidR="00D16027" w:rsidRDefault="00000000">
            <w:r>
              <w:rPr>
                <w:sz w:val="19"/>
                <w:szCs w:val="19"/>
              </w:rPr>
              <w:t>Outcome</w:t>
            </w:r>
          </w:p>
        </w:tc>
        <w:tc>
          <w:tcPr>
            <w:tcW w:w="7386" w:type="dxa"/>
            <w:tcMar>
              <w:top w:w="70" w:type="dxa"/>
              <w:left w:w="100" w:type="dxa"/>
              <w:bottom w:w="70" w:type="dxa"/>
              <w:right w:w="100" w:type="dxa"/>
            </w:tcMar>
          </w:tcPr>
          <w:p w14:paraId="7B838DF8" w14:textId="77777777" w:rsidR="00D16027" w:rsidRDefault="00000000">
            <w:r>
              <w:rPr>
                <w:sz w:val="19"/>
                <w:szCs w:val="19"/>
              </w:rPr>
              <w:t>Develop and defend a design solution to a real client brief, drawing on site measurements and negotiated constraints</w:t>
            </w:r>
          </w:p>
        </w:tc>
      </w:tr>
      <w:tr w:rsidR="00D16027" w14:paraId="5D072364" w14:textId="77777777">
        <w:tblPrEx>
          <w:tblCellMar>
            <w:top w:w="0" w:type="dxa"/>
            <w:bottom w:w="0" w:type="dxa"/>
          </w:tblCellMar>
        </w:tblPrEx>
        <w:trPr>
          <w:cantSplit/>
        </w:trPr>
        <w:tc>
          <w:tcPr>
            <w:tcW w:w="2000" w:type="dxa"/>
            <w:tcMar>
              <w:top w:w="70" w:type="dxa"/>
              <w:left w:w="100" w:type="dxa"/>
              <w:bottom w:w="70" w:type="dxa"/>
              <w:right w:w="100" w:type="dxa"/>
            </w:tcMar>
          </w:tcPr>
          <w:p w14:paraId="378093EE" w14:textId="77777777" w:rsidR="00D16027" w:rsidRDefault="00000000">
            <w:r>
              <w:rPr>
                <w:sz w:val="19"/>
                <w:szCs w:val="19"/>
              </w:rPr>
              <w:t>Task</w:t>
            </w:r>
          </w:p>
        </w:tc>
        <w:tc>
          <w:tcPr>
            <w:tcW w:w="7386" w:type="dxa"/>
            <w:tcMar>
              <w:top w:w="70" w:type="dxa"/>
              <w:left w:w="100" w:type="dxa"/>
              <w:bottom w:w="70" w:type="dxa"/>
              <w:right w:w="100" w:type="dxa"/>
            </w:tcMar>
          </w:tcPr>
          <w:p w14:paraId="5AB7ECE0" w14:textId="77777777" w:rsidR="00D16027" w:rsidRDefault="00000000">
            <w:r>
              <w:rPr>
                <w:sz w:val="19"/>
                <w:szCs w:val="19"/>
              </w:rPr>
              <w:t>Working from a brief supplied by a partner manufacturer, attend the site visit, take the required measurements, hold the scoping meeting, and produce a design proposal. Present the proposal to the firm's engineer and respond to unscripted questions.</w:t>
            </w:r>
          </w:p>
        </w:tc>
      </w:tr>
      <w:tr w:rsidR="00D16027" w14:paraId="7C14FD7B" w14:textId="77777777">
        <w:tblPrEx>
          <w:tblCellMar>
            <w:top w:w="0" w:type="dxa"/>
            <w:bottom w:w="0" w:type="dxa"/>
          </w:tblCellMar>
        </w:tblPrEx>
        <w:trPr>
          <w:cantSplit/>
        </w:trPr>
        <w:tc>
          <w:tcPr>
            <w:tcW w:w="2000" w:type="dxa"/>
            <w:tcMar>
              <w:top w:w="70" w:type="dxa"/>
              <w:left w:w="100" w:type="dxa"/>
              <w:bottom w:w="70" w:type="dxa"/>
              <w:right w:w="100" w:type="dxa"/>
            </w:tcMar>
          </w:tcPr>
          <w:p w14:paraId="75E5A13F" w14:textId="77777777" w:rsidR="00D16027" w:rsidRDefault="00000000">
            <w:r>
              <w:rPr>
                <w:sz w:val="19"/>
                <w:szCs w:val="19"/>
              </w:rPr>
              <w:t>Conditions and AI</w:t>
            </w:r>
          </w:p>
        </w:tc>
        <w:tc>
          <w:tcPr>
            <w:tcW w:w="7386" w:type="dxa"/>
            <w:tcMar>
              <w:top w:w="70" w:type="dxa"/>
              <w:left w:w="100" w:type="dxa"/>
              <w:bottom w:w="70" w:type="dxa"/>
              <w:right w:w="100" w:type="dxa"/>
            </w:tcMar>
          </w:tcPr>
          <w:p w14:paraId="0567D9A3" w14:textId="77777777" w:rsidR="00D16027" w:rsidRDefault="00000000">
            <w:r>
              <w:rPr>
                <w:sz w:val="19"/>
                <w:szCs w:val="19"/>
              </w:rPr>
              <w:t>Unsupervised design work; presentation secured. AIAS Level 3: AI may be used for calculation checking and drafting; all calculations must be independently verified and the verification recorded. Declare use.</w:t>
            </w:r>
          </w:p>
        </w:tc>
      </w:tr>
      <w:tr w:rsidR="00D16027" w14:paraId="4671A4E3" w14:textId="77777777">
        <w:tblPrEx>
          <w:tblCellMar>
            <w:top w:w="0" w:type="dxa"/>
            <w:bottom w:w="0" w:type="dxa"/>
          </w:tblCellMar>
        </w:tblPrEx>
        <w:trPr>
          <w:cantSplit/>
        </w:trPr>
        <w:tc>
          <w:tcPr>
            <w:tcW w:w="2000" w:type="dxa"/>
            <w:tcMar>
              <w:top w:w="70" w:type="dxa"/>
              <w:left w:w="100" w:type="dxa"/>
              <w:bottom w:w="70" w:type="dxa"/>
              <w:right w:w="100" w:type="dxa"/>
            </w:tcMar>
          </w:tcPr>
          <w:p w14:paraId="4C4D4B86" w14:textId="77777777" w:rsidR="00D16027" w:rsidRDefault="00000000">
            <w:r>
              <w:rPr>
                <w:sz w:val="19"/>
                <w:szCs w:val="19"/>
              </w:rPr>
              <w:lastRenderedPageBreak/>
              <w:t>Artefacts</w:t>
            </w:r>
          </w:p>
        </w:tc>
        <w:tc>
          <w:tcPr>
            <w:tcW w:w="7386" w:type="dxa"/>
            <w:tcMar>
              <w:top w:w="70" w:type="dxa"/>
              <w:left w:w="100" w:type="dxa"/>
              <w:bottom w:w="70" w:type="dxa"/>
              <w:right w:w="100" w:type="dxa"/>
            </w:tcMar>
          </w:tcPr>
          <w:p w14:paraId="4C5726A0" w14:textId="77777777" w:rsidR="00D16027" w:rsidRDefault="00000000">
            <w:r>
              <w:rPr>
                <w:sz w:val="19"/>
                <w:szCs w:val="19"/>
              </w:rPr>
              <w:t>Measurement log with dated photographs; meeting notes; proposal; verification record; declaration</w:t>
            </w:r>
          </w:p>
        </w:tc>
      </w:tr>
      <w:tr w:rsidR="00D16027" w14:paraId="10239556" w14:textId="77777777">
        <w:tblPrEx>
          <w:tblCellMar>
            <w:top w:w="0" w:type="dxa"/>
            <w:bottom w:w="0" w:type="dxa"/>
          </w:tblCellMar>
        </w:tblPrEx>
        <w:trPr>
          <w:cantSplit/>
        </w:trPr>
        <w:tc>
          <w:tcPr>
            <w:tcW w:w="2000" w:type="dxa"/>
            <w:tcMar>
              <w:top w:w="70" w:type="dxa"/>
              <w:left w:w="100" w:type="dxa"/>
              <w:bottom w:w="70" w:type="dxa"/>
              <w:right w:w="100" w:type="dxa"/>
            </w:tcMar>
          </w:tcPr>
          <w:p w14:paraId="10CF6D5D" w14:textId="77777777" w:rsidR="00D16027" w:rsidRDefault="00000000">
            <w:r>
              <w:rPr>
                <w:sz w:val="19"/>
                <w:szCs w:val="19"/>
              </w:rPr>
              <w:t>Verification</w:t>
            </w:r>
          </w:p>
        </w:tc>
        <w:tc>
          <w:tcPr>
            <w:tcW w:w="7386" w:type="dxa"/>
            <w:tcMar>
              <w:top w:w="70" w:type="dxa"/>
              <w:left w:w="100" w:type="dxa"/>
              <w:bottom w:w="70" w:type="dxa"/>
              <w:right w:w="100" w:type="dxa"/>
            </w:tcMar>
          </w:tcPr>
          <w:p w14:paraId="00A3348C" w14:textId="77777777" w:rsidR="00D16027" w:rsidRDefault="00000000">
            <w:r>
              <w:rPr>
                <w:sz w:val="19"/>
                <w:szCs w:val="19"/>
              </w:rPr>
              <w:t>Every student presents; fifteen minutes of questions; two assessors; recorded</w:t>
            </w:r>
          </w:p>
        </w:tc>
      </w:tr>
      <w:tr w:rsidR="00D16027" w14:paraId="1BBA0B94" w14:textId="77777777">
        <w:tblPrEx>
          <w:tblCellMar>
            <w:top w:w="0" w:type="dxa"/>
            <w:bottom w:w="0" w:type="dxa"/>
          </w:tblCellMar>
        </w:tblPrEx>
        <w:trPr>
          <w:cantSplit/>
        </w:trPr>
        <w:tc>
          <w:tcPr>
            <w:tcW w:w="2000" w:type="dxa"/>
            <w:tcMar>
              <w:top w:w="70" w:type="dxa"/>
              <w:left w:w="100" w:type="dxa"/>
              <w:bottom w:w="70" w:type="dxa"/>
              <w:right w:w="100" w:type="dxa"/>
            </w:tcMar>
          </w:tcPr>
          <w:p w14:paraId="4024B9BE" w14:textId="77777777" w:rsidR="00D16027" w:rsidRDefault="00000000">
            <w:r>
              <w:rPr>
                <w:sz w:val="19"/>
                <w:szCs w:val="19"/>
              </w:rPr>
              <w:t>Criteria</w:t>
            </w:r>
          </w:p>
        </w:tc>
        <w:tc>
          <w:tcPr>
            <w:tcW w:w="7386" w:type="dxa"/>
            <w:tcMar>
              <w:top w:w="70" w:type="dxa"/>
              <w:left w:w="100" w:type="dxa"/>
              <w:bottom w:w="70" w:type="dxa"/>
              <w:right w:w="100" w:type="dxa"/>
            </w:tcMar>
          </w:tcPr>
          <w:p w14:paraId="5BF68786" w14:textId="77777777" w:rsidR="00D16027" w:rsidRDefault="00000000">
            <w:r>
              <w:rPr>
                <w:sz w:val="19"/>
                <w:szCs w:val="19"/>
              </w:rPr>
              <w:t>Fitness of design to measured constraints; engineering judgement; quality of verification; response to questioning</w:t>
            </w:r>
          </w:p>
        </w:tc>
      </w:tr>
    </w:tbl>
    <w:p w14:paraId="4B5AF5D2" w14:textId="77777777" w:rsidR="00D16027" w:rsidRDefault="00D16027">
      <w:pPr>
        <w:spacing w:after="120"/>
      </w:pPr>
    </w:p>
    <w:p w14:paraId="7B9556F2" w14:textId="77777777" w:rsidR="00D16027" w:rsidRDefault="00000000">
      <w:pPr>
        <w:pStyle w:val="Heading3"/>
        <w:keepNext/>
      </w:pPr>
      <w:r>
        <w:t>D.4  History: archive-based essay with conversation (resilient)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21737D75"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2B358411"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3F184748" w14:textId="77777777" w:rsidR="00D16027" w:rsidRDefault="00000000">
            <w:r>
              <w:rPr>
                <w:b/>
                <w:bCs/>
                <w:color w:val="FFFFFF"/>
                <w:sz w:val="19"/>
                <w:szCs w:val="19"/>
              </w:rPr>
              <w:t>Detail</w:t>
            </w:r>
          </w:p>
        </w:tc>
      </w:tr>
      <w:tr w:rsidR="00D16027" w14:paraId="18DB15B8" w14:textId="77777777">
        <w:tblPrEx>
          <w:tblCellMar>
            <w:top w:w="0" w:type="dxa"/>
            <w:bottom w:w="0" w:type="dxa"/>
          </w:tblCellMar>
        </w:tblPrEx>
        <w:trPr>
          <w:cantSplit/>
        </w:trPr>
        <w:tc>
          <w:tcPr>
            <w:tcW w:w="2000" w:type="dxa"/>
            <w:tcMar>
              <w:top w:w="70" w:type="dxa"/>
              <w:left w:w="100" w:type="dxa"/>
              <w:bottom w:w="70" w:type="dxa"/>
              <w:right w:w="100" w:type="dxa"/>
            </w:tcMar>
          </w:tcPr>
          <w:p w14:paraId="66A0C559" w14:textId="77777777" w:rsidR="00D16027" w:rsidRDefault="00000000">
            <w:r>
              <w:rPr>
                <w:sz w:val="19"/>
                <w:szCs w:val="19"/>
              </w:rPr>
              <w:t>Outcome</w:t>
            </w:r>
          </w:p>
        </w:tc>
        <w:tc>
          <w:tcPr>
            <w:tcW w:w="7386" w:type="dxa"/>
            <w:tcMar>
              <w:top w:w="70" w:type="dxa"/>
              <w:left w:w="100" w:type="dxa"/>
              <w:bottom w:w="70" w:type="dxa"/>
              <w:right w:w="100" w:type="dxa"/>
            </w:tcMar>
          </w:tcPr>
          <w:p w14:paraId="40BFCAFD" w14:textId="77777777" w:rsidR="00D16027" w:rsidRDefault="00000000">
            <w:r>
              <w:rPr>
                <w:sz w:val="19"/>
                <w:szCs w:val="19"/>
              </w:rPr>
              <w:t>Interpret primary documents in relation to historiographical debate, and defend the interpretation</w:t>
            </w:r>
          </w:p>
        </w:tc>
      </w:tr>
      <w:tr w:rsidR="00D16027" w14:paraId="6367ECF5" w14:textId="77777777">
        <w:tblPrEx>
          <w:tblCellMar>
            <w:top w:w="0" w:type="dxa"/>
            <w:bottom w:w="0" w:type="dxa"/>
          </w:tblCellMar>
        </w:tblPrEx>
        <w:trPr>
          <w:cantSplit/>
        </w:trPr>
        <w:tc>
          <w:tcPr>
            <w:tcW w:w="2000" w:type="dxa"/>
            <w:tcMar>
              <w:top w:w="70" w:type="dxa"/>
              <w:left w:w="100" w:type="dxa"/>
              <w:bottom w:w="70" w:type="dxa"/>
              <w:right w:w="100" w:type="dxa"/>
            </w:tcMar>
          </w:tcPr>
          <w:p w14:paraId="27DCE419" w14:textId="77777777" w:rsidR="00D16027" w:rsidRDefault="00000000">
            <w:r>
              <w:rPr>
                <w:sz w:val="19"/>
                <w:szCs w:val="19"/>
              </w:rPr>
              <w:t>Task</w:t>
            </w:r>
          </w:p>
        </w:tc>
        <w:tc>
          <w:tcPr>
            <w:tcW w:w="7386" w:type="dxa"/>
            <w:tcMar>
              <w:top w:w="70" w:type="dxa"/>
              <w:left w:w="100" w:type="dxa"/>
              <w:bottom w:w="70" w:type="dxa"/>
              <w:right w:w="100" w:type="dxa"/>
            </w:tcMar>
          </w:tcPr>
          <w:p w14:paraId="60276C05" w14:textId="77777777" w:rsidR="00D16027" w:rsidRDefault="00000000">
            <w:r>
              <w:rPr>
                <w:sz w:val="19"/>
                <w:szCs w:val="19"/>
              </w:rPr>
              <w:t>Using documents from the module's in-house digitised collection from the county record office (sign in at the archive or the reading room), write a 2,000-word essay interpreting at least three documents in relation to a named debate. Submit your document references and reading notes. Discuss your interpretation of one document, chosen by the assessor, in a ten-minute conversation.</w:t>
            </w:r>
          </w:p>
        </w:tc>
      </w:tr>
      <w:tr w:rsidR="00D16027" w14:paraId="614D16F1" w14:textId="77777777">
        <w:tblPrEx>
          <w:tblCellMar>
            <w:top w:w="0" w:type="dxa"/>
            <w:bottom w:w="0" w:type="dxa"/>
          </w:tblCellMar>
        </w:tblPrEx>
        <w:trPr>
          <w:cantSplit/>
        </w:trPr>
        <w:tc>
          <w:tcPr>
            <w:tcW w:w="2000" w:type="dxa"/>
            <w:tcMar>
              <w:top w:w="70" w:type="dxa"/>
              <w:left w:w="100" w:type="dxa"/>
              <w:bottom w:w="70" w:type="dxa"/>
              <w:right w:w="100" w:type="dxa"/>
            </w:tcMar>
          </w:tcPr>
          <w:p w14:paraId="24FA577C" w14:textId="77777777" w:rsidR="00D16027" w:rsidRDefault="00000000">
            <w:r>
              <w:rPr>
                <w:sz w:val="19"/>
                <w:szCs w:val="19"/>
              </w:rPr>
              <w:t>Conditions and AI</w:t>
            </w:r>
          </w:p>
        </w:tc>
        <w:tc>
          <w:tcPr>
            <w:tcW w:w="7386" w:type="dxa"/>
            <w:tcMar>
              <w:top w:w="70" w:type="dxa"/>
              <w:left w:w="100" w:type="dxa"/>
              <w:bottom w:w="70" w:type="dxa"/>
              <w:right w:w="100" w:type="dxa"/>
            </w:tcMar>
          </w:tcPr>
          <w:p w14:paraId="32FAF9C7" w14:textId="77777777" w:rsidR="00D16027" w:rsidRDefault="00000000">
            <w:r>
              <w:rPr>
                <w:sz w:val="19"/>
                <w:szCs w:val="19"/>
              </w:rPr>
              <w:t>Unsupervised writing; conversation secured. AIAS Level 3: AI may be used for structure and language; not for interpretation of the documents. Declare use.</w:t>
            </w:r>
          </w:p>
        </w:tc>
      </w:tr>
      <w:tr w:rsidR="00D16027" w14:paraId="250CD5B1" w14:textId="77777777">
        <w:tblPrEx>
          <w:tblCellMar>
            <w:top w:w="0" w:type="dxa"/>
            <w:bottom w:w="0" w:type="dxa"/>
          </w:tblCellMar>
        </w:tblPrEx>
        <w:trPr>
          <w:cantSplit/>
        </w:trPr>
        <w:tc>
          <w:tcPr>
            <w:tcW w:w="2000" w:type="dxa"/>
            <w:tcMar>
              <w:top w:w="70" w:type="dxa"/>
              <w:left w:w="100" w:type="dxa"/>
              <w:bottom w:w="70" w:type="dxa"/>
              <w:right w:w="100" w:type="dxa"/>
            </w:tcMar>
          </w:tcPr>
          <w:p w14:paraId="6575F89C" w14:textId="77777777" w:rsidR="00D16027" w:rsidRDefault="00000000">
            <w:r>
              <w:rPr>
                <w:sz w:val="19"/>
                <w:szCs w:val="19"/>
              </w:rPr>
              <w:t>Artefacts</w:t>
            </w:r>
          </w:p>
        </w:tc>
        <w:tc>
          <w:tcPr>
            <w:tcW w:w="7386" w:type="dxa"/>
            <w:tcMar>
              <w:top w:w="70" w:type="dxa"/>
              <w:left w:w="100" w:type="dxa"/>
              <w:bottom w:w="70" w:type="dxa"/>
              <w:right w:w="100" w:type="dxa"/>
            </w:tcMar>
          </w:tcPr>
          <w:p w14:paraId="79CF6970" w14:textId="77777777" w:rsidR="00D16027" w:rsidRDefault="00000000">
            <w:r>
              <w:rPr>
                <w:sz w:val="19"/>
                <w:szCs w:val="19"/>
              </w:rPr>
              <w:t>Archive sign-in; reading notes; essay; declaration</w:t>
            </w:r>
          </w:p>
        </w:tc>
      </w:tr>
      <w:tr w:rsidR="00D16027" w14:paraId="42EACFB6" w14:textId="77777777">
        <w:tblPrEx>
          <w:tblCellMar>
            <w:top w:w="0" w:type="dxa"/>
            <w:bottom w:w="0" w:type="dxa"/>
          </w:tblCellMar>
        </w:tblPrEx>
        <w:trPr>
          <w:cantSplit/>
        </w:trPr>
        <w:tc>
          <w:tcPr>
            <w:tcW w:w="2000" w:type="dxa"/>
            <w:tcMar>
              <w:top w:w="70" w:type="dxa"/>
              <w:left w:w="100" w:type="dxa"/>
              <w:bottom w:w="70" w:type="dxa"/>
              <w:right w:w="100" w:type="dxa"/>
            </w:tcMar>
          </w:tcPr>
          <w:p w14:paraId="786E9F45" w14:textId="77777777" w:rsidR="00D16027" w:rsidRDefault="00000000">
            <w:r>
              <w:rPr>
                <w:sz w:val="19"/>
                <w:szCs w:val="19"/>
              </w:rPr>
              <w:t>Verification</w:t>
            </w:r>
          </w:p>
        </w:tc>
        <w:tc>
          <w:tcPr>
            <w:tcW w:w="7386" w:type="dxa"/>
            <w:tcMar>
              <w:top w:w="70" w:type="dxa"/>
              <w:left w:w="100" w:type="dxa"/>
              <w:bottom w:w="70" w:type="dxa"/>
              <w:right w:w="100" w:type="dxa"/>
            </w:tcMar>
          </w:tcPr>
          <w:p w14:paraId="46E10E35" w14:textId="77777777" w:rsidR="00D16027" w:rsidRDefault="00000000">
            <w:r>
              <w:rPr>
                <w:sz w:val="19"/>
                <w:szCs w:val="19"/>
              </w:rPr>
              <w:t>Sampled conversation, one in three, plus flagged cases</w:t>
            </w:r>
          </w:p>
        </w:tc>
      </w:tr>
      <w:tr w:rsidR="00D16027" w14:paraId="4E3DB207" w14:textId="77777777">
        <w:tblPrEx>
          <w:tblCellMar>
            <w:top w:w="0" w:type="dxa"/>
            <w:bottom w:w="0" w:type="dxa"/>
          </w:tblCellMar>
        </w:tblPrEx>
        <w:trPr>
          <w:cantSplit/>
        </w:trPr>
        <w:tc>
          <w:tcPr>
            <w:tcW w:w="2000" w:type="dxa"/>
            <w:tcMar>
              <w:top w:w="70" w:type="dxa"/>
              <w:left w:w="100" w:type="dxa"/>
              <w:bottom w:w="70" w:type="dxa"/>
              <w:right w:w="100" w:type="dxa"/>
            </w:tcMar>
          </w:tcPr>
          <w:p w14:paraId="452F4565" w14:textId="77777777" w:rsidR="00D16027" w:rsidRDefault="00000000">
            <w:r>
              <w:rPr>
                <w:sz w:val="19"/>
                <w:szCs w:val="19"/>
              </w:rPr>
              <w:t>Criteria</w:t>
            </w:r>
          </w:p>
        </w:tc>
        <w:tc>
          <w:tcPr>
            <w:tcW w:w="7386" w:type="dxa"/>
            <w:tcMar>
              <w:top w:w="70" w:type="dxa"/>
              <w:left w:w="100" w:type="dxa"/>
              <w:bottom w:w="70" w:type="dxa"/>
              <w:right w:w="100" w:type="dxa"/>
            </w:tcMar>
          </w:tcPr>
          <w:p w14:paraId="41860A15" w14:textId="77777777" w:rsidR="00D16027" w:rsidRDefault="00000000">
            <w:r>
              <w:rPr>
                <w:sz w:val="19"/>
                <w:szCs w:val="19"/>
              </w:rPr>
              <w:t>Quality of documentary interpretation; engagement with debate; use of evidence; ability to defend in conversation</w:t>
            </w:r>
          </w:p>
        </w:tc>
      </w:tr>
    </w:tbl>
    <w:p w14:paraId="2FE38DB0" w14:textId="77777777" w:rsidR="00D16027" w:rsidRDefault="00D16027">
      <w:pPr>
        <w:spacing w:after="120"/>
      </w:pPr>
    </w:p>
    <w:p w14:paraId="47BF55EE" w14:textId="77777777" w:rsidR="00D16027" w:rsidRDefault="00000000">
      <w:pPr>
        <w:pStyle w:val="Heading3"/>
        <w:keepNext/>
      </w:pPr>
      <w:r>
        <w:t>D.5  Computer science: AI-assisted implementation with walkthrough (integrated)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46D6536C"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12505FC2"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30765637" w14:textId="77777777" w:rsidR="00D16027" w:rsidRDefault="00000000">
            <w:r>
              <w:rPr>
                <w:b/>
                <w:bCs/>
                <w:color w:val="FFFFFF"/>
                <w:sz w:val="19"/>
                <w:szCs w:val="19"/>
              </w:rPr>
              <w:t>Detail</w:t>
            </w:r>
          </w:p>
        </w:tc>
      </w:tr>
      <w:tr w:rsidR="00D16027" w14:paraId="55F4F236" w14:textId="77777777">
        <w:tblPrEx>
          <w:tblCellMar>
            <w:top w:w="0" w:type="dxa"/>
            <w:bottom w:w="0" w:type="dxa"/>
          </w:tblCellMar>
        </w:tblPrEx>
        <w:trPr>
          <w:cantSplit/>
        </w:trPr>
        <w:tc>
          <w:tcPr>
            <w:tcW w:w="2000" w:type="dxa"/>
            <w:tcMar>
              <w:top w:w="70" w:type="dxa"/>
              <w:left w:w="100" w:type="dxa"/>
              <w:bottom w:w="70" w:type="dxa"/>
              <w:right w:w="100" w:type="dxa"/>
            </w:tcMar>
          </w:tcPr>
          <w:p w14:paraId="274B2F1A" w14:textId="77777777" w:rsidR="00D16027" w:rsidRDefault="00000000">
            <w:r>
              <w:rPr>
                <w:sz w:val="19"/>
                <w:szCs w:val="19"/>
              </w:rPr>
              <w:t>Outcome</w:t>
            </w:r>
          </w:p>
        </w:tc>
        <w:tc>
          <w:tcPr>
            <w:tcW w:w="7386" w:type="dxa"/>
            <w:tcMar>
              <w:top w:w="70" w:type="dxa"/>
              <w:left w:w="100" w:type="dxa"/>
              <w:bottom w:w="70" w:type="dxa"/>
              <w:right w:w="100" w:type="dxa"/>
            </w:tcMar>
          </w:tcPr>
          <w:p w14:paraId="0A5ABC42" w14:textId="77777777" w:rsidR="00D16027" w:rsidRDefault="00000000">
            <w:r>
              <w:rPr>
                <w:sz w:val="19"/>
                <w:szCs w:val="19"/>
              </w:rPr>
              <w:t>Specify, implement, review and explain software, including AI-generated code, and justify design decisions</w:t>
            </w:r>
          </w:p>
        </w:tc>
      </w:tr>
      <w:tr w:rsidR="00D16027" w14:paraId="47FE04D0" w14:textId="77777777">
        <w:tblPrEx>
          <w:tblCellMar>
            <w:top w:w="0" w:type="dxa"/>
            <w:bottom w:w="0" w:type="dxa"/>
          </w:tblCellMar>
        </w:tblPrEx>
        <w:trPr>
          <w:cantSplit/>
        </w:trPr>
        <w:tc>
          <w:tcPr>
            <w:tcW w:w="2000" w:type="dxa"/>
            <w:tcMar>
              <w:top w:w="70" w:type="dxa"/>
              <w:left w:w="100" w:type="dxa"/>
              <w:bottom w:w="70" w:type="dxa"/>
              <w:right w:w="100" w:type="dxa"/>
            </w:tcMar>
          </w:tcPr>
          <w:p w14:paraId="30FCF156" w14:textId="77777777" w:rsidR="00D16027" w:rsidRDefault="00000000">
            <w:r>
              <w:rPr>
                <w:sz w:val="19"/>
                <w:szCs w:val="19"/>
              </w:rPr>
              <w:t>Task</w:t>
            </w:r>
          </w:p>
        </w:tc>
        <w:tc>
          <w:tcPr>
            <w:tcW w:w="7386" w:type="dxa"/>
            <w:tcMar>
              <w:top w:w="70" w:type="dxa"/>
              <w:left w:w="100" w:type="dxa"/>
              <w:bottom w:w="70" w:type="dxa"/>
              <w:right w:w="100" w:type="dxa"/>
            </w:tcMar>
          </w:tcPr>
          <w:p w14:paraId="72C34369" w14:textId="77777777" w:rsidR="00D16027" w:rsidRDefault="00000000">
            <w:r>
              <w:rPr>
                <w:sz w:val="19"/>
                <w:szCs w:val="19"/>
              </w:rPr>
              <w:t>Submit an unassisted specification and initial design before using AI. Implement the system with AI assistance, recording in each commit message what was generated, accepted and rewritten. Submit a code review of the AI-generated functions. Attend a fifteen-minute walkthrough in which you explain and modify a function chosen on the day.</w:t>
            </w:r>
          </w:p>
        </w:tc>
      </w:tr>
      <w:tr w:rsidR="00D16027" w14:paraId="4A0DC6E4" w14:textId="77777777">
        <w:tblPrEx>
          <w:tblCellMar>
            <w:top w:w="0" w:type="dxa"/>
            <w:bottom w:w="0" w:type="dxa"/>
          </w:tblCellMar>
        </w:tblPrEx>
        <w:trPr>
          <w:cantSplit/>
        </w:trPr>
        <w:tc>
          <w:tcPr>
            <w:tcW w:w="2000" w:type="dxa"/>
            <w:tcMar>
              <w:top w:w="70" w:type="dxa"/>
              <w:left w:w="100" w:type="dxa"/>
              <w:bottom w:w="70" w:type="dxa"/>
              <w:right w:w="100" w:type="dxa"/>
            </w:tcMar>
          </w:tcPr>
          <w:p w14:paraId="770B682A" w14:textId="77777777" w:rsidR="00D16027" w:rsidRDefault="00000000">
            <w:r>
              <w:rPr>
                <w:sz w:val="19"/>
                <w:szCs w:val="19"/>
              </w:rPr>
              <w:t>Conditions and AI</w:t>
            </w:r>
          </w:p>
        </w:tc>
        <w:tc>
          <w:tcPr>
            <w:tcW w:w="7386" w:type="dxa"/>
            <w:tcMar>
              <w:top w:w="70" w:type="dxa"/>
              <w:left w:w="100" w:type="dxa"/>
              <w:bottom w:w="70" w:type="dxa"/>
              <w:right w:w="100" w:type="dxa"/>
            </w:tcMar>
          </w:tcPr>
          <w:p w14:paraId="0BA813D7" w14:textId="77777777" w:rsidR="00D16027" w:rsidRDefault="00000000">
            <w:r>
              <w:rPr>
                <w:sz w:val="19"/>
                <w:szCs w:val="19"/>
              </w:rPr>
              <w:t>Unsupervised implementation; walkthrough secured. AIAS Level 4.</w:t>
            </w:r>
          </w:p>
        </w:tc>
      </w:tr>
      <w:tr w:rsidR="00D16027" w14:paraId="1F44E0E2" w14:textId="77777777">
        <w:tblPrEx>
          <w:tblCellMar>
            <w:top w:w="0" w:type="dxa"/>
            <w:bottom w:w="0" w:type="dxa"/>
          </w:tblCellMar>
        </w:tblPrEx>
        <w:trPr>
          <w:cantSplit/>
        </w:trPr>
        <w:tc>
          <w:tcPr>
            <w:tcW w:w="2000" w:type="dxa"/>
            <w:tcMar>
              <w:top w:w="70" w:type="dxa"/>
              <w:left w:w="100" w:type="dxa"/>
              <w:bottom w:w="70" w:type="dxa"/>
              <w:right w:w="100" w:type="dxa"/>
            </w:tcMar>
          </w:tcPr>
          <w:p w14:paraId="0D9403FB" w14:textId="77777777" w:rsidR="00D16027" w:rsidRDefault="00000000">
            <w:r>
              <w:rPr>
                <w:sz w:val="19"/>
                <w:szCs w:val="19"/>
              </w:rPr>
              <w:t>Artefacts</w:t>
            </w:r>
          </w:p>
        </w:tc>
        <w:tc>
          <w:tcPr>
            <w:tcW w:w="7386" w:type="dxa"/>
            <w:tcMar>
              <w:top w:w="70" w:type="dxa"/>
              <w:left w:w="100" w:type="dxa"/>
              <w:bottom w:w="70" w:type="dxa"/>
              <w:right w:w="100" w:type="dxa"/>
            </w:tcMar>
          </w:tcPr>
          <w:p w14:paraId="02695DEC" w14:textId="77777777" w:rsidR="00D16027" w:rsidRDefault="00000000">
            <w:r>
              <w:rPr>
                <w:sz w:val="19"/>
                <w:szCs w:val="19"/>
              </w:rPr>
              <w:t>Unassisted specification; repository with commit history; code review; declaration</w:t>
            </w:r>
          </w:p>
        </w:tc>
      </w:tr>
      <w:tr w:rsidR="00D16027" w14:paraId="487C08FF" w14:textId="77777777">
        <w:tblPrEx>
          <w:tblCellMar>
            <w:top w:w="0" w:type="dxa"/>
            <w:bottom w:w="0" w:type="dxa"/>
          </w:tblCellMar>
        </w:tblPrEx>
        <w:trPr>
          <w:cantSplit/>
        </w:trPr>
        <w:tc>
          <w:tcPr>
            <w:tcW w:w="2000" w:type="dxa"/>
            <w:tcMar>
              <w:top w:w="70" w:type="dxa"/>
              <w:left w:w="100" w:type="dxa"/>
              <w:bottom w:w="70" w:type="dxa"/>
              <w:right w:w="100" w:type="dxa"/>
            </w:tcMar>
          </w:tcPr>
          <w:p w14:paraId="3073EFC8" w14:textId="77777777" w:rsidR="00D16027" w:rsidRDefault="00000000">
            <w:r>
              <w:rPr>
                <w:sz w:val="19"/>
                <w:szCs w:val="19"/>
              </w:rPr>
              <w:t>Verification</w:t>
            </w:r>
          </w:p>
        </w:tc>
        <w:tc>
          <w:tcPr>
            <w:tcW w:w="7386" w:type="dxa"/>
            <w:tcMar>
              <w:top w:w="70" w:type="dxa"/>
              <w:left w:w="100" w:type="dxa"/>
              <w:bottom w:w="70" w:type="dxa"/>
              <w:right w:w="100" w:type="dxa"/>
            </w:tcMar>
          </w:tcPr>
          <w:p w14:paraId="6AC2A68B" w14:textId="77777777" w:rsidR="00D16027" w:rsidRDefault="00000000">
            <w:r>
              <w:rPr>
                <w:sz w:val="19"/>
                <w:szCs w:val="19"/>
              </w:rPr>
              <w:t>Every student attends the walkthrough</w:t>
            </w:r>
          </w:p>
        </w:tc>
      </w:tr>
      <w:tr w:rsidR="00D16027" w14:paraId="4DFF4B8C" w14:textId="77777777">
        <w:tblPrEx>
          <w:tblCellMar>
            <w:top w:w="0" w:type="dxa"/>
            <w:bottom w:w="0" w:type="dxa"/>
          </w:tblCellMar>
        </w:tblPrEx>
        <w:trPr>
          <w:cantSplit/>
        </w:trPr>
        <w:tc>
          <w:tcPr>
            <w:tcW w:w="2000" w:type="dxa"/>
            <w:tcMar>
              <w:top w:w="70" w:type="dxa"/>
              <w:left w:w="100" w:type="dxa"/>
              <w:bottom w:w="70" w:type="dxa"/>
              <w:right w:w="100" w:type="dxa"/>
            </w:tcMar>
          </w:tcPr>
          <w:p w14:paraId="59720B0F" w14:textId="77777777" w:rsidR="00D16027" w:rsidRDefault="00000000">
            <w:r>
              <w:rPr>
                <w:sz w:val="19"/>
                <w:szCs w:val="19"/>
              </w:rPr>
              <w:t>Criteria</w:t>
            </w:r>
          </w:p>
        </w:tc>
        <w:tc>
          <w:tcPr>
            <w:tcW w:w="7386" w:type="dxa"/>
            <w:tcMar>
              <w:top w:w="70" w:type="dxa"/>
              <w:left w:w="100" w:type="dxa"/>
              <w:bottom w:w="70" w:type="dxa"/>
              <w:right w:w="100" w:type="dxa"/>
            </w:tcMar>
          </w:tcPr>
          <w:p w14:paraId="071F11EC" w14:textId="77777777" w:rsidR="00D16027" w:rsidRDefault="00000000">
            <w:r>
              <w:rPr>
                <w:sz w:val="19"/>
                <w:szCs w:val="19"/>
              </w:rPr>
              <w:t>Quality of specification; quality of review and judgement about AI output; ability to explain and modify; software quality</w:t>
            </w:r>
          </w:p>
        </w:tc>
      </w:tr>
    </w:tbl>
    <w:p w14:paraId="56021845" w14:textId="77777777" w:rsidR="00D16027" w:rsidRDefault="00D16027">
      <w:pPr>
        <w:spacing w:after="120"/>
      </w:pPr>
    </w:p>
    <w:p w14:paraId="2969E3D0" w14:textId="77777777" w:rsidR="00D16027" w:rsidRDefault="00000000">
      <w:pPr>
        <w:pStyle w:val="Heading3"/>
        <w:keepNext/>
      </w:pPr>
      <w:r>
        <w:t>D.6  Business (foundation year): in-class case and AI plan critique (excluded plus integrated)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5A26BA58"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5E5566BF"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0D539278" w14:textId="77777777" w:rsidR="00D16027" w:rsidRDefault="00000000">
            <w:r>
              <w:rPr>
                <w:b/>
                <w:bCs/>
                <w:color w:val="FFFFFF"/>
                <w:sz w:val="19"/>
                <w:szCs w:val="19"/>
              </w:rPr>
              <w:t>Detail</w:t>
            </w:r>
          </w:p>
        </w:tc>
      </w:tr>
      <w:tr w:rsidR="00D16027" w14:paraId="736C3C65" w14:textId="77777777">
        <w:tblPrEx>
          <w:tblCellMar>
            <w:top w:w="0" w:type="dxa"/>
            <w:bottom w:w="0" w:type="dxa"/>
          </w:tblCellMar>
        </w:tblPrEx>
        <w:trPr>
          <w:cantSplit/>
        </w:trPr>
        <w:tc>
          <w:tcPr>
            <w:tcW w:w="2000" w:type="dxa"/>
            <w:tcMar>
              <w:top w:w="70" w:type="dxa"/>
              <w:left w:w="100" w:type="dxa"/>
              <w:bottom w:w="70" w:type="dxa"/>
              <w:right w:w="100" w:type="dxa"/>
            </w:tcMar>
          </w:tcPr>
          <w:p w14:paraId="1AC79704" w14:textId="77777777" w:rsidR="00D16027" w:rsidRDefault="00000000">
            <w:r>
              <w:rPr>
                <w:sz w:val="19"/>
                <w:szCs w:val="19"/>
              </w:rPr>
              <w:t>Outcome</w:t>
            </w:r>
          </w:p>
        </w:tc>
        <w:tc>
          <w:tcPr>
            <w:tcW w:w="7386" w:type="dxa"/>
            <w:tcMar>
              <w:top w:w="70" w:type="dxa"/>
              <w:left w:w="100" w:type="dxa"/>
              <w:bottom w:w="70" w:type="dxa"/>
              <w:right w:w="100" w:type="dxa"/>
            </w:tcMar>
          </w:tcPr>
          <w:p w14:paraId="75F92E25" w14:textId="77777777" w:rsidR="00D16027" w:rsidRDefault="00000000">
            <w:r>
              <w:rPr>
                <w:sz w:val="19"/>
                <w:szCs w:val="19"/>
              </w:rPr>
              <w:t>Analyse a business situation under time constraint; critically evaluate an AI-generated business plan against a real organisation's constraints</w:t>
            </w:r>
          </w:p>
        </w:tc>
      </w:tr>
      <w:tr w:rsidR="00D16027" w14:paraId="08FDC765" w14:textId="77777777">
        <w:tblPrEx>
          <w:tblCellMar>
            <w:top w:w="0" w:type="dxa"/>
            <w:bottom w:w="0" w:type="dxa"/>
          </w:tblCellMar>
        </w:tblPrEx>
        <w:trPr>
          <w:cantSplit/>
        </w:trPr>
        <w:tc>
          <w:tcPr>
            <w:tcW w:w="2000" w:type="dxa"/>
            <w:tcMar>
              <w:top w:w="70" w:type="dxa"/>
              <w:left w:w="100" w:type="dxa"/>
              <w:bottom w:w="70" w:type="dxa"/>
              <w:right w:w="100" w:type="dxa"/>
            </w:tcMar>
          </w:tcPr>
          <w:p w14:paraId="1A55F1BE" w14:textId="77777777" w:rsidR="00D16027" w:rsidRDefault="00000000">
            <w:r>
              <w:rPr>
                <w:sz w:val="19"/>
                <w:szCs w:val="19"/>
              </w:rPr>
              <w:lastRenderedPageBreak/>
              <w:t>Task</w:t>
            </w:r>
          </w:p>
        </w:tc>
        <w:tc>
          <w:tcPr>
            <w:tcW w:w="7386" w:type="dxa"/>
            <w:tcMar>
              <w:top w:w="70" w:type="dxa"/>
              <w:left w:w="100" w:type="dxa"/>
              <w:bottom w:w="70" w:type="dxa"/>
              <w:right w:w="100" w:type="dxa"/>
            </w:tcMar>
          </w:tcPr>
          <w:p w14:paraId="6E27D405" w14:textId="77777777" w:rsidR="00D16027" w:rsidRDefault="00000000">
            <w:r>
              <w:rPr>
                <w:sz w:val="19"/>
                <w:szCs w:val="19"/>
              </w:rPr>
              <w:t>Part A (35%): a 50-minute structured analysis, in class, of a case released on the day. Part B (25%): using the institution's licensed AI tool, generate a business plan for the named campus enterprise; write a 700-word critique identifying its errors and unrealistic assumptions with reference to the enterprise's published accounts and your conversation with its manager; attach a one-page reflection on what the AI did well and badly.</w:t>
            </w:r>
          </w:p>
        </w:tc>
      </w:tr>
      <w:tr w:rsidR="00D16027" w14:paraId="24CF10D3" w14:textId="77777777">
        <w:tblPrEx>
          <w:tblCellMar>
            <w:top w:w="0" w:type="dxa"/>
            <w:bottom w:w="0" w:type="dxa"/>
          </w:tblCellMar>
        </w:tblPrEx>
        <w:trPr>
          <w:cantSplit/>
        </w:trPr>
        <w:tc>
          <w:tcPr>
            <w:tcW w:w="2000" w:type="dxa"/>
            <w:tcMar>
              <w:top w:w="70" w:type="dxa"/>
              <w:left w:w="100" w:type="dxa"/>
              <w:bottom w:w="70" w:type="dxa"/>
              <w:right w:w="100" w:type="dxa"/>
            </w:tcMar>
          </w:tcPr>
          <w:p w14:paraId="0AD71FAC" w14:textId="77777777" w:rsidR="00D16027" w:rsidRDefault="00000000">
            <w:r>
              <w:rPr>
                <w:sz w:val="19"/>
                <w:szCs w:val="19"/>
              </w:rPr>
              <w:t>Conditions and AI</w:t>
            </w:r>
          </w:p>
        </w:tc>
        <w:tc>
          <w:tcPr>
            <w:tcW w:w="7386" w:type="dxa"/>
            <w:tcMar>
              <w:top w:w="70" w:type="dxa"/>
              <w:left w:w="100" w:type="dxa"/>
              <w:bottom w:w="70" w:type="dxa"/>
              <w:right w:w="100" w:type="dxa"/>
            </w:tcMar>
          </w:tcPr>
          <w:p w14:paraId="79E6C2E0" w14:textId="77777777" w:rsidR="00D16027" w:rsidRDefault="00000000">
            <w:r>
              <w:rPr>
                <w:sz w:val="19"/>
                <w:szCs w:val="19"/>
              </w:rPr>
              <w:t>Part A secured, AIAS Level 1. Part B AIAS Level 5 with declaration.</w:t>
            </w:r>
          </w:p>
        </w:tc>
      </w:tr>
      <w:tr w:rsidR="00D16027" w14:paraId="1F646D94" w14:textId="77777777">
        <w:tblPrEx>
          <w:tblCellMar>
            <w:top w:w="0" w:type="dxa"/>
            <w:bottom w:w="0" w:type="dxa"/>
          </w:tblCellMar>
        </w:tblPrEx>
        <w:trPr>
          <w:cantSplit/>
        </w:trPr>
        <w:tc>
          <w:tcPr>
            <w:tcW w:w="2000" w:type="dxa"/>
            <w:tcMar>
              <w:top w:w="70" w:type="dxa"/>
              <w:left w:w="100" w:type="dxa"/>
              <w:bottom w:w="70" w:type="dxa"/>
              <w:right w:w="100" w:type="dxa"/>
            </w:tcMar>
          </w:tcPr>
          <w:p w14:paraId="36C53576" w14:textId="77777777" w:rsidR="00D16027" w:rsidRDefault="00000000">
            <w:r>
              <w:rPr>
                <w:sz w:val="19"/>
                <w:szCs w:val="19"/>
              </w:rPr>
              <w:t>Artefacts</w:t>
            </w:r>
          </w:p>
        </w:tc>
        <w:tc>
          <w:tcPr>
            <w:tcW w:w="7386" w:type="dxa"/>
            <w:tcMar>
              <w:top w:w="70" w:type="dxa"/>
              <w:left w:w="100" w:type="dxa"/>
              <w:bottom w:w="70" w:type="dxa"/>
              <w:right w:w="100" w:type="dxa"/>
            </w:tcMar>
          </w:tcPr>
          <w:p w14:paraId="46A0BC4B" w14:textId="77777777" w:rsidR="00D16027" w:rsidRDefault="00000000">
            <w:r>
              <w:rPr>
                <w:sz w:val="19"/>
                <w:szCs w:val="19"/>
              </w:rPr>
              <w:t>Part A script; Part B plan, critique, reflection, declaration</w:t>
            </w:r>
          </w:p>
        </w:tc>
      </w:tr>
      <w:tr w:rsidR="00D16027" w14:paraId="616A377E" w14:textId="77777777">
        <w:tblPrEx>
          <w:tblCellMar>
            <w:top w:w="0" w:type="dxa"/>
            <w:bottom w:w="0" w:type="dxa"/>
          </w:tblCellMar>
        </w:tblPrEx>
        <w:trPr>
          <w:cantSplit/>
        </w:trPr>
        <w:tc>
          <w:tcPr>
            <w:tcW w:w="2000" w:type="dxa"/>
            <w:tcMar>
              <w:top w:w="70" w:type="dxa"/>
              <w:left w:w="100" w:type="dxa"/>
              <w:bottom w:w="70" w:type="dxa"/>
              <w:right w:w="100" w:type="dxa"/>
            </w:tcMar>
          </w:tcPr>
          <w:p w14:paraId="6ACC828E" w14:textId="77777777" w:rsidR="00D16027" w:rsidRDefault="00000000">
            <w:r>
              <w:rPr>
                <w:sz w:val="19"/>
                <w:szCs w:val="19"/>
              </w:rPr>
              <w:t>Verification</w:t>
            </w:r>
          </w:p>
        </w:tc>
        <w:tc>
          <w:tcPr>
            <w:tcW w:w="7386" w:type="dxa"/>
            <w:tcMar>
              <w:top w:w="70" w:type="dxa"/>
              <w:left w:w="100" w:type="dxa"/>
              <w:bottom w:w="70" w:type="dxa"/>
              <w:right w:w="100" w:type="dxa"/>
            </w:tcMar>
          </w:tcPr>
          <w:p w14:paraId="42B97FD7" w14:textId="77777777" w:rsidR="00D16027" w:rsidRDefault="00000000">
            <w:r>
              <w:rPr>
                <w:sz w:val="19"/>
                <w:szCs w:val="19"/>
              </w:rPr>
              <w:t>Part A by conditions; Part B by criteria and sampled conversation</w:t>
            </w:r>
          </w:p>
        </w:tc>
      </w:tr>
      <w:tr w:rsidR="00D16027" w14:paraId="2235FB39" w14:textId="77777777">
        <w:tblPrEx>
          <w:tblCellMar>
            <w:top w:w="0" w:type="dxa"/>
            <w:bottom w:w="0" w:type="dxa"/>
          </w:tblCellMar>
        </w:tblPrEx>
        <w:trPr>
          <w:cantSplit/>
        </w:trPr>
        <w:tc>
          <w:tcPr>
            <w:tcW w:w="2000" w:type="dxa"/>
            <w:tcMar>
              <w:top w:w="70" w:type="dxa"/>
              <w:left w:w="100" w:type="dxa"/>
              <w:bottom w:w="70" w:type="dxa"/>
              <w:right w:w="100" w:type="dxa"/>
            </w:tcMar>
          </w:tcPr>
          <w:p w14:paraId="42DFB530" w14:textId="77777777" w:rsidR="00D16027" w:rsidRDefault="00000000">
            <w:r>
              <w:rPr>
                <w:sz w:val="19"/>
                <w:szCs w:val="19"/>
              </w:rPr>
              <w:t>Criteria</w:t>
            </w:r>
          </w:p>
        </w:tc>
        <w:tc>
          <w:tcPr>
            <w:tcW w:w="7386" w:type="dxa"/>
            <w:tcMar>
              <w:top w:w="70" w:type="dxa"/>
              <w:left w:w="100" w:type="dxa"/>
              <w:bottom w:w="70" w:type="dxa"/>
              <w:right w:w="100" w:type="dxa"/>
            </w:tcMar>
          </w:tcPr>
          <w:p w14:paraId="1B36D92B" w14:textId="77777777" w:rsidR="00D16027" w:rsidRDefault="00000000">
            <w:r>
              <w:rPr>
                <w:sz w:val="19"/>
                <w:szCs w:val="19"/>
              </w:rPr>
              <w:t>Part A: analytical structure and judgement under constraint. Part B: accuracy and specificity of critique; use of real constraints; quality of reflection</w:t>
            </w:r>
          </w:p>
        </w:tc>
      </w:tr>
    </w:tbl>
    <w:p w14:paraId="0BF380D1" w14:textId="77777777" w:rsidR="00D16027" w:rsidRDefault="00D16027">
      <w:pPr>
        <w:spacing w:after="120"/>
      </w:pPr>
    </w:p>
    <w:p w14:paraId="17A193DE" w14:textId="77777777" w:rsidR="00D16027" w:rsidRDefault="00000000">
      <w:pPr>
        <w:pStyle w:val="Heading3"/>
        <w:keepNext/>
      </w:pPr>
      <w:r>
        <w:t>D.7  Psychology: research methods with own data (resilient)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40FAC5BF"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2CB25922"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51122AA4" w14:textId="77777777" w:rsidR="00D16027" w:rsidRDefault="00000000">
            <w:r>
              <w:rPr>
                <w:b/>
                <w:bCs/>
                <w:color w:val="FFFFFF"/>
                <w:sz w:val="19"/>
                <w:szCs w:val="19"/>
              </w:rPr>
              <w:t>Detail</w:t>
            </w:r>
          </w:p>
        </w:tc>
      </w:tr>
      <w:tr w:rsidR="00D16027" w14:paraId="64249D30" w14:textId="77777777">
        <w:tblPrEx>
          <w:tblCellMar>
            <w:top w:w="0" w:type="dxa"/>
            <w:bottom w:w="0" w:type="dxa"/>
          </w:tblCellMar>
        </w:tblPrEx>
        <w:trPr>
          <w:cantSplit/>
        </w:trPr>
        <w:tc>
          <w:tcPr>
            <w:tcW w:w="2000" w:type="dxa"/>
            <w:tcMar>
              <w:top w:w="70" w:type="dxa"/>
              <w:left w:w="100" w:type="dxa"/>
              <w:bottom w:w="70" w:type="dxa"/>
              <w:right w:w="100" w:type="dxa"/>
            </w:tcMar>
          </w:tcPr>
          <w:p w14:paraId="6F810700" w14:textId="77777777" w:rsidR="00D16027" w:rsidRDefault="00000000">
            <w:r>
              <w:rPr>
                <w:sz w:val="19"/>
                <w:szCs w:val="19"/>
              </w:rPr>
              <w:t>Outcome</w:t>
            </w:r>
          </w:p>
        </w:tc>
        <w:tc>
          <w:tcPr>
            <w:tcW w:w="7386" w:type="dxa"/>
            <w:tcMar>
              <w:top w:w="70" w:type="dxa"/>
              <w:left w:w="100" w:type="dxa"/>
              <w:bottom w:w="70" w:type="dxa"/>
              <w:right w:w="100" w:type="dxa"/>
            </w:tcMar>
          </w:tcPr>
          <w:p w14:paraId="43F68A4E" w14:textId="77777777" w:rsidR="00D16027" w:rsidRDefault="00000000">
            <w:r>
              <w:rPr>
                <w:sz w:val="19"/>
                <w:szCs w:val="19"/>
              </w:rPr>
              <w:t>Apply statistical methods to a research question using data the student collected, and interpret the results, including anomalies</w:t>
            </w:r>
          </w:p>
        </w:tc>
      </w:tr>
      <w:tr w:rsidR="00D16027" w14:paraId="62E01800" w14:textId="77777777">
        <w:tblPrEx>
          <w:tblCellMar>
            <w:top w:w="0" w:type="dxa"/>
            <w:bottom w:w="0" w:type="dxa"/>
          </w:tblCellMar>
        </w:tblPrEx>
        <w:trPr>
          <w:cantSplit/>
        </w:trPr>
        <w:tc>
          <w:tcPr>
            <w:tcW w:w="2000" w:type="dxa"/>
            <w:tcMar>
              <w:top w:w="70" w:type="dxa"/>
              <w:left w:w="100" w:type="dxa"/>
              <w:bottom w:w="70" w:type="dxa"/>
              <w:right w:w="100" w:type="dxa"/>
            </w:tcMar>
          </w:tcPr>
          <w:p w14:paraId="6BAF25E2" w14:textId="77777777" w:rsidR="00D16027" w:rsidRDefault="00000000">
            <w:r>
              <w:rPr>
                <w:sz w:val="19"/>
                <w:szCs w:val="19"/>
              </w:rPr>
              <w:t>Task</w:t>
            </w:r>
          </w:p>
        </w:tc>
        <w:tc>
          <w:tcPr>
            <w:tcW w:w="7386" w:type="dxa"/>
            <w:tcMar>
              <w:top w:w="70" w:type="dxa"/>
              <w:left w:w="100" w:type="dxa"/>
              <w:bottom w:w="70" w:type="dxa"/>
              <w:right w:w="100" w:type="dxa"/>
            </w:tcMar>
          </w:tcPr>
          <w:p w14:paraId="394D3B13" w14:textId="77777777" w:rsidR="00D16027" w:rsidRDefault="00000000">
            <w:r>
              <w:rPr>
                <w:sz w:val="19"/>
                <w:szCs w:val="19"/>
              </w:rPr>
              <w:t xml:space="preserve">In your field group, collect data using the approved protocol. Analyse the group's dataset individually and write a 1,500-word report. Attend an eight-minute analysis walkthrough in tutorial in which </w:t>
            </w:r>
            <w:proofErr w:type="spellStart"/>
            <w:r>
              <w:rPr>
                <w:sz w:val="19"/>
                <w:szCs w:val="19"/>
              </w:rPr>
              <w:t>you</w:t>
            </w:r>
            <w:proofErr w:type="spellEnd"/>
            <w:r>
              <w:rPr>
                <w:sz w:val="19"/>
                <w:szCs w:val="19"/>
              </w:rPr>
              <w:t xml:space="preserve"> account for one anomaly in your own data.</w:t>
            </w:r>
          </w:p>
        </w:tc>
      </w:tr>
      <w:tr w:rsidR="00D16027" w14:paraId="69C399F3" w14:textId="77777777">
        <w:tblPrEx>
          <w:tblCellMar>
            <w:top w:w="0" w:type="dxa"/>
            <w:bottom w:w="0" w:type="dxa"/>
          </w:tblCellMar>
        </w:tblPrEx>
        <w:trPr>
          <w:cantSplit/>
        </w:trPr>
        <w:tc>
          <w:tcPr>
            <w:tcW w:w="2000" w:type="dxa"/>
            <w:tcMar>
              <w:top w:w="70" w:type="dxa"/>
              <w:left w:w="100" w:type="dxa"/>
              <w:bottom w:w="70" w:type="dxa"/>
              <w:right w:w="100" w:type="dxa"/>
            </w:tcMar>
          </w:tcPr>
          <w:p w14:paraId="4A059882" w14:textId="77777777" w:rsidR="00D16027" w:rsidRDefault="00000000">
            <w:r>
              <w:rPr>
                <w:sz w:val="19"/>
                <w:szCs w:val="19"/>
              </w:rPr>
              <w:t>Conditions and AI</w:t>
            </w:r>
          </w:p>
        </w:tc>
        <w:tc>
          <w:tcPr>
            <w:tcW w:w="7386" w:type="dxa"/>
            <w:tcMar>
              <w:top w:w="70" w:type="dxa"/>
              <w:left w:w="100" w:type="dxa"/>
              <w:bottom w:w="70" w:type="dxa"/>
              <w:right w:w="100" w:type="dxa"/>
            </w:tcMar>
          </w:tcPr>
          <w:p w14:paraId="53B88B44" w14:textId="77777777" w:rsidR="00D16027" w:rsidRDefault="00000000">
            <w:r>
              <w:rPr>
                <w:sz w:val="19"/>
                <w:szCs w:val="19"/>
              </w:rPr>
              <w:t>Unsupervised analysis; walkthrough secured. AIAS Level 3: AI may assist with code and writing; declare use.</w:t>
            </w:r>
          </w:p>
        </w:tc>
      </w:tr>
      <w:tr w:rsidR="00D16027" w14:paraId="5E4D1FB8" w14:textId="77777777">
        <w:tblPrEx>
          <w:tblCellMar>
            <w:top w:w="0" w:type="dxa"/>
            <w:bottom w:w="0" w:type="dxa"/>
          </w:tblCellMar>
        </w:tblPrEx>
        <w:trPr>
          <w:cantSplit/>
        </w:trPr>
        <w:tc>
          <w:tcPr>
            <w:tcW w:w="2000" w:type="dxa"/>
            <w:tcMar>
              <w:top w:w="70" w:type="dxa"/>
              <w:left w:w="100" w:type="dxa"/>
              <w:bottom w:w="70" w:type="dxa"/>
              <w:right w:w="100" w:type="dxa"/>
            </w:tcMar>
          </w:tcPr>
          <w:p w14:paraId="0FF5EED9" w14:textId="77777777" w:rsidR="00D16027" w:rsidRDefault="00000000">
            <w:r>
              <w:rPr>
                <w:sz w:val="19"/>
                <w:szCs w:val="19"/>
              </w:rPr>
              <w:t>Artefacts</w:t>
            </w:r>
          </w:p>
        </w:tc>
        <w:tc>
          <w:tcPr>
            <w:tcW w:w="7386" w:type="dxa"/>
            <w:tcMar>
              <w:top w:w="70" w:type="dxa"/>
              <w:left w:w="100" w:type="dxa"/>
              <w:bottom w:w="70" w:type="dxa"/>
              <w:right w:w="100" w:type="dxa"/>
            </w:tcMar>
          </w:tcPr>
          <w:p w14:paraId="68D8C010" w14:textId="77777777" w:rsidR="00D16027" w:rsidRDefault="00000000">
            <w:r>
              <w:rPr>
                <w:sz w:val="19"/>
                <w:szCs w:val="19"/>
              </w:rPr>
              <w:t>Raw data export with collection dates; analysis script; report; declaration</w:t>
            </w:r>
          </w:p>
        </w:tc>
      </w:tr>
      <w:tr w:rsidR="00D16027" w14:paraId="63A3C8A5" w14:textId="77777777">
        <w:tblPrEx>
          <w:tblCellMar>
            <w:top w:w="0" w:type="dxa"/>
            <w:bottom w:w="0" w:type="dxa"/>
          </w:tblCellMar>
        </w:tblPrEx>
        <w:trPr>
          <w:cantSplit/>
        </w:trPr>
        <w:tc>
          <w:tcPr>
            <w:tcW w:w="2000" w:type="dxa"/>
            <w:tcMar>
              <w:top w:w="70" w:type="dxa"/>
              <w:left w:w="100" w:type="dxa"/>
              <w:bottom w:w="70" w:type="dxa"/>
              <w:right w:w="100" w:type="dxa"/>
            </w:tcMar>
          </w:tcPr>
          <w:p w14:paraId="4FC6C3FD" w14:textId="77777777" w:rsidR="00D16027" w:rsidRDefault="00000000">
            <w:r>
              <w:rPr>
                <w:sz w:val="19"/>
                <w:szCs w:val="19"/>
              </w:rPr>
              <w:t>Verification</w:t>
            </w:r>
          </w:p>
        </w:tc>
        <w:tc>
          <w:tcPr>
            <w:tcW w:w="7386" w:type="dxa"/>
            <w:tcMar>
              <w:top w:w="70" w:type="dxa"/>
              <w:left w:w="100" w:type="dxa"/>
              <w:bottom w:w="70" w:type="dxa"/>
              <w:right w:w="100" w:type="dxa"/>
            </w:tcMar>
          </w:tcPr>
          <w:p w14:paraId="17599B34" w14:textId="77777777" w:rsidR="00D16027" w:rsidRDefault="00000000">
            <w:r>
              <w:rPr>
                <w:sz w:val="19"/>
                <w:szCs w:val="19"/>
              </w:rPr>
              <w:t>Every student attends the walkthrough</w:t>
            </w:r>
          </w:p>
        </w:tc>
      </w:tr>
      <w:tr w:rsidR="00D16027" w14:paraId="1D83F1AA" w14:textId="77777777">
        <w:tblPrEx>
          <w:tblCellMar>
            <w:top w:w="0" w:type="dxa"/>
            <w:bottom w:w="0" w:type="dxa"/>
          </w:tblCellMar>
        </w:tblPrEx>
        <w:trPr>
          <w:cantSplit/>
        </w:trPr>
        <w:tc>
          <w:tcPr>
            <w:tcW w:w="2000" w:type="dxa"/>
            <w:tcMar>
              <w:top w:w="70" w:type="dxa"/>
              <w:left w:w="100" w:type="dxa"/>
              <w:bottom w:w="70" w:type="dxa"/>
              <w:right w:w="100" w:type="dxa"/>
            </w:tcMar>
          </w:tcPr>
          <w:p w14:paraId="1D5548F8" w14:textId="77777777" w:rsidR="00D16027" w:rsidRDefault="00000000">
            <w:r>
              <w:rPr>
                <w:sz w:val="19"/>
                <w:szCs w:val="19"/>
              </w:rPr>
              <w:t>Criteria</w:t>
            </w:r>
          </w:p>
        </w:tc>
        <w:tc>
          <w:tcPr>
            <w:tcW w:w="7386" w:type="dxa"/>
            <w:tcMar>
              <w:top w:w="70" w:type="dxa"/>
              <w:left w:w="100" w:type="dxa"/>
              <w:bottom w:w="70" w:type="dxa"/>
              <w:right w:w="100" w:type="dxa"/>
            </w:tcMar>
          </w:tcPr>
          <w:p w14:paraId="6BDD2290" w14:textId="77777777" w:rsidR="00D16027" w:rsidRDefault="00000000">
            <w:r>
              <w:rPr>
                <w:sz w:val="19"/>
                <w:szCs w:val="19"/>
              </w:rPr>
              <w:t>Appropriateness of analysis; quality of interpretation; treatment of anomalies; ability to explain</w:t>
            </w:r>
          </w:p>
        </w:tc>
      </w:tr>
    </w:tbl>
    <w:p w14:paraId="69DACA44" w14:textId="77777777" w:rsidR="00D16027" w:rsidRDefault="00D16027">
      <w:pPr>
        <w:spacing w:after="120"/>
      </w:pPr>
    </w:p>
    <w:p w14:paraId="098E85CC" w14:textId="77777777" w:rsidR="00D16027" w:rsidRDefault="00000000">
      <w:pPr>
        <w:pStyle w:val="Heading3"/>
        <w:keepNext/>
      </w:pPr>
      <w:r>
        <w:t>D.8  Fine art: process portfolio and crit (resilient, with integrated ideation)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D16027" w14:paraId="1CC886A6" w14:textId="77777777">
        <w:tblPrEx>
          <w:tblCellMar>
            <w:top w:w="0" w:type="dxa"/>
            <w:bottom w:w="0" w:type="dxa"/>
          </w:tblCellMar>
        </w:tblPrEx>
        <w:trPr>
          <w:cantSplit/>
          <w:tblHeader/>
        </w:trPr>
        <w:tc>
          <w:tcPr>
            <w:tcW w:w="2000" w:type="dxa"/>
            <w:shd w:val="clear" w:color="auto" w:fill="2E75B6"/>
            <w:tcMar>
              <w:top w:w="70" w:type="dxa"/>
              <w:left w:w="100" w:type="dxa"/>
              <w:bottom w:w="70" w:type="dxa"/>
              <w:right w:w="100" w:type="dxa"/>
            </w:tcMar>
          </w:tcPr>
          <w:p w14:paraId="3BAF9696" w14:textId="77777777" w:rsidR="00D16027" w:rsidRDefault="00000000">
            <w:r>
              <w:rPr>
                <w:b/>
                <w:bCs/>
                <w:color w:val="FFFFFF"/>
                <w:sz w:val="19"/>
                <w:szCs w:val="19"/>
              </w:rPr>
              <w:t>Field</w:t>
            </w:r>
          </w:p>
        </w:tc>
        <w:tc>
          <w:tcPr>
            <w:tcW w:w="7386" w:type="dxa"/>
            <w:shd w:val="clear" w:color="auto" w:fill="2E75B6"/>
            <w:tcMar>
              <w:top w:w="70" w:type="dxa"/>
              <w:left w:w="100" w:type="dxa"/>
              <w:bottom w:w="70" w:type="dxa"/>
              <w:right w:w="100" w:type="dxa"/>
            </w:tcMar>
          </w:tcPr>
          <w:p w14:paraId="5A30CA2A" w14:textId="77777777" w:rsidR="00D16027" w:rsidRDefault="00000000">
            <w:r>
              <w:rPr>
                <w:b/>
                <w:bCs/>
                <w:color w:val="FFFFFF"/>
                <w:sz w:val="19"/>
                <w:szCs w:val="19"/>
              </w:rPr>
              <w:t>Detail</w:t>
            </w:r>
          </w:p>
        </w:tc>
      </w:tr>
      <w:tr w:rsidR="00D16027" w14:paraId="017485E0" w14:textId="77777777">
        <w:tblPrEx>
          <w:tblCellMar>
            <w:top w:w="0" w:type="dxa"/>
            <w:bottom w:w="0" w:type="dxa"/>
          </w:tblCellMar>
        </w:tblPrEx>
        <w:trPr>
          <w:cantSplit/>
        </w:trPr>
        <w:tc>
          <w:tcPr>
            <w:tcW w:w="2000" w:type="dxa"/>
            <w:tcMar>
              <w:top w:w="70" w:type="dxa"/>
              <w:left w:w="100" w:type="dxa"/>
              <w:bottom w:w="70" w:type="dxa"/>
              <w:right w:w="100" w:type="dxa"/>
            </w:tcMar>
          </w:tcPr>
          <w:p w14:paraId="53E25C87" w14:textId="77777777" w:rsidR="00D16027" w:rsidRDefault="00000000">
            <w:r>
              <w:rPr>
                <w:sz w:val="19"/>
                <w:szCs w:val="19"/>
              </w:rPr>
              <w:t>Outcome</w:t>
            </w:r>
          </w:p>
        </w:tc>
        <w:tc>
          <w:tcPr>
            <w:tcW w:w="7386" w:type="dxa"/>
            <w:tcMar>
              <w:top w:w="70" w:type="dxa"/>
              <w:left w:w="100" w:type="dxa"/>
              <w:bottom w:w="70" w:type="dxa"/>
              <w:right w:w="100" w:type="dxa"/>
            </w:tcMar>
          </w:tcPr>
          <w:p w14:paraId="2E049929" w14:textId="77777777" w:rsidR="00D16027" w:rsidRDefault="00000000">
            <w:r>
              <w:rPr>
                <w:sz w:val="19"/>
                <w:szCs w:val="19"/>
              </w:rPr>
              <w:t>Develop a body of work through iterative making, exercise judgement in selection, and defend decisions to an audience</w:t>
            </w:r>
          </w:p>
        </w:tc>
      </w:tr>
      <w:tr w:rsidR="00D16027" w14:paraId="22AD144D" w14:textId="77777777">
        <w:tblPrEx>
          <w:tblCellMar>
            <w:top w:w="0" w:type="dxa"/>
            <w:bottom w:w="0" w:type="dxa"/>
          </w:tblCellMar>
        </w:tblPrEx>
        <w:trPr>
          <w:cantSplit/>
        </w:trPr>
        <w:tc>
          <w:tcPr>
            <w:tcW w:w="2000" w:type="dxa"/>
            <w:tcMar>
              <w:top w:w="70" w:type="dxa"/>
              <w:left w:w="100" w:type="dxa"/>
              <w:bottom w:w="70" w:type="dxa"/>
              <w:right w:w="100" w:type="dxa"/>
            </w:tcMar>
          </w:tcPr>
          <w:p w14:paraId="6E409CE4" w14:textId="77777777" w:rsidR="00D16027" w:rsidRDefault="00000000">
            <w:r>
              <w:rPr>
                <w:sz w:val="19"/>
                <w:szCs w:val="19"/>
              </w:rPr>
              <w:t>Task</w:t>
            </w:r>
          </w:p>
        </w:tc>
        <w:tc>
          <w:tcPr>
            <w:tcW w:w="7386" w:type="dxa"/>
            <w:tcMar>
              <w:top w:w="70" w:type="dxa"/>
              <w:left w:w="100" w:type="dxa"/>
              <w:bottom w:w="70" w:type="dxa"/>
              <w:right w:w="100" w:type="dxa"/>
            </w:tcMar>
          </w:tcPr>
          <w:p w14:paraId="3FCFD1B6" w14:textId="77777777" w:rsidR="00D16027" w:rsidRDefault="00000000">
            <w:r>
              <w:rPr>
                <w:sz w:val="19"/>
                <w:szCs w:val="19"/>
              </w:rPr>
              <w:t>Maintain a dated process portfolio across the year: sketches, tests, photographs of work in progress, and a decision log. AI image generation may be used in ideation and must be recorded. Select and present final work at the crit; defend the selection and the development with reference to the portfolio.</w:t>
            </w:r>
          </w:p>
        </w:tc>
      </w:tr>
      <w:tr w:rsidR="00D16027" w14:paraId="22D39842" w14:textId="77777777">
        <w:tblPrEx>
          <w:tblCellMar>
            <w:top w:w="0" w:type="dxa"/>
            <w:bottom w:w="0" w:type="dxa"/>
          </w:tblCellMar>
        </w:tblPrEx>
        <w:trPr>
          <w:cantSplit/>
        </w:trPr>
        <w:tc>
          <w:tcPr>
            <w:tcW w:w="2000" w:type="dxa"/>
            <w:tcMar>
              <w:top w:w="70" w:type="dxa"/>
              <w:left w:w="100" w:type="dxa"/>
              <w:bottom w:w="70" w:type="dxa"/>
              <w:right w:w="100" w:type="dxa"/>
            </w:tcMar>
          </w:tcPr>
          <w:p w14:paraId="64F09800" w14:textId="77777777" w:rsidR="00D16027" w:rsidRDefault="00000000">
            <w:r>
              <w:rPr>
                <w:sz w:val="19"/>
                <w:szCs w:val="19"/>
              </w:rPr>
              <w:t>Conditions and AI</w:t>
            </w:r>
          </w:p>
        </w:tc>
        <w:tc>
          <w:tcPr>
            <w:tcW w:w="7386" w:type="dxa"/>
            <w:tcMar>
              <w:top w:w="70" w:type="dxa"/>
              <w:left w:w="100" w:type="dxa"/>
              <w:bottom w:w="70" w:type="dxa"/>
              <w:right w:w="100" w:type="dxa"/>
            </w:tcMar>
          </w:tcPr>
          <w:p w14:paraId="7D042385" w14:textId="77777777" w:rsidR="00D16027" w:rsidRDefault="00000000">
            <w:r>
              <w:rPr>
                <w:sz w:val="19"/>
                <w:szCs w:val="19"/>
              </w:rPr>
              <w:t>Unsupervised making; crit secured. AIAS Level 4 for ideation, declared; final work must be the student's own making.</w:t>
            </w:r>
          </w:p>
        </w:tc>
      </w:tr>
      <w:tr w:rsidR="00D16027" w14:paraId="1B07BF18" w14:textId="77777777">
        <w:tblPrEx>
          <w:tblCellMar>
            <w:top w:w="0" w:type="dxa"/>
            <w:bottom w:w="0" w:type="dxa"/>
          </w:tblCellMar>
        </w:tblPrEx>
        <w:trPr>
          <w:cantSplit/>
        </w:trPr>
        <w:tc>
          <w:tcPr>
            <w:tcW w:w="2000" w:type="dxa"/>
            <w:tcMar>
              <w:top w:w="70" w:type="dxa"/>
              <w:left w:w="100" w:type="dxa"/>
              <w:bottom w:w="70" w:type="dxa"/>
              <w:right w:w="100" w:type="dxa"/>
            </w:tcMar>
          </w:tcPr>
          <w:p w14:paraId="2A84E808" w14:textId="77777777" w:rsidR="00D16027" w:rsidRDefault="00000000">
            <w:r>
              <w:rPr>
                <w:sz w:val="19"/>
                <w:szCs w:val="19"/>
              </w:rPr>
              <w:t>Artefacts</w:t>
            </w:r>
          </w:p>
        </w:tc>
        <w:tc>
          <w:tcPr>
            <w:tcW w:w="7386" w:type="dxa"/>
            <w:tcMar>
              <w:top w:w="70" w:type="dxa"/>
              <w:left w:w="100" w:type="dxa"/>
              <w:bottom w:w="70" w:type="dxa"/>
              <w:right w:w="100" w:type="dxa"/>
            </w:tcMar>
          </w:tcPr>
          <w:p w14:paraId="47C63C65" w14:textId="77777777" w:rsidR="00D16027" w:rsidRDefault="00000000">
            <w:r>
              <w:rPr>
                <w:sz w:val="19"/>
                <w:szCs w:val="19"/>
              </w:rPr>
              <w:t>Process portfolio; decision log; declaration; final work</w:t>
            </w:r>
          </w:p>
        </w:tc>
      </w:tr>
      <w:tr w:rsidR="00D16027" w14:paraId="7A86ECB4" w14:textId="77777777">
        <w:tblPrEx>
          <w:tblCellMar>
            <w:top w:w="0" w:type="dxa"/>
            <w:bottom w:w="0" w:type="dxa"/>
          </w:tblCellMar>
        </w:tblPrEx>
        <w:trPr>
          <w:cantSplit/>
        </w:trPr>
        <w:tc>
          <w:tcPr>
            <w:tcW w:w="2000" w:type="dxa"/>
            <w:tcMar>
              <w:top w:w="70" w:type="dxa"/>
              <w:left w:w="100" w:type="dxa"/>
              <w:bottom w:w="70" w:type="dxa"/>
              <w:right w:w="100" w:type="dxa"/>
            </w:tcMar>
          </w:tcPr>
          <w:p w14:paraId="133AAB60" w14:textId="77777777" w:rsidR="00D16027" w:rsidRDefault="00000000">
            <w:r>
              <w:rPr>
                <w:sz w:val="19"/>
                <w:szCs w:val="19"/>
              </w:rPr>
              <w:t>Verification</w:t>
            </w:r>
          </w:p>
        </w:tc>
        <w:tc>
          <w:tcPr>
            <w:tcW w:w="7386" w:type="dxa"/>
            <w:tcMar>
              <w:top w:w="70" w:type="dxa"/>
              <w:left w:w="100" w:type="dxa"/>
              <w:bottom w:w="70" w:type="dxa"/>
              <w:right w:w="100" w:type="dxa"/>
            </w:tcMar>
          </w:tcPr>
          <w:p w14:paraId="4CCD496E" w14:textId="77777777" w:rsidR="00D16027" w:rsidRDefault="00000000">
            <w:r>
              <w:rPr>
                <w:sz w:val="19"/>
                <w:szCs w:val="19"/>
              </w:rPr>
              <w:t>Every student presents at the crit; two assessors</w:t>
            </w:r>
          </w:p>
        </w:tc>
      </w:tr>
      <w:tr w:rsidR="00D16027" w14:paraId="1CF869F0" w14:textId="77777777">
        <w:tblPrEx>
          <w:tblCellMar>
            <w:top w:w="0" w:type="dxa"/>
            <w:bottom w:w="0" w:type="dxa"/>
          </w:tblCellMar>
        </w:tblPrEx>
        <w:trPr>
          <w:cantSplit/>
        </w:trPr>
        <w:tc>
          <w:tcPr>
            <w:tcW w:w="2000" w:type="dxa"/>
            <w:tcMar>
              <w:top w:w="70" w:type="dxa"/>
              <w:left w:w="100" w:type="dxa"/>
              <w:bottom w:w="70" w:type="dxa"/>
              <w:right w:w="100" w:type="dxa"/>
            </w:tcMar>
          </w:tcPr>
          <w:p w14:paraId="2533BD3D" w14:textId="77777777" w:rsidR="00D16027" w:rsidRDefault="00000000">
            <w:r>
              <w:rPr>
                <w:sz w:val="19"/>
                <w:szCs w:val="19"/>
              </w:rPr>
              <w:t>Criteria</w:t>
            </w:r>
          </w:p>
        </w:tc>
        <w:tc>
          <w:tcPr>
            <w:tcW w:w="7386" w:type="dxa"/>
            <w:tcMar>
              <w:top w:w="70" w:type="dxa"/>
              <w:left w:w="100" w:type="dxa"/>
              <w:bottom w:w="70" w:type="dxa"/>
              <w:right w:w="100" w:type="dxa"/>
            </w:tcMar>
          </w:tcPr>
          <w:p w14:paraId="4CEF8CC6" w14:textId="77777777" w:rsidR="00D16027" w:rsidRDefault="00000000">
            <w:r>
              <w:rPr>
                <w:sz w:val="19"/>
                <w:szCs w:val="19"/>
              </w:rPr>
              <w:t>Development evidenced in process; judgement in selection; quality of final work; quality of defence</w:t>
            </w:r>
          </w:p>
        </w:tc>
      </w:tr>
    </w:tbl>
    <w:p w14:paraId="0104E625" w14:textId="77777777" w:rsidR="00D16027" w:rsidRDefault="00D16027">
      <w:pPr>
        <w:spacing w:after="120"/>
      </w:pPr>
    </w:p>
    <w:p w14:paraId="33FDD7A2" w14:textId="77777777" w:rsidR="00D16027" w:rsidRDefault="00D16027">
      <w:pPr>
        <w:keepNext/>
        <w:spacing w:after="40"/>
      </w:pPr>
    </w:p>
    <w:p w14:paraId="2C46328D" w14:textId="77777777" w:rsidR="00D16027" w:rsidRDefault="00000000">
      <w:pPr>
        <w:pStyle w:val="Heading1"/>
        <w:keepNext/>
      </w:pPr>
      <w:r>
        <w:t>Consolidated Bibliography</w:t>
      </w:r>
    </w:p>
    <w:p w14:paraId="1C0E2241" w14:textId="77777777" w:rsidR="00D16027" w:rsidRDefault="00000000">
      <w:pPr>
        <w:pBdr>
          <w:left w:val="single" w:sz="14" w:space="10" w:color="2E75B6"/>
        </w:pBdr>
        <w:shd w:val="clear" w:color="auto" w:fill="EAF3FB"/>
        <w:spacing w:after="200"/>
      </w:pPr>
      <w:r>
        <w:rPr>
          <w:i/>
          <w:iCs/>
          <w:color w:val="333333"/>
        </w:rPr>
        <w:t>All 178 works cited in this book, alphabetised. Chapter reference lists repeat the works most relevant to each chapter; this list removes duplicates. Readers preparing their own publications should verify volume, issue, page and identifier details against primary sources.</w:t>
      </w:r>
    </w:p>
    <w:p w14:paraId="6544DD55" w14:textId="77777777" w:rsidR="00D16027" w:rsidRDefault="00000000">
      <w:pPr>
        <w:pStyle w:val="ListParagraph"/>
        <w:numPr>
          <w:ilvl w:val="0"/>
          <w:numId w:val="3"/>
        </w:numPr>
        <w:spacing w:before="30" w:after="50"/>
      </w:pPr>
      <w:r>
        <w:rPr>
          <w:color w:val="333333"/>
          <w:sz w:val="19"/>
          <w:szCs w:val="19"/>
        </w:rPr>
        <w:t xml:space="preserve">AERA, APA &amp; NCME (2014) </w:t>
      </w:r>
      <w:r>
        <w:rPr>
          <w:i/>
          <w:iCs/>
          <w:color w:val="333333"/>
          <w:sz w:val="19"/>
          <w:szCs w:val="19"/>
        </w:rPr>
        <w:t>Standards for Educational and Psychological Testing</w:t>
      </w:r>
      <w:r>
        <w:rPr>
          <w:color w:val="333333"/>
          <w:sz w:val="19"/>
          <w:szCs w:val="19"/>
        </w:rPr>
        <w:t>. Washington, DC: American Educational Research Association.</w:t>
      </w:r>
    </w:p>
    <w:p w14:paraId="1DEBF38A" w14:textId="77777777" w:rsidR="00D16027" w:rsidRDefault="00000000">
      <w:pPr>
        <w:pStyle w:val="ListParagraph"/>
        <w:numPr>
          <w:ilvl w:val="0"/>
          <w:numId w:val="3"/>
        </w:numPr>
        <w:spacing w:before="30" w:after="50"/>
      </w:pPr>
      <w:proofErr w:type="spellStart"/>
      <w:r>
        <w:rPr>
          <w:color w:val="333333"/>
          <w:sz w:val="19"/>
          <w:szCs w:val="19"/>
        </w:rPr>
        <w:t>Ajjawi</w:t>
      </w:r>
      <w:proofErr w:type="spellEnd"/>
      <w:r>
        <w:rPr>
          <w:color w:val="333333"/>
          <w:sz w:val="19"/>
          <w:szCs w:val="19"/>
        </w:rPr>
        <w:t xml:space="preserve">, R., Tai, J., Huu Nghia, T.L., Boud, D., Johnson, L. &amp; Patrick, C.-J. (2020) Aligning assessment with the needs of work-integrated learning: the challenges of authentic assessment in a complex context. </w:t>
      </w:r>
      <w:r>
        <w:rPr>
          <w:i/>
          <w:iCs/>
          <w:color w:val="333333"/>
          <w:sz w:val="19"/>
          <w:szCs w:val="19"/>
        </w:rPr>
        <w:t>Assessment &amp; Evaluation in Higher Education</w:t>
      </w:r>
      <w:r>
        <w:rPr>
          <w:color w:val="333333"/>
          <w:sz w:val="19"/>
          <w:szCs w:val="19"/>
        </w:rPr>
        <w:t>, 45(2), 304–316.</w:t>
      </w:r>
    </w:p>
    <w:p w14:paraId="7FEAB545" w14:textId="77777777" w:rsidR="00D16027" w:rsidRDefault="00000000">
      <w:pPr>
        <w:pStyle w:val="ListParagraph"/>
        <w:numPr>
          <w:ilvl w:val="0"/>
          <w:numId w:val="3"/>
        </w:numPr>
        <w:spacing w:before="30" w:after="50"/>
      </w:pPr>
      <w:r>
        <w:rPr>
          <w:color w:val="333333"/>
          <w:sz w:val="19"/>
          <w:szCs w:val="19"/>
        </w:rPr>
        <w:t xml:space="preserve">Anderson, L.W. &amp; Krathwohl, D.R. (eds.) (2001) </w:t>
      </w:r>
      <w:r>
        <w:rPr>
          <w:i/>
          <w:iCs/>
          <w:color w:val="333333"/>
          <w:sz w:val="19"/>
          <w:szCs w:val="19"/>
        </w:rPr>
        <w:t>A Taxonomy for Learning, Teaching, and Assessing: A Revision of Bloom's Taxonomy of Educational Objectives</w:t>
      </w:r>
      <w:r>
        <w:rPr>
          <w:color w:val="333333"/>
          <w:sz w:val="19"/>
          <w:szCs w:val="19"/>
        </w:rPr>
        <w:t>. New York: Longman.</w:t>
      </w:r>
    </w:p>
    <w:p w14:paraId="6A39047C" w14:textId="77777777" w:rsidR="00D16027" w:rsidRDefault="00000000">
      <w:pPr>
        <w:pStyle w:val="ListParagraph"/>
        <w:numPr>
          <w:ilvl w:val="0"/>
          <w:numId w:val="3"/>
        </w:numPr>
        <w:spacing w:before="30" w:after="50"/>
      </w:pPr>
      <w:r>
        <w:rPr>
          <w:color w:val="333333"/>
          <w:sz w:val="19"/>
          <w:szCs w:val="19"/>
        </w:rPr>
        <w:t xml:space="preserve">Ashford-Rowe, K., Herrington, J. &amp; Brown, C. (2014) Establishing the critical elements that determine authentic assessment. </w:t>
      </w:r>
      <w:r>
        <w:rPr>
          <w:i/>
          <w:iCs/>
          <w:color w:val="333333"/>
          <w:sz w:val="19"/>
          <w:szCs w:val="19"/>
        </w:rPr>
        <w:t>Assessment &amp; Evaluation in Higher Education</w:t>
      </w:r>
      <w:r>
        <w:rPr>
          <w:color w:val="333333"/>
          <w:sz w:val="19"/>
          <w:szCs w:val="19"/>
        </w:rPr>
        <w:t>, 39(2), 205–222.</w:t>
      </w:r>
    </w:p>
    <w:p w14:paraId="286E02F5" w14:textId="77777777" w:rsidR="00D16027" w:rsidRDefault="00000000">
      <w:pPr>
        <w:pStyle w:val="ListParagraph"/>
        <w:numPr>
          <w:ilvl w:val="0"/>
          <w:numId w:val="3"/>
        </w:numPr>
        <w:spacing w:before="30" w:after="50"/>
      </w:pPr>
      <w:r>
        <w:rPr>
          <w:color w:val="333333"/>
          <w:sz w:val="19"/>
          <w:szCs w:val="19"/>
        </w:rPr>
        <w:t xml:space="preserve">Attali, Y. &amp; Burstein, J. (2006) Automated essay scoring with e-rater V.2. </w:t>
      </w:r>
      <w:r>
        <w:rPr>
          <w:i/>
          <w:iCs/>
          <w:color w:val="333333"/>
          <w:sz w:val="19"/>
          <w:szCs w:val="19"/>
        </w:rPr>
        <w:t>Journal of Technology, Learning, and Assessment</w:t>
      </w:r>
      <w:r>
        <w:rPr>
          <w:color w:val="333333"/>
          <w:sz w:val="19"/>
          <w:szCs w:val="19"/>
        </w:rPr>
        <w:t>, 4(3).</w:t>
      </w:r>
    </w:p>
    <w:p w14:paraId="1F7438CA" w14:textId="77777777" w:rsidR="00D16027" w:rsidRDefault="00000000">
      <w:pPr>
        <w:pStyle w:val="ListParagraph"/>
        <w:numPr>
          <w:ilvl w:val="0"/>
          <w:numId w:val="3"/>
        </w:numPr>
        <w:spacing w:before="30" w:after="50"/>
      </w:pPr>
      <w:proofErr w:type="spellStart"/>
      <w:r>
        <w:rPr>
          <w:color w:val="333333"/>
          <w:sz w:val="19"/>
          <w:szCs w:val="19"/>
        </w:rPr>
        <w:t>Banihashem</w:t>
      </w:r>
      <w:proofErr w:type="spellEnd"/>
      <w:r>
        <w:rPr>
          <w:color w:val="333333"/>
          <w:sz w:val="19"/>
          <w:szCs w:val="19"/>
        </w:rPr>
        <w:t xml:space="preserve">, S.K. et al. (2025) A pedagogical framework for hybrid intelligent feedback. </w:t>
      </w:r>
      <w:r>
        <w:rPr>
          <w:i/>
          <w:iCs/>
          <w:color w:val="333333"/>
          <w:sz w:val="19"/>
          <w:szCs w:val="19"/>
        </w:rPr>
        <w:t>Innovations in Education and Teaching International</w:t>
      </w:r>
      <w:r>
        <w:rPr>
          <w:color w:val="333333"/>
          <w:sz w:val="19"/>
          <w:szCs w:val="19"/>
        </w:rPr>
        <w:t xml:space="preserve"> (advance online).</w:t>
      </w:r>
    </w:p>
    <w:p w14:paraId="48B3514F" w14:textId="77777777" w:rsidR="00D16027" w:rsidRDefault="00000000">
      <w:pPr>
        <w:pStyle w:val="ListParagraph"/>
        <w:numPr>
          <w:ilvl w:val="0"/>
          <w:numId w:val="3"/>
        </w:numPr>
        <w:spacing w:before="30" w:after="50"/>
      </w:pPr>
      <w:r>
        <w:rPr>
          <w:color w:val="333333"/>
          <w:sz w:val="19"/>
          <w:szCs w:val="19"/>
        </w:rPr>
        <w:t xml:space="preserve">Barrett, H.C. (2007) Researching electronic portfolios and learner engagement: the REFLECT initiative. </w:t>
      </w:r>
      <w:r>
        <w:rPr>
          <w:i/>
          <w:iCs/>
          <w:color w:val="333333"/>
          <w:sz w:val="19"/>
          <w:szCs w:val="19"/>
        </w:rPr>
        <w:t>Journal of Adolescent &amp; Adult Literacy</w:t>
      </w:r>
      <w:r>
        <w:rPr>
          <w:color w:val="333333"/>
          <w:sz w:val="19"/>
          <w:szCs w:val="19"/>
        </w:rPr>
        <w:t>, 50(6), 436–449.</w:t>
      </w:r>
    </w:p>
    <w:p w14:paraId="224318D2" w14:textId="77777777" w:rsidR="00D16027" w:rsidRDefault="00000000">
      <w:pPr>
        <w:pStyle w:val="ListParagraph"/>
        <w:numPr>
          <w:ilvl w:val="0"/>
          <w:numId w:val="3"/>
        </w:numPr>
        <w:spacing w:before="30" w:after="50"/>
      </w:pPr>
      <w:r>
        <w:rPr>
          <w:color w:val="333333"/>
          <w:sz w:val="19"/>
          <w:szCs w:val="19"/>
        </w:rPr>
        <w:t xml:space="preserve">Barrows, H.S. (1993) An overview of the uses of standardized patients for teaching and evaluating clinical skills. </w:t>
      </w:r>
      <w:r>
        <w:rPr>
          <w:i/>
          <w:iCs/>
          <w:color w:val="333333"/>
          <w:sz w:val="19"/>
          <w:szCs w:val="19"/>
        </w:rPr>
        <w:t>Academic Medicine</w:t>
      </w:r>
      <w:r>
        <w:rPr>
          <w:color w:val="333333"/>
          <w:sz w:val="19"/>
          <w:szCs w:val="19"/>
        </w:rPr>
        <w:t>, 68(6), 443–451.</w:t>
      </w:r>
    </w:p>
    <w:p w14:paraId="031BF0F5" w14:textId="77777777" w:rsidR="00D16027" w:rsidRDefault="00000000">
      <w:pPr>
        <w:pStyle w:val="ListParagraph"/>
        <w:numPr>
          <w:ilvl w:val="0"/>
          <w:numId w:val="3"/>
        </w:numPr>
        <w:spacing w:before="30" w:after="50"/>
      </w:pPr>
      <w:r>
        <w:rPr>
          <w:color w:val="333333"/>
          <w:sz w:val="19"/>
          <w:szCs w:val="19"/>
        </w:rPr>
        <w:t xml:space="preserve">Bastani, H., Bastani, O., Sungu, A., Ge, H., </w:t>
      </w:r>
      <w:proofErr w:type="spellStart"/>
      <w:r>
        <w:rPr>
          <w:color w:val="333333"/>
          <w:sz w:val="19"/>
          <w:szCs w:val="19"/>
        </w:rPr>
        <w:t>Kabakcı</w:t>
      </w:r>
      <w:proofErr w:type="spellEnd"/>
      <w:r>
        <w:rPr>
          <w:color w:val="333333"/>
          <w:sz w:val="19"/>
          <w:szCs w:val="19"/>
        </w:rPr>
        <w:t xml:space="preserve">, Ö. &amp; Mariman, R. (2024) </w:t>
      </w:r>
      <w:r>
        <w:rPr>
          <w:i/>
          <w:iCs/>
          <w:color w:val="333333"/>
          <w:sz w:val="19"/>
          <w:szCs w:val="19"/>
        </w:rPr>
        <w:t>Generative AI Can Harm Learning</w:t>
      </w:r>
      <w:r>
        <w:rPr>
          <w:color w:val="333333"/>
          <w:sz w:val="19"/>
          <w:szCs w:val="19"/>
        </w:rPr>
        <w:t>. Wharton School Research Paper / SSRN 4895486.</w:t>
      </w:r>
    </w:p>
    <w:p w14:paraId="61F7911D" w14:textId="77777777" w:rsidR="00D16027" w:rsidRDefault="00000000">
      <w:pPr>
        <w:pStyle w:val="ListParagraph"/>
        <w:numPr>
          <w:ilvl w:val="0"/>
          <w:numId w:val="3"/>
        </w:numPr>
        <w:spacing w:before="30" w:after="50"/>
      </w:pPr>
      <w:r>
        <w:rPr>
          <w:color w:val="333333"/>
          <w:sz w:val="19"/>
          <w:szCs w:val="19"/>
        </w:rPr>
        <w:t xml:space="preserve">Bearman, M. &amp; </w:t>
      </w:r>
      <w:proofErr w:type="spellStart"/>
      <w:r>
        <w:rPr>
          <w:color w:val="333333"/>
          <w:sz w:val="19"/>
          <w:szCs w:val="19"/>
        </w:rPr>
        <w:t>Ajjawi</w:t>
      </w:r>
      <w:proofErr w:type="spellEnd"/>
      <w:r>
        <w:rPr>
          <w:color w:val="333333"/>
          <w:sz w:val="19"/>
          <w:szCs w:val="19"/>
        </w:rPr>
        <w:t xml:space="preserve">, R. (2023) Learning to work with the black box: pedagogy for a world with artificial intelligence. </w:t>
      </w:r>
      <w:r>
        <w:rPr>
          <w:i/>
          <w:iCs/>
          <w:color w:val="333333"/>
          <w:sz w:val="19"/>
          <w:szCs w:val="19"/>
        </w:rPr>
        <w:t>British Journal of Educational Technology</w:t>
      </w:r>
      <w:r>
        <w:rPr>
          <w:color w:val="333333"/>
          <w:sz w:val="19"/>
          <w:szCs w:val="19"/>
        </w:rPr>
        <w:t>, 54(5), 1160–1173.</w:t>
      </w:r>
    </w:p>
    <w:p w14:paraId="7186E285" w14:textId="77777777" w:rsidR="00D16027" w:rsidRDefault="00000000">
      <w:pPr>
        <w:pStyle w:val="ListParagraph"/>
        <w:numPr>
          <w:ilvl w:val="0"/>
          <w:numId w:val="3"/>
        </w:numPr>
        <w:spacing w:before="30" w:after="50"/>
      </w:pPr>
      <w:r>
        <w:rPr>
          <w:color w:val="333333"/>
          <w:sz w:val="19"/>
          <w:szCs w:val="19"/>
        </w:rPr>
        <w:t xml:space="preserve">Bearman, M., Nieminen, J.H. &amp; </w:t>
      </w:r>
      <w:proofErr w:type="spellStart"/>
      <w:r>
        <w:rPr>
          <w:color w:val="333333"/>
          <w:sz w:val="19"/>
          <w:szCs w:val="19"/>
        </w:rPr>
        <w:t>Ajjawi</w:t>
      </w:r>
      <w:proofErr w:type="spellEnd"/>
      <w:r>
        <w:rPr>
          <w:color w:val="333333"/>
          <w:sz w:val="19"/>
          <w:szCs w:val="19"/>
        </w:rPr>
        <w:t xml:space="preserve">, R. (2023) Designing assessment in a digital world: an organising framework. </w:t>
      </w:r>
      <w:r>
        <w:rPr>
          <w:i/>
          <w:iCs/>
          <w:color w:val="333333"/>
          <w:sz w:val="19"/>
          <w:szCs w:val="19"/>
        </w:rPr>
        <w:t>Assessment &amp; Evaluation in Higher Education</w:t>
      </w:r>
      <w:r>
        <w:rPr>
          <w:color w:val="333333"/>
          <w:sz w:val="19"/>
          <w:szCs w:val="19"/>
        </w:rPr>
        <w:t>, 48(3), 291–304.</w:t>
      </w:r>
    </w:p>
    <w:p w14:paraId="5EAD091E" w14:textId="77777777" w:rsidR="00D16027" w:rsidRDefault="00000000">
      <w:pPr>
        <w:pStyle w:val="ListParagraph"/>
        <w:numPr>
          <w:ilvl w:val="0"/>
          <w:numId w:val="3"/>
        </w:numPr>
        <w:spacing w:before="30" w:after="50"/>
      </w:pPr>
      <w:r>
        <w:rPr>
          <w:color w:val="333333"/>
          <w:sz w:val="19"/>
          <w:szCs w:val="19"/>
        </w:rPr>
        <w:t xml:space="preserve">Bearman, M., Tai, J., Dawson, P., Boud, D. &amp; </w:t>
      </w:r>
      <w:proofErr w:type="spellStart"/>
      <w:r>
        <w:rPr>
          <w:color w:val="333333"/>
          <w:sz w:val="19"/>
          <w:szCs w:val="19"/>
        </w:rPr>
        <w:t>Ajjawi</w:t>
      </w:r>
      <w:proofErr w:type="spellEnd"/>
      <w:r>
        <w:rPr>
          <w:color w:val="333333"/>
          <w:sz w:val="19"/>
          <w:szCs w:val="19"/>
        </w:rPr>
        <w:t xml:space="preserve">, R. (2024) Developing evaluative judgement for a time of generative artificial intelligence. </w:t>
      </w:r>
      <w:r>
        <w:rPr>
          <w:i/>
          <w:iCs/>
          <w:color w:val="333333"/>
          <w:sz w:val="19"/>
          <w:szCs w:val="19"/>
        </w:rPr>
        <w:t>Assessment &amp; Evaluation in Higher Education</w:t>
      </w:r>
      <w:r>
        <w:rPr>
          <w:color w:val="333333"/>
          <w:sz w:val="19"/>
          <w:szCs w:val="19"/>
        </w:rPr>
        <w:t>, 49(6), 893–905.</w:t>
      </w:r>
    </w:p>
    <w:p w14:paraId="2F43A708" w14:textId="77777777" w:rsidR="00D16027" w:rsidRDefault="00000000">
      <w:pPr>
        <w:pStyle w:val="ListParagraph"/>
        <w:numPr>
          <w:ilvl w:val="0"/>
          <w:numId w:val="3"/>
        </w:numPr>
        <w:spacing w:before="30" w:after="50"/>
      </w:pPr>
      <w:proofErr w:type="spellStart"/>
      <w:r>
        <w:rPr>
          <w:color w:val="333333"/>
          <w:sz w:val="19"/>
          <w:szCs w:val="19"/>
        </w:rPr>
        <w:t>Beijaard</w:t>
      </w:r>
      <w:proofErr w:type="spellEnd"/>
      <w:r>
        <w:rPr>
          <w:color w:val="333333"/>
          <w:sz w:val="19"/>
          <w:szCs w:val="19"/>
        </w:rPr>
        <w:t xml:space="preserve">, D., Meijer, P.C. &amp; </w:t>
      </w:r>
      <w:proofErr w:type="spellStart"/>
      <w:r>
        <w:rPr>
          <w:color w:val="333333"/>
          <w:sz w:val="19"/>
          <w:szCs w:val="19"/>
        </w:rPr>
        <w:t>Verloop</w:t>
      </w:r>
      <w:proofErr w:type="spellEnd"/>
      <w:r>
        <w:rPr>
          <w:color w:val="333333"/>
          <w:sz w:val="19"/>
          <w:szCs w:val="19"/>
        </w:rPr>
        <w:t xml:space="preserve">, N. (2004) Reconsidering research on teachers' professional identity. </w:t>
      </w:r>
      <w:r>
        <w:rPr>
          <w:i/>
          <w:iCs/>
          <w:color w:val="333333"/>
          <w:sz w:val="19"/>
          <w:szCs w:val="19"/>
        </w:rPr>
        <w:t>Teaching and Teacher Education</w:t>
      </w:r>
      <w:r>
        <w:rPr>
          <w:color w:val="333333"/>
          <w:sz w:val="19"/>
          <w:szCs w:val="19"/>
        </w:rPr>
        <w:t>, 20(2), 107–128.</w:t>
      </w:r>
    </w:p>
    <w:p w14:paraId="516B9D4B" w14:textId="77777777" w:rsidR="00D16027" w:rsidRDefault="00000000">
      <w:pPr>
        <w:pStyle w:val="ListParagraph"/>
        <w:numPr>
          <w:ilvl w:val="0"/>
          <w:numId w:val="3"/>
        </w:numPr>
        <w:spacing w:before="30" w:after="50"/>
      </w:pPr>
      <w:r>
        <w:rPr>
          <w:color w:val="333333"/>
          <w:sz w:val="19"/>
          <w:szCs w:val="19"/>
        </w:rPr>
        <w:t xml:space="preserve">Bender, E.M., Gebru, T., McMillan-Major, A. &amp; </w:t>
      </w:r>
      <w:proofErr w:type="spellStart"/>
      <w:r>
        <w:rPr>
          <w:color w:val="333333"/>
          <w:sz w:val="19"/>
          <w:szCs w:val="19"/>
        </w:rPr>
        <w:t>Shmitchell</w:t>
      </w:r>
      <w:proofErr w:type="spellEnd"/>
      <w:r>
        <w:rPr>
          <w:color w:val="333333"/>
          <w:sz w:val="19"/>
          <w:szCs w:val="19"/>
        </w:rPr>
        <w:t xml:space="preserve">, S. (2021) On the dangers of stochastic parrots: can language models be too big? </w:t>
      </w:r>
      <w:r>
        <w:rPr>
          <w:i/>
          <w:iCs/>
          <w:color w:val="333333"/>
          <w:sz w:val="19"/>
          <w:szCs w:val="19"/>
        </w:rPr>
        <w:t>Proceedings of the 2021 ACM Conference on Fairness, Accountability, and Transparency</w:t>
      </w:r>
      <w:r>
        <w:rPr>
          <w:color w:val="333333"/>
          <w:sz w:val="19"/>
          <w:szCs w:val="19"/>
        </w:rPr>
        <w:t>, 610–623.</w:t>
      </w:r>
    </w:p>
    <w:p w14:paraId="287E39B6" w14:textId="77777777" w:rsidR="00D16027" w:rsidRDefault="00000000">
      <w:pPr>
        <w:pStyle w:val="ListParagraph"/>
        <w:numPr>
          <w:ilvl w:val="0"/>
          <w:numId w:val="3"/>
        </w:numPr>
        <w:spacing w:before="30" w:after="50"/>
      </w:pPr>
      <w:r>
        <w:rPr>
          <w:color w:val="333333"/>
          <w:sz w:val="19"/>
          <w:szCs w:val="19"/>
        </w:rPr>
        <w:t xml:space="preserve">Bengtsson, L. (2019) Take-home exams in higher education: a systematic review. </w:t>
      </w:r>
      <w:r>
        <w:rPr>
          <w:i/>
          <w:iCs/>
          <w:color w:val="333333"/>
          <w:sz w:val="19"/>
          <w:szCs w:val="19"/>
        </w:rPr>
        <w:t>Education Sciences</w:t>
      </w:r>
      <w:r>
        <w:rPr>
          <w:color w:val="333333"/>
          <w:sz w:val="19"/>
          <w:szCs w:val="19"/>
        </w:rPr>
        <w:t>, 9(4), 267.</w:t>
      </w:r>
    </w:p>
    <w:p w14:paraId="0D78D170" w14:textId="77777777" w:rsidR="00D16027" w:rsidRDefault="00000000">
      <w:pPr>
        <w:pStyle w:val="ListParagraph"/>
        <w:numPr>
          <w:ilvl w:val="0"/>
          <w:numId w:val="3"/>
        </w:numPr>
        <w:spacing w:before="30" w:after="50"/>
      </w:pPr>
      <w:r>
        <w:rPr>
          <w:color w:val="333333"/>
          <w:sz w:val="19"/>
          <w:szCs w:val="19"/>
        </w:rPr>
        <w:t xml:space="preserve">Biesta, G. (2009) Good education in an age of measurement: on the need to reconnect with the question of purpose in education. </w:t>
      </w:r>
      <w:r>
        <w:rPr>
          <w:i/>
          <w:iCs/>
          <w:color w:val="333333"/>
          <w:sz w:val="19"/>
          <w:szCs w:val="19"/>
        </w:rPr>
        <w:t>Educational Assessment, Evaluation and Accountability</w:t>
      </w:r>
      <w:r>
        <w:rPr>
          <w:color w:val="333333"/>
          <w:sz w:val="19"/>
          <w:szCs w:val="19"/>
        </w:rPr>
        <w:t>, 21(1), 33–46.</w:t>
      </w:r>
    </w:p>
    <w:p w14:paraId="6F0772C0" w14:textId="77777777" w:rsidR="00D16027" w:rsidRDefault="00000000">
      <w:pPr>
        <w:pStyle w:val="ListParagraph"/>
        <w:numPr>
          <w:ilvl w:val="0"/>
          <w:numId w:val="3"/>
        </w:numPr>
        <w:spacing w:before="30" w:after="50"/>
      </w:pPr>
      <w:r>
        <w:rPr>
          <w:color w:val="333333"/>
          <w:sz w:val="19"/>
          <w:szCs w:val="19"/>
        </w:rPr>
        <w:t xml:space="preserve">Biggs, J. (1996) Enhancing teaching through constructive alignment. </w:t>
      </w:r>
      <w:r>
        <w:rPr>
          <w:i/>
          <w:iCs/>
          <w:color w:val="333333"/>
          <w:sz w:val="19"/>
          <w:szCs w:val="19"/>
        </w:rPr>
        <w:t>Higher Education</w:t>
      </w:r>
      <w:r>
        <w:rPr>
          <w:color w:val="333333"/>
          <w:sz w:val="19"/>
          <w:szCs w:val="19"/>
        </w:rPr>
        <w:t>, 32(3), 347–364.</w:t>
      </w:r>
    </w:p>
    <w:p w14:paraId="0BCA3161" w14:textId="77777777" w:rsidR="00D16027" w:rsidRDefault="00000000">
      <w:pPr>
        <w:pStyle w:val="ListParagraph"/>
        <w:numPr>
          <w:ilvl w:val="0"/>
          <w:numId w:val="3"/>
        </w:numPr>
        <w:spacing w:before="30" w:after="50"/>
      </w:pPr>
      <w:r>
        <w:rPr>
          <w:color w:val="333333"/>
          <w:sz w:val="19"/>
          <w:szCs w:val="19"/>
        </w:rPr>
        <w:t xml:space="preserve">Biggs, J. &amp; Tang, C. (2011) </w:t>
      </w:r>
      <w:r>
        <w:rPr>
          <w:i/>
          <w:iCs/>
          <w:color w:val="333333"/>
          <w:sz w:val="19"/>
          <w:szCs w:val="19"/>
        </w:rPr>
        <w:t>Teaching for Quality Learning at University</w:t>
      </w:r>
      <w:r>
        <w:rPr>
          <w:color w:val="333333"/>
          <w:sz w:val="19"/>
          <w:szCs w:val="19"/>
        </w:rPr>
        <w:t xml:space="preserve"> (4th ed.). Maidenhead: Open University Press.</w:t>
      </w:r>
    </w:p>
    <w:p w14:paraId="66D51301" w14:textId="77777777" w:rsidR="00D16027" w:rsidRDefault="00000000">
      <w:pPr>
        <w:pStyle w:val="ListParagraph"/>
        <w:numPr>
          <w:ilvl w:val="0"/>
          <w:numId w:val="3"/>
        </w:numPr>
        <w:spacing w:before="30" w:after="50"/>
      </w:pPr>
      <w:r>
        <w:rPr>
          <w:color w:val="333333"/>
          <w:sz w:val="19"/>
          <w:szCs w:val="19"/>
        </w:rPr>
        <w:t xml:space="preserve">Biggs, J.B. &amp; Collis, K.F. (1982) </w:t>
      </w:r>
      <w:r>
        <w:rPr>
          <w:i/>
          <w:iCs/>
          <w:color w:val="333333"/>
          <w:sz w:val="19"/>
          <w:szCs w:val="19"/>
        </w:rPr>
        <w:t>Evaluating the Quality of Learning: The SOLO Taxonomy</w:t>
      </w:r>
      <w:r>
        <w:rPr>
          <w:color w:val="333333"/>
          <w:sz w:val="19"/>
          <w:szCs w:val="19"/>
        </w:rPr>
        <w:t>. New York: Academic Press.</w:t>
      </w:r>
    </w:p>
    <w:p w14:paraId="1746F31E" w14:textId="77777777" w:rsidR="00D16027" w:rsidRDefault="00000000">
      <w:pPr>
        <w:pStyle w:val="ListParagraph"/>
        <w:numPr>
          <w:ilvl w:val="0"/>
          <w:numId w:val="3"/>
        </w:numPr>
        <w:spacing w:before="30" w:after="50"/>
      </w:pPr>
      <w:r>
        <w:rPr>
          <w:color w:val="333333"/>
          <w:sz w:val="19"/>
          <w:szCs w:val="19"/>
        </w:rPr>
        <w:t xml:space="preserve">Black, P. &amp; Wiliam, D. (1998) Assessment and classroom learning. </w:t>
      </w:r>
      <w:r>
        <w:rPr>
          <w:i/>
          <w:iCs/>
          <w:color w:val="333333"/>
          <w:sz w:val="19"/>
          <w:szCs w:val="19"/>
        </w:rPr>
        <w:t>Assessment in Education: Principles, Policy &amp; Practice</w:t>
      </w:r>
      <w:r>
        <w:rPr>
          <w:color w:val="333333"/>
          <w:sz w:val="19"/>
          <w:szCs w:val="19"/>
        </w:rPr>
        <w:t>, 5(1), 7–74.</w:t>
      </w:r>
    </w:p>
    <w:p w14:paraId="17E99301" w14:textId="77777777" w:rsidR="00D16027" w:rsidRDefault="00000000">
      <w:pPr>
        <w:pStyle w:val="ListParagraph"/>
        <w:numPr>
          <w:ilvl w:val="0"/>
          <w:numId w:val="3"/>
        </w:numPr>
        <w:spacing w:before="30" w:after="50"/>
      </w:pPr>
      <w:r>
        <w:rPr>
          <w:color w:val="333333"/>
          <w:sz w:val="19"/>
          <w:szCs w:val="19"/>
        </w:rPr>
        <w:t xml:space="preserve">Bloom, B.S. (ed.) (1956) </w:t>
      </w:r>
      <w:r>
        <w:rPr>
          <w:i/>
          <w:iCs/>
          <w:color w:val="333333"/>
          <w:sz w:val="19"/>
          <w:szCs w:val="19"/>
        </w:rPr>
        <w:t>Taxonomy of Educational Objectives: The Classification of Educational Goals. Handbook I: Cognitive Domain</w:t>
      </w:r>
      <w:r>
        <w:rPr>
          <w:color w:val="333333"/>
          <w:sz w:val="19"/>
          <w:szCs w:val="19"/>
        </w:rPr>
        <w:t>. New York: David McKay.</w:t>
      </w:r>
    </w:p>
    <w:p w14:paraId="76B93D50" w14:textId="77777777" w:rsidR="00D16027" w:rsidRDefault="00000000">
      <w:pPr>
        <w:pStyle w:val="ListParagraph"/>
        <w:numPr>
          <w:ilvl w:val="0"/>
          <w:numId w:val="3"/>
        </w:numPr>
        <w:spacing w:before="30" w:after="50"/>
      </w:pPr>
      <w:r>
        <w:rPr>
          <w:color w:val="333333"/>
          <w:sz w:val="19"/>
          <w:szCs w:val="19"/>
        </w:rPr>
        <w:t xml:space="preserve">Bloxham, S. &amp; Boyd, P. (2007) </w:t>
      </w:r>
      <w:r>
        <w:rPr>
          <w:i/>
          <w:iCs/>
          <w:color w:val="333333"/>
          <w:sz w:val="19"/>
          <w:szCs w:val="19"/>
        </w:rPr>
        <w:t>Developing Effective Assessment in Higher Education: A Practical Guide</w:t>
      </w:r>
      <w:r>
        <w:rPr>
          <w:color w:val="333333"/>
          <w:sz w:val="19"/>
          <w:szCs w:val="19"/>
        </w:rPr>
        <w:t>. Maidenhead: Open University Press.</w:t>
      </w:r>
    </w:p>
    <w:p w14:paraId="3B722FDB" w14:textId="77777777" w:rsidR="00D16027" w:rsidRDefault="00000000">
      <w:pPr>
        <w:pStyle w:val="ListParagraph"/>
        <w:numPr>
          <w:ilvl w:val="0"/>
          <w:numId w:val="3"/>
        </w:numPr>
        <w:spacing w:before="30" w:after="50"/>
      </w:pPr>
      <w:r>
        <w:rPr>
          <w:color w:val="333333"/>
          <w:sz w:val="19"/>
          <w:szCs w:val="19"/>
        </w:rPr>
        <w:t xml:space="preserve">Bloxham, S., Boyd, P. &amp; Orr, S. (2011) Mark my words: the role of assessment criteria in UK higher education grading practices. </w:t>
      </w:r>
      <w:r>
        <w:rPr>
          <w:i/>
          <w:iCs/>
          <w:color w:val="333333"/>
          <w:sz w:val="19"/>
          <w:szCs w:val="19"/>
        </w:rPr>
        <w:t>Studies in Higher Education</w:t>
      </w:r>
      <w:r>
        <w:rPr>
          <w:color w:val="333333"/>
          <w:sz w:val="19"/>
          <w:szCs w:val="19"/>
        </w:rPr>
        <w:t>, 36(6), 655–670.</w:t>
      </w:r>
    </w:p>
    <w:p w14:paraId="26A2BFE6" w14:textId="77777777" w:rsidR="00D16027" w:rsidRDefault="00000000">
      <w:pPr>
        <w:pStyle w:val="ListParagraph"/>
        <w:numPr>
          <w:ilvl w:val="0"/>
          <w:numId w:val="3"/>
        </w:numPr>
        <w:spacing w:before="30" w:after="50"/>
      </w:pPr>
      <w:r>
        <w:rPr>
          <w:color w:val="333333"/>
          <w:sz w:val="19"/>
          <w:szCs w:val="19"/>
        </w:rPr>
        <w:t xml:space="preserve">Bloxham, S., Boyd, P. &amp; Orr, S. (2011) Mark my words. </w:t>
      </w:r>
      <w:r>
        <w:rPr>
          <w:i/>
          <w:iCs/>
          <w:color w:val="333333"/>
          <w:sz w:val="19"/>
          <w:szCs w:val="19"/>
        </w:rPr>
        <w:t>Studies in Higher Education</w:t>
      </w:r>
      <w:r>
        <w:rPr>
          <w:color w:val="333333"/>
          <w:sz w:val="19"/>
          <w:szCs w:val="19"/>
        </w:rPr>
        <w:t>, 36(6), 655–670.</w:t>
      </w:r>
    </w:p>
    <w:p w14:paraId="4CA89E24" w14:textId="77777777" w:rsidR="00D16027" w:rsidRDefault="00000000">
      <w:pPr>
        <w:pStyle w:val="ListParagraph"/>
        <w:numPr>
          <w:ilvl w:val="0"/>
          <w:numId w:val="3"/>
        </w:numPr>
        <w:spacing w:before="30" w:after="50"/>
      </w:pPr>
      <w:proofErr w:type="spellStart"/>
      <w:r>
        <w:rPr>
          <w:color w:val="333333"/>
          <w:sz w:val="19"/>
          <w:szCs w:val="19"/>
        </w:rPr>
        <w:t>Bommasani</w:t>
      </w:r>
      <w:proofErr w:type="spellEnd"/>
      <w:r>
        <w:rPr>
          <w:color w:val="333333"/>
          <w:sz w:val="19"/>
          <w:szCs w:val="19"/>
        </w:rPr>
        <w:t xml:space="preserve">, R. et al. (2021) On the opportunities and risks of foundation models. Stanford </w:t>
      </w:r>
      <w:proofErr w:type="spellStart"/>
      <w:r>
        <w:rPr>
          <w:color w:val="333333"/>
          <w:sz w:val="19"/>
          <w:szCs w:val="19"/>
        </w:rPr>
        <w:t>Center</w:t>
      </w:r>
      <w:proofErr w:type="spellEnd"/>
      <w:r>
        <w:rPr>
          <w:color w:val="333333"/>
          <w:sz w:val="19"/>
          <w:szCs w:val="19"/>
        </w:rPr>
        <w:t xml:space="preserve"> for Research on Foundation Models. arXiv:2108.07258.</w:t>
      </w:r>
    </w:p>
    <w:p w14:paraId="7BC79EC5" w14:textId="77777777" w:rsidR="00D16027" w:rsidRDefault="00000000">
      <w:pPr>
        <w:pStyle w:val="ListParagraph"/>
        <w:numPr>
          <w:ilvl w:val="0"/>
          <w:numId w:val="3"/>
        </w:numPr>
        <w:spacing w:before="30" w:after="50"/>
      </w:pPr>
      <w:r>
        <w:rPr>
          <w:color w:val="333333"/>
          <w:sz w:val="19"/>
          <w:szCs w:val="19"/>
        </w:rPr>
        <w:lastRenderedPageBreak/>
        <w:t xml:space="preserve">Boud, D. (2000) Sustainable assessment: rethinking assessment for the learning society. </w:t>
      </w:r>
      <w:r>
        <w:rPr>
          <w:i/>
          <w:iCs/>
          <w:color w:val="333333"/>
          <w:sz w:val="19"/>
          <w:szCs w:val="19"/>
        </w:rPr>
        <w:t>Studies in Continuing Education</w:t>
      </w:r>
      <w:r>
        <w:rPr>
          <w:color w:val="333333"/>
          <w:sz w:val="19"/>
          <w:szCs w:val="19"/>
        </w:rPr>
        <w:t>, 22(2), 151–167.</w:t>
      </w:r>
    </w:p>
    <w:p w14:paraId="3422E7A6" w14:textId="77777777" w:rsidR="00D16027" w:rsidRDefault="00000000">
      <w:pPr>
        <w:pStyle w:val="ListParagraph"/>
        <w:numPr>
          <w:ilvl w:val="0"/>
          <w:numId w:val="3"/>
        </w:numPr>
        <w:spacing w:before="30" w:after="50"/>
      </w:pPr>
      <w:r>
        <w:rPr>
          <w:color w:val="333333"/>
          <w:sz w:val="19"/>
          <w:szCs w:val="19"/>
        </w:rPr>
        <w:t xml:space="preserve">Boud, D. &amp; Falchikov, N. (eds.) (2007) </w:t>
      </w:r>
      <w:r>
        <w:rPr>
          <w:i/>
          <w:iCs/>
          <w:color w:val="333333"/>
          <w:sz w:val="19"/>
          <w:szCs w:val="19"/>
        </w:rPr>
        <w:t>Rethinking Assessment in Higher Education: Learning for the Longer Term</w:t>
      </w:r>
      <w:r>
        <w:rPr>
          <w:color w:val="333333"/>
          <w:sz w:val="19"/>
          <w:szCs w:val="19"/>
        </w:rPr>
        <w:t>. London: Routledge.</w:t>
      </w:r>
    </w:p>
    <w:p w14:paraId="3A1D9D5A" w14:textId="77777777" w:rsidR="00D16027" w:rsidRDefault="00000000">
      <w:pPr>
        <w:pStyle w:val="ListParagraph"/>
        <w:numPr>
          <w:ilvl w:val="0"/>
          <w:numId w:val="3"/>
        </w:numPr>
        <w:spacing w:before="30" w:after="50"/>
      </w:pPr>
      <w:r>
        <w:rPr>
          <w:color w:val="333333"/>
          <w:sz w:val="19"/>
          <w:szCs w:val="19"/>
        </w:rPr>
        <w:t xml:space="preserve">Boud, D. &amp; Molloy, E. (2013) Rethinking models of feedback for learning: the challenge of design. </w:t>
      </w:r>
      <w:r>
        <w:rPr>
          <w:i/>
          <w:iCs/>
          <w:color w:val="333333"/>
          <w:sz w:val="19"/>
          <w:szCs w:val="19"/>
        </w:rPr>
        <w:t>Assessment &amp; Evaluation in Higher Education</w:t>
      </w:r>
      <w:r>
        <w:rPr>
          <w:color w:val="333333"/>
          <w:sz w:val="19"/>
          <w:szCs w:val="19"/>
        </w:rPr>
        <w:t>, 38(6), 698–712.</w:t>
      </w:r>
    </w:p>
    <w:p w14:paraId="1D2A5B91" w14:textId="77777777" w:rsidR="00D16027" w:rsidRDefault="00000000">
      <w:pPr>
        <w:pStyle w:val="ListParagraph"/>
        <w:numPr>
          <w:ilvl w:val="0"/>
          <w:numId w:val="3"/>
        </w:numPr>
        <w:spacing w:before="30" w:after="50"/>
      </w:pPr>
      <w:r>
        <w:rPr>
          <w:color w:val="333333"/>
          <w:sz w:val="19"/>
          <w:szCs w:val="19"/>
        </w:rPr>
        <w:t xml:space="preserve">Boud, D. &amp; Soler, R. (2016) Sustainable assessment revisited. </w:t>
      </w:r>
      <w:r>
        <w:rPr>
          <w:i/>
          <w:iCs/>
          <w:color w:val="333333"/>
          <w:sz w:val="19"/>
          <w:szCs w:val="19"/>
        </w:rPr>
        <w:t>Assessment &amp; Evaluation in Higher Education</w:t>
      </w:r>
      <w:r>
        <w:rPr>
          <w:color w:val="333333"/>
          <w:sz w:val="19"/>
          <w:szCs w:val="19"/>
        </w:rPr>
        <w:t>, 41(3), 400–413.</w:t>
      </w:r>
    </w:p>
    <w:p w14:paraId="7D07834B" w14:textId="77777777" w:rsidR="00D16027" w:rsidRDefault="00000000">
      <w:pPr>
        <w:pStyle w:val="ListParagraph"/>
        <w:numPr>
          <w:ilvl w:val="0"/>
          <w:numId w:val="3"/>
        </w:numPr>
        <w:spacing w:before="30" w:after="50"/>
      </w:pPr>
      <w:r>
        <w:rPr>
          <w:color w:val="333333"/>
          <w:sz w:val="19"/>
          <w:szCs w:val="19"/>
        </w:rPr>
        <w:t xml:space="preserve">Bovill, C. (2020) Co-creation in learning and teaching: the case for a whole-class approach in higher education. </w:t>
      </w:r>
      <w:r>
        <w:rPr>
          <w:i/>
          <w:iCs/>
          <w:color w:val="333333"/>
          <w:sz w:val="19"/>
          <w:szCs w:val="19"/>
        </w:rPr>
        <w:t>Higher Education</w:t>
      </w:r>
      <w:r>
        <w:rPr>
          <w:color w:val="333333"/>
          <w:sz w:val="19"/>
          <w:szCs w:val="19"/>
        </w:rPr>
        <w:t>, 79(6), 1023–1037.</w:t>
      </w:r>
    </w:p>
    <w:p w14:paraId="2444C83D" w14:textId="77777777" w:rsidR="00D16027" w:rsidRDefault="00000000">
      <w:pPr>
        <w:pStyle w:val="ListParagraph"/>
        <w:numPr>
          <w:ilvl w:val="0"/>
          <w:numId w:val="3"/>
        </w:numPr>
        <w:spacing w:before="30" w:after="50"/>
      </w:pPr>
      <w:r>
        <w:rPr>
          <w:color w:val="333333"/>
          <w:sz w:val="19"/>
          <w:szCs w:val="19"/>
        </w:rPr>
        <w:t xml:space="preserve">Bower, M., Torrington, J., Lai, J.W.M., </w:t>
      </w:r>
      <w:proofErr w:type="spellStart"/>
      <w:r>
        <w:rPr>
          <w:color w:val="333333"/>
          <w:sz w:val="19"/>
          <w:szCs w:val="19"/>
        </w:rPr>
        <w:t>Petocz</w:t>
      </w:r>
      <w:proofErr w:type="spellEnd"/>
      <w:r>
        <w:rPr>
          <w:color w:val="333333"/>
          <w:sz w:val="19"/>
          <w:szCs w:val="19"/>
        </w:rPr>
        <w:t xml:space="preserve">, P. &amp; Alfano, M. (2024) How should we change teaching and assessment in response to increasingly powerful generative artificial intelligence? Outcomes of the ChatGPT teacher survey. </w:t>
      </w:r>
      <w:r>
        <w:rPr>
          <w:i/>
          <w:iCs/>
          <w:color w:val="333333"/>
          <w:sz w:val="19"/>
          <w:szCs w:val="19"/>
        </w:rPr>
        <w:t>Education and Information Technologies</w:t>
      </w:r>
      <w:r>
        <w:rPr>
          <w:color w:val="333333"/>
          <w:sz w:val="19"/>
          <w:szCs w:val="19"/>
        </w:rPr>
        <w:t>, 29, 15403–15439.</w:t>
      </w:r>
    </w:p>
    <w:p w14:paraId="7DC28687" w14:textId="77777777" w:rsidR="00D16027" w:rsidRDefault="00000000">
      <w:pPr>
        <w:pStyle w:val="ListParagraph"/>
        <w:numPr>
          <w:ilvl w:val="0"/>
          <w:numId w:val="3"/>
        </w:numPr>
        <w:spacing w:before="30" w:after="50"/>
      </w:pPr>
      <w:r>
        <w:rPr>
          <w:color w:val="333333"/>
          <w:sz w:val="19"/>
          <w:szCs w:val="19"/>
        </w:rPr>
        <w:t xml:space="preserve">Boyer, E.L. (1990) </w:t>
      </w:r>
      <w:r>
        <w:rPr>
          <w:i/>
          <w:iCs/>
          <w:color w:val="333333"/>
          <w:sz w:val="19"/>
          <w:szCs w:val="19"/>
        </w:rPr>
        <w:t>Scholarship Reconsidered: Priorities of the Professoriate</w:t>
      </w:r>
      <w:r>
        <w:rPr>
          <w:color w:val="333333"/>
          <w:sz w:val="19"/>
          <w:szCs w:val="19"/>
        </w:rPr>
        <w:t>. Princeton, NJ: Carnegie Foundation for the Advancement of Teaching.</w:t>
      </w:r>
    </w:p>
    <w:p w14:paraId="2AAFD5FE" w14:textId="77777777" w:rsidR="00D16027" w:rsidRDefault="00000000">
      <w:pPr>
        <w:pStyle w:val="ListParagraph"/>
        <w:numPr>
          <w:ilvl w:val="0"/>
          <w:numId w:val="3"/>
        </w:numPr>
        <w:spacing w:before="30" w:after="50"/>
      </w:pPr>
      <w:proofErr w:type="spellStart"/>
      <w:r>
        <w:rPr>
          <w:color w:val="333333"/>
          <w:sz w:val="19"/>
          <w:szCs w:val="19"/>
        </w:rPr>
        <w:t>Bretag</w:t>
      </w:r>
      <w:proofErr w:type="spellEnd"/>
      <w:r>
        <w:rPr>
          <w:color w:val="333333"/>
          <w:sz w:val="19"/>
          <w:szCs w:val="19"/>
        </w:rPr>
        <w:t xml:space="preserve">, T., Harper, R., Burton, M., Ellis, C., Newton, P., Rozenberg, P., Saddiqui, S. &amp; van </w:t>
      </w:r>
      <w:proofErr w:type="spellStart"/>
      <w:r>
        <w:rPr>
          <w:color w:val="333333"/>
          <w:sz w:val="19"/>
          <w:szCs w:val="19"/>
        </w:rPr>
        <w:t>Haeringen</w:t>
      </w:r>
      <w:proofErr w:type="spellEnd"/>
      <w:r>
        <w:rPr>
          <w:color w:val="333333"/>
          <w:sz w:val="19"/>
          <w:szCs w:val="19"/>
        </w:rPr>
        <w:t xml:space="preserve">, K. (2019) Contract cheating: a survey of Australian university students. </w:t>
      </w:r>
      <w:r>
        <w:rPr>
          <w:i/>
          <w:iCs/>
          <w:color w:val="333333"/>
          <w:sz w:val="19"/>
          <w:szCs w:val="19"/>
        </w:rPr>
        <w:t>Studies in Higher Education</w:t>
      </w:r>
      <w:r>
        <w:rPr>
          <w:color w:val="333333"/>
          <w:sz w:val="19"/>
          <w:szCs w:val="19"/>
        </w:rPr>
        <w:t>, 44(11), 1837–1856.</w:t>
      </w:r>
    </w:p>
    <w:p w14:paraId="36B128F2" w14:textId="77777777" w:rsidR="00D16027" w:rsidRDefault="00000000">
      <w:pPr>
        <w:pStyle w:val="ListParagraph"/>
        <w:numPr>
          <w:ilvl w:val="0"/>
          <w:numId w:val="3"/>
        </w:numPr>
        <w:spacing w:before="30" w:after="50"/>
      </w:pPr>
      <w:r>
        <w:rPr>
          <w:color w:val="333333"/>
          <w:sz w:val="19"/>
          <w:szCs w:val="19"/>
        </w:rPr>
        <w:t xml:space="preserve">Bridgeman, A., Liu, D. &amp; Weeks, R. (2024) Programme-level assessment design and the two-lane approach. </w:t>
      </w:r>
      <w:proofErr w:type="spellStart"/>
      <w:r>
        <w:rPr>
          <w:i/>
          <w:iCs/>
          <w:color w:val="333333"/>
          <w:sz w:val="19"/>
          <w:szCs w:val="19"/>
        </w:rPr>
        <w:t>Teaching@Sydney</w:t>
      </w:r>
      <w:proofErr w:type="spellEnd"/>
      <w:r>
        <w:rPr>
          <w:color w:val="333333"/>
          <w:sz w:val="19"/>
          <w:szCs w:val="19"/>
        </w:rPr>
        <w:t>, University of Sydney.</w:t>
      </w:r>
    </w:p>
    <w:p w14:paraId="457CA42E" w14:textId="77777777" w:rsidR="00D16027" w:rsidRDefault="00000000">
      <w:pPr>
        <w:pStyle w:val="ListParagraph"/>
        <w:numPr>
          <w:ilvl w:val="0"/>
          <w:numId w:val="3"/>
        </w:numPr>
        <w:spacing w:before="30" w:after="50"/>
      </w:pPr>
      <w:r>
        <w:rPr>
          <w:color w:val="333333"/>
          <w:sz w:val="19"/>
          <w:szCs w:val="19"/>
        </w:rPr>
        <w:t xml:space="preserve">Bridgeman, B., Trapani, C. &amp; Attali, Y. (2012) Comparison of human and machine scoring of essays: differences by gender, ethnicity, and country. </w:t>
      </w:r>
      <w:r>
        <w:rPr>
          <w:i/>
          <w:iCs/>
          <w:color w:val="333333"/>
          <w:sz w:val="19"/>
          <w:szCs w:val="19"/>
        </w:rPr>
        <w:t>Applied Measurement in Education</w:t>
      </w:r>
      <w:r>
        <w:rPr>
          <w:color w:val="333333"/>
          <w:sz w:val="19"/>
          <w:szCs w:val="19"/>
        </w:rPr>
        <w:t>, 25(1), 27–40.</w:t>
      </w:r>
    </w:p>
    <w:p w14:paraId="59B35180" w14:textId="77777777" w:rsidR="00D16027" w:rsidRDefault="00000000">
      <w:pPr>
        <w:pStyle w:val="ListParagraph"/>
        <w:numPr>
          <w:ilvl w:val="0"/>
          <w:numId w:val="3"/>
        </w:numPr>
        <w:spacing w:before="30" w:after="50"/>
      </w:pPr>
      <w:r>
        <w:rPr>
          <w:color w:val="333333"/>
          <w:sz w:val="19"/>
          <w:szCs w:val="19"/>
        </w:rPr>
        <w:t xml:space="preserve">Bringle, R.G. &amp; Hatcher, J.A. (1995) A service-learning curriculum for faculty. </w:t>
      </w:r>
      <w:r>
        <w:rPr>
          <w:i/>
          <w:iCs/>
          <w:color w:val="333333"/>
          <w:sz w:val="19"/>
          <w:szCs w:val="19"/>
        </w:rPr>
        <w:t>Michigan Journal of Community Service Learning</w:t>
      </w:r>
      <w:r>
        <w:rPr>
          <w:color w:val="333333"/>
          <w:sz w:val="19"/>
          <w:szCs w:val="19"/>
        </w:rPr>
        <w:t>, 2(1), 112–122.</w:t>
      </w:r>
    </w:p>
    <w:p w14:paraId="4F4A7EB4" w14:textId="77777777" w:rsidR="00D16027" w:rsidRDefault="00000000">
      <w:pPr>
        <w:pStyle w:val="ListParagraph"/>
        <w:numPr>
          <w:ilvl w:val="0"/>
          <w:numId w:val="3"/>
        </w:numPr>
        <w:spacing w:before="30" w:after="50"/>
      </w:pPr>
      <w:r>
        <w:rPr>
          <w:color w:val="333333"/>
          <w:sz w:val="19"/>
          <w:szCs w:val="19"/>
        </w:rPr>
        <w:t xml:space="preserve">Brown, T.B. et al. (2020) Language models are few-shot learners. </w:t>
      </w:r>
      <w:r>
        <w:rPr>
          <w:i/>
          <w:iCs/>
          <w:color w:val="333333"/>
          <w:sz w:val="19"/>
          <w:szCs w:val="19"/>
        </w:rPr>
        <w:t>Advances in Neural Information Processing Systems</w:t>
      </w:r>
      <w:r>
        <w:rPr>
          <w:color w:val="333333"/>
          <w:sz w:val="19"/>
          <w:szCs w:val="19"/>
        </w:rPr>
        <w:t>, 33, 1877–1901.</w:t>
      </w:r>
    </w:p>
    <w:p w14:paraId="77EBAC1C" w14:textId="77777777" w:rsidR="00D16027" w:rsidRDefault="00000000">
      <w:pPr>
        <w:pStyle w:val="ListParagraph"/>
        <w:numPr>
          <w:ilvl w:val="0"/>
          <w:numId w:val="3"/>
        </w:numPr>
        <w:spacing w:before="30" w:after="50"/>
      </w:pPr>
      <w:r>
        <w:rPr>
          <w:color w:val="333333"/>
          <w:sz w:val="19"/>
          <w:szCs w:val="19"/>
        </w:rPr>
        <w:t xml:space="preserve">Bulut, O., Beiting-Parrish, M., Casabianca, J.M., Slater, S.C., Jiao, H., Song, D., Ormerod, C.M., </w:t>
      </w:r>
      <w:proofErr w:type="spellStart"/>
      <w:r>
        <w:rPr>
          <w:color w:val="333333"/>
          <w:sz w:val="19"/>
          <w:szCs w:val="19"/>
        </w:rPr>
        <w:t>Fabiyi</w:t>
      </w:r>
      <w:proofErr w:type="spellEnd"/>
      <w:r>
        <w:rPr>
          <w:color w:val="333333"/>
          <w:sz w:val="19"/>
          <w:szCs w:val="19"/>
        </w:rPr>
        <w:t>, D.G., Ivan, R., Walsh, C., Rios, O., Wilson, J., Yildirim-</w:t>
      </w:r>
      <w:proofErr w:type="spellStart"/>
      <w:r>
        <w:rPr>
          <w:color w:val="333333"/>
          <w:sz w:val="19"/>
          <w:szCs w:val="19"/>
        </w:rPr>
        <w:t>Erbasli</w:t>
      </w:r>
      <w:proofErr w:type="spellEnd"/>
      <w:r>
        <w:rPr>
          <w:color w:val="333333"/>
          <w:sz w:val="19"/>
          <w:szCs w:val="19"/>
        </w:rPr>
        <w:t xml:space="preserve">, S.N., </w:t>
      </w:r>
      <w:proofErr w:type="spellStart"/>
      <w:r>
        <w:rPr>
          <w:color w:val="333333"/>
          <w:sz w:val="19"/>
          <w:szCs w:val="19"/>
        </w:rPr>
        <w:t>Wongvorachan</w:t>
      </w:r>
      <w:proofErr w:type="spellEnd"/>
      <w:r>
        <w:rPr>
          <w:color w:val="333333"/>
          <w:sz w:val="19"/>
          <w:szCs w:val="19"/>
        </w:rPr>
        <w:t xml:space="preserve">, T., Liu, J.X., Tan, B. &amp; </w:t>
      </w:r>
      <w:proofErr w:type="spellStart"/>
      <w:r>
        <w:rPr>
          <w:color w:val="333333"/>
          <w:sz w:val="19"/>
          <w:szCs w:val="19"/>
        </w:rPr>
        <w:t>Morilova</w:t>
      </w:r>
      <w:proofErr w:type="spellEnd"/>
      <w:r>
        <w:rPr>
          <w:color w:val="333333"/>
          <w:sz w:val="19"/>
          <w:szCs w:val="19"/>
        </w:rPr>
        <w:t>, P. (2024) The rise of artificial intelligence in educational measurement: opportunities and ethical challenges. arXiv:2406.18900.</w:t>
      </w:r>
    </w:p>
    <w:p w14:paraId="27369D84" w14:textId="77777777" w:rsidR="00D16027" w:rsidRDefault="00000000">
      <w:pPr>
        <w:pStyle w:val="ListParagraph"/>
        <w:numPr>
          <w:ilvl w:val="0"/>
          <w:numId w:val="3"/>
        </w:numPr>
        <w:spacing w:before="30" w:after="50"/>
      </w:pPr>
      <w:r>
        <w:rPr>
          <w:color w:val="333333"/>
          <w:sz w:val="19"/>
          <w:szCs w:val="19"/>
        </w:rPr>
        <w:t xml:space="preserve">Cardon, P., Fleischmann, C., Aritz, J., Logemann, M. &amp; </w:t>
      </w:r>
      <w:proofErr w:type="spellStart"/>
      <w:r>
        <w:rPr>
          <w:color w:val="333333"/>
          <w:sz w:val="19"/>
          <w:szCs w:val="19"/>
        </w:rPr>
        <w:t>Heidewald</w:t>
      </w:r>
      <w:proofErr w:type="spellEnd"/>
      <w:r>
        <w:rPr>
          <w:color w:val="333333"/>
          <w:sz w:val="19"/>
          <w:szCs w:val="19"/>
        </w:rPr>
        <w:t xml:space="preserve">, J. (2023) The challenges and opportunities of AI-assisted writing: developing AI literacy for the AI age. </w:t>
      </w:r>
      <w:r>
        <w:rPr>
          <w:i/>
          <w:iCs/>
          <w:color w:val="333333"/>
          <w:sz w:val="19"/>
          <w:szCs w:val="19"/>
        </w:rPr>
        <w:t>Business and Professional Communication Quarterly</w:t>
      </w:r>
      <w:r>
        <w:rPr>
          <w:color w:val="333333"/>
          <w:sz w:val="19"/>
          <w:szCs w:val="19"/>
        </w:rPr>
        <w:t>, 86(3), 257–295.</w:t>
      </w:r>
    </w:p>
    <w:p w14:paraId="7545A7CB" w14:textId="77777777" w:rsidR="00D16027" w:rsidRDefault="00000000">
      <w:pPr>
        <w:pStyle w:val="ListParagraph"/>
        <w:numPr>
          <w:ilvl w:val="0"/>
          <w:numId w:val="3"/>
        </w:numPr>
        <w:spacing w:before="30" w:after="50"/>
      </w:pPr>
      <w:r>
        <w:rPr>
          <w:color w:val="333333"/>
          <w:sz w:val="19"/>
          <w:szCs w:val="19"/>
        </w:rPr>
        <w:t xml:space="preserve">Carless, D. &amp; Boud, D. (2018) The development of student feedback literacy: enabling uptake of feedback. </w:t>
      </w:r>
      <w:r>
        <w:rPr>
          <w:i/>
          <w:iCs/>
          <w:color w:val="333333"/>
          <w:sz w:val="19"/>
          <w:szCs w:val="19"/>
        </w:rPr>
        <w:t>Assessment &amp; Evaluation in Higher Education</w:t>
      </w:r>
      <w:r>
        <w:rPr>
          <w:color w:val="333333"/>
          <w:sz w:val="19"/>
          <w:szCs w:val="19"/>
        </w:rPr>
        <w:t>, 43(8), 1315–1325.</w:t>
      </w:r>
    </w:p>
    <w:p w14:paraId="0C430498" w14:textId="77777777" w:rsidR="00D16027" w:rsidRDefault="00000000">
      <w:pPr>
        <w:pStyle w:val="ListParagraph"/>
        <w:numPr>
          <w:ilvl w:val="0"/>
          <w:numId w:val="3"/>
        </w:numPr>
        <w:spacing w:before="30" w:after="50"/>
      </w:pPr>
      <w:r>
        <w:rPr>
          <w:color w:val="333333"/>
          <w:sz w:val="19"/>
          <w:szCs w:val="19"/>
        </w:rPr>
        <w:t xml:space="preserve">CAST (2018) </w:t>
      </w:r>
      <w:r>
        <w:rPr>
          <w:i/>
          <w:iCs/>
          <w:color w:val="333333"/>
          <w:sz w:val="19"/>
          <w:szCs w:val="19"/>
        </w:rPr>
        <w:t>Universal Design for Learning Guidelines, Version 2.2</w:t>
      </w:r>
      <w:r>
        <w:rPr>
          <w:color w:val="333333"/>
          <w:sz w:val="19"/>
          <w:szCs w:val="19"/>
        </w:rPr>
        <w:t>. Wakefield, MA: CAST.</w:t>
      </w:r>
    </w:p>
    <w:p w14:paraId="0213F9CA" w14:textId="77777777" w:rsidR="00D16027" w:rsidRDefault="00000000">
      <w:pPr>
        <w:pStyle w:val="ListParagraph"/>
        <w:numPr>
          <w:ilvl w:val="0"/>
          <w:numId w:val="3"/>
        </w:numPr>
        <w:spacing w:before="30" w:after="50"/>
      </w:pPr>
      <w:r>
        <w:rPr>
          <w:color w:val="333333"/>
          <w:sz w:val="19"/>
          <w:szCs w:val="19"/>
        </w:rPr>
        <w:t xml:space="preserve">Chan, C.K.Y. (2023) A comprehensive AI policy education framework for university teaching and learning. </w:t>
      </w:r>
      <w:r>
        <w:rPr>
          <w:i/>
          <w:iCs/>
          <w:color w:val="333333"/>
          <w:sz w:val="19"/>
          <w:szCs w:val="19"/>
        </w:rPr>
        <w:t>International Journal of Educational Technology in Higher Education</w:t>
      </w:r>
      <w:r>
        <w:rPr>
          <w:color w:val="333333"/>
          <w:sz w:val="19"/>
          <w:szCs w:val="19"/>
        </w:rPr>
        <w:t>, 20, 38.</w:t>
      </w:r>
    </w:p>
    <w:p w14:paraId="53626132" w14:textId="77777777" w:rsidR="00D16027" w:rsidRDefault="00000000">
      <w:pPr>
        <w:pStyle w:val="ListParagraph"/>
        <w:numPr>
          <w:ilvl w:val="0"/>
          <w:numId w:val="3"/>
        </w:numPr>
        <w:spacing w:before="30" w:after="50"/>
      </w:pPr>
      <w:r>
        <w:rPr>
          <w:color w:val="333333"/>
          <w:sz w:val="19"/>
          <w:szCs w:val="19"/>
        </w:rPr>
        <w:t xml:space="preserve">Chan, C.K.Y. &amp; Hu, W. (2023) Students' voices on generative AI: perceptions, benefits, and challenges in higher education. </w:t>
      </w:r>
      <w:r>
        <w:rPr>
          <w:i/>
          <w:iCs/>
          <w:color w:val="333333"/>
          <w:sz w:val="19"/>
          <w:szCs w:val="19"/>
        </w:rPr>
        <w:t>International Journal of Educational Technology in Higher Education</w:t>
      </w:r>
      <w:r>
        <w:rPr>
          <w:color w:val="333333"/>
          <w:sz w:val="19"/>
          <w:szCs w:val="19"/>
        </w:rPr>
        <w:t>, 20, 43.</w:t>
      </w:r>
    </w:p>
    <w:p w14:paraId="00379875" w14:textId="77777777" w:rsidR="00D16027" w:rsidRDefault="00000000">
      <w:pPr>
        <w:pStyle w:val="ListParagraph"/>
        <w:numPr>
          <w:ilvl w:val="0"/>
          <w:numId w:val="3"/>
        </w:numPr>
        <w:spacing w:before="30" w:after="50"/>
      </w:pPr>
      <w:r>
        <w:rPr>
          <w:color w:val="333333"/>
          <w:sz w:val="19"/>
          <w:szCs w:val="19"/>
        </w:rPr>
        <w:t xml:space="preserve">Choi, J.H., Hickman, K.E., Monahan, A. &amp; Schwarcz, D. (2023) ChatGPT goes to law school. </w:t>
      </w:r>
      <w:r>
        <w:rPr>
          <w:i/>
          <w:iCs/>
          <w:color w:val="333333"/>
          <w:sz w:val="19"/>
          <w:szCs w:val="19"/>
        </w:rPr>
        <w:t>Journal of Legal Education</w:t>
      </w:r>
      <w:r>
        <w:rPr>
          <w:color w:val="333333"/>
          <w:sz w:val="19"/>
          <w:szCs w:val="19"/>
        </w:rPr>
        <w:t>, 71(3), 387–400.</w:t>
      </w:r>
    </w:p>
    <w:p w14:paraId="6FE06A16" w14:textId="77777777" w:rsidR="00D16027" w:rsidRDefault="00000000">
      <w:pPr>
        <w:pStyle w:val="ListParagraph"/>
        <w:numPr>
          <w:ilvl w:val="0"/>
          <w:numId w:val="3"/>
        </w:numPr>
        <w:spacing w:before="30" w:after="50"/>
      </w:pPr>
      <w:r>
        <w:rPr>
          <w:color w:val="333333"/>
          <w:sz w:val="19"/>
          <w:szCs w:val="19"/>
        </w:rPr>
        <w:t xml:space="preserve">Coghlan, S., Miller, T. &amp; Paterson, J. (2021) Good proctor or "big brother"? Ethics of online exam supervision technologies. </w:t>
      </w:r>
      <w:r>
        <w:rPr>
          <w:i/>
          <w:iCs/>
          <w:color w:val="333333"/>
          <w:sz w:val="19"/>
          <w:szCs w:val="19"/>
        </w:rPr>
        <w:t>Philosophy &amp; Technology</w:t>
      </w:r>
      <w:r>
        <w:rPr>
          <w:color w:val="333333"/>
          <w:sz w:val="19"/>
          <w:szCs w:val="19"/>
        </w:rPr>
        <w:t>, 34(4), 1581–1606.</w:t>
      </w:r>
    </w:p>
    <w:p w14:paraId="0F52C6EE" w14:textId="77777777" w:rsidR="00D16027" w:rsidRDefault="00000000">
      <w:pPr>
        <w:pStyle w:val="ListParagraph"/>
        <w:numPr>
          <w:ilvl w:val="0"/>
          <w:numId w:val="3"/>
        </w:numPr>
        <w:spacing w:before="30" w:after="50"/>
      </w:pPr>
      <w:r>
        <w:rPr>
          <w:color w:val="333333"/>
          <w:sz w:val="19"/>
          <w:szCs w:val="19"/>
        </w:rPr>
        <w:t xml:space="preserve">Cook-Sather, A., Bovill, C. &amp; Felten, P. (2014) </w:t>
      </w:r>
      <w:r>
        <w:rPr>
          <w:i/>
          <w:iCs/>
          <w:color w:val="333333"/>
          <w:sz w:val="19"/>
          <w:szCs w:val="19"/>
        </w:rPr>
        <w:t>Engaging Students as Partners in Learning and Teaching: A Guide for Faculty</w:t>
      </w:r>
      <w:r>
        <w:rPr>
          <w:color w:val="333333"/>
          <w:sz w:val="19"/>
          <w:szCs w:val="19"/>
        </w:rPr>
        <w:t>. San Francisco: Jossey-Bass.</w:t>
      </w:r>
    </w:p>
    <w:p w14:paraId="75A660C4" w14:textId="77777777" w:rsidR="00D16027" w:rsidRDefault="00000000">
      <w:pPr>
        <w:pStyle w:val="ListParagraph"/>
        <w:numPr>
          <w:ilvl w:val="0"/>
          <w:numId w:val="3"/>
        </w:numPr>
        <w:spacing w:before="30" w:after="50"/>
      </w:pPr>
      <w:r>
        <w:rPr>
          <w:color w:val="333333"/>
          <w:sz w:val="19"/>
          <w:szCs w:val="19"/>
        </w:rPr>
        <w:t xml:space="preserve">Cope, B. &amp; Kalantzis, M. (2019) Education 2.0: artificial intelligence and the end of the test. </w:t>
      </w:r>
      <w:r>
        <w:rPr>
          <w:i/>
          <w:iCs/>
          <w:color w:val="333333"/>
          <w:sz w:val="19"/>
          <w:szCs w:val="19"/>
        </w:rPr>
        <w:t>Beijing International Review of Education</w:t>
      </w:r>
      <w:r>
        <w:rPr>
          <w:color w:val="333333"/>
          <w:sz w:val="19"/>
          <w:szCs w:val="19"/>
        </w:rPr>
        <w:t>, 1(2–3), 528–543.</w:t>
      </w:r>
    </w:p>
    <w:p w14:paraId="0ADB23E9" w14:textId="77777777" w:rsidR="00D16027" w:rsidRDefault="00000000">
      <w:pPr>
        <w:pStyle w:val="ListParagraph"/>
        <w:numPr>
          <w:ilvl w:val="0"/>
          <w:numId w:val="3"/>
        </w:numPr>
        <w:spacing w:before="30" w:after="50"/>
      </w:pPr>
      <w:r>
        <w:rPr>
          <w:color w:val="333333"/>
          <w:sz w:val="19"/>
          <w:szCs w:val="19"/>
        </w:rPr>
        <w:t xml:space="preserve">Corbin, T., Dawson, P. &amp; Liu, D. (2025) Talk is cheap: why structural assessment changes are needed for a time of GenAI. </w:t>
      </w:r>
      <w:r>
        <w:rPr>
          <w:i/>
          <w:iCs/>
          <w:color w:val="333333"/>
          <w:sz w:val="19"/>
          <w:szCs w:val="19"/>
        </w:rPr>
        <w:t>Assessment &amp; Evaluation in Higher Education</w:t>
      </w:r>
      <w:r>
        <w:rPr>
          <w:color w:val="333333"/>
          <w:sz w:val="19"/>
          <w:szCs w:val="19"/>
        </w:rPr>
        <w:t>, 50(7), 1087–1097.</w:t>
      </w:r>
    </w:p>
    <w:p w14:paraId="13FD59EB" w14:textId="77777777" w:rsidR="00D16027" w:rsidRDefault="00000000">
      <w:pPr>
        <w:pStyle w:val="ListParagraph"/>
        <w:numPr>
          <w:ilvl w:val="0"/>
          <w:numId w:val="3"/>
        </w:numPr>
        <w:spacing w:before="30" w:after="50"/>
      </w:pPr>
      <w:r>
        <w:rPr>
          <w:color w:val="333333"/>
          <w:sz w:val="19"/>
          <w:szCs w:val="19"/>
        </w:rPr>
        <w:t xml:space="preserve">Cotton, D.R.E., Cotton, P.A. &amp; Shipway, J.R. (2023) Chatting and cheating: ensuring academic integrity in the era of ChatGPT. </w:t>
      </w:r>
      <w:r>
        <w:rPr>
          <w:i/>
          <w:iCs/>
          <w:color w:val="333333"/>
          <w:sz w:val="19"/>
          <w:szCs w:val="19"/>
        </w:rPr>
        <w:t>Innovations in Education and Teaching International</w:t>
      </w:r>
      <w:r>
        <w:rPr>
          <w:color w:val="333333"/>
          <w:sz w:val="19"/>
          <w:szCs w:val="19"/>
        </w:rPr>
        <w:t>, 61(2), 228–239.</w:t>
      </w:r>
    </w:p>
    <w:p w14:paraId="796F4FA7" w14:textId="77777777" w:rsidR="00D16027" w:rsidRDefault="00000000">
      <w:pPr>
        <w:pStyle w:val="ListParagraph"/>
        <w:numPr>
          <w:ilvl w:val="0"/>
          <w:numId w:val="3"/>
        </w:numPr>
        <w:spacing w:before="30" w:after="50"/>
      </w:pPr>
      <w:r>
        <w:rPr>
          <w:color w:val="333333"/>
          <w:sz w:val="19"/>
          <w:szCs w:val="19"/>
        </w:rPr>
        <w:t xml:space="preserve">Dai, W., Lin, J., Jin, H., Li, T., Tsai, Y.-S., </w:t>
      </w:r>
      <w:proofErr w:type="spellStart"/>
      <w:r>
        <w:rPr>
          <w:color w:val="333333"/>
          <w:sz w:val="19"/>
          <w:szCs w:val="19"/>
        </w:rPr>
        <w:t>Gašević</w:t>
      </w:r>
      <w:proofErr w:type="spellEnd"/>
      <w:r>
        <w:rPr>
          <w:color w:val="333333"/>
          <w:sz w:val="19"/>
          <w:szCs w:val="19"/>
        </w:rPr>
        <w:t xml:space="preserve">, D. &amp; Chen, G. (2023) Can large language models provide feedback to students? A case study on ChatGPT. </w:t>
      </w:r>
      <w:r>
        <w:rPr>
          <w:i/>
          <w:iCs/>
          <w:color w:val="333333"/>
          <w:sz w:val="19"/>
          <w:szCs w:val="19"/>
        </w:rPr>
        <w:t>Proceedings of the IEEE International Conference on Advanced Learning Technologies (ICALT)</w:t>
      </w:r>
      <w:r>
        <w:rPr>
          <w:color w:val="333333"/>
          <w:sz w:val="19"/>
          <w:szCs w:val="19"/>
        </w:rPr>
        <w:t>, 323–325.</w:t>
      </w:r>
    </w:p>
    <w:p w14:paraId="3E4FBE37" w14:textId="77777777" w:rsidR="00D16027" w:rsidRDefault="00000000">
      <w:pPr>
        <w:pStyle w:val="ListParagraph"/>
        <w:numPr>
          <w:ilvl w:val="0"/>
          <w:numId w:val="3"/>
        </w:numPr>
        <w:spacing w:before="30" w:after="50"/>
      </w:pPr>
      <w:r>
        <w:rPr>
          <w:color w:val="333333"/>
          <w:sz w:val="19"/>
          <w:szCs w:val="19"/>
        </w:rPr>
        <w:t xml:space="preserve">Darvishi, A., Khosravi, H., Sadiq, S., </w:t>
      </w:r>
      <w:proofErr w:type="spellStart"/>
      <w:r>
        <w:rPr>
          <w:color w:val="333333"/>
          <w:sz w:val="19"/>
          <w:szCs w:val="19"/>
        </w:rPr>
        <w:t>Gašević</w:t>
      </w:r>
      <w:proofErr w:type="spellEnd"/>
      <w:r>
        <w:rPr>
          <w:color w:val="333333"/>
          <w:sz w:val="19"/>
          <w:szCs w:val="19"/>
        </w:rPr>
        <w:t xml:space="preserve">, D. &amp; Siemens, G. (2024) Impact of AI assistance on student agency. </w:t>
      </w:r>
      <w:r>
        <w:rPr>
          <w:i/>
          <w:iCs/>
          <w:color w:val="333333"/>
          <w:sz w:val="19"/>
          <w:szCs w:val="19"/>
        </w:rPr>
        <w:t>Computers &amp; Education</w:t>
      </w:r>
      <w:r>
        <w:rPr>
          <w:color w:val="333333"/>
          <w:sz w:val="19"/>
          <w:szCs w:val="19"/>
        </w:rPr>
        <w:t>, 210, 104967.</w:t>
      </w:r>
    </w:p>
    <w:p w14:paraId="14412A43" w14:textId="77777777" w:rsidR="00D16027" w:rsidRDefault="00000000">
      <w:pPr>
        <w:pStyle w:val="ListParagraph"/>
        <w:numPr>
          <w:ilvl w:val="0"/>
          <w:numId w:val="3"/>
        </w:numPr>
        <w:spacing w:before="30" w:after="50"/>
      </w:pPr>
      <w:r>
        <w:rPr>
          <w:color w:val="333333"/>
          <w:sz w:val="19"/>
          <w:szCs w:val="19"/>
        </w:rPr>
        <w:t xml:space="preserve">Dawson, P. (2021) </w:t>
      </w:r>
      <w:r>
        <w:rPr>
          <w:i/>
          <w:iCs/>
          <w:color w:val="333333"/>
          <w:sz w:val="19"/>
          <w:szCs w:val="19"/>
        </w:rPr>
        <w:t>Defending Assessment Security in a Digital World: Preventing E-Cheating and Supporting Academic Integrity in Higher Education</w:t>
      </w:r>
      <w:r>
        <w:rPr>
          <w:color w:val="333333"/>
          <w:sz w:val="19"/>
          <w:szCs w:val="19"/>
        </w:rPr>
        <w:t>. London: Routledge.</w:t>
      </w:r>
    </w:p>
    <w:p w14:paraId="22FEFD7F" w14:textId="77777777" w:rsidR="00D16027" w:rsidRDefault="00000000">
      <w:pPr>
        <w:pStyle w:val="ListParagraph"/>
        <w:numPr>
          <w:ilvl w:val="0"/>
          <w:numId w:val="3"/>
        </w:numPr>
        <w:spacing w:before="30" w:after="50"/>
      </w:pPr>
      <w:r>
        <w:rPr>
          <w:color w:val="333333"/>
          <w:sz w:val="19"/>
          <w:szCs w:val="19"/>
        </w:rPr>
        <w:lastRenderedPageBreak/>
        <w:t xml:space="preserve">Dawson, P., Bearman, M., Dollinger, M. &amp; Boud, D. (2024) Validity matters more than cheating. </w:t>
      </w:r>
      <w:r>
        <w:rPr>
          <w:i/>
          <w:iCs/>
          <w:color w:val="333333"/>
          <w:sz w:val="19"/>
          <w:szCs w:val="19"/>
        </w:rPr>
        <w:t>Assessment &amp; Evaluation in Higher Education</w:t>
      </w:r>
      <w:r>
        <w:rPr>
          <w:color w:val="333333"/>
          <w:sz w:val="19"/>
          <w:szCs w:val="19"/>
        </w:rPr>
        <w:t>, 49(7), 1005–1016.</w:t>
      </w:r>
    </w:p>
    <w:p w14:paraId="2B4FAA9C" w14:textId="77777777" w:rsidR="00D16027" w:rsidRDefault="00000000">
      <w:pPr>
        <w:pStyle w:val="ListParagraph"/>
        <w:numPr>
          <w:ilvl w:val="0"/>
          <w:numId w:val="3"/>
        </w:numPr>
        <w:spacing w:before="30" w:after="50"/>
      </w:pPr>
      <w:r>
        <w:rPr>
          <w:color w:val="333333"/>
          <w:sz w:val="19"/>
          <w:szCs w:val="19"/>
        </w:rPr>
        <w:t xml:space="preserve">Denny, P., Prather, J., Becker, B.A., Finnie-Ansley, J., Hellas, A., Leinonen, J., Luxton-Reilly, A., Reeves, B.N., Santos, E.A. &amp; Sarsa, S. (2024) Computing education in the era of generative AI. </w:t>
      </w:r>
      <w:r>
        <w:rPr>
          <w:i/>
          <w:iCs/>
          <w:color w:val="333333"/>
          <w:sz w:val="19"/>
          <w:szCs w:val="19"/>
        </w:rPr>
        <w:t>Communications of the ACM</w:t>
      </w:r>
      <w:r>
        <w:rPr>
          <w:color w:val="333333"/>
          <w:sz w:val="19"/>
          <w:szCs w:val="19"/>
        </w:rPr>
        <w:t>, 67(2), 56–67.</w:t>
      </w:r>
    </w:p>
    <w:p w14:paraId="2A50E25D" w14:textId="77777777" w:rsidR="00D16027" w:rsidRDefault="00000000">
      <w:pPr>
        <w:pStyle w:val="ListParagraph"/>
        <w:numPr>
          <w:ilvl w:val="0"/>
          <w:numId w:val="3"/>
        </w:numPr>
        <w:spacing w:before="30" w:after="50"/>
      </w:pPr>
      <w:r>
        <w:rPr>
          <w:color w:val="333333"/>
          <w:sz w:val="19"/>
          <w:szCs w:val="19"/>
        </w:rPr>
        <w:t xml:space="preserve">Digital Education Council (2024) </w:t>
      </w:r>
      <w:r>
        <w:rPr>
          <w:i/>
          <w:iCs/>
          <w:color w:val="333333"/>
          <w:sz w:val="19"/>
          <w:szCs w:val="19"/>
        </w:rPr>
        <w:t>Global AI Student Survey 2024</w:t>
      </w:r>
      <w:r>
        <w:rPr>
          <w:color w:val="333333"/>
          <w:sz w:val="19"/>
          <w:szCs w:val="19"/>
        </w:rPr>
        <w:t>. Digital Education Council.</w:t>
      </w:r>
    </w:p>
    <w:p w14:paraId="7C08CC65" w14:textId="77777777" w:rsidR="00D16027" w:rsidRDefault="00000000">
      <w:pPr>
        <w:pStyle w:val="ListParagraph"/>
        <w:numPr>
          <w:ilvl w:val="0"/>
          <w:numId w:val="3"/>
        </w:numPr>
        <w:spacing w:before="30" w:after="50"/>
      </w:pPr>
      <w:r>
        <w:rPr>
          <w:color w:val="333333"/>
          <w:sz w:val="19"/>
          <w:szCs w:val="19"/>
        </w:rPr>
        <w:t xml:space="preserve">Earl, L. (2003) </w:t>
      </w:r>
      <w:r>
        <w:rPr>
          <w:i/>
          <w:iCs/>
          <w:color w:val="333333"/>
          <w:sz w:val="19"/>
          <w:szCs w:val="19"/>
        </w:rPr>
        <w:t>Assessment as Learning: Using Classroom Assessment to Maximize Student Learning</w:t>
      </w:r>
      <w:r>
        <w:rPr>
          <w:color w:val="333333"/>
          <w:sz w:val="19"/>
          <w:szCs w:val="19"/>
        </w:rPr>
        <w:t>. Thousand Oaks, CA: Corwin.</w:t>
      </w:r>
    </w:p>
    <w:p w14:paraId="78962AE2" w14:textId="77777777" w:rsidR="00D16027" w:rsidRDefault="00000000">
      <w:pPr>
        <w:pStyle w:val="ListParagraph"/>
        <w:numPr>
          <w:ilvl w:val="0"/>
          <w:numId w:val="3"/>
        </w:numPr>
        <w:spacing w:before="30" w:after="50"/>
      </w:pPr>
      <w:r>
        <w:rPr>
          <w:color w:val="333333"/>
          <w:sz w:val="19"/>
          <w:szCs w:val="19"/>
        </w:rPr>
        <w:t xml:space="preserve">Earl, L. (2003) </w:t>
      </w:r>
      <w:r>
        <w:rPr>
          <w:i/>
          <w:iCs/>
          <w:color w:val="333333"/>
          <w:sz w:val="19"/>
          <w:szCs w:val="19"/>
        </w:rPr>
        <w:t>Assessment as Learning</w:t>
      </w:r>
      <w:r>
        <w:rPr>
          <w:color w:val="333333"/>
          <w:sz w:val="19"/>
          <w:szCs w:val="19"/>
        </w:rPr>
        <w:t>. Thousand Oaks, CA: Corwin.</w:t>
      </w:r>
    </w:p>
    <w:p w14:paraId="33F82B65" w14:textId="77777777" w:rsidR="00D16027" w:rsidRDefault="00000000">
      <w:pPr>
        <w:pStyle w:val="ListParagraph"/>
        <w:numPr>
          <w:ilvl w:val="0"/>
          <w:numId w:val="3"/>
        </w:numPr>
        <w:spacing w:before="30" w:after="50"/>
      </w:pPr>
      <w:r>
        <w:rPr>
          <w:color w:val="333333"/>
          <w:sz w:val="19"/>
          <w:szCs w:val="19"/>
        </w:rPr>
        <w:t xml:space="preserve">Eaton, S.E. (2023) </w:t>
      </w:r>
      <w:proofErr w:type="spellStart"/>
      <w:r>
        <w:rPr>
          <w:color w:val="333333"/>
          <w:sz w:val="19"/>
          <w:szCs w:val="19"/>
        </w:rPr>
        <w:t>Postplagiarism</w:t>
      </w:r>
      <w:proofErr w:type="spellEnd"/>
      <w:r>
        <w:rPr>
          <w:color w:val="333333"/>
          <w:sz w:val="19"/>
          <w:szCs w:val="19"/>
        </w:rPr>
        <w:t xml:space="preserve">: transdisciplinary ethics and integrity in the age of artificial intelligence and neurotechnology. </w:t>
      </w:r>
      <w:r>
        <w:rPr>
          <w:i/>
          <w:iCs/>
          <w:color w:val="333333"/>
          <w:sz w:val="19"/>
          <w:szCs w:val="19"/>
        </w:rPr>
        <w:t>International Journal for Educational Integrity</w:t>
      </w:r>
      <w:r>
        <w:rPr>
          <w:color w:val="333333"/>
          <w:sz w:val="19"/>
          <w:szCs w:val="19"/>
        </w:rPr>
        <w:t>, 19, 23.</w:t>
      </w:r>
    </w:p>
    <w:p w14:paraId="52A58EF1" w14:textId="77777777" w:rsidR="00D16027" w:rsidRDefault="00000000">
      <w:pPr>
        <w:pStyle w:val="ListParagraph"/>
        <w:numPr>
          <w:ilvl w:val="0"/>
          <w:numId w:val="3"/>
        </w:numPr>
        <w:spacing w:before="30" w:after="50"/>
      </w:pPr>
      <w:proofErr w:type="spellStart"/>
      <w:r>
        <w:rPr>
          <w:color w:val="333333"/>
          <w:sz w:val="19"/>
          <w:szCs w:val="19"/>
        </w:rPr>
        <w:t>Eraut</w:t>
      </w:r>
      <w:proofErr w:type="spellEnd"/>
      <w:r>
        <w:rPr>
          <w:color w:val="333333"/>
          <w:sz w:val="19"/>
          <w:szCs w:val="19"/>
        </w:rPr>
        <w:t xml:space="preserve">, M. (2000) Non-formal learning and tacit knowledge in professional work. </w:t>
      </w:r>
      <w:r>
        <w:rPr>
          <w:i/>
          <w:iCs/>
          <w:color w:val="333333"/>
          <w:sz w:val="19"/>
          <w:szCs w:val="19"/>
        </w:rPr>
        <w:t>British Journal of Educational Psychology</w:t>
      </w:r>
      <w:r>
        <w:rPr>
          <w:color w:val="333333"/>
          <w:sz w:val="19"/>
          <w:szCs w:val="19"/>
        </w:rPr>
        <w:t>, 70(1), 113–136.</w:t>
      </w:r>
    </w:p>
    <w:p w14:paraId="346997CE" w14:textId="77777777" w:rsidR="00D16027" w:rsidRDefault="00000000">
      <w:pPr>
        <w:pStyle w:val="ListParagraph"/>
        <w:numPr>
          <w:ilvl w:val="0"/>
          <w:numId w:val="3"/>
        </w:numPr>
        <w:spacing w:before="30" w:after="50"/>
      </w:pPr>
      <w:r>
        <w:rPr>
          <w:color w:val="333333"/>
          <w:sz w:val="19"/>
          <w:szCs w:val="19"/>
        </w:rPr>
        <w:t xml:space="preserve">Escalante, J., Pack, A. &amp; Barrett, A. (2023) AI-generated feedback on writing: insights into efficacy and ENL student preference. </w:t>
      </w:r>
      <w:r>
        <w:rPr>
          <w:i/>
          <w:iCs/>
          <w:color w:val="333333"/>
          <w:sz w:val="19"/>
          <w:szCs w:val="19"/>
        </w:rPr>
        <w:t>International Journal of Educational Technology in Higher Education</w:t>
      </w:r>
      <w:r>
        <w:rPr>
          <w:color w:val="333333"/>
          <w:sz w:val="19"/>
          <w:szCs w:val="19"/>
        </w:rPr>
        <w:t>, 20, 57.</w:t>
      </w:r>
    </w:p>
    <w:p w14:paraId="51F19506" w14:textId="77777777" w:rsidR="00D16027" w:rsidRDefault="00000000">
      <w:pPr>
        <w:pStyle w:val="ListParagraph"/>
        <w:numPr>
          <w:ilvl w:val="0"/>
          <w:numId w:val="3"/>
        </w:numPr>
        <w:spacing w:before="30" w:after="50"/>
      </w:pPr>
      <w:r>
        <w:rPr>
          <w:color w:val="333333"/>
          <w:sz w:val="19"/>
          <w:szCs w:val="19"/>
        </w:rPr>
        <w:t xml:space="preserve">European Union (2024) Regulation (EU) 2024/1689 laying down harmonised rules on artificial intelligence (Artificial Intelligence Act). </w:t>
      </w:r>
      <w:r>
        <w:rPr>
          <w:i/>
          <w:iCs/>
          <w:color w:val="333333"/>
          <w:sz w:val="19"/>
          <w:szCs w:val="19"/>
        </w:rPr>
        <w:t>Official Journal of the European Union</w:t>
      </w:r>
      <w:r>
        <w:rPr>
          <w:color w:val="333333"/>
          <w:sz w:val="19"/>
          <w:szCs w:val="19"/>
        </w:rPr>
        <w:t>.</w:t>
      </w:r>
    </w:p>
    <w:p w14:paraId="3BEEE331" w14:textId="77777777" w:rsidR="00D16027" w:rsidRDefault="00000000">
      <w:pPr>
        <w:pStyle w:val="ListParagraph"/>
        <w:numPr>
          <w:ilvl w:val="0"/>
          <w:numId w:val="3"/>
        </w:numPr>
        <w:spacing w:before="30" w:after="50"/>
      </w:pPr>
      <w:r>
        <w:rPr>
          <w:color w:val="333333"/>
          <w:sz w:val="19"/>
          <w:szCs w:val="19"/>
        </w:rPr>
        <w:t xml:space="preserve">Falchikov, N. &amp; Goldfinch, J. (2000) Student peer assessment in higher education: a meta-analysis comparing peer and teacher marks. </w:t>
      </w:r>
      <w:r>
        <w:rPr>
          <w:i/>
          <w:iCs/>
          <w:color w:val="333333"/>
          <w:sz w:val="19"/>
          <w:szCs w:val="19"/>
        </w:rPr>
        <w:t>Review of Educational Research</w:t>
      </w:r>
      <w:r>
        <w:rPr>
          <w:color w:val="333333"/>
          <w:sz w:val="19"/>
          <w:szCs w:val="19"/>
        </w:rPr>
        <w:t>, 70(3), 287–322.</w:t>
      </w:r>
    </w:p>
    <w:p w14:paraId="568EAABD" w14:textId="77777777" w:rsidR="00D16027" w:rsidRDefault="00000000">
      <w:pPr>
        <w:pStyle w:val="ListParagraph"/>
        <w:numPr>
          <w:ilvl w:val="0"/>
          <w:numId w:val="3"/>
        </w:numPr>
        <w:spacing w:before="30" w:after="50"/>
      </w:pPr>
      <w:r>
        <w:rPr>
          <w:color w:val="333333"/>
          <w:sz w:val="19"/>
          <w:szCs w:val="19"/>
        </w:rPr>
        <w:t xml:space="preserve">Fan, Y., Tang, L., Le, H., Shen, K., Tan, S., Zhao, Y., Shen, Y., Li, X. &amp; </w:t>
      </w:r>
      <w:proofErr w:type="spellStart"/>
      <w:r>
        <w:rPr>
          <w:color w:val="333333"/>
          <w:sz w:val="19"/>
          <w:szCs w:val="19"/>
        </w:rPr>
        <w:t>Gašević</w:t>
      </w:r>
      <w:proofErr w:type="spellEnd"/>
      <w:r>
        <w:rPr>
          <w:color w:val="333333"/>
          <w:sz w:val="19"/>
          <w:szCs w:val="19"/>
        </w:rPr>
        <w:t xml:space="preserve">, D. (2025) Beware of metacognitive laziness: effects of generative artificial intelligence on learning motivation, processes, and performance. </w:t>
      </w:r>
      <w:r>
        <w:rPr>
          <w:i/>
          <w:iCs/>
          <w:color w:val="333333"/>
          <w:sz w:val="19"/>
          <w:szCs w:val="19"/>
        </w:rPr>
        <w:t>British Journal of Educational Technology</w:t>
      </w:r>
      <w:r>
        <w:rPr>
          <w:color w:val="333333"/>
          <w:sz w:val="19"/>
          <w:szCs w:val="19"/>
        </w:rPr>
        <w:t>, 56(2), 489–530.</w:t>
      </w:r>
    </w:p>
    <w:p w14:paraId="3A38E9A1" w14:textId="77777777" w:rsidR="00D16027" w:rsidRDefault="00000000">
      <w:pPr>
        <w:pStyle w:val="ListParagraph"/>
        <w:numPr>
          <w:ilvl w:val="0"/>
          <w:numId w:val="3"/>
        </w:numPr>
        <w:spacing w:before="30" w:after="50"/>
      </w:pPr>
      <w:r>
        <w:rPr>
          <w:color w:val="333333"/>
          <w:sz w:val="19"/>
          <w:szCs w:val="19"/>
        </w:rPr>
        <w:t xml:space="preserve">Fawns, T., Bearman, M., Dawson, P., Nieminen, J.H., Ashford-Rowe, K., Willey, K., Jensen, L.X., </w:t>
      </w:r>
      <w:proofErr w:type="spellStart"/>
      <w:r>
        <w:rPr>
          <w:color w:val="333333"/>
          <w:sz w:val="19"/>
          <w:szCs w:val="19"/>
        </w:rPr>
        <w:t>Damşa</w:t>
      </w:r>
      <w:proofErr w:type="spellEnd"/>
      <w:r>
        <w:rPr>
          <w:color w:val="333333"/>
          <w:sz w:val="19"/>
          <w:szCs w:val="19"/>
        </w:rPr>
        <w:t xml:space="preserve">, C. &amp; Press, N. (2024) Authentic assessment: from panacea to criticality. </w:t>
      </w:r>
      <w:r>
        <w:rPr>
          <w:i/>
          <w:iCs/>
          <w:color w:val="333333"/>
          <w:sz w:val="19"/>
          <w:szCs w:val="19"/>
        </w:rPr>
        <w:t>Assessment &amp; Evaluation in Higher Education</w:t>
      </w:r>
      <w:r>
        <w:rPr>
          <w:color w:val="333333"/>
          <w:sz w:val="19"/>
          <w:szCs w:val="19"/>
        </w:rPr>
        <w:t xml:space="preserve"> (advance online). https://doi.org/10.1080/02602938.2024.2404634</w:t>
      </w:r>
    </w:p>
    <w:p w14:paraId="34679E94" w14:textId="77777777" w:rsidR="00D16027" w:rsidRDefault="00000000">
      <w:pPr>
        <w:pStyle w:val="ListParagraph"/>
        <w:numPr>
          <w:ilvl w:val="0"/>
          <w:numId w:val="3"/>
        </w:numPr>
        <w:spacing w:before="30" w:after="50"/>
      </w:pPr>
      <w:r>
        <w:rPr>
          <w:color w:val="333333"/>
          <w:sz w:val="19"/>
          <w:szCs w:val="19"/>
        </w:rPr>
        <w:t xml:space="preserve">Finnie-Ansley, J., Denny, P., Becker, B.A., Luxton-Reilly, A. &amp; Prather, J. (2022) The robots are coming: exploring the implications of OpenAI Codex on introductory programming. </w:t>
      </w:r>
      <w:r>
        <w:rPr>
          <w:i/>
          <w:iCs/>
          <w:color w:val="333333"/>
          <w:sz w:val="19"/>
          <w:szCs w:val="19"/>
        </w:rPr>
        <w:t>Proceedings of the 24th Australasian Computing Education Conference</w:t>
      </w:r>
      <w:r>
        <w:rPr>
          <w:color w:val="333333"/>
          <w:sz w:val="19"/>
          <w:szCs w:val="19"/>
        </w:rPr>
        <w:t>, 10–19.</w:t>
      </w:r>
    </w:p>
    <w:p w14:paraId="063B6C7C" w14:textId="77777777" w:rsidR="00D16027" w:rsidRDefault="00000000">
      <w:pPr>
        <w:pStyle w:val="ListParagraph"/>
        <w:numPr>
          <w:ilvl w:val="0"/>
          <w:numId w:val="3"/>
        </w:numPr>
        <w:spacing w:before="30" w:after="50"/>
      </w:pPr>
      <w:r>
        <w:rPr>
          <w:color w:val="333333"/>
          <w:sz w:val="19"/>
          <w:szCs w:val="19"/>
        </w:rPr>
        <w:t xml:space="preserve">Freeman, J. (2024) </w:t>
      </w:r>
      <w:r>
        <w:rPr>
          <w:i/>
          <w:iCs/>
          <w:color w:val="333333"/>
          <w:sz w:val="19"/>
          <w:szCs w:val="19"/>
        </w:rPr>
        <w:t>Provide or Punish? Students' Views on Generative AI in Higher Education</w:t>
      </w:r>
      <w:r>
        <w:rPr>
          <w:color w:val="333333"/>
          <w:sz w:val="19"/>
          <w:szCs w:val="19"/>
        </w:rPr>
        <w:t>. HEPI Policy Note 51. Oxford: Higher Education Policy Institute.</w:t>
      </w:r>
    </w:p>
    <w:p w14:paraId="30BD86EC" w14:textId="77777777" w:rsidR="00D16027" w:rsidRDefault="00000000">
      <w:pPr>
        <w:pStyle w:val="ListParagraph"/>
        <w:numPr>
          <w:ilvl w:val="0"/>
          <w:numId w:val="3"/>
        </w:numPr>
        <w:spacing w:before="30" w:after="50"/>
      </w:pPr>
      <w:r>
        <w:rPr>
          <w:color w:val="333333"/>
          <w:sz w:val="19"/>
          <w:szCs w:val="19"/>
        </w:rPr>
        <w:t xml:space="preserve">Freeman, J. (2025) </w:t>
      </w:r>
      <w:r>
        <w:rPr>
          <w:i/>
          <w:iCs/>
          <w:color w:val="333333"/>
          <w:sz w:val="19"/>
          <w:szCs w:val="19"/>
        </w:rPr>
        <w:t>Student Generative AI Survey 2025</w:t>
      </w:r>
      <w:r>
        <w:rPr>
          <w:color w:val="333333"/>
          <w:sz w:val="19"/>
          <w:szCs w:val="19"/>
        </w:rPr>
        <w:t xml:space="preserve">. HEPI Policy Note 61. Oxford: Higher Education Policy Institute / </w:t>
      </w:r>
      <w:proofErr w:type="spellStart"/>
      <w:r>
        <w:rPr>
          <w:color w:val="333333"/>
          <w:sz w:val="19"/>
          <w:szCs w:val="19"/>
        </w:rPr>
        <w:t>Kortext</w:t>
      </w:r>
      <w:proofErr w:type="spellEnd"/>
      <w:r>
        <w:rPr>
          <w:color w:val="333333"/>
          <w:sz w:val="19"/>
          <w:szCs w:val="19"/>
        </w:rPr>
        <w:t>.</w:t>
      </w:r>
    </w:p>
    <w:p w14:paraId="71EDD636" w14:textId="77777777" w:rsidR="00D16027" w:rsidRDefault="00000000">
      <w:pPr>
        <w:pStyle w:val="ListParagraph"/>
        <w:numPr>
          <w:ilvl w:val="0"/>
          <w:numId w:val="3"/>
        </w:numPr>
        <w:spacing w:before="30" w:after="50"/>
      </w:pPr>
      <w:r>
        <w:rPr>
          <w:color w:val="333333"/>
          <w:sz w:val="19"/>
          <w:szCs w:val="19"/>
        </w:rPr>
        <w:t xml:space="preserve">Frieder, S., </w:t>
      </w:r>
      <w:proofErr w:type="spellStart"/>
      <w:r>
        <w:rPr>
          <w:color w:val="333333"/>
          <w:sz w:val="19"/>
          <w:szCs w:val="19"/>
        </w:rPr>
        <w:t>Pinchetti</w:t>
      </w:r>
      <w:proofErr w:type="spellEnd"/>
      <w:r>
        <w:rPr>
          <w:color w:val="333333"/>
          <w:sz w:val="19"/>
          <w:szCs w:val="19"/>
        </w:rPr>
        <w:t xml:space="preserve">, L., Griffiths, R.-R., Salvatori, T., Lukasiewicz, T., Petersen, P.C. &amp; Berner, J. (2023) Mathematical capabilities of ChatGPT. </w:t>
      </w:r>
      <w:r>
        <w:rPr>
          <w:i/>
          <w:iCs/>
          <w:color w:val="333333"/>
          <w:sz w:val="19"/>
          <w:szCs w:val="19"/>
        </w:rPr>
        <w:t>Advances in Neural Information Processing Systems</w:t>
      </w:r>
      <w:r>
        <w:rPr>
          <w:color w:val="333333"/>
          <w:sz w:val="19"/>
          <w:szCs w:val="19"/>
        </w:rPr>
        <w:t>, 36 (Datasets and Benchmarks Track).</w:t>
      </w:r>
    </w:p>
    <w:p w14:paraId="4C3FC496" w14:textId="77777777" w:rsidR="00D16027" w:rsidRDefault="00000000">
      <w:pPr>
        <w:pStyle w:val="ListParagraph"/>
        <w:numPr>
          <w:ilvl w:val="0"/>
          <w:numId w:val="3"/>
        </w:numPr>
        <w:spacing w:before="30" w:after="50"/>
      </w:pPr>
      <w:r>
        <w:rPr>
          <w:color w:val="333333"/>
          <w:sz w:val="19"/>
          <w:szCs w:val="19"/>
        </w:rPr>
        <w:t xml:space="preserve">Fullan, M. (2007) </w:t>
      </w:r>
      <w:r>
        <w:rPr>
          <w:i/>
          <w:iCs/>
          <w:color w:val="333333"/>
          <w:sz w:val="19"/>
          <w:szCs w:val="19"/>
        </w:rPr>
        <w:t>The New Meaning of Educational Change</w:t>
      </w:r>
      <w:r>
        <w:rPr>
          <w:color w:val="333333"/>
          <w:sz w:val="19"/>
          <w:szCs w:val="19"/>
        </w:rPr>
        <w:t xml:space="preserve"> (4th ed.). New York: Teachers College Press.</w:t>
      </w:r>
    </w:p>
    <w:p w14:paraId="456588C8" w14:textId="77777777" w:rsidR="00D16027" w:rsidRDefault="00000000">
      <w:pPr>
        <w:pStyle w:val="ListParagraph"/>
        <w:numPr>
          <w:ilvl w:val="0"/>
          <w:numId w:val="3"/>
        </w:numPr>
        <w:spacing w:before="30" w:after="50"/>
      </w:pPr>
      <w:r>
        <w:rPr>
          <w:color w:val="333333"/>
          <w:sz w:val="19"/>
          <w:szCs w:val="19"/>
        </w:rPr>
        <w:t xml:space="preserve">Furze, L., Perkins, M., Roe, J. &amp; </w:t>
      </w:r>
      <w:proofErr w:type="spellStart"/>
      <w:r>
        <w:rPr>
          <w:color w:val="333333"/>
          <w:sz w:val="19"/>
          <w:szCs w:val="19"/>
        </w:rPr>
        <w:t>MacVaugh</w:t>
      </w:r>
      <w:proofErr w:type="spellEnd"/>
      <w:r>
        <w:rPr>
          <w:color w:val="333333"/>
          <w:sz w:val="19"/>
          <w:szCs w:val="19"/>
        </w:rPr>
        <w:t xml:space="preserve">, J. (2024) The AI Assessment Scale (AIAS) in action: a pilot implementation of GenAI-supported assessment. </w:t>
      </w:r>
      <w:r>
        <w:rPr>
          <w:i/>
          <w:iCs/>
          <w:color w:val="333333"/>
          <w:sz w:val="19"/>
          <w:szCs w:val="19"/>
        </w:rPr>
        <w:t>Australasian Journal of Educational Technology</w:t>
      </w:r>
      <w:r>
        <w:rPr>
          <w:color w:val="333333"/>
          <w:sz w:val="19"/>
          <w:szCs w:val="19"/>
        </w:rPr>
        <w:t>, 40(4), 38–55.</w:t>
      </w:r>
    </w:p>
    <w:p w14:paraId="633D35C6" w14:textId="77777777" w:rsidR="00D16027" w:rsidRDefault="00000000">
      <w:pPr>
        <w:pStyle w:val="ListParagraph"/>
        <w:numPr>
          <w:ilvl w:val="0"/>
          <w:numId w:val="3"/>
        </w:numPr>
        <w:spacing w:before="30" w:after="50"/>
      </w:pPr>
      <w:r>
        <w:rPr>
          <w:color w:val="333333"/>
          <w:sz w:val="19"/>
          <w:szCs w:val="19"/>
        </w:rPr>
        <w:t xml:space="preserve">Gibbs, G. (1988) </w:t>
      </w:r>
      <w:r>
        <w:rPr>
          <w:i/>
          <w:iCs/>
          <w:color w:val="333333"/>
          <w:sz w:val="19"/>
          <w:szCs w:val="19"/>
        </w:rPr>
        <w:t>Learning by Doing: A Guide to Teaching and Learning Methods</w:t>
      </w:r>
      <w:r>
        <w:rPr>
          <w:color w:val="333333"/>
          <w:sz w:val="19"/>
          <w:szCs w:val="19"/>
        </w:rPr>
        <w:t>. Oxford: Further Education Unit, Oxford Polytechnic.</w:t>
      </w:r>
    </w:p>
    <w:p w14:paraId="3E44D3F5" w14:textId="77777777" w:rsidR="00D16027" w:rsidRDefault="00000000">
      <w:pPr>
        <w:pStyle w:val="ListParagraph"/>
        <w:numPr>
          <w:ilvl w:val="0"/>
          <w:numId w:val="3"/>
        </w:numPr>
        <w:spacing w:before="30" w:after="50"/>
      </w:pPr>
      <w:r>
        <w:rPr>
          <w:color w:val="333333"/>
          <w:sz w:val="19"/>
          <w:szCs w:val="19"/>
        </w:rPr>
        <w:t xml:space="preserve">Gibbs, G. &amp; Simpson, C. (2004) Conditions under which assessment supports students' learning. </w:t>
      </w:r>
      <w:r>
        <w:rPr>
          <w:i/>
          <w:iCs/>
          <w:color w:val="333333"/>
          <w:sz w:val="19"/>
          <w:szCs w:val="19"/>
        </w:rPr>
        <w:t>Learning and Teaching in Higher Education</w:t>
      </w:r>
      <w:r>
        <w:rPr>
          <w:color w:val="333333"/>
          <w:sz w:val="19"/>
          <w:szCs w:val="19"/>
        </w:rPr>
        <w:t>, 1, 3–31.</w:t>
      </w:r>
    </w:p>
    <w:p w14:paraId="71842E79" w14:textId="77777777" w:rsidR="00D16027" w:rsidRDefault="00000000">
      <w:pPr>
        <w:pStyle w:val="ListParagraph"/>
        <w:numPr>
          <w:ilvl w:val="0"/>
          <w:numId w:val="3"/>
        </w:numPr>
        <w:spacing w:before="30" w:after="50"/>
      </w:pPr>
      <w:r>
        <w:rPr>
          <w:color w:val="333333"/>
          <w:sz w:val="19"/>
          <w:szCs w:val="19"/>
        </w:rPr>
        <w:t xml:space="preserve">Gilley, B.H. &amp; Clarkston, B. (2014) Collaborative testing: evidence of learning in a controlled in-class study of undergraduate students. </w:t>
      </w:r>
      <w:r>
        <w:rPr>
          <w:i/>
          <w:iCs/>
          <w:color w:val="333333"/>
          <w:sz w:val="19"/>
          <w:szCs w:val="19"/>
        </w:rPr>
        <w:t>Journal of College Science Teaching</w:t>
      </w:r>
      <w:r>
        <w:rPr>
          <w:color w:val="333333"/>
          <w:sz w:val="19"/>
          <w:szCs w:val="19"/>
        </w:rPr>
        <w:t>, 43(3), 83–91.</w:t>
      </w:r>
    </w:p>
    <w:p w14:paraId="76F7DB4E" w14:textId="77777777" w:rsidR="00D16027" w:rsidRDefault="00000000">
      <w:pPr>
        <w:pStyle w:val="ListParagraph"/>
        <w:numPr>
          <w:ilvl w:val="0"/>
          <w:numId w:val="3"/>
        </w:numPr>
        <w:spacing w:before="30" w:after="50"/>
      </w:pPr>
      <w:r>
        <w:rPr>
          <w:color w:val="333333"/>
          <w:sz w:val="19"/>
          <w:szCs w:val="19"/>
        </w:rPr>
        <w:t xml:space="preserve">Gulikers, J.T.M., </w:t>
      </w:r>
      <w:proofErr w:type="spellStart"/>
      <w:r>
        <w:rPr>
          <w:color w:val="333333"/>
          <w:sz w:val="19"/>
          <w:szCs w:val="19"/>
        </w:rPr>
        <w:t>Bastiaens</w:t>
      </w:r>
      <w:proofErr w:type="spellEnd"/>
      <w:r>
        <w:rPr>
          <w:color w:val="333333"/>
          <w:sz w:val="19"/>
          <w:szCs w:val="19"/>
        </w:rPr>
        <w:t xml:space="preserve">, T.J. &amp; Kirschner, P.A. (2004) A five-dimensional framework for authentic assessment. </w:t>
      </w:r>
      <w:r>
        <w:rPr>
          <w:i/>
          <w:iCs/>
          <w:color w:val="333333"/>
          <w:sz w:val="19"/>
          <w:szCs w:val="19"/>
        </w:rPr>
        <w:t>Educational Technology Research and Development</w:t>
      </w:r>
      <w:r>
        <w:rPr>
          <w:color w:val="333333"/>
          <w:sz w:val="19"/>
          <w:szCs w:val="19"/>
        </w:rPr>
        <w:t>, 52(3), 67–86.</w:t>
      </w:r>
    </w:p>
    <w:p w14:paraId="1DA52936" w14:textId="77777777" w:rsidR="00D16027" w:rsidRDefault="00000000">
      <w:pPr>
        <w:pStyle w:val="ListParagraph"/>
        <w:numPr>
          <w:ilvl w:val="0"/>
          <w:numId w:val="3"/>
        </w:numPr>
        <w:spacing w:before="30" w:after="50"/>
      </w:pPr>
      <w:r>
        <w:rPr>
          <w:color w:val="333333"/>
          <w:sz w:val="19"/>
          <w:szCs w:val="19"/>
        </w:rPr>
        <w:t xml:space="preserve">Harden, R.M. &amp; Gleeson, F.A. (1979) Assessment of clinical competence using an objective structured clinical examination (OSCE). </w:t>
      </w:r>
      <w:r>
        <w:rPr>
          <w:i/>
          <w:iCs/>
          <w:color w:val="333333"/>
          <w:sz w:val="19"/>
          <w:szCs w:val="19"/>
        </w:rPr>
        <w:t>Medical Education</w:t>
      </w:r>
      <w:r>
        <w:rPr>
          <w:color w:val="333333"/>
          <w:sz w:val="19"/>
          <w:szCs w:val="19"/>
        </w:rPr>
        <w:t>, 13(1), 39–54.</w:t>
      </w:r>
    </w:p>
    <w:p w14:paraId="642AC96B" w14:textId="77777777" w:rsidR="00D16027" w:rsidRDefault="00000000">
      <w:pPr>
        <w:pStyle w:val="ListParagraph"/>
        <w:numPr>
          <w:ilvl w:val="0"/>
          <w:numId w:val="3"/>
        </w:numPr>
        <w:spacing w:before="30" w:after="50"/>
      </w:pPr>
      <w:r>
        <w:rPr>
          <w:color w:val="333333"/>
          <w:sz w:val="19"/>
          <w:szCs w:val="19"/>
        </w:rPr>
        <w:t xml:space="preserve">Hattie, J. &amp; Timperley, H. (2007) The power of feedback. </w:t>
      </w:r>
      <w:r>
        <w:rPr>
          <w:i/>
          <w:iCs/>
          <w:color w:val="333333"/>
          <w:sz w:val="19"/>
          <w:szCs w:val="19"/>
        </w:rPr>
        <w:t>Review of Educational Research</w:t>
      </w:r>
      <w:r>
        <w:rPr>
          <w:color w:val="333333"/>
          <w:sz w:val="19"/>
          <w:szCs w:val="19"/>
        </w:rPr>
        <w:t>, 77(1), 81–112.</w:t>
      </w:r>
    </w:p>
    <w:p w14:paraId="587DEEAD" w14:textId="77777777" w:rsidR="00D16027" w:rsidRDefault="00000000">
      <w:pPr>
        <w:pStyle w:val="ListParagraph"/>
        <w:numPr>
          <w:ilvl w:val="0"/>
          <w:numId w:val="3"/>
        </w:numPr>
        <w:spacing w:before="30" w:after="50"/>
      </w:pPr>
      <w:r>
        <w:rPr>
          <w:color w:val="333333"/>
          <w:sz w:val="19"/>
          <w:szCs w:val="19"/>
        </w:rPr>
        <w:t xml:space="preserve">Healey, M., Flint, A. &amp; Harrington, K. (2014) </w:t>
      </w:r>
      <w:r>
        <w:rPr>
          <w:i/>
          <w:iCs/>
          <w:color w:val="333333"/>
          <w:sz w:val="19"/>
          <w:szCs w:val="19"/>
        </w:rPr>
        <w:t>Engagement Through Partnership: Students as Partners in Learning and Teaching in Higher Education</w:t>
      </w:r>
      <w:r>
        <w:rPr>
          <w:color w:val="333333"/>
          <w:sz w:val="19"/>
          <w:szCs w:val="19"/>
        </w:rPr>
        <w:t>. York: Higher Education Academy.</w:t>
      </w:r>
    </w:p>
    <w:p w14:paraId="723A56C2" w14:textId="77777777" w:rsidR="00D16027" w:rsidRDefault="00000000">
      <w:pPr>
        <w:pStyle w:val="ListParagraph"/>
        <w:numPr>
          <w:ilvl w:val="0"/>
          <w:numId w:val="3"/>
        </w:numPr>
        <w:spacing w:before="30" w:after="50"/>
      </w:pPr>
      <w:r>
        <w:rPr>
          <w:color w:val="333333"/>
          <w:sz w:val="19"/>
          <w:szCs w:val="19"/>
        </w:rPr>
        <w:t xml:space="preserve">Henderson, M., Ryan, T., Boud, D., Dawson, P., Phillips, M., Molloy, E. &amp; Mahoney, P. (2021) The usefulness of feedback. </w:t>
      </w:r>
      <w:r>
        <w:rPr>
          <w:i/>
          <w:iCs/>
          <w:color w:val="333333"/>
          <w:sz w:val="19"/>
          <w:szCs w:val="19"/>
        </w:rPr>
        <w:t>Active Learning in Higher Education</w:t>
      </w:r>
      <w:r>
        <w:rPr>
          <w:color w:val="333333"/>
          <w:sz w:val="19"/>
          <w:szCs w:val="19"/>
        </w:rPr>
        <w:t>, 22(3), 229–243.</w:t>
      </w:r>
    </w:p>
    <w:p w14:paraId="431F509B" w14:textId="77777777" w:rsidR="00D16027" w:rsidRDefault="00000000">
      <w:pPr>
        <w:pStyle w:val="ListParagraph"/>
        <w:numPr>
          <w:ilvl w:val="0"/>
          <w:numId w:val="3"/>
        </w:numPr>
        <w:spacing w:before="30" w:after="50"/>
      </w:pPr>
      <w:r>
        <w:rPr>
          <w:color w:val="333333"/>
          <w:sz w:val="19"/>
          <w:szCs w:val="19"/>
        </w:rPr>
        <w:t xml:space="preserve">Henkel, M. (2000) </w:t>
      </w:r>
      <w:r>
        <w:rPr>
          <w:i/>
          <w:iCs/>
          <w:color w:val="333333"/>
          <w:sz w:val="19"/>
          <w:szCs w:val="19"/>
        </w:rPr>
        <w:t>Academic Identities and Policy Change in Higher Education</w:t>
      </w:r>
      <w:r>
        <w:rPr>
          <w:color w:val="333333"/>
          <w:sz w:val="19"/>
          <w:szCs w:val="19"/>
        </w:rPr>
        <w:t>. London: Jessica Kingsley.</w:t>
      </w:r>
    </w:p>
    <w:p w14:paraId="2364152A" w14:textId="77777777" w:rsidR="00D16027" w:rsidRDefault="00000000">
      <w:pPr>
        <w:pStyle w:val="ListParagraph"/>
        <w:numPr>
          <w:ilvl w:val="0"/>
          <w:numId w:val="3"/>
        </w:numPr>
        <w:spacing w:before="30" w:after="50"/>
      </w:pPr>
      <w:r>
        <w:rPr>
          <w:color w:val="333333"/>
          <w:sz w:val="19"/>
          <w:szCs w:val="19"/>
        </w:rPr>
        <w:t xml:space="preserve">Holmes, W. &amp; </w:t>
      </w:r>
      <w:proofErr w:type="spellStart"/>
      <w:r>
        <w:rPr>
          <w:color w:val="333333"/>
          <w:sz w:val="19"/>
          <w:szCs w:val="19"/>
        </w:rPr>
        <w:t>Porayska-Pomsta</w:t>
      </w:r>
      <w:proofErr w:type="spellEnd"/>
      <w:r>
        <w:rPr>
          <w:color w:val="333333"/>
          <w:sz w:val="19"/>
          <w:szCs w:val="19"/>
        </w:rPr>
        <w:t xml:space="preserve">, K. (eds.) (2022) </w:t>
      </w:r>
      <w:r>
        <w:rPr>
          <w:i/>
          <w:iCs/>
          <w:color w:val="333333"/>
          <w:sz w:val="19"/>
          <w:szCs w:val="19"/>
        </w:rPr>
        <w:t>The Ethics of Artificial Intelligence in Education: Practices, Challenges, and Debates</w:t>
      </w:r>
      <w:r>
        <w:rPr>
          <w:color w:val="333333"/>
          <w:sz w:val="19"/>
          <w:szCs w:val="19"/>
        </w:rPr>
        <w:t>. London: Routledge.</w:t>
      </w:r>
    </w:p>
    <w:p w14:paraId="518CB157" w14:textId="77777777" w:rsidR="00D16027" w:rsidRDefault="00000000">
      <w:pPr>
        <w:pStyle w:val="ListParagraph"/>
        <w:numPr>
          <w:ilvl w:val="0"/>
          <w:numId w:val="3"/>
        </w:numPr>
        <w:spacing w:before="30" w:after="50"/>
      </w:pPr>
      <w:r>
        <w:rPr>
          <w:color w:val="333333"/>
          <w:sz w:val="19"/>
          <w:szCs w:val="19"/>
        </w:rPr>
        <w:t xml:space="preserve">Hussey, T. &amp; Smith, P. (2002) The trouble with learning outcomes. </w:t>
      </w:r>
      <w:r>
        <w:rPr>
          <w:i/>
          <w:iCs/>
          <w:color w:val="333333"/>
          <w:sz w:val="19"/>
          <w:szCs w:val="19"/>
        </w:rPr>
        <w:t>Active Learning in Higher Education</w:t>
      </w:r>
      <w:r>
        <w:rPr>
          <w:color w:val="333333"/>
          <w:sz w:val="19"/>
          <w:szCs w:val="19"/>
        </w:rPr>
        <w:t>, 3(3), 220–233.</w:t>
      </w:r>
    </w:p>
    <w:p w14:paraId="1D7C4294" w14:textId="77777777" w:rsidR="00D16027" w:rsidRDefault="00000000">
      <w:pPr>
        <w:pStyle w:val="ListParagraph"/>
        <w:numPr>
          <w:ilvl w:val="0"/>
          <w:numId w:val="3"/>
        </w:numPr>
        <w:spacing w:before="30" w:after="50"/>
      </w:pPr>
      <w:r>
        <w:rPr>
          <w:color w:val="333333"/>
          <w:sz w:val="19"/>
          <w:szCs w:val="19"/>
        </w:rPr>
        <w:lastRenderedPageBreak/>
        <w:t xml:space="preserve">Hussey, T. &amp; Smith, P. (2003) The uses of learning outcomes. </w:t>
      </w:r>
      <w:r>
        <w:rPr>
          <w:i/>
          <w:iCs/>
          <w:color w:val="333333"/>
          <w:sz w:val="19"/>
          <w:szCs w:val="19"/>
        </w:rPr>
        <w:t>Teaching in Higher Education</w:t>
      </w:r>
      <w:r>
        <w:rPr>
          <w:color w:val="333333"/>
          <w:sz w:val="19"/>
          <w:szCs w:val="19"/>
        </w:rPr>
        <w:t>, 8(3), 357–368.</w:t>
      </w:r>
    </w:p>
    <w:p w14:paraId="4312F7CA" w14:textId="77777777" w:rsidR="00D16027" w:rsidRDefault="00000000">
      <w:pPr>
        <w:pStyle w:val="ListParagraph"/>
        <w:numPr>
          <w:ilvl w:val="0"/>
          <w:numId w:val="3"/>
        </w:numPr>
        <w:spacing w:before="30" w:after="50"/>
      </w:pPr>
      <w:r>
        <w:rPr>
          <w:color w:val="333333"/>
          <w:sz w:val="19"/>
          <w:szCs w:val="19"/>
        </w:rPr>
        <w:t xml:space="preserve">Huxham, M., Campbell, F. &amp; Westwood, J. (2012) Oral versus written assessments: a test of student performance and attitudes. </w:t>
      </w:r>
      <w:r>
        <w:rPr>
          <w:i/>
          <w:iCs/>
          <w:color w:val="333333"/>
          <w:sz w:val="19"/>
          <w:szCs w:val="19"/>
        </w:rPr>
        <w:t>Assessment &amp; Evaluation in Higher Education</w:t>
      </w:r>
      <w:r>
        <w:rPr>
          <w:color w:val="333333"/>
          <w:sz w:val="19"/>
          <w:szCs w:val="19"/>
        </w:rPr>
        <w:t>, 37(1), 125–136.</w:t>
      </w:r>
    </w:p>
    <w:p w14:paraId="49B8D9EC" w14:textId="77777777" w:rsidR="00D16027" w:rsidRDefault="00000000">
      <w:pPr>
        <w:pStyle w:val="ListParagraph"/>
        <w:numPr>
          <w:ilvl w:val="0"/>
          <w:numId w:val="3"/>
        </w:numPr>
        <w:spacing w:before="30" w:after="50"/>
      </w:pPr>
      <w:r>
        <w:rPr>
          <w:color w:val="333333"/>
          <w:sz w:val="19"/>
          <w:szCs w:val="19"/>
        </w:rPr>
        <w:t>Inoshita, K., Omura, M., Yamanaka, T., Maeda, G. &amp; Tsuji, K. (2026) Does AI homogenize student thinking? A multi-dimensional analysis of structural convergence in AI-augmented essays. arXiv:2603.21228 (preprint).</w:t>
      </w:r>
    </w:p>
    <w:p w14:paraId="538D0EE5" w14:textId="77777777" w:rsidR="00D16027" w:rsidRDefault="00000000">
      <w:pPr>
        <w:pStyle w:val="ListParagraph"/>
        <w:numPr>
          <w:ilvl w:val="0"/>
          <w:numId w:val="3"/>
        </w:numPr>
        <w:spacing w:before="30" w:after="50"/>
      </w:pPr>
      <w:r>
        <w:rPr>
          <w:color w:val="333333"/>
          <w:sz w:val="19"/>
          <w:szCs w:val="19"/>
        </w:rPr>
        <w:t xml:space="preserve">International </w:t>
      </w:r>
      <w:proofErr w:type="spellStart"/>
      <w:r>
        <w:rPr>
          <w:color w:val="333333"/>
          <w:sz w:val="19"/>
          <w:szCs w:val="19"/>
        </w:rPr>
        <w:t>Center</w:t>
      </w:r>
      <w:proofErr w:type="spellEnd"/>
      <w:r>
        <w:rPr>
          <w:color w:val="333333"/>
          <w:sz w:val="19"/>
          <w:szCs w:val="19"/>
        </w:rPr>
        <w:t xml:space="preserve"> for Academic Integrity (2021) </w:t>
      </w:r>
      <w:r>
        <w:rPr>
          <w:i/>
          <w:iCs/>
          <w:color w:val="333333"/>
          <w:sz w:val="19"/>
          <w:szCs w:val="19"/>
        </w:rPr>
        <w:t>The Fundamental Values of Academic Integrity</w:t>
      </w:r>
      <w:r>
        <w:rPr>
          <w:color w:val="333333"/>
          <w:sz w:val="19"/>
          <w:szCs w:val="19"/>
        </w:rPr>
        <w:t xml:space="preserve"> (3rd ed.). ICAI.</w:t>
      </w:r>
    </w:p>
    <w:p w14:paraId="65815110" w14:textId="77777777" w:rsidR="00D16027" w:rsidRDefault="00000000">
      <w:pPr>
        <w:pStyle w:val="ListParagraph"/>
        <w:numPr>
          <w:ilvl w:val="0"/>
          <w:numId w:val="3"/>
        </w:numPr>
        <w:spacing w:before="30" w:after="50"/>
      </w:pPr>
      <w:r>
        <w:rPr>
          <w:color w:val="333333"/>
          <w:sz w:val="19"/>
          <w:szCs w:val="19"/>
        </w:rPr>
        <w:t xml:space="preserve">Jackson, D. (2015) Employability skill development in work-integrated learning: barriers and best practice. </w:t>
      </w:r>
      <w:r>
        <w:rPr>
          <w:i/>
          <w:iCs/>
          <w:color w:val="333333"/>
          <w:sz w:val="19"/>
          <w:szCs w:val="19"/>
        </w:rPr>
        <w:t>Studies in Higher Education</w:t>
      </w:r>
      <w:r>
        <w:rPr>
          <w:color w:val="333333"/>
          <w:sz w:val="19"/>
          <w:szCs w:val="19"/>
        </w:rPr>
        <w:t>, 40(2), 350–367.</w:t>
      </w:r>
    </w:p>
    <w:p w14:paraId="2D0FC5E7" w14:textId="77777777" w:rsidR="00D16027" w:rsidRDefault="00000000">
      <w:pPr>
        <w:pStyle w:val="ListParagraph"/>
        <w:numPr>
          <w:ilvl w:val="0"/>
          <w:numId w:val="3"/>
        </w:numPr>
        <w:spacing w:before="30" w:after="50"/>
      </w:pPr>
      <w:r>
        <w:rPr>
          <w:color w:val="333333"/>
          <w:sz w:val="19"/>
          <w:szCs w:val="19"/>
        </w:rPr>
        <w:t xml:space="preserve">Jang, E.E. &amp; </w:t>
      </w:r>
      <w:proofErr w:type="spellStart"/>
      <w:r>
        <w:rPr>
          <w:color w:val="333333"/>
          <w:sz w:val="19"/>
          <w:szCs w:val="19"/>
        </w:rPr>
        <w:t>Sawaki</w:t>
      </w:r>
      <w:proofErr w:type="spellEnd"/>
      <w:r>
        <w:rPr>
          <w:color w:val="333333"/>
          <w:sz w:val="19"/>
          <w:szCs w:val="19"/>
        </w:rPr>
        <w:t xml:space="preserve">, Y. (2025) Advancing language assessment in the era of the AI revolution. </w:t>
      </w:r>
      <w:r>
        <w:rPr>
          <w:i/>
          <w:iCs/>
          <w:color w:val="333333"/>
          <w:sz w:val="19"/>
          <w:szCs w:val="19"/>
        </w:rPr>
        <w:t>Language Testing</w:t>
      </w:r>
      <w:r>
        <w:rPr>
          <w:color w:val="333333"/>
          <w:sz w:val="19"/>
          <w:szCs w:val="19"/>
        </w:rPr>
        <w:t xml:space="preserve"> (advance online).</w:t>
      </w:r>
    </w:p>
    <w:p w14:paraId="512808C2" w14:textId="77777777" w:rsidR="00D16027" w:rsidRDefault="00000000">
      <w:pPr>
        <w:pStyle w:val="ListParagraph"/>
        <w:numPr>
          <w:ilvl w:val="0"/>
          <w:numId w:val="3"/>
        </w:numPr>
        <w:spacing w:before="30" w:after="50"/>
      </w:pPr>
      <w:r>
        <w:rPr>
          <w:color w:val="333333"/>
          <w:sz w:val="19"/>
          <w:szCs w:val="19"/>
        </w:rPr>
        <w:t xml:space="preserve">Ji, Z., Lee, N., </w:t>
      </w:r>
      <w:proofErr w:type="spellStart"/>
      <w:r>
        <w:rPr>
          <w:color w:val="333333"/>
          <w:sz w:val="19"/>
          <w:szCs w:val="19"/>
        </w:rPr>
        <w:t>Frieske</w:t>
      </w:r>
      <w:proofErr w:type="spellEnd"/>
      <w:r>
        <w:rPr>
          <w:color w:val="333333"/>
          <w:sz w:val="19"/>
          <w:szCs w:val="19"/>
        </w:rPr>
        <w:t xml:space="preserve">, R., Yu, T., Su, D., Xu, Y., Ishii, E., Bang, Y.J., </w:t>
      </w:r>
      <w:proofErr w:type="spellStart"/>
      <w:r>
        <w:rPr>
          <w:color w:val="333333"/>
          <w:sz w:val="19"/>
          <w:szCs w:val="19"/>
        </w:rPr>
        <w:t>Madotto</w:t>
      </w:r>
      <w:proofErr w:type="spellEnd"/>
      <w:r>
        <w:rPr>
          <w:color w:val="333333"/>
          <w:sz w:val="19"/>
          <w:szCs w:val="19"/>
        </w:rPr>
        <w:t xml:space="preserve">, A. &amp; Fung, P. (2023) Survey of hallucination in natural language generation. </w:t>
      </w:r>
      <w:r>
        <w:rPr>
          <w:i/>
          <w:iCs/>
          <w:color w:val="333333"/>
          <w:sz w:val="19"/>
          <w:szCs w:val="19"/>
        </w:rPr>
        <w:t>ACM Computing Surveys</w:t>
      </w:r>
      <w:r>
        <w:rPr>
          <w:color w:val="333333"/>
          <w:sz w:val="19"/>
          <w:szCs w:val="19"/>
        </w:rPr>
        <w:t>, 55(12), 1–38.</w:t>
      </w:r>
    </w:p>
    <w:p w14:paraId="07E4CC27" w14:textId="77777777" w:rsidR="00D16027" w:rsidRDefault="00000000">
      <w:pPr>
        <w:pStyle w:val="ListParagraph"/>
        <w:numPr>
          <w:ilvl w:val="0"/>
          <w:numId w:val="3"/>
        </w:numPr>
        <w:spacing w:before="30" w:after="50"/>
      </w:pPr>
      <w:r>
        <w:rPr>
          <w:color w:val="333333"/>
          <w:sz w:val="19"/>
          <w:szCs w:val="19"/>
        </w:rPr>
        <w:t xml:space="preserve">Joughin, G. (1998) Dimensions of oral assessment. </w:t>
      </w:r>
      <w:r>
        <w:rPr>
          <w:i/>
          <w:iCs/>
          <w:color w:val="333333"/>
          <w:sz w:val="19"/>
          <w:szCs w:val="19"/>
        </w:rPr>
        <w:t>Assessment &amp; Evaluation in Higher Education</w:t>
      </w:r>
      <w:r>
        <w:rPr>
          <w:color w:val="333333"/>
          <w:sz w:val="19"/>
          <w:szCs w:val="19"/>
        </w:rPr>
        <w:t>, 23(4), 367–378.</w:t>
      </w:r>
    </w:p>
    <w:p w14:paraId="6F78A731" w14:textId="77777777" w:rsidR="00D16027" w:rsidRDefault="00000000">
      <w:pPr>
        <w:pStyle w:val="ListParagraph"/>
        <w:numPr>
          <w:ilvl w:val="0"/>
          <w:numId w:val="3"/>
        </w:numPr>
        <w:spacing w:before="30" w:after="50"/>
      </w:pPr>
      <w:r>
        <w:rPr>
          <w:color w:val="333333"/>
          <w:sz w:val="19"/>
          <w:szCs w:val="19"/>
        </w:rPr>
        <w:t xml:space="preserve">Kane, M.T. (2013) Validating the interpretations and uses of test scores. </w:t>
      </w:r>
      <w:r>
        <w:rPr>
          <w:i/>
          <w:iCs/>
          <w:color w:val="333333"/>
          <w:sz w:val="19"/>
          <w:szCs w:val="19"/>
        </w:rPr>
        <w:t>Journal of Educational Measurement</w:t>
      </w:r>
      <w:r>
        <w:rPr>
          <w:color w:val="333333"/>
          <w:sz w:val="19"/>
          <w:szCs w:val="19"/>
        </w:rPr>
        <w:t>, 50(1), 1–73.</w:t>
      </w:r>
    </w:p>
    <w:p w14:paraId="02B2F765" w14:textId="77777777" w:rsidR="00D16027" w:rsidRDefault="00000000">
      <w:pPr>
        <w:pStyle w:val="ListParagraph"/>
        <w:numPr>
          <w:ilvl w:val="0"/>
          <w:numId w:val="3"/>
        </w:numPr>
        <w:spacing w:before="30" w:after="50"/>
      </w:pPr>
      <w:proofErr w:type="spellStart"/>
      <w:r>
        <w:rPr>
          <w:color w:val="333333"/>
          <w:sz w:val="19"/>
          <w:szCs w:val="19"/>
        </w:rPr>
        <w:t>Kasneci</w:t>
      </w:r>
      <w:proofErr w:type="spellEnd"/>
      <w:r>
        <w:rPr>
          <w:color w:val="333333"/>
          <w:sz w:val="19"/>
          <w:szCs w:val="19"/>
        </w:rPr>
        <w:t xml:space="preserve">, E. et al. (2023) ChatGPT for good? On opportunities and challenges of large language models for education. </w:t>
      </w:r>
      <w:r>
        <w:rPr>
          <w:i/>
          <w:iCs/>
          <w:color w:val="333333"/>
          <w:sz w:val="19"/>
          <w:szCs w:val="19"/>
        </w:rPr>
        <w:t>Learning and Individual Differences</w:t>
      </w:r>
      <w:r>
        <w:rPr>
          <w:color w:val="333333"/>
          <w:sz w:val="19"/>
          <w:szCs w:val="19"/>
        </w:rPr>
        <w:t>, 103, 102274.</w:t>
      </w:r>
    </w:p>
    <w:p w14:paraId="26C98315" w14:textId="77777777" w:rsidR="00D16027" w:rsidRDefault="00000000">
      <w:pPr>
        <w:pStyle w:val="ListParagraph"/>
        <w:numPr>
          <w:ilvl w:val="0"/>
          <w:numId w:val="3"/>
        </w:numPr>
        <w:spacing w:before="30" w:after="50"/>
      </w:pPr>
      <w:r>
        <w:rPr>
          <w:color w:val="333333"/>
          <w:sz w:val="19"/>
          <w:szCs w:val="19"/>
        </w:rPr>
        <w:t xml:space="preserve">Katz, D.M., Bommarito, M.J., Gao, S. &amp; Arredondo, P. (2024) GPT-4 passes the bar exam. </w:t>
      </w:r>
      <w:r>
        <w:rPr>
          <w:i/>
          <w:iCs/>
          <w:color w:val="333333"/>
          <w:sz w:val="19"/>
          <w:szCs w:val="19"/>
        </w:rPr>
        <w:t>Philosophical Transactions of the Royal Society A</w:t>
      </w:r>
      <w:r>
        <w:rPr>
          <w:color w:val="333333"/>
          <w:sz w:val="19"/>
          <w:szCs w:val="19"/>
        </w:rPr>
        <w:t>, 382(2270), 20230254.</w:t>
      </w:r>
    </w:p>
    <w:p w14:paraId="1BB6889C" w14:textId="77777777" w:rsidR="00D16027" w:rsidRDefault="00000000">
      <w:pPr>
        <w:pStyle w:val="ListParagraph"/>
        <w:numPr>
          <w:ilvl w:val="0"/>
          <w:numId w:val="3"/>
        </w:numPr>
        <w:spacing w:before="30" w:after="50"/>
      </w:pPr>
      <w:r>
        <w:rPr>
          <w:color w:val="333333"/>
          <w:sz w:val="19"/>
          <w:szCs w:val="19"/>
        </w:rPr>
        <w:t xml:space="preserve">Knight, P.T. (2002) Summative assessment in higher education: practices in disarray. </w:t>
      </w:r>
      <w:r>
        <w:rPr>
          <w:i/>
          <w:iCs/>
          <w:color w:val="333333"/>
          <w:sz w:val="19"/>
          <w:szCs w:val="19"/>
        </w:rPr>
        <w:t>Studies in Higher Education</w:t>
      </w:r>
      <w:r>
        <w:rPr>
          <w:color w:val="333333"/>
          <w:sz w:val="19"/>
          <w:szCs w:val="19"/>
        </w:rPr>
        <w:t>, 27(3), 275–286.</w:t>
      </w:r>
    </w:p>
    <w:p w14:paraId="44A39A32" w14:textId="77777777" w:rsidR="00D16027" w:rsidRDefault="00000000">
      <w:pPr>
        <w:pStyle w:val="ListParagraph"/>
        <w:numPr>
          <w:ilvl w:val="0"/>
          <w:numId w:val="3"/>
        </w:numPr>
        <w:spacing w:before="30" w:after="50"/>
      </w:pPr>
      <w:r>
        <w:rPr>
          <w:color w:val="333333"/>
          <w:sz w:val="19"/>
          <w:szCs w:val="19"/>
        </w:rPr>
        <w:t xml:space="preserve">Kolb, D.A. (1984) </w:t>
      </w:r>
      <w:r>
        <w:rPr>
          <w:i/>
          <w:iCs/>
          <w:color w:val="333333"/>
          <w:sz w:val="19"/>
          <w:szCs w:val="19"/>
        </w:rPr>
        <w:t>Experiential Learning: Experience as the Source of Learning and Development</w:t>
      </w:r>
      <w:r>
        <w:rPr>
          <w:color w:val="333333"/>
          <w:sz w:val="19"/>
          <w:szCs w:val="19"/>
        </w:rPr>
        <w:t>. Englewood Cliffs, NJ: Prentice-Hall.</w:t>
      </w:r>
    </w:p>
    <w:p w14:paraId="535F3B9E" w14:textId="77777777" w:rsidR="00D16027" w:rsidRDefault="00000000">
      <w:pPr>
        <w:pStyle w:val="ListParagraph"/>
        <w:numPr>
          <w:ilvl w:val="0"/>
          <w:numId w:val="3"/>
        </w:numPr>
        <w:spacing w:before="30" w:after="50"/>
      </w:pPr>
      <w:proofErr w:type="spellStart"/>
      <w:r>
        <w:rPr>
          <w:color w:val="333333"/>
          <w:sz w:val="19"/>
          <w:szCs w:val="19"/>
        </w:rPr>
        <w:t>Kortemeyer</w:t>
      </w:r>
      <w:proofErr w:type="spellEnd"/>
      <w:r>
        <w:rPr>
          <w:color w:val="333333"/>
          <w:sz w:val="19"/>
          <w:szCs w:val="19"/>
        </w:rPr>
        <w:t xml:space="preserve">, G. (2023) Toward AI grading of student problem solutions in introductory physics: a feasibility study. </w:t>
      </w:r>
      <w:r>
        <w:rPr>
          <w:i/>
          <w:iCs/>
          <w:color w:val="333333"/>
          <w:sz w:val="19"/>
          <w:szCs w:val="19"/>
        </w:rPr>
        <w:t>Physical Review Physics Education Research</w:t>
      </w:r>
      <w:r>
        <w:rPr>
          <w:color w:val="333333"/>
          <w:sz w:val="19"/>
          <w:szCs w:val="19"/>
        </w:rPr>
        <w:t>, 19(2), 020163.</w:t>
      </w:r>
    </w:p>
    <w:p w14:paraId="077EF2DF" w14:textId="77777777" w:rsidR="00D16027" w:rsidRDefault="00000000">
      <w:pPr>
        <w:pStyle w:val="ListParagraph"/>
        <w:numPr>
          <w:ilvl w:val="0"/>
          <w:numId w:val="3"/>
        </w:numPr>
        <w:spacing w:before="30" w:after="50"/>
      </w:pPr>
      <w:r>
        <w:rPr>
          <w:color w:val="333333"/>
          <w:sz w:val="19"/>
          <w:szCs w:val="19"/>
        </w:rPr>
        <w:t xml:space="preserve">Kotter, J.P. (1996) </w:t>
      </w:r>
      <w:r>
        <w:rPr>
          <w:i/>
          <w:iCs/>
          <w:color w:val="333333"/>
          <w:sz w:val="19"/>
          <w:szCs w:val="19"/>
        </w:rPr>
        <w:t>Leading Change</w:t>
      </w:r>
      <w:r>
        <w:rPr>
          <w:color w:val="333333"/>
          <w:sz w:val="19"/>
          <w:szCs w:val="19"/>
        </w:rPr>
        <w:t>. Boston: Harvard Business School Press.</w:t>
      </w:r>
    </w:p>
    <w:p w14:paraId="2C37F9A7" w14:textId="77777777" w:rsidR="00D16027" w:rsidRDefault="00000000">
      <w:pPr>
        <w:pStyle w:val="ListParagraph"/>
        <w:numPr>
          <w:ilvl w:val="0"/>
          <w:numId w:val="3"/>
        </w:numPr>
        <w:spacing w:before="30" w:after="50"/>
      </w:pPr>
      <w:r>
        <w:rPr>
          <w:color w:val="333333"/>
          <w:sz w:val="19"/>
          <w:szCs w:val="19"/>
        </w:rPr>
        <w:t xml:space="preserve">Kung, T.H., Cheatham, M., </w:t>
      </w:r>
      <w:proofErr w:type="spellStart"/>
      <w:r>
        <w:rPr>
          <w:color w:val="333333"/>
          <w:sz w:val="19"/>
          <w:szCs w:val="19"/>
        </w:rPr>
        <w:t>Medenilla</w:t>
      </w:r>
      <w:proofErr w:type="spellEnd"/>
      <w:r>
        <w:rPr>
          <w:color w:val="333333"/>
          <w:sz w:val="19"/>
          <w:szCs w:val="19"/>
        </w:rPr>
        <w:t xml:space="preserve">, A., </w:t>
      </w:r>
      <w:proofErr w:type="spellStart"/>
      <w:r>
        <w:rPr>
          <w:color w:val="333333"/>
          <w:sz w:val="19"/>
          <w:szCs w:val="19"/>
        </w:rPr>
        <w:t>Sillos</w:t>
      </w:r>
      <w:proofErr w:type="spellEnd"/>
      <w:r>
        <w:rPr>
          <w:color w:val="333333"/>
          <w:sz w:val="19"/>
          <w:szCs w:val="19"/>
        </w:rPr>
        <w:t xml:space="preserve">, C., De Leon, L., </w:t>
      </w:r>
      <w:proofErr w:type="spellStart"/>
      <w:r>
        <w:rPr>
          <w:color w:val="333333"/>
          <w:sz w:val="19"/>
          <w:szCs w:val="19"/>
        </w:rPr>
        <w:t>Elepaño</w:t>
      </w:r>
      <w:proofErr w:type="spellEnd"/>
      <w:r>
        <w:rPr>
          <w:color w:val="333333"/>
          <w:sz w:val="19"/>
          <w:szCs w:val="19"/>
        </w:rPr>
        <w:t xml:space="preserve">, C., Madriaga, M., </w:t>
      </w:r>
      <w:proofErr w:type="spellStart"/>
      <w:r>
        <w:rPr>
          <w:color w:val="333333"/>
          <w:sz w:val="19"/>
          <w:szCs w:val="19"/>
        </w:rPr>
        <w:t>Aggabao</w:t>
      </w:r>
      <w:proofErr w:type="spellEnd"/>
      <w:r>
        <w:rPr>
          <w:color w:val="333333"/>
          <w:sz w:val="19"/>
          <w:szCs w:val="19"/>
        </w:rPr>
        <w:t xml:space="preserve">, R., Diaz-Candido, G., </w:t>
      </w:r>
      <w:proofErr w:type="spellStart"/>
      <w:r>
        <w:rPr>
          <w:color w:val="333333"/>
          <w:sz w:val="19"/>
          <w:szCs w:val="19"/>
        </w:rPr>
        <w:t>Maningo</w:t>
      </w:r>
      <w:proofErr w:type="spellEnd"/>
      <w:r>
        <w:rPr>
          <w:color w:val="333333"/>
          <w:sz w:val="19"/>
          <w:szCs w:val="19"/>
        </w:rPr>
        <w:t xml:space="preserve">, J. &amp; Tseng, V. (2023) Performance of ChatGPT on USMLE: potential for AI-assisted medical education using large language models. </w:t>
      </w:r>
      <w:r>
        <w:rPr>
          <w:i/>
          <w:iCs/>
          <w:color w:val="333333"/>
          <w:sz w:val="19"/>
          <w:szCs w:val="19"/>
        </w:rPr>
        <w:t>PLOS Digital Health</w:t>
      </w:r>
      <w:r>
        <w:rPr>
          <w:color w:val="333333"/>
          <w:sz w:val="19"/>
          <w:szCs w:val="19"/>
        </w:rPr>
        <w:t>, 2(2), e0000198.</w:t>
      </w:r>
    </w:p>
    <w:p w14:paraId="7A714EAF" w14:textId="77777777" w:rsidR="00D16027" w:rsidRDefault="00000000">
      <w:pPr>
        <w:pStyle w:val="ListParagraph"/>
        <w:numPr>
          <w:ilvl w:val="0"/>
          <w:numId w:val="3"/>
        </w:numPr>
        <w:spacing w:before="30" w:after="50"/>
      </w:pPr>
      <w:r>
        <w:rPr>
          <w:color w:val="333333"/>
          <w:sz w:val="19"/>
          <w:szCs w:val="19"/>
        </w:rPr>
        <w:t xml:space="preserve">Liang, W., </w:t>
      </w:r>
      <w:proofErr w:type="spellStart"/>
      <w:r>
        <w:rPr>
          <w:color w:val="333333"/>
          <w:sz w:val="19"/>
          <w:szCs w:val="19"/>
        </w:rPr>
        <w:t>Yuksekgonul</w:t>
      </w:r>
      <w:proofErr w:type="spellEnd"/>
      <w:r>
        <w:rPr>
          <w:color w:val="333333"/>
          <w:sz w:val="19"/>
          <w:szCs w:val="19"/>
        </w:rPr>
        <w:t xml:space="preserve">, M., Mao, Y., Wu, E. &amp; Zou, J. (2023) GPT detectors are biased against non-native English writers. </w:t>
      </w:r>
      <w:r>
        <w:rPr>
          <w:i/>
          <w:iCs/>
          <w:color w:val="333333"/>
          <w:sz w:val="19"/>
          <w:szCs w:val="19"/>
        </w:rPr>
        <w:t>Patterns</w:t>
      </w:r>
      <w:r>
        <w:rPr>
          <w:color w:val="333333"/>
          <w:sz w:val="19"/>
          <w:szCs w:val="19"/>
        </w:rPr>
        <w:t>, 4(7), 100779.</w:t>
      </w:r>
    </w:p>
    <w:p w14:paraId="67E499AA" w14:textId="77777777" w:rsidR="00D16027" w:rsidRDefault="00000000">
      <w:pPr>
        <w:pStyle w:val="ListParagraph"/>
        <w:numPr>
          <w:ilvl w:val="0"/>
          <w:numId w:val="3"/>
        </w:numPr>
        <w:spacing w:before="30" w:after="50"/>
      </w:pPr>
      <w:r>
        <w:rPr>
          <w:color w:val="333333"/>
          <w:sz w:val="19"/>
          <w:szCs w:val="19"/>
        </w:rPr>
        <w:t xml:space="preserve">Liu, D. &amp; Bridgeman, A. (2023) What to do about assessments if we can't out-design or out-run AI? </w:t>
      </w:r>
      <w:proofErr w:type="spellStart"/>
      <w:r>
        <w:rPr>
          <w:i/>
          <w:iCs/>
          <w:color w:val="333333"/>
          <w:sz w:val="19"/>
          <w:szCs w:val="19"/>
        </w:rPr>
        <w:t>Teaching@Sydney</w:t>
      </w:r>
      <w:proofErr w:type="spellEnd"/>
      <w:r>
        <w:rPr>
          <w:color w:val="333333"/>
          <w:sz w:val="19"/>
          <w:szCs w:val="19"/>
        </w:rPr>
        <w:t>, University of Sydney.</w:t>
      </w:r>
    </w:p>
    <w:p w14:paraId="47E805F8" w14:textId="77777777" w:rsidR="00D16027" w:rsidRDefault="00000000">
      <w:pPr>
        <w:pStyle w:val="ListParagraph"/>
        <w:numPr>
          <w:ilvl w:val="0"/>
          <w:numId w:val="3"/>
        </w:numPr>
        <w:spacing w:before="30" w:after="50"/>
      </w:pPr>
      <w:r>
        <w:rPr>
          <w:color w:val="333333"/>
          <w:sz w:val="19"/>
          <w:szCs w:val="19"/>
        </w:rPr>
        <w:t xml:space="preserve">Lodge, J.M. et al. (2025) </w:t>
      </w:r>
      <w:r>
        <w:rPr>
          <w:i/>
          <w:iCs/>
          <w:color w:val="333333"/>
          <w:sz w:val="19"/>
          <w:szCs w:val="19"/>
        </w:rPr>
        <w:t>Enacting Assessment Reform in a Time of Artificial Intelligence</w:t>
      </w:r>
      <w:r>
        <w:rPr>
          <w:color w:val="333333"/>
          <w:sz w:val="19"/>
          <w:szCs w:val="19"/>
        </w:rPr>
        <w:t>. Melbourne: TEQSA.</w:t>
      </w:r>
    </w:p>
    <w:p w14:paraId="2B39D48F" w14:textId="77777777" w:rsidR="00D16027" w:rsidRDefault="00000000">
      <w:pPr>
        <w:pStyle w:val="ListParagraph"/>
        <w:numPr>
          <w:ilvl w:val="0"/>
          <w:numId w:val="3"/>
        </w:numPr>
        <w:spacing w:before="30" w:after="50"/>
      </w:pPr>
      <w:r>
        <w:rPr>
          <w:color w:val="333333"/>
          <w:sz w:val="19"/>
          <w:szCs w:val="19"/>
        </w:rPr>
        <w:t xml:space="preserve">Lodge, J.M., Howard, S., Bearman, M., Dawson, P. &amp; Associates (2023) </w:t>
      </w:r>
      <w:r>
        <w:rPr>
          <w:i/>
          <w:iCs/>
          <w:color w:val="333333"/>
          <w:sz w:val="19"/>
          <w:szCs w:val="19"/>
        </w:rPr>
        <w:t>Assessment Reform for the Age of Artificial Intelligence</w:t>
      </w:r>
      <w:r>
        <w:rPr>
          <w:color w:val="333333"/>
          <w:sz w:val="19"/>
          <w:szCs w:val="19"/>
        </w:rPr>
        <w:t>. Melbourne: Tertiary Education Quality and Standards Agency.</w:t>
      </w:r>
    </w:p>
    <w:p w14:paraId="649C4724" w14:textId="77777777" w:rsidR="00D16027" w:rsidRDefault="00000000">
      <w:pPr>
        <w:pStyle w:val="ListParagraph"/>
        <w:numPr>
          <w:ilvl w:val="0"/>
          <w:numId w:val="3"/>
        </w:numPr>
        <w:spacing w:before="30" w:after="50"/>
      </w:pPr>
      <w:r>
        <w:rPr>
          <w:color w:val="333333"/>
          <w:sz w:val="19"/>
          <w:szCs w:val="19"/>
        </w:rPr>
        <w:t xml:space="preserve">Long, D. &amp; </w:t>
      </w:r>
      <w:proofErr w:type="spellStart"/>
      <w:r>
        <w:rPr>
          <w:color w:val="333333"/>
          <w:sz w:val="19"/>
          <w:szCs w:val="19"/>
        </w:rPr>
        <w:t>Magerko</w:t>
      </w:r>
      <w:proofErr w:type="spellEnd"/>
      <w:r>
        <w:rPr>
          <w:color w:val="333333"/>
          <w:sz w:val="19"/>
          <w:szCs w:val="19"/>
        </w:rPr>
        <w:t xml:space="preserve">, B. (2020) What is AI literacy? Competencies and design considerations. </w:t>
      </w:r>
      <w:r>
        <w:rPr>
          <w:i/>
          <w:iCs/>
          <w:color w:val="333333"/>
          <w:sz w:val="19"/>
          <w:szCs w:val="19"/>
        </w:rPr>
        <w:t>Proceedings of the 2020 CHI Conference on Human Factors in Computing Systems</w:t>
      </w:r>
      <w:r>
        <w:rPr>
          <w:color w:val="333333"/>
          <w:sz w:val="19"/>
          <w:szCs w:val="19"/>
        </w:rPr>
        <w:t>, 1–16.</w:t>
      </w:r>
    </w:p>
    <w:p w14:paraId="5A621E12" w14:textId="77777777" w:rsidR="00D16027" w:rsidRDefault="00000000">
      <w:pPr>
        <w:pStyle w:val="ListParagraph"/>
        <w:numPr>
          <w:ilvl w:val="0"/>
          <w:numId w:val="3"/>
        </w:numPr>
        <w:spacing w:before="30" w:after="50"/>
      </w:pPr>
      <w:r>
        <w:rPr>
          <w:color w:val="333333"/>
          <w:sz w:val="19"/>
          <w:szCs w:val="19"/>
        </w:rPr>
        <w:t xml:space="preserve">Luckin, R. (2018) </w:t>
      </w:r>
      <w:r>
        <w:rPr>
          <w:i/>
          <w:iCs/>
          <w:color w:val="333333"/>
          <w:sz w:val="19"/>
          <w:szCs w:val="19"/>
        </w:rPr>
        <w:t>Machine Learning and Human Intelligence: The Future of Education for the 21st Century</w:t>
      </w:r>
      <w:r>
        <w:rPr>
          <w:color w:val="333333"/>
          <w:sz w:val="19"/>
          <w:szCs w:val="19"/>
        </w:rPr>
        <w:t>. London: UCL IOE Press.</w:t>
      </w:r>
    </w:p>
    <w:p w14:paraId="01288B42" w14:textId="77777777" w:rsidR="00D16027" w:rsidRDefault="00000000">
      <w:pPr>
        <w:pStyle w:val="ListParagraph"/>
        <w:numPr>
          <w:ilvl w:val="0"/>
          <w:numId w:val="3"/>
        </w:numPr>
        <w:spacing w:before="30" w:after="50"/>
      </w:pPr>
      <w:r>
        <w:rPr>
          <w:color w:val="333333"/>
          <w:sz w:val="19"/>
          <w:szCs w:val="19"/>
        </w:rPr>
        <w:t xml:space="preserve">Luckin, R., Holmes, W., Griffiths, M. &amp; Forcier, L.B. (2016) </w:t>
      </w:r>
      <w:r>
        <w:rPr>
          <w:i/>
          <w:iCs/>
          <w:color w:val="333333"/>
          <w:sz w:val="19"/>
          <w:szCs w:val="19"/>
        </w:rPr>
        <w:t>Intelligence Unleashed: An Argument for AI in Education</w:t>
      </w:r>
      <w:r>
        <w:rPr>
          <w:color w:val="333333"/>
          <w:sz w:val="19"/>
          <w:szCs w:val="19"/>
        </w:rPr>
        <w:t>. London: Pearson.</w:t>
      </w:r>
    </w:p>
    <w:p w14:paraId="0B7319FA" w14:textId="77777777" w:rsidR="00D16027" w:rsidRDefault="00000000">
      <w:pPr>
        <w:pStyle w:val="ListParagraph"/>
        <w:numPr>
          <w:ilvl w:val="0"/>
          <w:numId w:val="3"/>
        </w:numPr>
        <w:spacing w:before="30" w:after="50"/>
      </w:pPr>
      <w:r>
        <w:rPr>
          <w:color w:val="333333"/>
          <w:sz w:val="19"/>
          <w:szCs w:val="19"/>
        </w:rPr>
        <w:t xml:space="preserve">Mager, R.F. (1962) </w:t>
      </w:r>
      <w:r>
        <w:rPr>
          <w:i/>
          <w:iCs/>
          <w:color w:val="333333"/>
          <w:sz w:val="19"/>
          <w:szCs w:val="19"/>
        </w:rPr>
        <w:t>Preparing Instructional Objectives</w:t>
      </w:r>
      <w:r>
        <w:rPr>
          <w:color w:val="333333"/>
          <w:sz w:val="19"/>
          <w:szCs w:val="19"/>
        </w:rPr>
        <w:t>. Palo Alto, CA: Fearon.</w:t>
      </w:r>
    </w:p>
    <w:p w14:paraId="59B84BBC" w14:textId="77777777" w:rsidR="00D16027" w:rsidRDefault="00000000">
      <w:pPr>
        <w:pStyle w:val="ListParagraph"/>
        <w:numPr>
          <w:ilvl w:val="0"/>
          <w:numId w:val="3"/>
        </w:numPr>
        <w:spacing w:before="30" w:after="50"/>
      </w:pPr>
      <w:r>
        <w:rPr>
          <w:color w:val="333333"/>
          <w:sz w:val="19"/>
          <w:szCs w:val="19"/>
        </w:rPr>
        <w:t xml:space="preserve">Martínez, E. (2024) Re-evaluating GPT-4's bar exam performance. </w:t>
      </w:r>
      <w:r>
        <w:rPr>
          <w:i/>
          <w:iCs/>
          <w:color w:val="333333"/>
          <w:sz w:val="19"/>
          <w:szCs w:val="19"/>
        </w:rPr>
        <w:t>Artificial Intelligence and Law</w:t>
      </w:r>
      <w:r>
        <w:rPr>
          <w:color w:val="333333"/>
          <w:sz w:val="19"/>
          <w:szCs w:val="19"/>
        </w:rPr>
        <w:t xml:space="preserve"> (advance online).</w:t>
      </w:r>
    </w:p>
    <w:p w14:paraId="0E3E4E51" w14:textId="77777777" w:rsidR="00D16027" w:rsidRDefault="00000000">
      <w:pPr>
        <w:pStyle w:val="ListParagraph"/>
        <w:numPr>
          <w:ilvl w:val="0"/>
          <w:numId w:val="3"/>
        </w:numPr>
        <w:spacing w:before="30" w:after="50"/>
      </w:pPr>
      <w:r>
        <w:rPr>
          <w:color w:val="333333"/>
          <w:sz w:val="19"/>
          <w:szCs w:val="19"/>
        </w:rPr>
        <w:t xml:space="preserve">Marton, F. &amp; </w:t>
      </w:r>
      <w:proofErr w:type="spellStart"/>
      <w:r>
        <w:rPr>
          <w:color w:val="333333"/>
          <w:sz w:val="19"/>
          <w:szCs w:val="19"/>
        </w:rPr>
        <w:t>Säljö</w:t>
      </w:r>
      <w:proofErr w:type="spellEnd"/>
      <w:r>
        <w:rPr>
          <w:color w:val="333333"/>
          <w:sz w:val="19"/>
          <w:szCs w:val="19"/>
        </w:rPr>
        <w:t xml:space="preserve">, R. (1976) On qualitative differences in learning: I. Outcome and process. </w:t>
      </w:r>
      <w:r>
        <w:rPr>
          <w:i/>
          <w:iCs/>
          <w:color w:val="333333"/>
          <w:sz w:val="19"/>
          <w:szCs w:val="19"/>
        </w:rPr>
        <w:t>British Journal of Educational Psychology</w:t>
      </w:r>
      <w:r>
        <w:rPr>
          <w:color w:val="333333"/>
          <w:sz w:val="19"/>
          <w:szCs w:val="19"/>
        </w:rPr>
        <w:t>, 46(1), 4–11.</w:t>
      </w:r>
    </w:p>
    <w:p w14:paraId="074F4183" w14:textId="77777777" w:rsidR="00D16027" w:rsidRDefault="00000000">
      <w:pPr>
        <w:pStyle w:val="ListParagraph"/>
        <w:numPr>
          <w:ilvl w:val="0"/>
          <w:numId w:val="3"/>
        </w:numPr>
        <w:spacing w:before="30" w:after="50"/>
      </w:pPr>
      <w:r>
        <w:rPr>
          <w:color w:val="333333"/>
          <w:sz w:val="19"/>
          <w:szCs w:val="19"/>
        </w:rPr>
        <w:t xml:space="preserve">McArthur, J. (2023) Rethinking authentic assessment: work, well-being, and society. </w:t>
      </w:r>
      <w:r>
        <w:rPr>
          <w:i/>
          <w:iCs/>
          <w:color w:val="333333"/>
          <w:sz w:val="19"/>
          <w:szCs w:val="19"/>
        </w:rPr>
        <w:t>Higher Education</w:t>
      </w:r>
      <w:r>
        <w:rPr>
          <w:color w:val="333333"/>
          <w:sz w:val="19"/>
          <w:szCs w:val="19"/>
        </w:rPr>
        <w:t>, 85(1), 85–101.</w:t>
      </w:r>
    </w:p>
    <w:p w14:paraId="0690E807" w14:textId="77777777" w:rsidR="00D16027" w:rsidRDefault="00000000">
      <w:pPr>
        <w:pStyle w:val="ListParagraph"/>
        <w:numPr>
          <w:ilvl w:val="0"/>
          <w:numId w:val="3"/>
        </w:numPr>
        <w:spacing w:before="30" w:after="50"/>
      </w:pPr>
      <w:r>
        <w:rPr>
          <w:color w:val="333333"/>
          <w:sz w:val="19"/>
          <w:szCs w:val="19"/>
        </w:rPr>
        <w:t xml:space="preserve">Messick, S. (1989) Validity. In R.L. Linn (ed.) </w:t>
      </w:r>
      <w:r>
        <w:rPr>
          <w:i/>
          <w:iCs/>
          <w:color w:val="333333"/>
          <w:sz w:val="19"/>
          <w:szCs w:val="19"/>
        </w:rPr>
        <w:t>Educational Measurement</w:t>
      </w:r>
      <w:r>
        <w:rPr>
          <w:color w:val="333333"/>
          <w:sz w:val="19"/>
          <w:szCs w:val="19"/>
        </w:rPr>
        <w:t xml:space="preserve"> (3rd ed., pp. 13–103). New York: Macmillan.</w:t>
      </w:r>
    </w:p>
    <w:p w14:paraId="0022192E" w14:textId="77777777" w:rsidR="00D16027" w:rsidRDefault="00000000">
      <w:pPr>
        <w:pStyle w:val="ListParagraph"/>
        <w:numPr>
          <w:ilvl w:val="0"/>
          <w:numId w:val="3"/>
        </w:numPr>
        <w:spacing w:before="30" w:after="50"/>
      </w:pPr>
      <w:r>
        <w:rPr>
          <w:color w:val="333333"/>
          <w:sz w:val="19"/>
          <w:szCs w:val="19"/>
        </w:rPr>
        <w:t xml:space="preserve">Messick, S. (1995) Validity of psychological assessment: validation of inferences from persons' responses and performances as scientific inquiry into score meaning. </w:t>
      </w:r>
      <w:r>
        <w:rPr>
          <w:i/>
          <w:iCs/>
          <w:color w:val="333333"/>
          <w:sz w:val="19"/>
          <w:szCs w:val="19"/>
        </w:rPr>
        <w:t>American Psychologist</w:t>
      </w:r>
      <w:r>
        <w:rPr>
          <w:color w:val="333333"/>
          <w:sz w:val="19"/>
          <w:szCs w:val="19"/>
        </w:rPr>
        <w:t>, 50(9), 741–749.</w:t>
      </w:r>
    </w:p>
    <w:p w14:paraId="372CBBE0" w14:textId="77777777" w:rsidR="00D16027" w:rsidRDefault="00000000">
      <w:pPr>
        <w:pStyle w:val="ListParagraph"/>
        <w:numPr>
          <w:ilvl w:val="0"/>
          <w:numId w:val="3"/>
        </w:numPr>
        <w:spacing w:before="30" w:after="50"/>
      </w:pPr>
      <w:r>
        <w:rPr>
          <w:color w:val="333333"/>
          <w:sz w:val="19"/>
          <w:szCs w:val="19"/>
        </w:rPr>
        <w:lastRenderedPageBreak/>
        <w:t xml:space="preserve">Meyer, J., Jansen, T., Schiller, R., Liebenow, L.W., Steinbach, M., Horbach, A. &amp; Fleckenstein, J. (2024) Using LLMs to bring evidence-based feedback into the classroom: AI-generated feedback increases secondary students' text revision, motivation, and positive emotions. </w:t>
      </w:r>
      <w:r>
        <w:rPr>
          <w:i/>
          <w:iCs/>
          <w:color w:val="333333"/>
          <w:sz w:val="19"/>
          <w:szCs w:val="19"/>
        </w:rPr>
        <w:t>Computers and Education: Artificial Intelligence</w:t>
      </w:r>
      <w:r>
        <w:rPr>
          <w:color w:val="333333"/>
          <w:sz w:val="19"/>
          <w:szCs w:val="19"/>
        </w:rPr>
        <w:t>, 6, 100199.</w:t>
      </w:r>
    </w:p>
    <w:p w14:paraId="4A3042C3" w14:textId="77777777" w:rsidR="00D16027" w:rsidRDefault="00000000">
      <w:pPr>
        <w:pStyle w:val="ListParagraph"/>
        <w:numPr>
          <w:ilvl w:val="0"/>
          <w:numId w:val="3"/>
        </w:numPr>
        <w:spacing w:before="30" w:after="50"/>
      </w:pPr>
      <w:r>
        <w:rPr>
          <w:color w:val="333333"/>
          <w:sz w:val="19"/>
          <w:szCs w:val="19"/>
        </w:rPr>
        <w:t xml:space="preserve">Milani, A., Franzoni, V., Florindi, E., </w:t>
      </w:r>
      <w:proofErr w:type="spellStart"/>
      <w:r>
        <w:rPr>
          <w:color w:val="333333"/>
          <w:sz w:val="19"/>
          <w:szCs w:val="19"/>
        </w:rPr>
        <w:t>Omarbekova</w:t>
      </w:r>
      <w:proofErr w:type="spellEnd"/>
      <w:r>
        <w:rPr>
          <w:color w:val="333333"/>
          <w:sz w:val="19"/>
          <w:szCs w:val="19"/>
        </w:rPr>
        <w:t xml:space="preserve">, A., </w:t>
      </w:r>
      <w:proofErr w:type="spellStart"/>
      <w:r>
        <w:rPr>
          <w:color w:val="333333"/>
          <w:sz w:val="19"/>
          <w:szCs w:val="19"/>
        </w:rPr>
        <w:t>Bekmanova</w:t>
      </w:r>
      <w:proofErr w:type="spellEnd"/>
      <w:r>
        <w:rPr>
          <w:color w:val="333333"/>
          <w:sz w:val="19"/>
          <w:szCs w:val="19"/>
        </w:rPr>
        <w:t xml:space="preserve">, G. &amp; </w:t>
      </w:r>
      <w:proofErr w:type="spellStart"/>
      <w:r>
        <w:rPr>
          <w:color w:val="333333"/>
          <w:sz w:val="19"/>
          <w:szCs w:val="19"/>
        </w:rPr>
        <w:t>Yergesh</w:t>
      </w:r>
      <w:proofErr w:type="spellEnd"/>
      <w:r>
        <w:rPr>
          <w:color w:val="333333"/>
          <w:sz w:val="19"/>
          <w:szCs w:val="19"/>
        </w:rPr>
        <w:t xml:space="preserve">, B. (2025) When AI is fooled: hidden risks in LLM-assisted grading. </w:t>
      </w:r>
      <w:r>
        <w:rPr>
          <w:i/>
          <w:iCs/>
          <w:color w:val="333333"/>
          <w:sz w:val="19"/>
          <w:szCs w:val="19"/>
        </w:rPr>
        <w:t>Education Sciences</w:t>
      </w:r>
      <w:r>
        <w:rPr>
          <w:color w:val="333333"/>
          <w:sz w:val="19"/>
          <w:szCs w:val="19"/>
        </w:rPr>
        <w:t>, 15(11), 1419.</w:t>
      </w:r>
    </w:p>
    <w:p w14:paraId="387E1885" w14:textId="77777777" w:rsidR="00D16027" w:rsidRDefault="00000000">
      <w:pPr>
        <w:pStyle w:val="ListParagraph"/>
        <w:numPr>
          <w:ilvl w:val="0"/>
          <w:numId w:val="3"/>
        </w:numPr>
        <w:spacing w:before="30" w:after="50"/>
      </w:pPr>
      <w:r>
        <w:rPr>
          <w:color w:val="333333"/>
          <w:sz w:val="19"/>
          <w:szCs w:val="19"/>
        </w:rPr>
        <w:t xml:space="preserve">Miller, G.E. (1990) The assessment of clinical skills/competence/performance. </w:t>
      </w:r>
      <w:r>
        <w:rPr>
          <w:i/>
          <w:iCs/>
          <w:color w:val="333333"/>
          <w:sz w:val="19"/>
          <w:szCs w:val="19"/>
        </w:rPr>
        <w:t>Academic Medicine</w:t>
      </w:r>
      <w:r>
        <w:rPr>
          <w:color w:val="333333"/>
          <w:sz w:val="19"/>
          <w:szCs w:val="19"/>
        </w:rPr>
        <w:t>, 65(9 Suppl), S63–S67.</w:t>
      </w:r>
    </w:p>
    <w:p w14:paraId="587F6C73" w14:textId="77777777" w:rsidR="00D16027" w:rsidRDefault="00000000">
      <w:pPr>
        <w:pStyle w:val="ListParagraph"/>
        <w:numPr>
          <w:ilvl w:val="0"/>
          <w:numId w:val="3"/>
        </w:numPr>
        <w:spacing w:before="30" w:after="50"/>
      </w:pPr>
      <w:r>
        <w:rPr>
          <w:color w:val="333333"/>
          <w:sz w:val="19"/>
          <w:szCs w:val="19"/>
        </w:rPr>
        <w:t xml:space="preserve">Mizumoto, A. &amp; Eguchi, M. (2023) Exploring the potential of using an AI language model for automated essay scoring. </w:t>
      </w:r>
      <w:r>
        <w:rPr>
          <w:i/>
          <w:iCs/>
          <w:color w:val="333333"/>
          <w:sz w:val="19"/>
          <w:szCs w:val="19"/>
        </w:rPr>
        <w:t>Research Methods in Applied Linguistics</w:t>
      </w:r>
      <w:r>
        <w:rPr>
          <w:color w:val="333333"/>
          <w:sz w:val="19"/>
          <w:szCs w:val="19"/>
        </w:rPr>
        <w:t>, 2(2), 100050.</w:t>
      </w:r>
    </w:p>
    <w:p w14:paraId="2B705238" w14:textId="77777777" w:rsidR="00D16027" w:rsidRDefault="00000000">
      <w:pPr>
        <w:pStyle w:val="ListParagraph"/>
        <w:numPr>
          <w:ilvl w:val="0"/>
          <w:numId w:val="3"/>
        </w:numPr>
        <w:spacing w:before="30" w:after="50"/>
      </w:pPr>
      <w:r>
        <w:rPr>
          <w:color w:val="333333"/>
          <w:sz w:val="19"/>
          <w:szCs w:val="19"/>
        </w:rPr>
        <w:t xml:space="preserve">Mollick, E.R. &amp; Mollick, L. (2023) </w:t>
      </w:r>
      <w:r>
        <w:rPr>
          <w:i/>
          <w:iCs/>
          <w:color w:val="333333"/>
          <w:sz w:val="19"/>
          <w:szCs w:val="19"/>
        </w:rPr>
        <w:t>Assigning AI: Seven Approaches for Students, with Prompts</w:t>
      </w:r>
      <w:r>
        <w:rPr>
          <w:color w:val="333333"/>
          <w:sz w:val="19"/>
          <w:szCs w:val="19"/>
        </w:rPr>
        <w:t>. Wharton School / SSRN 4475995.</w:t>
      </w:r>
    </w:p>
    <w:p w14:paraId="0F0EEB0A" w14:textId="77777777" w:rsidR="00D16027" w:rsidRDefault="00000000">
      <w:pPr>
        <w:pStyle w:val="ListParagraph"/>
        <w:numPr>
          <w:ilvl w:val="0"/>
          <w:numId w:val="3"/>
        </w:numPr>
        <w:spacing w:before="30" w:after="50"/>
      </w:pPr>
      <w:r>
        <w:rPr>
          <w:color w:val="333333"/>
          <w:sz w:val="19"/>
          <w:szCs w:val="19"/>
        </w:rPr>
        <w:t xml:space="preserve">Moon, J.A. (2004) </w:t>
      </w:r>
      <w:r>
        <w:rPr>
          <w:i/>
          <w:iCs/>
          <w:color w:val="333333"/>
          <w:sz w:val="19"/>
          <w:szCs w:val="19"/>
        </w:rPr>
        <w:t>A Handbook of Reflective and Experiential Learning: Theory and Practice</w:t>
      </w:r>
      <w:r>
        <w:rPr>
          <w:color w:val="333333"/>
          <w:sz w:val="19"/>
          <w:szCs w:val="19"/>
        </w:rPr>
        <w:t xml:space="preserve">. London: </w:t>
      </w:r>
      <w:proofErr w:type="spellStart"/>
      <w:r>
        <w:rPr>
          <w:color w:val="333333"/>
          <w:sz w:val="19"/>
          <w:szCs w:val="19"/>
        </w:rPr>
        <w:t>RoutledgeFalmer</w:t>
      </w:r>
      <w:proofErr w:type="spellEnd"/>
      <w:r>
        <w:rPr>
          <w:color w:val="333333"/>
          <w:sz w:val="19"/>
          <w:szCs w:val="19"/>
        </w:rPr>
        <w:t>.</w:t>
      </w:r>
    </w:p>
    <w:p w14:paraId="4A5B970E" w14:textId="77777777" w:rsidR="00D16027" w:rsidRDefault="00000000">
      <w:pPr>
        <w:pStyle w:val="ListParagraph"/>
        <w:numPr>
          <w:ilvl w:val="0"/>
          <w:numId w:val="3"/>
        </w:numPr>
        <w:spacing w:before="30" w:after="50"/>
      </w:pPr>
      <w:r>
        <w:rPr>
          <w:color w:val="333333"/>
          <w:sz w:val="19"/>
          <w:szCs w:val="19"/>
        </w:rPr>
        <w:t xml:space="preserve">Moorhouse, B.L., Yeo, M.A. &amp; Li, Y. (2023) Generative AI tools and assessment: guidelines of the world's top-ranking universities. </w:t>
      </w:r>
      <w:r>
        <w:rPr>
          <w:i/>
          <w:iCs/>
          <w:color w:val="333333"/>
          <w:sz w:val="19"/>
          <w:szCs w:val="19"/>
        </w:rPr>
        <w:t>Computers and Education Open</w:t>
      </w:r>
      <w:r>
        <w:rPr>
          <w:color w:val="333333"/>
          <w:sz w:val="19"/>
          <w:szCs w:val="19"/>
        </w:rPr>
        <w:t>, 5, 100151.</w:t>
      </w:r>
    </w:p>
    <w:p w14:paraId="36BEC54F" w14:textId="77777777" w:rsidR="00D16027" w:rsidRDefault="00000000">
      <w:pPr>
        <w:pStyle w:val="ListParagraph"/>
        <w:numPr>
          <w:ilvl w:val="0"/>
          <w:numId w:val="3"/>
        </w:numPr>
        <w:spacing w:before="30" w:after="50"/>
      </w:pPr>
      <w:r>
        <w:rPr>
          <w:color w:val="333333"/>
          <w:sz w:val="19"/>
          <w:szCs w:val="19"/>
        </w:rPr>
        <w:t xml:space="preserve">National Council of Teachers of English (2013) </w:t>
      </w:r>
      <w:r>
        <w:rPr>
          <w:i/>
          <w:iCs/>
          <w:color w:val="333333"/>
          <w:sz w:val="19"/>
          <w:szCs w:val="19"/>
        </w:rPr>
        <w:t>Position Statement on Machine Scoring</w:t>
      </w:r>
      <w:r>
        <w:rPr>
          <w:color w:val="333333"/>
          <w:sz w:val="19"/>
          <w:szCs w:val="19"/>
        </w:rPr>
        <w:t>. Urbana, IL: NCTE.</w:t>
      </w:r>
    </w:p>
    <w:p w14:paraId="4FA43DA4" w14:textId="77777777" w:rsidR="00D16027" w:rsidRDefault="00000000">
      <w:pPr>
        <w:pStyle w:val="ListParagraph"/>
        <w:numPr>
          <w:ilvl w:val="0"/>
          <w:numId w:val="3"/>
        </w:numPr>
        <w:spacing w:before="30" w:after="50"/>
      </w:pPr>
      <w:r>
        <w:rPr>
          <w:color w:val="333333"/>
          <w:sz w:val="19"/>
          <w:szCs w:val="19"/>
        </w:rPr>
        <w:t xml:space="preserve">Newton, P.M. (2018) How common is commercial contract cheating in higher education and is it increasing? A systematic review. </w:t>
      </w:r>
      <w:r>
        <w:rPr>
          <w:i/>
          <w:iCs/>
          <w:color w:val="333333"/>
          <w:sz w:val="19"/>
          <w:szCs w:val="19"/>
        </w:rPr>
        <w:t>Frontiers in Education</w:t>
      </w:r>
      <w:r>
        <w:rPr>
          <w:color w:val="333333"/>
          <w:sz w:val="19"/>
          <w:szCs w:val="19"/>
        </w:rPr>
        <w:t>, 3, 67.</w:t>
      </w:r>
    </w:p>
    <w:p w14:paraId="6ADDA387" w14:textId="77777777" w:rsidR="00D16027" w:rsidRDefault="00000000">
      <w:pPr>
        <w:pStyle w:val="ListParagraph"/>
        <w:numPr>
          <w:ilvl w:val="0"/>
          <w:numId w:val="3"/>
        </w:numPr>
        <w:spacing w:before="30" w:after="50"/>
      </w:pPr>
      <w:r>
        <w:rPr>
          <w:color w:val="333333"/>
          <w:sz w:val="19"/>
          <w:szCs w:val="19"/>
        </w:rPr>
        <w:t xml:space="preserve">Ng, D.T.K., Leung, J.K.L., Chu, S.K.W. &amp; Qiao, M.S. (2021) Conceptualizing AI literacy: an exploratory review. </w:t>
      </w:r>
      <w:r>
        <w:rPr>
          <w:i/>
          <w:iCs/>
          <w:color w:val="333333"/>
          <w:sz w:val="19"/>
          <w:szCs w:val="19"/>
        </w:rPr>
        <w:t>Computers and Education: Artificial Intelligence</w:t>
      </w:r>
      <w:r>
        <w:rPr>
          <w:color w:val="333333"/>
          <w:sz w:val="19"/>
          <w:szCs w:val="19"/>
        </w:rPr>
        <w:t>, 2, 100041.</w:t>
      </w:r>
    </w:p>
    <w:p w14:paraId="53D761E9" w14:textId="77777777" w:rsidR="00D16027" w:rsidRDefault="00000000">
      <w:pPr>
        <w:pStyle w:val="ListParagraph"/>
        <w:numPr>
          <w:ilvl w:val="0"/>
          <w:numId w:val="3"/>
        </w:numPr>
        <w:spacing w:before="30" w:after="50"/>
      </w:pPr>
      <w:r>
        <w:rPr>
          <w:color w:val="333333"/>
          <w:sz w:val="19"/>
          <w:szCs w:val="19"/>
        </w:rPr>
        <w:t xml:space="preserve">Nicol, D., Thomson, A. &amp; Breslin, C. (2014) Rethinking feedback practices in higher education: a peer review perspective. </w:t>
      </w:r>
      <w:r>
        <w:rPr>
          <w:i/>
          <w:iCs/>
          <w:color w:val="333333"/>
          <w:sz w:val="19"/>
          <w:szCs w:val="19"/>
        </w:rPr>
        <w:t>Assessment &amp; Evaluation in Higher Education</w:t>
      </w:r>
      <w:r>
        <w:rPr>
          <w:color w:val="333333"/>
          <w:sz w:val="19"/>
          <w:szCs w:val="19"/>
        </w:rPr>
        <w:t>, 39(1), 102–122.</w:t>
      </w:r>
    </w:p>
    <w:p w14:paraId="08D408D5" w14:textId="77777777" w:rsidR="00D16027" w:rsidRDefault="00000000">
      <w:pPr>
        <w:pStyle w:val="ListParagraph"/>
        <w:numPr>
          <w:ilvl w:val="0"/>
          <w:numId w:val="3"/>
        </w:numPr>
        <w:spacing w:before="30" w:after="50"/>
      </w:pPr>
      <w:r>
        <w:rPr>
          <w:color w:val="333333"/>
          <w:sz w:val="19"/>
          <w:szCs w:val="19"/>
        </w:rPr>
        <w:t xml:space="preserve">Nicol, D.J. &amp; Macfarlane-Dick, D. (2006) Formative assessment and self-regulated learning: a model and seven principles of good feedback practice. </w:t>
      </w:r>
      <w:r>
        <w:rPr>
          <w:i/>
          <w:iCs/>
          <w:color w:val="333333"/>
          <w:sz w:val="19"/>
          <w:szCs w:val="19"/>
        </w:rPr>
        <w:t>Studies in Higher Education</w:t>
      </w:r>
      <w:r>
        <w:rPr>
          <w:color w:val="333333"/>
          <w:sz w:val="19"/>
          <w:szCs w:val="19"/>
        </w:rPr>
        <w:t>, 31(2), 199–218.</w:t>
      </w:r>
    </w:p>
    <w:p w14:paraId="4963770B" w14:textId="77777777" w:rsidR="00D16027" w:rsidRDefault="00000000">
      <w:pPr>
        <w:pStyle w:val="ListParagraph"/>
        <w:numPr>
          <w:ilvl w:val="0"/>
          <w:numId w:val="3"/>
        </w:numPr>
        <w:spacing w:before="30" w:after="50"/>
      </w:pPr>
      <w:r>
        <w:rPr>
          <w:color w:val="333333"/>
          <w:sz w:val="19"/>
          <w:szCs w:val="19"/>
        </w:rPr>
        <w:t xml:space="preserve">Nieminen, J.H. (2022) Assessment for inclusion: rethinking inclusive assessment in higher education. </w:t>
      </w:r>
      <w:r>
        <w:rPr>
          <w:i/>
          <w:iCs/>
          <w:color w:val="333333"/>
          <w:sz w:val="19"/>
          <w:szCs w:val="19"/>
        </w:rPr>
        <w:t>Teaching in Higher Education</w:t>
      </w:r>
      <w:r>
        <w:rPr>
          <w:color w:val="333333"/>
          <w:sz w:val="19"/>
          <w:szCs w:val="19"/>
        </w:rPr>
        <w:t>, 29(4), 841–859.</w:t>
      </w:r>
    </w:p>
    <w:p w14:paraId="07DACC86" w14:textId="77777777" w:rsidR="00D16027" w:rsidRDefault="00000000">
      <w:pPr>
        <w:pStyle w:val="ListParagraph"/>
        <w:numPr>
          <w:ilvl w:val="0"/>
          <w:numId w:val="3"/>
        </w:numPr>
        <w:spacing w:before="30" w:after="50"/>
      </w:pPr>
      <w:r>
        <w:rPr>
          <w:color w:val="333333"/>
          <w:sz w:val="19"/>
          <w:szCs w:val="19"/>
        </w:rPr>
        <w:t xml:space="preserve">Nikolic, S., Daniel, S., Haque, R., </w:t>
      </w:r>
      <w:proofErr w:type="spellStart"/>
      <w:r>
        <w:rPr>
          <w:color w:val="333333"/>
          <w:sz w:val="19"/>
          <w:szCs w:val="19"/>
        </w:rPr>
        <w:t>Belkina</w:t>
      </w:r>
      <w:proofErr w:type="spellEnd"/>
      <w:r>
        <w:rPr>
          <w:color w:val="333333"/>
          <w:sz w:val="19"/>
          <w:szCs w:val="19"/>
        </w:rPr>
        <w:t xml:space="preserve">, M., Hassan, G.M., Grundy, S., Lyden, S., Neal, P. &amp; Sandison, C. (2023) ChatGPT versus engineering education assessment: a multidisciplinary and multi-institutional benchmarking and analysis of this generative artificial intelligence tool to investigate assessment integrity. </w:t>
      </w:r>
      <w:r>
        <w:rPr>
          <w:i/>
          <w:iCs/>
          <w:color w:val="333333"/>
          <w:sz w:val="19"/>
          <w:szCs w:val="19"/>
        </w:rPr>
        <w:t>European Journal of Engineering Education</w:t>
      </w:r>
      <w:r>
        <w:rPr>
          <w:color w:val="333333"/>
          <w:sz w:val="19"/>
          <w:szCs w:val="19"/>
        </w:rPr>
        <w:t>, 48(4), 559–614.</w:t>
      </w:r>
    </w:p>
    <w:p w14:paraId="6FE4D6E4" w14:textId="77777777" w:rsidR="00D16027" w:rsidRDefault="00000000">
      <w:pPr>
        <w:pStyle w:val="ListParagraph"/>
        <w:numPr>
          <w:ilvl w:val="0"/>
          <w:numId w:val="3"/>
        </w:numPr>
        <w:spacing w:before="30" w:after="50"/>
      </w:pPr>
      <w:r>
        <w:rPr>
          <w:color w:val="333333"/>
          <w:sz w:val="19"/>
          <w:szCs w:val="19"/>
        </w:rPr>
        <w:t xml:space="preserve">OpenAI (2023) </w:t>
      </w:r>
      <w:r>
        <w:rPr>
          <w:i/>
          <w:iCs/>
          <w:color w:val="333333"/>
          <w:sz w:val="19"/>
          <w:szCs w:val="19"/>
        </w:rPr>
        <w:t>New AI Classifier for Indicating AI-Written Text</w:t>
      </w:r>
      <w:r>
        <w:rPr>
          <w:color w:val="333333"/>
          <w:sz w:val="19"/>
          <w:szCs w:val="19"/>
        </w:rPr>
        <w:t xml:space="preserve"> (updated 20 July 2023: classifier discontinued due to low accuracy). San Francisco: OpenAI.</w:t>
      </w:r>
    </w:p>
    <w:p w14:paraId="3914DB18" w14:textId="77777777" w:rsidR="00D16027" w:rsidRDefault="00000000">
      <w:pPr>
        <w:pStyle w:val="ListParagraph"/>
        <w:numPr>
          <w:ilvl w:val="0"/>
          <w:numId w:val="3"/>
        </w:numPr>
        <w:spacing w:before="30" w:after="50"/>
      </w:pPr>
      <w:r>
        <w:rPr>
          <w:color w:val="333333"/>
          <w:sz w:val="19"/>
          <w:szCs w:val="19"/>
        </w:rPr>
        <w:t xml:space="preserve">Page, E.B. (1966) The imminence of grading essays by computer. </w:t>
      </w:r>
      <w:r>
        <w:rPr>
          <w:i/>
          <w:iCs/>
          <w:color w:val="333333"/>
          <w:sz w:val="19"/>
          <w:szCs w:val="19"/>
        </w:rPr>
        <w:t xml:space="preserve">Phi Delta </w:t>
      </w:r>
      <w:proofErr w:type="spellStart"/>
      <w:r>
        <w:rPr>
          <w:i/>
          <w:iCs/>
          <w:color w:val="333333"/>
          <w:sz w:val="19"/>
          <w:szCs w:val="19"/>
        </w:rPr>
        <w:t>Kappan</w:t>
      </w:r>
      <w:proofErr w:type="spellEnd"/>
      <w:r>
        <w:rPr>
          <w:color w:val="333333"/>
          <w:sz w:val="19"/>
          <w:szCs w:val="19"/>
        </w:rPr>
        <w:t>, 47(5), 238–243.</w:t>
      </w:r>
    </w:p>
    <w:p w14:paraId="702601B4" w14:textId="77777777" w:rsidR="00D16027" w:rsidRDefault="00000000">
      <w:pPr>
        <w:pStyle w:val="ListParagraph"/>
        <w:numPr>
          <w:ilvl w:val="0"/>
          <w:numId w:val="3"/>
        </w:numPr>
        <w:spacing w:before="30" w:after="50"/>
      </w:pPr>
      <w:r>
        <w:rPr>
          <w:color w:val="333333"/>
          <w:sz w:val="19"/>
          <w:szCs w:val="19"/>
        </w:rPr>
        <w:t xml:space="preserve">Pellegrino, J.W., Chudowsky, N. &amp; Glaser, R. (eds.) (2001) </w:t>
      </w:r>
      <w:r>
        <w:rPr>
          <w:i/>
          <w:iCs/>
          <w:color w:val="333333"/>
          <w:sz w:val="19"/>
          <w:szCs w:val="19"/>
        </w:rPr>
        <w:t>Knowing What Students Know: The Science and Design of Educational Assessment</w:t>
      </w:r>
      <w:r>
        <w:rPr>
          <w:color w:val="333333"/>
          <w:sz w:val="19"/>
          <w:szCs w:val="19"/>
        </w:rPr>
        <w:t>. Washington, DC: National Academies Press.</w:t>
      </w:r>
    </w:p>
    <w:p w14:paraId="7D1C5C5C" w14:textId="77777777" w:rsidR="00D16027" w:rsidRDefault="00000000">
      <w:pPr>
        <w:pStyle w:val="ListParagraph"/>
        <w:numPr>
          <w:ilvl w:val="0"/>
          <w:numId w:val="3"/>
        </w:numPr>
        <w:spacing w:before="30" w:after="50"/>
      </w:pPr>
      <w:r>
        <w:rPr>
          <w:color w:val="333333"/>
          <w:sz w:val="19"/>
          <w:szCs w:val="19"/>
        </w:rPr>
        <w:t xml:space="preserve">Perelman, L. (2014) When "the state of the art" is counting words. </w:t>
      </w:r>
      <w:r>
        <w:rPr>
          <w:i/>
          <w:iCs/>
          <w:color w:val="333333"/>
          <w:sz w:val="19"/>
          <w:szCs w:val="19"/>
        </w:rPr>
        <w:t>Assessing Writing</w:t>
      </w:r>
      <w:r>
        <w:rPr>
          <w:color w:val="333333"/>
          <w:sz w:val="19"/>
          <w:szCs w:val="19"/>
        </w:rPr>
        <w:t>, 21, 104–111.</w:t>
      </w:r>
    </w:p>
    <w:p w14:paraId="44102CEF" w14:textId="77777777" w:rsidR="00D16027" w:rsidRDefault="00000000">
      <w:pPr>
        <w:pStyle w:val="ListParagraph"/>
        <w:numPr>
          <w:ilvl w:val="0"/>
          <w:numId w:val="3"/>
        </w:numPr>
        <w:spacing w:before="30" w:after="50"/>
      </w:pPr>
      <w:r>
        <w:rPr>
          <w:color w:val="333333"/>
          <w:sz w:val="19"/>
          <w:szCs w:val="19"/>
        </w:rPr>
        <w:t xml:space="preserve">Perkins, M. (2023) Academic integrity considerations of AI large language models in the post-pandemic era: ChatGPT and beyond. </w:t>
      </w:r>
      <w:r>
        <w:rPr>
          <w:i/>
          <w:iCs/>
          <w:color w:val="333333"/>
          <w:sz w:val="19"/>
          <w:szCs w:val="19"/>
        </w:rPr>
        <w:t>Journal of University Teaching and Learning Practice</w:t>
      </w:r>
      <w:r>
        <w:rPr>
          <w:color w:val="333333"/>
          <w:sz w:val="19"/>
          <w:szCs w:val="19"/>
        </w:rPr>
        <w:t>, 20(2).</w:t>
      </w:r>
    </w:p>
    <w:p w14:paraId="3B989BE0" w14:textId="77777777" w:rsidR="00D16027" w:rsidRDefault="00000000">
      <w:pPr>
        <w:pStyle w:val="ListParagraph"/>
        <w:numPr>
          <w:ilvl w:val="0"/>
          <w:numId w:val="3"/>
        </w:numPr>
        <w:spacing w:before="30" w:after="50"/>
      </w:pPr>
      <w:r>
        <w:rPr>
          <w:color w:val="333333"/>
          <w:sz w:val="19"/>
          <w:szCs w:val="19"/>
        </w:rPr>
        <w:t xml:space="preserve">Perkins, M., Furze, L., Roe, J. &amp; </w:t>
      </w:r>
      <w:proofErr w:type="spellStart"/>
      <w:r>
        <w:rPr>
          <w:color w:val="333333"/>
          <w:sz w:val="19"/>
          <w:szCs w:val="19"/>
        </w:rPr>
        <w:t>MacVaugh</w:t>
      </w:r>
      <w:proofErr w:type="spellEnd"/>
      <w:r>
        <w:rPr>
          <w:color w:val="333333"/>
          <w:sz w:val="19"/>
          <w:szCs w:val="19"/>
        </w:rPr>
        <w:t xml:space="preserve">, J. (2024) The Artificial Intelligence Assessment Scale (AIAS): a framework for ethical integration of generative AI in educational assessment. </w:t>
      </w:r>
      <w:r>
        <w:rPr>
          <w:i/>
          <w:iCs/>
          <w:color w:val="333333"/>
          <w:sz w:val="19"/>
          <w:szCs w:val="19"/>
        </w:rPr>
        <w:t>Journal of University Teaching and Learning Practice</w:t>
      </w:r>
      <w:r>
        <w:rPr>
          <w:color w:val="333333"/>
          <w:sz w:val="19"/>
          <w:szCs w:val="19"/>
        </w:rPr>
        <w:t>, 21(6).</w:t>
      </w:r>
    </w:p>
    <w:p w14:paraId="68A0AC0D" w14:textId="77777777" w:rsidR="00D16027" w:rsidRDefault="00000000">
      <w:pPr>
        <w:pStyle w:val="ListParagraph"/>
        <w:numPr>
          <w:ilvl w:val="0"/>
          <w:numId w:val="3"/>
        </w:numPr>
        <w:spacing w:before="30" w:after="50"/>
      </w:pPr>
      <w:r>
        <w:rPr>
          <w:color w:val="333333"/>
          <w:sz w:val="19"/>
          <w:szCs w:val="19"/>
        </w:rPr>
        <w:t xml:space="preserve">Perkins, M., Roe, J. &amp; Furze, L. (2025) Reimagining the AI Assessment Scale: an updated framework for AI integration in assessment. </w:t>
      </w:r>
      <w:r>
        <w:rPr>
          <w:i/>
          <w:iCs/>
          <w:color w:val="333333"/>
          <w:sz w:val="19"/>
          <w:szCs w:val="19"/>
        </w:rPr>
        <w:t>Journal of University Teaching and Learning Practice</w:t>
      </w:r>
      <w:r>
        <w:rPr>
          <w:color w:val="333333"/>
          <w:sz w:val="19"/>
          <w:szCs w:val="19"/>
        </w:rPr>
        <w:t>, 22(7).</w:t>
      </w:r>
    </w:p>
    <w:p w14:paraId="76F55A18" w14:textId="77777777" w:rsidR="00D16027" w:rsidRDefault="00000000">
      <w:pPr>
        <w:pStyle w:val="ListParagraph"/>
        <w:numPr>
          <w:ilvl w:val="0"/>
          <w:numId w:val="3"/>
        </w:numPr>
        <w:spacing w:before="30" w:after="50"/>
      </w:pPr>
      <w:r>
        <w:rPr>
          <w:color w:val="333333"/>
          <w:sz w:val="19"/>
          <w:szCs w:val="19"/>
        </w:rPr>
        <w:t xml:space="preserve">Perkins, M., Roe, J., Vu, B.H., Postma, D., Hickerson, D., McGaughran, J. &amp; Khuat, H.Q. (2024) Simple techniques to bypass GenAI text detectors: implications for inclusive education. </w:t>
      </w:r>
      <w:r>
        <w:rPr>
          <w:i/>
          <w:iCs/>
          <w:color w:val="333333"/>
          <w:sz w:val="19"/>
          <w:szCs w:val="19"/>
        </w:rPr>
        <w:t>International Journal of Educational Technology in Higher Education</w:t>
      </w:r>
      <w:r>
        <w:rPr>
          <w:color w:val="333333"/>
          <w:sz w:val="19"/>
          <w:szCs w:val="19"/>
        </w:rPr>
        <w:t>, 21, 53.</w:t>
      </w:r>
    </w:p>
    <w:p w14:paraId="3D8E2FB9" w14:textId="77777777" w:rsidR="00D16027" w:rsidRDefault="00000000">
      <w:pPr>
        <w:pStyle w:val="ListParagraph"/>
        <w:numPr>
          <w:ilvl w:val="0"/>
          <w:numId w:val="3"/>
        </w:numPr>
        <w:spacing w:before="30" w:after="50"/>
      </w:pPr>
      <w:r>
        <w:rPr>
          <w:color w:val="333333"/>
          <w:sz w:val="19"/>
          <w:szCs w:val="19"/>
        </w:rPr>
        <w:t xml:space="preserve">Polanyi, M. (1966) </w:t>
      </w:r>
      <w:r>
        <w:rPr>
          <w:i/>
          <w:iCs/>
          <w:color w:val="333333"/>
          <w:sz w:val="19"/>
          <w:szCs w:val="19"/>
        </w:rPr>
        <w:t>The Tacit Dimension</w:t>
      </w:r>
      <w:r>
        <w:rPr>
          <w:color w:val="333333"/>
          <w:sz w:val="19"/>
          <w:szCs w:val="19"/>
        </w:rPr>
        <w:t>. Garden City, NY: Doubleday.</w:t>
      </w:r>
    </w:p>
    <w:p w14:paraId="12C9A05B" w14:textId="77777777" w:rsidR="00D16027" w:rsidRDefault="00000000">
      <w:pPr>
        <w:pStyle w:val="ListParagraph"/>
        <w:numPr>
          <w:ilvl w:val="0"/>
          <w:numId w:val="3"/>
        </w:numPr>
        <w:spacing w:before="30" w:after="50"/>
      </w:pPr>
      <w:r>
        <w:rPr>
          <w:color w:val="333333"/>
          <w:sz w:val="19"/>
          <w:szCs w:val="19"/>
        </w:rPr>
        <w:t xml:space="preserve">QAA (2023) </w:t>
      </w:r>
      <w:r>
        <w:rPr>
          <w:i/>
          <w:iCs/>
          <w:color w:val="333333"/>
          <w:sz w:val="19"/>
          <w:szCs w:val="19"/>
        </w:rPr>
        <w:t>Maintaining Quality and Standards in the ChatGPT Era: QAA Advice on the Opportunities and Challenges Posed by Generative Artificial Intelligence</w:t>
      </w:r>
      <w:r>
        <w:rPr>
          <w:color w:val="333333"/>
          <w:sz w:val="19"/>
          <w:szCs w:val="19"/>
        </w:rPr>
        <w:t>. Gloucester: Quality Assurance Agency for Higher Education.</w:t>
      </w:r>
    </w:p>
    <w:p w14:paraId="5C1975DC" w14:textId="77777777" w:rsidR="00D16027" w:rsidRDefault="00000000">
      <w:pPr>
        <w:pStyle w:val="ListParagraph"/>
        <w:numPr>
          <w:ilvl w:val="0"/>
          <w:numId w:val="3"/>
        </w:numPr>
        <w:spacing w:before="30" w:after="50"/>
      </w:pPr>
      <w:r>
        <w:rPr>
          <w:color w:val="333333"/>
          <w:sz w:val="19"/>
          <w:szCs w:val="19"/>
        </w:rPr>
        <w:t xml:space="preserve">Ramsden, P. (2003) </w:t>
      </w:r>
      <w:r>
        <w:rPr>
          <w:i/>
          <w:iCs/>
          <w:color w:val="333333"/>
          <w:sz w:val="19"/>
          <w:szCs w:val="19"/>
        </w:rPr>
        <w:t>Learning to Teach in Higher Education</w:t>
      </w:r>
      <w:r>
        <w:rPr>
          <w:color w:val="333333"/>
          <w:sz w:val="19"/>
          <w:szCs w:val="19"/>
        </w:rPr>
        <w:t xml:space="preserve"> (2nd ed.). London: </w:t>
      </w:r>
      <w:proofErr w:type="spellStart"/>
      <w:r>
        <w:rPr>
          <w:color w:val="333333"/>
          <w:sz w:val="19"/>
          <w:szCs w:val="19"/>
        </w:rPr>
        <w:t>RoutledgeFalmer</w:t>
      </w:r>
      <w:proofErr w:type="spellEnd"/>
      <w:r>
        <w:rPr>
          <w:color w:val="333333"/>
          <w:sz w:val="19"/>
          <w:szCs w:val="19"/>
        </w:rPr>
        <w:t>.</w:t>
      </w:r>
    </w:p>
    <w:p w14:paraId="57CB589B" w14:textId="77777777" w:rsidR="00D16027" w:rsidRDefault="00000000">
      <w:pPr>
        <w:pStyle w:val="ListParagraph"/>
        <w:numPr>
          <w:ilvl w:val="0"/>
          <w:numId w:val="3"/>
        </w:numPr>
        <w:spacing w:before="30" w:after="50"/>
      </w:pPr>
      <w:r>
        <w:rPr>
          <w:color w:val="333333"/>
          <w:sz w:val="19"/>
          <w:szCs w:val="19"/>
        </w:rPr>
        <w:t xml:space="preserve">Regehr, G., MacRae, H., Reznick, R.K. &amp; Szalay, D. (1998) Comparing the psychometric properties of checklists and global rating scales for assessing performance on an OSCE-format examination. </w:t>
      </w:r>
      <w:r>
        <w:rPr>
          <w:i/>
          <w:iCs/>
          <w:color w:val="333333"/>
          <w:sz w:val="19"/>
          <w:szCs w:val="19"/>
        </w:rPr>
        <w:t>Academic Medicine</w:t>
      </w:r>
      <w:r>
        <w:rPr>
          <w:color w:val="333333"/>
          <w:sz w:val="19"/>
          <w:szCs w:val="19"/>
        </w:rPr>
        <w:t>, 73(9), 993–997.</w:t>
      </w:r>
    </w:p>
    <w:p w14:paraId="2F130A6D" w14:textId="77777777" w:rsidR="00D16027" w:rsidRDefault="00000000">
      <w:pPr>
        <w:pStyle w:val="ListParagraph"/>
        <w:numPr>
          <w:ilvl w:val="0"/>
          <w:numId w:val="3"/>
        </w:numPr>
        <w:spacing w:before="30" w:after="50"/>
      </w:pPr>
      <w:r>
        <w:rPr>
          <w:color w:val="333333"/>
          <w:sz w:val="19"/>
          <w:szCs w:val="19"/>
        </w:rPr>
        <w:t xml:space="preserve">Rudolph, J., Tan, S. &amp; Tan, S. (2023) ChatGPT: bullshit spinner or the end of traditional assessments in higher education? </w:t>
      </w:r>
      <w:r>
        <w:rPr>
          <w:i/>
          <w:iCs/>
          <w:color w:val="333333"/>
          <w:sz w:val="19"/>
          <w:szCs w:val="19"/>
        </w:rPr>
        <w:t>Journal of Applied Learning and Teaching</w:t>
      </w:r>
      <w:r>
        <w:rPr>
          <w:color w:val="333333"/>
          <w:sz w:val="19"/>
          <w:szCs w:val="19"/>
        </w:rPr>
        <w:t>, 6(1), 342–363.</w:t>
      </w:r>
    </w:p>
    <w:p w14:paraId="0883C274" w14:textId="77777777" w:rsidR="00D16027" w:rsidRDefault="00000000">
      <w:pPr>
        <w:pStyle w:val="ListParagraph"/>
        <w:numPr>
          <w:ilvl w:val="0"/>
          <w:numId w:val="3"/>
        </w:numPr>
        <w:spacing w:before="30" w:after="50"/>
      </w:pPr>
      <w:r>
        <w:rPr>
          <w:color w:val="333333"/>
          <w:sz w:val="19"/>
          <w:szCs w:val="19"/>
        </w:rPr>
        <w:lastRenderedPageBreak/>
        <w:t xml:space="preserve">Russell Group (2023) </w:t>
      </w:r>
      <w:r>
        <w:rPr>
          <w:i/>
          <w:iCs/>
          <w:color w:val="333333"/>
          <w:sz w:val="19"/>
          <w:szCs w:val="19"/>
        </w:rPr>
        <w:t>Russell Group Principles on the Use of Generative AI Tools in Education</w:t>
      </w:r>
      <w:r>
        <w:rPr>
          <w:color w:val="333333"/>
          <w:sz w:val="19"/>
          <w:szCs w:val="19"/>
        </w:rPr>
        <w:t>. London: Russell Group.</w:t>
      </w:r>
    </w:p>
    <w:p w14:paraId="41C7A13A" w14:textId="77777777" w:rsidR="00D16027" w:rsidRDefault="00000000">
      <w:pPr>
        <w:pStyle w:val="ListParagraph"/>
        <w:numPr>
          <w:ilvl w:val="0"/>
          <w:numId w:val="3"/>
        </w:numPr>
        <w:spacing w:before="30" w:after="50"/>
      </w:pPr>
      <w:r>
        <w:rPr>
          <w:color w:val="333333"/>
          <w:sz w:val="19"/>
          <w:szCs w:val="19"/>
        </w:rPr>
        <w:t xml:space="preserve">Ryan, M. &amp; Ryan, M. (2013) Theorising a model for teaching and assessing reflective learning in higher education. </w:t>
      </w:r>
      <w:r>
        <w:rPr>
          <w:i/>
          <w:iCs/>
          <w:color w:val="333333"/>
          <w:sz w:val="19"/>
          <w:szCs w:val="19"/>
        </w:rPr>
        <w:t>Higher Education Research &amp; Development</w:t>
      </w:r>
      <w:r>
        <w:rPr>
          <w:color w:val="333333"/>
          <w:sz w:val="19"/>
          <w:szCs w:val="19"/>
        </w:rPr>
        <w:t>, 32(2), 244–257.</w:t>
      </w:r>
    </w:p>
    <w:p w14:paraId="2280F3AE" w14:textId="77777777" w:rsidR="00D16027" w:rsidRDefault="00000000">
      <w:pPr>
        <w:pStyle w:val="ListParagraph"/>
        <w:numPr>
          <w:ilvl w:val="0"/>
          <w:numId w:val="3"/>
        </w:numPr>
        <w:spacing w:before="30" w:after="50"/>
      </w:pPr>
      <w:r>
        <w:rPr>
          <w:color w:val="333333"/>
          <w:sz w:val="19"/>
          <w:szCs w:val="19"/>
        </w:rPr>
        <w:t xml:space="preserve">Sadler, D.R. (1989) Formative assessment and the design of instructional systems. </w:t>
      </w:r>
      <w:r>
        <w:rPr>
          <w:i/>
          <w:iCs/>
          <w:color w:val="333333"/>
          <w:sz w:val="19"/>
          <w:szCs w:val="19"/>
        </w:rPr>
        <w:t>Instructional Science</w:t>
      </w:r>
      <w:r>
        <w:rPr>
          <w:color w:val="333333"/>
          <w:sz w:val="19"/>
          <w:szCs w:val="19"/>
        </w:rPr>
        <w:t>, 18(2), 119–144.</w:t>
      </w:r>
    </w:p>
    <w:p w14:paraId="48112A3C" w14:textId="77777777" w:rsidR="00D16027" w:rsidRDefault="00000000">
      <w:pPr>
        <w:pStyle w:val="ListParagraph"/>
        <w:numPr>
          <w:ilvl w:val="0"/>
          <w:numId w:val="3"/>
        </w:numPr>
        <w:spacing w:before="30" w:after="50"/>
      </w:pPr>
      <w:r>
        <w:rPr>
          <w:color w:val="333333"/>
          <w:sz w:val="19"/>
          <w:szCs w:val="19"/>
        </w:rPr>
        <w:t xml:space="preserve">Sadler, D.R. (2009) Indeterminacy in the use of preset criteria for assessment and grading. </w:t>
      </w:r>
      <w:r>
        <w:rPr>
          <w:i/>
          <w:iCs/>
          <w:color w:val="333333"/>
          <w:sz w:val="19"/>
          <w:szCs w:val="19"/>
        </w:rPr>
        <w:t>Assessment &amp; Evaluation in Higher Education</w:t>
      </w:r>
      <w:r>
        <w:rPr>
          <w:color w:val="333333"/>
          <w:sz w:val="19"/>
          <w:szCs w:val="19"/>
        </w:rPr>
        <w:t>, 34(2), 159–179.</w:t>
      </w:r>
    </w:p>
    <w:p w14:paraId="558E1956" w14:textId="77777777" w:rsidR="00D16027" w:rsidRDefault="00000000">
      <w:pPr>
        <w:pStyle w:val="ListParagraph"/>
        <w:numPr>
          <w:ilvl w:val="0"/>
          <w:numId w:val="3"/>
        </w:numPr>
        <w:spacing w:before="30" w:after="50"/>
      </w:pPr>
      <w:r>
        <w:rPr>
          <w:color w:val="333333"/>
          <w:sz w:val="19"/>
          <w:szCs w:val="19"/>
        </w:rPr>
        <w:t xml:space="preserve">Sambell, K., McDowell, L. &amp; Montgomery, C. (2013) </w:t>
      </w:r>
      <w:r>
        <w:rPr>
          <w:i/>
          <w:iCs/>
          <w:color w:val="333333"/>
          <w:sz w:val="19"/>
          <w:szCs w:val="19"/>
        </w:rPr>
        <w:t>Assessment for Learning in Higher Education</w:t>
      </w:r>
      <w:r>
        <w:rPr>
          <w:color w:val="333333"/>
          <w:sz w:val="19"/>
          <w:szCs w:val="19"/>
        </w:rPr>
        <w:t>. London: Routledge.</w:t>
      </w:r>
    </w:p>
    <w:p w14:paraId="476ED467" w14:textId="77777777" w:rsidR="00D16027" w:rsidRDefault="00000000">
      <w:pPr>
        <w:pStyle w:val="ListParagraph"/>
        <w:numPr>
          <w:ilvl w:val="0"/>
          <w:numId w:val="3"/>
        </w:numPr>
        <w:spacing w:before="30" w:after="50"/>
      </w:pPr>
      <w:r>
        <w:rPr>
          <w:color w:val="333333"/>
          <w:sz w:val="19"/>
          <w:szCs w:val="19"/>
        </w:rPr>
        <w:t xml:space="preserve">Schön, D.A. (1983) </w:t>
      </w:r>
      <w:r>
        <w:rPr>
          <w:i/>
          <w:iCs/>
          <w:color w:val="333333"/>
          <w:sz w:val="19"/>
          <w:szCs w:val="19"/>
        </w:rPr>
        <w:t>The Reflective Practitioner: How Professionals Think in Action</w:t>
      </w:r>
      <w:r>
        <w:rPr>
          <w:color w:val="333333"/>
          <w:sz w:val="19"/>
          <w:szCs w:val="19"/>
        </w:rPr>
        <w:t>. New York: Basic Books.</w:t>
      </w:r>
    </w:p>
    <w:p w14:paraId="01D75D4C" w14:textId="77777777" w:rsidR="00D16027" w:rsidRDefault="00000000">
      <w:pPr>
        <w:pStyle w:val="ListParagraph"/>
        <w:numPr>
          <w:ilvl w:val="0"/>
          <w:numId w:val="3"/>
        </w:numPr>
        <w:spacing w:before="30" w:after="50"/>
      </w:pPr>
      <w:r>
        <w:rPr>
          <w:color w:val="333333"/>
          <w:sz w:val="19"/>
          <w:szCs w:val="19"/>
        </w:rPr>
        <w:t xml:space="preserve">Schön, D.A. (1983) </w:t>
      </w:r>
      <w:r>
        <w:rPr>
          <w:i/>
          <w:iCs/>
          <w:color w:val="333333"/>
          <w:sz w:val="19"/>
          <w:szCs w:val="19"/>
        </w:rPr>
        <w:t>The Reflective Practitioner</w:t>
      </w:r>
      <w:r>
        <w:rPr>
          <w:color w:val="333333"/>
          <w:sz w:val="19"/>
          <w:szCs w:val="19"/>
        </w:rPr>
        <w:t>. New York: Basic Books.</w:t>
      </w:r>
    </w:p>
    <w:p w14:paraId="3E22D2F9" w14:textId="77777777" w:rsidR="00D16027" w:rsidRDefault="00000000">
      <w:pPr>
        <w:pStyle w:val="ListParagraph"/>
        <w:numPr>
          <w:ilvl w:val="0"/>
          <w:numId w:val="3"/>
        </w:numPr>
        <w:spacing w:before="30" w:after="50"/>
      </w:pPr>
      <w:r>
        <w:rPr>
          <w:color w:val="333333"/>
          <w:sz w:val="19"/>
          <w:szCs w:val="19"/>
        </w:rPr>
        <w:t xml:space="preserve">Scriven, M. (1967) The methodology of evaluation. In R.W. Tyler, R.M. Gagné &amp; M. Scriven (eds.) </w:t>
      </w:r>
      <w:r>
        <w:rPr>
          <w:i/>
          <w:iCs/>
          <w:color w:val="333333"/>
          <w:sz w:val="19"/>
          <w:szCs w:val="19"/>
        </w:rPr>
        <w:t>Perspectives of Curriculum Evaluation</w:t>
      </w:r>
      <w:r>
        <w:rPr>
          <w:color w:val="333333"/>
          <w:sz w:val="19"/>
          <w:szCs w:val="19"/>
        </w:rPr>
        <w:t xml:space="preserve"> (pp. 39–83). Chicago: Rand McNally.</w:t>
      </w:r>
    </w:p>
    <w:p w14:paraId="5904744C" w14:textId="77777777" w:rsidR="00D16027" w:rsidRDefault="00000000">
      <w:pPr>
        <w:pStyle w:val="ListParagraph"/>
        <w:numPr>
          <w:ilvl w:val="0"/>
          <w:numId w:val="3"/>
        </w:numPr>
        <w:spacing w:before="30" w:after="50"/>
      </w:pPr>
      <w:r>
        <w:rPr>
          <w:color w:val="333333"/>
          <w:sz w:val="19"/>
          <w:szCs w:val="19"/>
        </w:rPr>
        <w:t xml:space="preserve">Selwyn, N. (2019) </w:t>
      </w:r>
      <w:r>
        <w:rPr>
          <w:i/>
          <w:iCs/>
          <w:color w:val="333333"/>
          <w:sz w:val="19"/>
          <w:szCs w:val="19"/>
        </w:rPr>
        <w:t>Should Robots Replace Teachers? AI and the Future of Education</w:t>
      </w:r>
      <w:r>
        <w:rPr>
          <w:color w:val="333333"/>
          <w:sz w:val="19"/>
          <w:szCs w:val="19"/>
        </w:rPr>
        <w:t>. Cambridge: Polity.</w:t>
      </w:r>
    </w:p>
    <w:p w14:paraId="1AEE7049" w14:textId="77777777" w:rsidR="00D16027" w:rsidRDefault="00000000">
      <w:pPr>
        <w:pStyle w:val="ListParagraph"/>
        <w:numPr>
          <w:ilvl w:val="0"/>
          <w:numId w:val="3"/>
        </w:numPr>
        <w:spacing w:before="30" w:after="50"/>
      </w:pPr>
      <w:r>
        <w:rPr>
          <w:color w:val="333333"/>
          <w:sz w:val="19"/>
          <w:szCs w:val="19"/>
        </w:rPr>
        <w:t xml:space="preserve">Selwyn, N., O'Neill, C., Smith, G., Andrejevic, M. &amp; Gu, X. (2023) A necessary evil? The rise of online exam proctoring in Australian universities. </w:t>
      </w:r>
      <w:r>
        <w:rPr>
          <w:i/>
          <w:iCs/>
          <w:color w:val="333333"/>
          <w:sz w:val="19"/>
          <w:szCs w:val="19"/>
        </w:rPr>
        <w:t>Media International Australia</w:t>
      </w:r>
      <w:r>
        <w:rPr>
          <w:color w:val="333333"/>
          <w:sz w:val="19"/>
          <w:szCs w:val="19"/>
        </w:rPr>
        <w:t>, 186(1), 149–164.</w:t>
      </w:r>
    </w:p>
    <w:p w14:paraId="485670D8" w14:textId="77777777" w:rsidR="00D16027" w:rsidRDefault="00000000">
      <w:pPr>
        <w:pStyle w:val="ListParagraph"/>
        <w:numPr>
          <w:ilvl w:val="0"/>
          <w:numId w:val="3"/>
        </w:numPr>
        <w:spacing w:before="30" w:after="50"/>
      </w:pPr>
      <w:r>
        <w:rPr>
          <w:color w:val="333333"/>
          <w:sz w:val="19"/>
          <w:szCs w:val="19"/>
        </w:rPr>
        <w:t xml:space="preserve">Sharples, M. (2022) Automated essay writing: an AIED opinion. </w:t>
      </w:r>
      <w:r>
        <w:rPr>
          <w:i/>
          <w:iCs/>
          <w:color w:val="333333"/>
          <w:sz w:val="19"/>
          <w:szCs w:val="19"/>
        </w:rPr>
        <w:t>International Journal of Artificial Intelligence in Education</w:t>
      </w:r>
      <w:r>
        <w:rPr>
          <w:color w:val="333333"/>
          <w:sz w:val="19"/>
          <w:szCs w:val="19"/>
        </w:rPr>
        <w:t>, 32(4), 1119–1126.</w:t>
      </w:r>
    </w:p>
    <w:p w14:paraId="3733DD85" w14:textId="77777777" w:rsidR="00D16027" w:rsidRDefault="00000000">
      <w:pPr>
        <w:pStyle w:val="ListParagraph"/>
        <w:numPr>
          <w:ilvl w:val="0"/>
          <w:numId w:val="3"/>
        </w:numPr>
        <w:spacing w:before="30" w:after="50"/>
      </w:pPr>
      <w:proofErr w:type="spellStart"/>
      <w:r>
        <w:rPr>
          <w:color w:val="333333"/>
          <w:sz w:val="19"/>
          <w:szCs w:val="19"/>
        </w:rPr>
        <w:t>Shermis</w:t>
      </w:r>
      <w:proofErr w:type="spellEnd"/>
      <w:r>
        <w:rPr>
          <w:color w:val="333333"/>
          <w:sz w:val="19"/>
          <w:szCs w:val="19"/>
        </w:rPr>
        <w:t xml:space="preserve">, M.D. &amp; Hamner, B. (2013) Contrasting state-of-the-art automated scoring of essays. In M.D. </w:t>
      </w:r>
      <w:proofErr w:type="spellStart"/>
      <w:r>
        <w:rPr>
          <w:color w:val="333333"/>
          <w:sz w:val="19"/>
          <w:szCs w:val="19"/>
        </w:rPr>
        <w:t>Shermis</w:t>
      </w:r>
      <w:proofErr w:type="spellEnd"/>
      <w:r>
        <w:rPr>
          <w:color w:val="333333"/>
          <w:sz w:val="19"/>
          <w:szCs w:val="19"/>
        </w:rPr>
        <w:t xml:space="preserve"> &amp; J. Burstein (eds.) </w:t>
      </w:r>
      <w:r>
        <w:rPr>
          <w:i/>
          <w:iCs/>
          <w:color w:val="333333"/>
          <w:sz w:val="19"/>
          <w:szCs w:val="19"/>
        </w:rPr>
        <w:t>Handbook of Automated Essay Evaluation</w:t>
      </w:r>
      <w:r>
        <w:rPr>
          <w:color w:val="333333"/>
          <w:sz w:val="19"/>
          <w:szCs w:val="19"/>
        </w:rPr>
        <w:t xml:space="preserve"> (pp. 313–346). New York: Routledge.</w:t>
      </w:r>
    </w:p>
    <w:p w14:paraId="5BC602FE" w14:textId="77777777" w:rsidR="00D16027" w:rsidRDefault="00000000">
      <w:pPr>
        <w:pStyle w:val="ListParagraph"/>
        <w:numPr>
          <w:ilvl w:val="0"/>
          <w:numId w:val="3"/>
        </w:numPr>
        <w:spacing w:before="30" w:after="50"/>
      </w:pPr>
      <w:proofErr w:type="spellStart"/>
      <w:r>
        <w:rPr>
          <w:color w:val="333333"/>
          <w:sz w:val="19"/>
          <w:szCs w:val="19"/>
        </w:rPr>
        <w:t>Sotiriadou</w:t>
      </w:r>
      <w:proofErr w:type="spellEnd"/>
      <w:r>
        <w:rPr>
          <w:color w:val="333333"/>
          <w:sz w:val="19"/>
          <w:szCs w:val="19"/>
        </w:rPr>
        <w:t xml:space="preserve">, P., Logan, D., Daly, A. &amp; Guest, R. (2020) The role of authentic assessment to preserve academic integrity and promote skill development and employability. </w:t>
      </w:r>
      <w:r>
        <w:rPr>
          <w:i/>
          <w:iCs/>
          <w:color w:val="333333"/>
          <w:sz w:val="19"/>
          <w:szCs w:val="19"/>
        </w:rPr>
        <w:t>Studies in Higher Education</w:t>
      </w:r>
      <w:r>
        <w:rPr>
          <w:color w:val="333333"/>
          <w:sz w:val="19"/>
          <w:szCs w:val="19"/>
        </w:rPr>
        <w:t>, 45(11), 2132–2148.</w:t>
      </w:r>
    </w:p>
    <w:p w14:paraId="566DB5A5" w14:textId="77777777" w:rsidR="00D16027" w:rsidRDefault="00000000">
      <w:pPr>
        <w:pStyle w:val="ListParagraph"/>
        <w:numPr>
          <w:ilvl w:val="0"/>
          <w:numId w:val="3"/>
        </w:numPr>
        <w:spacing w:before="30" w:after="50"/>
      </w:pPr>
      <w:proofErr w:type="spellStart"/>
      <w:r>
        <w:rPr>
          <w:color w:val="333333"/>
          <w:sz w:val="19"/>
          <w:szCs w:val="19"/>
        </w:rPr>
        <w:t>Steiss</w:t>
      </w:r>
      <w:proofErr w:type="spellEnd"/>
      <w:r>
        <w:rPr>
          <w:color w:val="333333"/>
          <w:sz w:val="19"/>
          <w:szCs w:val="19"/>
        </w:rPr>
        <w:t xml:space="preserve">, J., Tate, T., Graham, S., Cruz, J., Hebert, M., Wang, J., Moon, Y., Tseng, W., Warschauer, M. &amp; Olson, C.B. (2024) Comparing the quality of human and ChatGPT feedback of students' writing. </w:t>
      </w:r>
      <w:r>
        <w:rPr>
          <w:i/>
          <w:iCs/>
          <w:color w:val="333333"/>
          <w:sz w:val="19"/>
          <w:szCs w:val="19"/>
        </w:rPr>
        <w:t>Learning and Instruction</w:t>
      </w:r>
      <w:r>
        <w:rPr>
          <w:color w:val="333333"/>
          <w:sz w:val="19"/>
          <w:szCs w:val="19"/>
        </w:rPr>
        <w:t>, 91, 101894.</w:t>
      </w:r>
    </w:p>
    <w:p w14:paraId="49DE5FF2" w14:textId="77777777" w:rsidR="00D16027" w:rsidRDefault="00000000">
      <w:pPr>
        <w:pStyle w:val="ListParagraph"/>
        <w:numPr>
          <w:ilvl w:val="0"/>
          <w:numId w:val="3"/>
        </w:numPr>
        <w:spacing w:before="30" w:after="50"/>
      </w:pPr>
      <w:r>
        <w:rPr>
          <w:color w:val="333333"/>
          <w:sz w:val="19"/>
          <w:szCs w:val="19"/>
        </w:rPr>
        <w:t xml:space="preserve">Stray, C. (2001) The shift from oral to written examination: Cambridge and Oxford 1700–1900. </w:t>
      </w:r>
      <w:r>
        <w:rPr>
          <w:i/>
          <w:iCs/>
          <w:color w:val="333333"/>
          <w:sz w:val="19"/>
          <w:szCs w:val="19"/>
        </w:rPr>
        <w:t>Assessment in Education: Principles, Policy &amp; Practice</w:t>
      </w:r>
      <w:r>
        <w:rPr>
          <w:color w:val="333333"/>
          <w:sz w:val="19"/>
          <w:szCs w:val="19"/>
        </w:rPr>
        <w:t>, 8(1), 33–50.</w:t>
      </w:r>
    </w:p>
    <w:p w14:paraId="73139B0E"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Bearman, M., Boud, D., Dawson, P. &amp; Jorre de St Jorre, T. (2023) Assessment for inclusion: rethinking contemporary strategies in assessment design. </w:t>
      </w:r>
      <w:r>
        <w:rPr>
          <w:i/>
          <w:iCs/>
          <w:color w:val="333333"/>
          <w:sz w:val="19"/>
          <w:szCs w:val="19"/>
        </w:rPr>
        <w:t>Higher Education Research &amp; Development</w:t>
      </w:r>
      <w:r>
        <w:rPr>
          <w:color w:val="333333"/>
          <w:sz w:val="19"/>
          <w:szCs w:val="19"/>
        </w:rPr>
        <w:t>, 42(2), 483–497.</w:t>
      </w:r>
    </w:p>
    <w:p w14:paraId="5230679D"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Boud, D., Dawson, P. &amp; Panadero, E. (2018) Developing evaluative judgement: enabling students to make decisions about the quality of work. </w:t>
      </w:r>
      <w:r>
        <w:rPr>
          <w:i/>
          <w:iCs/>
          <w:color w:val="333333"/>
          <w:sz w:val="19"/>
          <w:szCs w:val="19"/>
        </w:rPr>
        <w:t>Higher Education</w:t>
      </w:r>
      <w:r>
        <w:rPr>
          <w:color w:val="333333"/>
          <w:sz w:val="19"/>
          <w:szCs w:val="19"/>
        </w:rPr>
        <w:t>, 76(3), 467–481.</w:t>
      </w:r>
    </w:p>
    <w:p w14:paraId="2603D1DF" w14:textId="77777777" w:rsidR="00D16027" w:rsidRDefault="00000000">
      <w:pPr>
        <w:pStyle w:val="ListParagraph"/>
        <w:numPr>
          <w:ilvl w:val="0"/>
          <w:numId w:val="3"/>
        </w:numPr>
        <w:spacing w:before="30" w:after="50"/>
      </w:pPr>
      <w:r>
        <w:rPr>
          <w:color w:val="333333"/>
          <w:sz w:val="19"/>
          <w:szCs w:val="19"/>
        </w:rPr>
        <w:t xml:space="preserve">Tai, J., </w:t>
      </w:r>
      <w:proofErr w:type="spellStart"/>
      <w:r>
        <w:rPr>
          <w:color w:val="333333"/>
          <w:sz w:val="19"/>
          <w:szCs w:val="19"/>
        </w:rPr>
        <w:t>Ajjawi</w:t>
      </w:r>
      <w:proofErr w:type="spellEnd"/>
      <w:r>
        <w:rPr>
          <w:color w:val="333333"/>
          <w:sz w:val="19"/>
          <w:szCs w:val="19"/>
        </w:rPr>
        <w:t xml:space="preserve">, R., Boud, D., Dawson, P. &amp; Panadero, E. (2018) Developing evaluative judgement. </w:t>
      </w:r>
      <w:r>
        <w:rPr>
          <w:i/>
          <w:iCs/>
          <w:color w:val="333333"/>
          <w:sz w:val="19"/>
          <w:szCs w:val="19"/>
        </w:rPr>
        <w:t>Higher Education</w:t>
      </w:r>
      <w:r>
        <w:rPr>
          <w:color w:val="333333"/>
          <w:sz w:val="19"/>
          <w:szCs w:val="19"/>
        </w:rPr>
        <w:t>, 76(3), 467–481.</w:t>
      </w:r>
    </w:p>
    <w:p w14:paraId="7B9717B3" w14:textId="77777777" w:rsidR="00D16027" w:rsidRDefault="00000000">
      <w:pPr>
        <w:pStyle w:val="ListParagraph"/>
        <w:numPr>
          <w:ilvl w:val="0"/>
          <w:numId w:val="3"/>
        </w:numPr>
        <w:spacing w:before="30" w:after="50"/>
      </w:pPr>
      <w:proofErr w:type="spellStart"/>
      <w:r>
        <w:rPr>
          <w:color w:val="333333"/>
          <w:sz w:val="19"/>
          <w:szCs w:val="19"/>
        </w:rPr>
        <w:t>Terwiesch</w:t>
      </w:r>
      <w:proofErr w:type="spellEnd"/>
      <w:r>
        <w:rPr>
          <w:color w:val="333333"/>
          <w:sz w:val="19"/>
          <w:szCs w:val="19"/>
        </w:rPr>
        <w:t xml:space="preserve">, C. (2023) </w:t>
      </w:r>
      <w:r>
        <w:rPr>
          <w:i/>
          <w:iCs/>
          <w:color w:val="333333"/>
          <w:sz w:val="19"/>
          <w:szCs w:val="19"/>
        </w:rPr>
        <w:t>Would ChatGPT Get a Wharton MBA? A Prediction Based on Its Performance in the Operations Management Course</w:t>
      </w:r>
      <w:r>
        <w:rPr>
          <w:color w:val="333333"/>
          <w:sz w:val="19"/>
          <w:szCs w:val="19"/>
        </w:rPr>
        <w:t>. Philadelphia: Mack Institute for Innovation Management, Wharton School.</w:t>
      </w:r>
    </w:p>
    <w:p w14:paraId="6E751700" w14:textId="77777777" w:rsidR="00D16027" w:rsidRDefault="00000000">
      <w:pPr>
        <w:pStyle w:val="ListParagraph"/>
        <w:numPr>
          <w:ilvl w:val="0"/>
          <w:numId w:val="3"/>
        </w:numPr>
        <w:spacing w:before="30" w:after="50"/>
      </w:pPr>
      <w:r>
        <w:rPr>
          <w:color w:val="333333"/>
          <w:sz w:val="19"/>
          <w:szCs w:val="19"/>
        </w:rPr>
        <w:t xml:space="preserve">Trajkovski, G. &amp; Hayes, H. (2025) </w:t>
      </w:r>
      <w:r>
        <w:rPr>
          <w:i/>
          <w:iCs/>
          <w:color w:val="333333"/>
          <w:sz w:val="19"/>
          <w:szCs w:val="19"/>
        </w:rPr>
        <w:t>AI-Assisted Assessment in Education</w:t>
      </w:r>
      <w:r>
        <w:rPr>
          <w:color w:val="333333"/>
          <w:sz w:val="19"/>
          <w:szCs w:val="19"/>
        </w:rPr>
        <w:t>. Cham: Springer.</w:t>
      </w:r>
    </w:p>
    <w:p w14:paraId="1D004746" w14:textId="77777777" w:rsidR="00D16027" w:rsidRDefault="00000000">
      <w:pPr>
        <w:pStyle w:val="ListParagraph"/>
        <w:numPr>
          <w:ilvl w:val="0"/>
          <w:numId w:val="3"/>
        </w:numPr>
        <w:spacing w:before="30" w:after="50"/>
      </w:pPr>
      <w:proofErr w:type="spellStart"/>
      <w:r>
        <w:rPr>
          <w:color w:val="333333"/>
          <w:sz w:val="19"/>
          <w:szCs w:val="19"/>
        </w:rPr>
        <w:t>Trowler</w:t>
      </w:r>
      <w:proofErr w:type="spellEnd"/>
      <w:r>
        <w:rPr>
          <w:color w:val="333333"/>
          <w:sz w:val="19"/>
          <w:szCs w:val="19"/>
        </w:rPr>
        <w:t xml:space="preserve">, P. (2008) </w:t>
      </w:r>
      <w:r>
        <w:rPr>
          <w:i/>
          <w:iCs/>
          <w:color w:val="333333"/>
          <w:sz w:val="19"/>
          <w:szCs w:val="19"/>
        </w:rPr>
        <w:t>Cultures and Change in Higher Education: Theories and Practices</w:t>
      </w:r>
      <w:r>
        <w:rPr>
          <w:color w:val="333333"/>
          <w:sz w:val="19"/>
          <w:szCs w:val="19"/>
        </w:rPr>
        <w:t>. Basingstoke: Palgrave Macmillan.</w:t>
      </w:r>
    </w:p>
    <w:p w14:paraId="2EBB0E0A" w14:textId="77777777" w:rsidR="00D16027" w:rsidRDefault="00000000">
      <w:pPr>
        <w:pStyle w:val="ListParagraph"/>
        <w:numPr>
          <w:ilvl w:val="0"/>
          <w:numId w:val="3"/>
        </w:numPr>
        <w:spacing w:before="30" w:after="50"/>
      </w:pPr>
      <w:r>
        <w:rPr>
          <w:color w:val="333333"/>
          <w:sz w:val="19"/>
          <w:szCs w:val="19"/>
        </w:rPr>
        <w:t xml:space="preserve">UNESCO (2024) </w:t>
      </w:r>
      <w:r>
        <w:rPr>
          <w:i/>
          <w:iCs/>
          <w:color w:val="333333"/>
          <w:sz w:val="19"/>
          <w:szCs w:val="19"/>
        </w:rPr>
        <w:t>AI Competency Framework for Students</w:t>
      </w:r>
      <w:r>
        <w:rPr>
          <w:color w:val="333333"/>
          <w:sz w:val="19"/>
          <w:szCs w:val="19"/>
        </w:rPr>
        <w:t xml:space="preserve"> and </w:t>
      </w:r>
      <w:r>
        <w:rPr>
          <w:i/>
          <w:iCs/>
          <w:color w:val="333333"/>
          <w:sz w:val="19"/>
          <w:szCs w:val="19"/>
        </w:rPr>
        <w:t>AI Competency Framework for Teachers</w:t>
      </w:r>
      <w:r>
        <w:rPr>
          <w:color w:val="333333"/>
          <w:sz w:val="19"/>
          <w:szCs w:val="19"/>
        </w:rPr>
        <w:t>. Paris: UNESCO.</w:t>
      </w:r>
    </w:p>
    <w:p w14:paraId="591665A8" w14:textId="77777777" w:rsidR="00D16027" w:rsidRDefault="00000000">
      <w:pPr>
        <w:pStyle w:val="ListParagraph"/>
        <w:numPr>
          <w:ilvl w:val="0"/>
          <w:numId w:val="3"/>
        </w:numPr>
        <w:spacing w:before="30" w:after="50"/>
      </w:pPr>
      <w:r>
        <w:rPr>
          <w:color w:val="333333"/>
          <w:sz w:val="19"/>
          <w:szCs w:val="19"/>
        </w:rPr>
        <w:t xml:space="preserve">UNESCO (Miao, F. &amp; Holmes, W.) (2023) </w:t>
      </w:r>
      <w:r>
        <w:rPr>
          <w:i/>
          <w:iCs/>
          <w:color w:val="333333"/>
          <w:sz w:val="19"/>
          <w:szCs w:val="19"/>
        </w:rPr>
        <w:t>Guidance for Generative AI in Education and Research</w:t>
      </w:r>
      <w:r>
        <w:rPr>
          <w:color w:val="333333"/>
          <w:sz w:val="19"/>
          <w:szCs w:val="19"/>
        </w:rPr>
        <w:t>. Paris: UNESCO.</w:t>
      </w:r>
    </w:p>
    <w:p w14:paraId="4B46B792" w14:textId="77777777" w:rsidR="00D16027" w:rsidRDefault="00000000">
      <w:pPr>
        <w:pStyle w:val="ListParagraph"/>
        <w:numPr>
          <w:ilvl w:val="0"/>
          <w:numId w:val="3"/>
        </w:numPr>
        <w:spacing w:before="30" w:after="50"/>
      </w:pPr>
      <w:r>
        <w:rPr>
          <w:color w:val="333333"/>
          <w:sz w:val="19"/>
          <w:szCs w:val="19"/>
        </w:rPr>
        <w:t xml:space="preserve">US Department of Education, Office of Educational Technology (2023) </w:t>
      </w:r>
      <w:r>
        <w:rPr>
          <w:i/>
          <w:iCs/>
          <w:color w:val="333333"/>
          <w:sz w:val="19"/>
          <w:szCs w:val="19"/>
        </w:rPr>
        <w:t>Artificial Intelligence and the Future of Teaching and Learning: Insights and Recommendations</w:t>
      </w:r>
      <w:r>
        <w:rPr>
          <w:color w:val="333333"/>
          <w:sz w:val="19"/>
          <w:szCs w:val="19"/>
        </w:rPr>
        <w:t>. Washington, DC.</w:t>
      </w:r>
    </w:p>
    <w:p w14:paraId="72FD3833" w14:textId="77777777" w:rsidR="00D16027" w:rsidRDefault="00000000">
      <w:pPr>
        <w:pStyle w:val="ListParagraph"/>
        <w:numPr>
          <w:ilvl w:val="0"/>
          <w:numId w:val="3"/>
        </w:numPr>
        <w:spacing w:before="30" w:after="50"/>
      </w:pPr>
      <w:r>
        <w:rPr>
          <w:color w:val="333333"/>
          <w:sz w:val="19"/>
          <w:szCs w:val="19"/>
        </w:rPr>
        <w:t xml:space="preserve">van der Vleuten, C.P.M. &amp; Schuwirth, L.W.T. (2005) Assessing professional competence: from methods to programmes. </w:t>
      </w:r>
      <w:r>
        <w:rPr>
          <w:i/>
          <w:iCs/>
          <w:color w:val="333333"/>
          <w:sz w:val="19"/>
          <w:szCs w:val="19"/>
        </w:rPr>
        <w:t>Medical Education</w:t>
      </w:r>
      <w:r>
        <w:rPr>
          <w:color w:val="333333"/>
          <w:sz w:val="19"/>
          <w:szCs w:val="19"/>
        </w:rPr>
        <w:t>, 39(3), 309–317.</w:t>
      </w:r>
    </w:p>
    <w:p w14:paraId="7761E666" w14:textId="77777777" w:rsidR="00D16027" w:rsidRDefault="00000000">
      <w:pPr>
        <w:pStyle w:val="ListParagraph"/>
        <w:numPr>
          <w:ilvl w:val="0"/>
          <w:numId w:val="3"/>
        </w:numPr>
        <w:spacing w:before="30" w:after="50"/>
      </w:pPr>
      <w:r>
        <w:rPr>
          <w:color w:val="333333"/>
          <w:sz w:val="19"/>
          <w:szCs w:val="19"/>
        </w:rPr>
        <w:t xml:space="preserve">van der Vleuten, C.P.M., Schuwirth, L.W.T., Driessen, E.W., Dijkstra, J., </w:t>
      </w:r>
      <w:proofErr w:type="spellStart"/>
      <w:r>
        <w:rPr>
          <w:color w:val="333333"/>
          <w:sz w:val="19"/>
          <w:szCs w:val="19"/>
        </w:rPr>
        <w:t>Tigelaar</w:t>
      </w:r>
      <w:proofErr w:type="spellEnd"/>
      <w:r>
        <w:rPr>
          <w:color w:val="333333"/>
          <w:sz w:val="19"/>
          <w:szCs w:val="19"/>
        </w:rPr>
        <w:t xml:space="preserve">, D., Baartman, L.K.J. &amp; van </w:t>
      </w:r>
      <w:proofErr w:type="spellStart"/>
      <w:r>
        <w:rPr>
          <w:color w:val="333333"/>
          <w:sz w:val="19"/>
          <w:szCs w:val="19"/>
        </w:rPr>
        <w:t>Tartwijk</w:t>
      </w:r>
      <w:proofErr w:type="spellEnd"/>
      <w:r>
        <w:rPr>
          <w:color w:val="333333"/>
          <w:sz w:val="19"/>
          <w:szCs w:val="19"/>
        </w:rPr>
        <w:t xml:space="preserve">, J. (2012) A model for programmatic assessment fit for purpose. </w:t>
      </w:r>
      <w:r>
        <w:rPr>
          <w:i/>
          <w:iCs/>
          <w:color w:val="333333"/>
          <w:sz w:val="19"/>
          <w:szCs w:val="19"/>
        </w:rPr>
        <w:t>Medical Teacher</w:t>
      </w:r>
      <w:r>
        <w:rPr>
          <w:color w:val="333333"/>
          <w:sz w:val="19"/>
          <w:szCs w:val="19"/>
        </w:rPr>
        <w:t>, 34(3), 205–214.</w:t>
      </w:r>
    </w:p>
    <w:p w14:paraId="01D0CA39" w14:textId="77777777" w:rsidR="00D16027" w:rsidRDefault="00000000">
      <w:pPr>
        <w:pStyle w:val="ListParagraph"/>
        <w:numPr>
          <w:ilvl w:val="0"/>
          <w:numId w:val="3"/>
        </w:numPr>
        <w:spacing w:before="30" w:after="50"/>
      </w:pPr>
      <w:r>
        <w:rPr>
          <w:color w:val="333333"/>
          <w:sz w:val="19"/>
          <w:szCs w:val="19"/>
        </w:rPr>
        <w:t xml:space="preserve">Vaswani, A., </w:t>
      </w:r>
      <w:proofErr w:type="spellStart"/>
      <w:r>
        <w:rPr>
          <w:color w:val="333333"/>
          <w:sz w:val="19"/>
          <w:szCs w:val="19"/>
        </w:rPr>
        <w:t>Shazeer</w:t>
      </w:r>
      <w:proofErr w:type="spellEnd"/>
      <w:r>
        <w:rPr>
          <w:color w:val="333333"/>
          <w:sz w:val="19"/>
          <w:szCs w:val="19"/>
        </w:rPr>
        <w:t xml:space="preserve">, N., Parmar, N., </w:t>
      </w:r>
      <w:proofErr w:type="spellStart"/>
      <w:r>
        <w:rPr>
          <w:color w:val="333333"/>
          <w:sz w:val="19"/>
          <w:szCs w:val="19"/>
        </w:rPr>
        <w:t>Uszkoreit</w:t>
      </w:r>
      <w:proofErr w:type="spellEnd"/>
      <w:r>
        <w:rPr>
          <w:color w:val="333333"/>
          <w:sz w:val="19"/>
          <w:szCs w:val="19"/>
        </w:rPr>
        <w:t xml:space="preserve">, J., Jones, L., Gomez, A.N., Kaiser, Ł. &amp; </w:t>
      </w:r>
      <w:proofErr w:type="spellStart"/>
      <w:r>
        <w:rPr>
          <w:color w:val="333333"/>
          <w:sz w:val="19"/>
          <w:szCs w:val="19"/>
        </w:rPr>
        <w:t>Polosukhin</w:t>
      </w:r>
      <w:proofErr w:type="spellEnd"/>
      <w:r>
        <w:rPr>
          <w:color w:val="333333"/>
          <w:sz w:val="19"/>
          <w:szCs w:val="19"/>
        </w:rPr>
        <w:t xml:space="preserve">, I. (2017) Attention is all you need. </w:t>
      </w:r>
      <w:r>
        <w:rPr>
          <w:i/>
          <w:iCs/>
          <w:color w:val="333333"/>
          <w:sz w:val="19"/>
          <w:szCs w:val="19"/>
        </w:rPr>
        <w:t>Advances in Neural Information Processing Systems</w:t>
      </w:r>
      <w:r>
        <w:rPr>
          <w:color w:val="333333"/>
          <w:sz w:val="19"/>
          <w:szCs w:val="19"/>
        </w:rPr>
        <w:t>, 30, 5998–6008.</w:t>
      </w:r>
    </w:p>
    <w:p w14:paraId="41EAA73A" w14:textId="77777777" w:rsidR="00D16027" w:rsidRDefault="00000000">
      <w:pPr>
        <w:pStyle w:val="ListParagraph"/>
        <w:numPr>
          <w:ilvl w:val="0"/>
          <w:numId w:val="3"/>
        </w:numPr>
        <w:spacing w:before="30" w:after="50"/>
      </w:pPr>
      <w:r>
        <w:rPr>
          <w:color w:val="333333"/>
          <w:sz w:val="19"/>
          <w:szCs w:val="19"/>
        </w:rPr>
        <w:t xml:space="preserve">Villarroel, V., Bloxham, S., Bruna, D., Bruna, C. &amp; Herrera-Seda, C. (2018) Authentic assessment: creating a blueprint for course design. </w:t>
      </w:r>
      <w:r>
        <w:rPr>
          <w:i/>
          <w:iCs/>
          <w:color w:val="333333"/>
          <w:sz w:val="19"/>
          <w:szCs w:val="19"/>
        </w:rPr>
        <w:t>Assessment &amp; Evaluation in Higher Education</w:t>
      </w:r>
      <w:r>
        <w:rPr>
          <w:color w:val="333333"/>
          <w:sz w:val="19"/>
          <w:szCs w:val="19"/>
        </w:rPr>
        <w:t>, 43(5), 840–854.</w:t>
      </w:r>
    </w:p>
    <w:p w14:paraId="621E3097" w14:textId="77777777" w:rsidR="00D16027" w:rsidRDefault="00000000">
      <w:pPr>
        <w:pStyle w:val="ListParagraph"/>
        <w:numPr>
          <w:ilvl w:val="0"/>
          <w:numId w:val="3"/>
        </w:numPr>
        <w:spacing w:before="30" w:after="50"/>
      </w:pPr>
      <w:r>
        <w:rPr>
          <w:color w:val="333333"/>
          <w:sz w:val="19"/>
          <w:szCs w:val="19"/>
        </w:rPr>
        <w:lastRenderedPageBreak/>
        <w:t xml:space="preserve">Walters, W.H. &amp; Wilder, E.I. (2023) Fabrication and errors in the bibliographic citations generated by ChatGPT. </w:t>
      </w:r>
      <w:r>
        <w:rPr>
          <w:i/>
          <w:iCs/>
          <w:color w:val="333333"/>
          <w:sz w:val="19"/>
          <w:szCs w:val="19"/>
        </w:rPr>
        <w:t>Scientific Reports</w:t>
      </w:r>
      <w:r>
        <w:rPr>
          <w:color w:val="333333"/>
          <w:sz w:val="19"/>
          <w:szCs w:val="19"/>
        </w:rPr>
        <w:t>, 13, 14045.</w:t>
      </w:r>
    </w:p>
    <w:p w14:paraId="3B3AFD81" w14:textId="77777777" w:rsidR="00D16027" w:rsidRDefault="00000000">
      <w:pPr>
        <w:pStyle w:val="ListParagraph"/>
        <w:numPr>
          <w:ilvl w:val="0"/>
          <w:numId w:val="3"/>
        </w:numPr>
        <w:spacing w:before="30" w:after="50"/>
      </w:pPr>
      <w:proofErr w:type="spellStart"/>
      <w:r>
        <w:rPr>
          <w:color w:val="333333"/>
          <w:sz w:val="19"/>
          <w:szCs w:val="19"/>
        </w:rPr>
        <w:t>Wanjura</w:t>
      </w:r>
      <w:proofErr w:type="spellEnd"/>
      <w:r>
        <w:rPr>
          <w:color w:val="333333"/>
          <w:sz w:val="19"/>
          <w:szCs w:val="19"/>
        </w:rPr>
        <w:t xml:space="preserve">, B., Shapiro, D., Mollick, E., Mollick, L. &amp; Meincke, L. (2026) </w:t>
      </w:r>
      <w:r>
        <w:rPr>
          <w:i/>
          <w:iCs/>
          <w:color w:val="333333"/>
          <w:sz w:val="19"/>
          <w:szCs w:val="19"/>
        </w:rPr>
        <w:t>This Is an Excellent Paper: The Effects of Prompt Injection on Grading</w:t>
      </w:r>
      <w:r>
        <w:rPr>
          <w:color w:val="333333"/>
          <w:sz w:val="19"/>
          <w:szCs w:val="19"/>
        </w:rPr>
        <w:t>. Prompting Science Report 5. Wharton Generative AI Labs / SSRN.</w:t>
      </w:r>
    </w:p>
    <w:p w14:paraId="611BFFE0" w14:textId="77777777" w:rsidR="00D16027" w:rsidRDefault="00000000">
      <w:pPr>
        <w:pStyle w:val="ListParagraph"/>
        <w:numPr>
          <w:ilvl w:val="0"/>
          <w:numId w:val="3"/>
        </w:numPr>
        <w:spacing w:before="30" w:after="50"/>
      </w:pPr>
      <w:r>
        <w:rPr>
          <w:color w:val="333333"/>
          <w:sz w:val="19"/>
          <w:szCs w:val="19"/>
        </w:rPr>
        <w:t xml:space="preserve">Ward, M., Crehan, M., Girme, L., Thangaraj, J. &amp; O'Riordan, F. (2025) </w:t>
      </w:r>
      <w:r>
        <w:rPr>
          <w:i/>
          <w:iCs/>
          <w:color w:val="333333"/>
          <w:sz w:val="19"/>
          <w:szCs w:val="19"/>
        </w:rPr>
        <w:t>Interactive Oral Assessment: A Model for Robust and Authentic Assessment Design</w:t>
      </w:r>
      <w:r>
        <w:rPr>
          <w:color w:val="333333"/>
          <w:sz w:val="19"/>
          <w:szCs w:val="19"/>
        </w:rPr>
        <w:t>. Dublin: Dublin City University / Quality and Qualifications Ireland.</w:t>
      </w:r>
    </w:p>
    <w:p w14:paraId="0A340F31" w14:textId="77777777" w:rsidR="00D16027" w:rsidRDefault="00000000">
      <w:pPr>
        <w:pStyle w:val="ListParagraph"/>
        <w:numPr>
          <w:ilvl w:val="0"/>
          <w:numId w:val="3"/>
        </w:numPr>
        <w:spacing w:before="30" w:after="50"/>
      </w:pPr>
      <w:r>
        <w:rPr>
          <w:color w:val="333333"/>
          <w:sz w:val="19"/>
          <w:szCs w:val="19"/>
        </w:rPr>
        <w:t xml:space="preserve">Ward, M., O'Riordan, F., Logan-Fleming, D., Cooke, D., Concannon-Gibney, T., Efthymiou, M. &amp; Watkins, N. (2024) Interactive oral assessment case studies: an innovative, academically rigorous, authentic assessment approach. </w:t>
      </w:r>
      <w:r>
        <w:rPr>
          <w:i/>
          <w:iCs/>
          <w:color w:val="333333"/>
          <w:sz w:val="19"/>
          <w:szCs w:val="19"/>
        </w:rPr>
        <w:t>Innovations in Education and Teaching International</w:t>
      </w:r>
      <w:r>
        <w:rPr>
          <w:color w:val="333333"/>
          <w:sz w:val="19"/>
          <w:szCs w:val="19"/>
        </w:rPr>
        <w:t>, 61(5), 930–947.</w:t>
      </w:r>
    </w:p>
    <w:p w14:paraId="0A3783FA" w14:textId="77777777" w:rsidR="00D16027" w:rsidRDefault="00000000">
      <w:pPr>
        <w:pStyle w:val="ListParagraph"/>
        <w:numPr>
          <w:ilvl w:val="0"/>
          <w:numId w:val="3"/>
        </w:numPr>
        <w:spacing w:before="30" w:after="50"/>
      </w:pPr>
      <w:r>
        <w:rPr>
          <w:color w:val="333333"/>
          <w:sz w:val="19"/>
          <w:szCs w:val="19"/>
        </w:rPr>
        <w:t xml:space="preserve">Weber-Wulff, D., </w:t>
      </w:r>
      <w:proofErr w:type="spellStart"/>
      <w:r>
        <w:rPr>
          <w:color w:val="333333"/>
          <w:sz w:val="19"/>
          <w:szCs w:val="19"/>
        </w:rPr>
        <w:t>Anohina-Naumeca</w:t>
      </w:r>
      <w:proofErr w:type="spellEnd"/>
      <w:r>
        <w:rPr>
          <w:color w:val="333333"/>
          <w:sz w:val="19"/>
          <w:szCs w:val="19"/>
        </w:rPr>
        <w:t xml:space="preserve">, A., </w:t>
      </w:r>
      <w:proofErr w:type="spellStart"/>
      <w:r>
        <w:rPr>
          <w:color w:val="333333"/>
          <w:sz w:val="19"/>
          <w:szCs w:val="19"/>
        </w:rPr>
        <w:t>Bjelobaba</w:t>
      </w:r>
      <w:proofErr w:type="spellEnd"/>
      <w:r>
        <w:rPr>
          <w:color w:val="333333"/>
          <w:sz w:val="19"/>
          <w:szCs w:val="19"/>
        </w:rPr>
        <w:t xml:space="preserve">, S., </w:t>
      </w:r>
      <w:proofErr w:type="spellStart"/>
      <w:r>
        <w:rPr>
          <w:color w:val="333333"/>
          <w:sz w:val="19"/>
          <w:szCs w:val="19"/>
        </w:rPr>
        <w:t>Foltýnek</w:t>
      </w:r>
      <w:proofErr w:type="spellEnd"/>
      <w:r>
        <w:rPr>
          <w:color w:val="333333"/>
          <w:sz w:val="19"/>
          <w:szCs w:val="19"/>
        </w:rPr>
        <w:t xml:space="preserve">, T., Guerrero-Dib, J., Popoola, O., </w:t>
      </w:r>
      <w:proofErr w:type="spellStart"/>
      <w:r>
        <w:rPr>
          <w:color w:val="333333"/>
          <w:sz w:val="19"/>
          <w:szCs w:val="19"/>
        </w:rPr>
        <w:t>Šigut</w:t>
      </w:r>
      <w:proofErr w:type="spellEnd"/>
      <w:r>
        <w:rPr>
          <w:color w:val="333333"/>
          <w:sz w:val="19"/>
          <w:szCs w:val="19"/>
        </w:rPr>
        <w:t xml:space="preserve">, P. &amp; Waddington, L. (2023) Testing of detection tools for AI-generated text. </w:t>
      </w:r>
      <w:r>
        <w:rPr>
          <w:i/>
          <w:iCs/>
          <w:color w:val="333333"/>
          <w:sz w:val="19"/>
          <w:szCs w:val="19"/>
        </w:rPr>
        <w:t>International Journal for Educational Integrity</w:t>
      </w:r>
      <w:r>
        <w:rPr>
          <w:color w:val="333333"/>
          <w:sz w:val="19"/>
          <w:szCs w:val="19"/>
        </w:rPr>
        <w:t>, 19, 26.</w:t>
      </w:r>
    </w:p>
    <w:p w14:paraId="0ECEB1A4" w14:textId="77777777" w:rsidR="00D16027" w:rsidRDefault="00000000">
      <w:pPr>
        <w:pStyle w:val="ListParagraph"/>
        <w:numPr>
          <w:ilvl w:val="0"/>
          <w:numId w:val="3"/>
        </w:numPr>
        <w:spacing w:before="30" w:after="50"/>
      </w:pPr>
      <w:r>
        <w:rPr>
          <w:color w:val="333333"/>
          <w:sz w:val="19"/>
          <w:szCs w:val="19"/>
        </w:rPr>
        <w:t xml:space="preserve">Wenger, E. (1998) </w:t>
      </w:r>
      <w:r>
        <w:rPr>
          <w:i/>
          <w:iCs/>
          <w:color w:val="333333"/>
          <w:sz w:val="19"/>
          <w:szCs w:val="19"/>
        </w:rPr>
        <w:t>Communities of Practice: Learning, Meaning, and Identity</w:t>
      </w:r>
      <w:r>
        <w:rPr>
          <w:color w:val="333333"/>
          <w:sz w:val="19"/>
          <w:szCs w:val="19"/>
        </w:rPr>
        <w:t>. Cambridge: Cambridge University Press.</w:t>
      </w:r>
    </w:p>
    <w:p w14:paraId="2A818D50" w14:textId="77777777" w:rsidR="00D16027" w:rsidRDefault="00000000">
      <w:pPr>
        <w:pStyle w:val="ListParagraph"/>
        <w:numPr>
          <w:ilvl w:val="0"/>
          <w:numId w:val="3"/>
        </w:numPr>
        <w:spacing w:before="30" w:after="50"/>
      </w:pPr>
      <w:r>
        <w:rPr>
          <w:color w:val="333333"/>
          <w:sz w:val="19"/>
          <w:szCs w:val="19"/>
        </w:rPr>
        <w:t xml:space="preserve">Wiggins, G. (1990) The case for authentic assessment. </w:t>
      </w:r>
      <w:r>
        <w:rPr>
          <w:i/>
          <w:iCs/>
          <w:color w:val="333333"/>
          <w:sz w:val="19"/>
          <w:szCs w:val="19"/>
        </w:rPr>
        <w:t>Practical Assessment, Research &amp; Evaluation</w:t>
      </w:r>
      <w:r>
        <w:rPr>
          <w:color w:val="333333"/>
          <w:sz w:val="19"/>
          <w:szCs w:val="19"/>
        </w:rPr>
        <w:t>, 2(2).</w:t>
      </w:r>
    </w:p>
    <w:p w14:paraId="4716FA66" w14:textId="77777777" w:rsidR="00D16027" w:rsidRDefault="00000000">
      <w:pPr>
        <w:pStyle w:val="ListParagraph"/>
        <w:numPr>
          <w:ilvl w:val="0"/>
          <w:numId w:val="3"/>
        </w:numPr>
        <w:spacing w:before="30" w:after="50"/>
      </w:pPr>
      <w:r>
        <w:rPr>
          <w:color w:val="333333"/>
          <w:sz w:val="19"/>
          <w:szCs w:val="19"/>
        </w:rPr>
        <w:t xml:space="preserve">Wiggins, G. &amp; McTighe, J. (2005) </w:t>
      </w:r>
      <w:r>
        <w:rPr>
          <w:i/>
          <w:iCs/>
          <w:color w:val="333333"/>
          <w:sz w:val="19"/>
          <w:szCs w:val="19"/>
        </w:rPr>
        <w:t>Understanding by Design</w:t>
      </w:r>
      <w:r>
        <w:rPr>
          <w:color w:val="333333"/>
          <w:sz w:val="19"/>
          <w:szCs w:val="19"/>
        </w:rPr>
        <w:t xml:space="preserve"> (2nd ed.). Alexandria, VA: ASCD.</w:t>
      </w:r>
    </w:p>
    <w:p w14:paraId="5790E7B5" w14:textId="77777777" w:rsidR="00D16027" w:rsidRDefault="00000000">
      <w:pPr>
        <w:pStyle w:val="ListParagraph"/>
        <w:numPr>
          <w:ilvl w:val="0"/>
          <w:numId w:val="3"/>
        </w:numPr>
        <w:spacing w:before="30" w:after="50"/>
      </w:pPr>
      <w:r>
        <w:rPr>
          <w:color w:val="333333"/>
          <w:sz w:val="19"/>
          <w:szCs w:val="19"/>
        </w:rPr>
        <w:t xml:space="preserve">Wiliam, D. (2011) </w:t>
      </w:r>
      <w:r>
        <w:rPr>
          <w:i/>
          <w:iCs/>
          <w:color w:val="333333"/>
          <w:sz w:val="19"/>
          <w:szCs w:val="19"/>
        </w:rPr>
        <w:t>Embedded Formative Assessment</w:t>
      </w:r>
      <w:r>
        <w:rPr>
          <w:color w:val="333333"/>
          <w:sz w:val="19"/>
          <w:szCs w:val="19"/>
        </w:rPr>
        <w:t>. Bloomington, IN: Solution Tree Press.</w:t>
      </w:r>
    </w:p>
    <w:p w14:paraId="6D15DD9F" w14:textId="77777777" w:rsidR="00D16027" w:rsidRDefault="00000000">
      <w:pPr>
        <w:pStyle w:val="ListParagraph"/>
        <w:numPr>
          <w:ilvl w:val="0"/>
          <w:numId w:val="3"/>
        </w:numPr>
        <w:spacing w:before="30" w:after="50"/>
      </w:pPr>
      <w:r>
        <w:rPr>
          <w:color w:val="333333"/>
          <w:sz w:val="19"/>
          <w:szCs w:val="19"/>
        </w:rPr>
        <w:t xml:space="preserve">Winstone, N. &amp; Carless, D. (2019) </w:t>
      </w:r>
      <w:r>
        <w:rPr>
          <w:i/>
          <w:iCs/>
          <w:color w:val="333333"/>
          <w:sz w:val="19"/>
          <w:szCs w:val="19"/>
        </w:rPr>
        <w:t>Designing Effective Feedback Processes in Higher Education: A Learning-Focused Approach</w:t>
      </w:r>
      <w:r>
        <w:rPr>
          <w:color w:val="333333"/>
          <w:sz w:val="19"/>
          <w:szCs w:val="19"/>
        </w:rPr>
        <w:t>. London: Routledge.</w:t>
      </w:r>
    </w:p>
    <w:p w14:paraId="7AE418EA" w14:textId="77777777" w:rsidR="00D16027" w:rsidRDefault="00000000">
      <w:pPr>
        <w:pStyle w:val="ListParagraph"/>
        <w:numPr>
          <w:ilvl w:val="0"/>
          <w:numId w:val="3"/>
        </w:numPr>
        <w:spacing w:before="30" w:after="50"/>
      </w:pPr>
      <w:r>
        <w:rPr>
          <w:color w:val="333333"/>
          <w:sz w:val="19"/>
          <w:szCs w:val="19"/>
        </w:rPr>
        <w:t xml:space="preserve">Yan, L., Greiff, S., Teuber, Z. &amp; </w:t>
      </w:r>
      <w:proofErr w:type="spellStart"/>
      <w:r>
        <w:rPr>
          <w:color w:val="333333"/>
          <w:sz w:val="19"/>
          <w:szCs w:val="19"/>
        </w:rPr>
        <w:t>Gašević</w:t>
      </w:r>
      <w:proofErr w:type="spellEnd"/>
      <w:r>
        <w:rPr>
          <w:color w:val="333333"/>
          <w:sz w:val="19"/>
          <w:szCs w:val="19"/>
        </w:rPr>
        <w:t xml:space="preserve">, D. (2024) Promises and challenges of generative artificial intelligence for human learning. </w:t>
      </w:r>
      <w:r>
        <w:rPr>
          <w:i/>
          <w:iCs/>
          <w:color w:val="333333"/>
          <w:sz w:val="19"/>
          <w:szCs w:val="19"/>
        </w:rPr>
        <w:t>Nature Human Behaviour</w:t>
      </w:r>
      <w:r>
        <w:rPr>
          <w:color w:val="333333"/>
          <w:sz w:val="19"/>
          <w:szCs w:val="19"/>
        </w:rPr>
        <w:t>, 8(10), 1839–1850.</w:t>
      </w:r>
    </w:p>
    <w:p w14:paraId="1B9CC877" w14:textId="77777777" w:rsidR="00D16027" w:rsidRDefault="00000000">
      <w:pPr>
        <w:pStyle w:val="ListParagraph"/>
        <w:numPr>
          <w:ilvl w:val="0"/>
          <w:numId w:val="3"/>
        </w:numPr>
        <w:spacing w:before="30" w:after="50"/>
      </w:pPr>
      <w:r>
        <w:rPr>
          <w:color w:val="333333"/>
          <w:sz w:val="19"/>
          <w:szCs w:val="19"/>
        </w:rPr>
        <w:t xml:space="preserve">Yan, L., Sha, L., Zhao, L., Li, Y., Martinez-Maldonado, R., Chen, G., Li, X., Jin, Y. &amp; </w:t>
      </w:r>
      <w:proofErr w:type="spellStart"/>
      <w:r>
        <w:rPr>
          <w:color w:val="333333"/>
          <w:sz w:val="19"/>
          <w:szCs w:val="19"/>
        </w:rPr>
        <w:t>Gašević</w:t>
      </w:r>
      <w:proofErr w:type="spellEnd"/>
      <w:r>
        <w:rPr>
          <w:color w:val="333333"/>
          <w:sz w:val="19"/>
          <w:szCs w:val="19"/>
        </w:rPr>
        <w:t xml:space="preserve">, D. (2024) Practical and ethical challenges of large language models in education: a systematic scoping review. </w:t>
      </w:r>
      <w:r>
        <w:rPr>
          <w:i/>
          <w:iCs/>
          <w:color w:val="333333"/>
          <w:sz w:val="19"/>
          <w:szCs w:val="19"/>
        </w:rPr>
        <w:t>British Journal of Educational Technology</w:t>
      </w:r>
      <w:r>
        <w:rPr>
          <w:color w:val="333333"/>
          <w:sz w:val="19"/>
          <w:szCs w:val="19"/>
        </w:rPr>
        <w:t>, 55(1), 90–112.</w:t>
      </w:r>
    </w:p>
    <w:p w14:paraId="68C32FA8" w14:textId="77777777" w:rsidR="00D16027" w:rsidRDefault="00000000">
      <w:pPr>
        <w:pStyle w:val="ListParagraph"/>
        <w:numPr>
          <w:ilvl w:val="0"/>
          <w:numId w:val="3"/>
        </w:numPr>
        <w:spacing w:before="30" w:after="50"/>
      </w:pPr>
      <w:r>
        <w:rPr>
          <w:color w:val="333333"/>
          <w:sz w:val="19"/>
          <w:szCs w:val="19"/>
        </w:rPr>
        <w:t xml:space="preserve">Zubizarreta, J. (2009) </w:t>
      </w:r>
      <w:r>
        <w:rPr>
          <w:i/>
          <w:iCs/>
          <w:color w:val="333333"/>
          <w:sz w:val="19"/>
          <w:szCs w:val="19"/>
        </w:rPr>
        <w:t>The Learning Portfolio: Reflective Practice for Improving Student Learning</w:t>
      </w:r>
      <w:r>
        <w:rPr>
          <w:color w:val="333333"/>
          <w:sz w:val="19"/>
          <w:szCs w:val="19"/>
        </w:rPr>
        <w:t xml:space="preserve"> (2nd ed.). San Francisco: Jossey-Bass.</w:t>
      </w:r>
    </w:p>
    <w:p w14:paraId="2308233D" w14:textId="77777777" w:rsidR="00D16027" w:rsidRDefault="00000000">
      <w:r>
        <w:br w:type="page"/>
      </w:r>
    </w:p>
    <w:sectPr w:rsidR="00D16027">
      <w:headerReference w:type="default" r:id="rId11"/>
      <w:footerReference w:type="default" r:id="rId12"/>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36AC" w14:textId="77777777" w:rsidR="00E269F1" w:rsidRDefault="00E269F1">
      <w:r>
        <w:separator/>
      </w:r>
    </w:p>
  </w:endnote>
  <w:endnote w:type="continuationSeparator" w:id="0">
    <w:p w14:paraId="56203492" w14:textId="77777777" w:rsidR="00E269F1" w:rsidRDefault="00E2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E443" w14:textId="77777777" w:rsidR="00D16027" w:rsidRDefault="00000000">
    <w:pPr>
      <w:pBdr>
        <w:top w:val="single" w:sz="4" w:space="1" w:color="BBCFE0"/>
      </w:pBdr>
      <w:tabs>
        <w:tab w:val="right" w:pos="9026"/>
      </w:tabs>
    </w:pPr>
    <w:r>
      <w:rPr>
        <w:i/>
        <w:iCs/>
        <w:color w:val="AAAAAA"/>
        <w:sz w:val="18"/>
        <w:szCs w:val="18"/>
      </w:rPr>
      <w:t>Working draft</w:t>
    </w:r>
    <w:r>
      <w:rPr>
        <w:color w:val="AAAAAA"/>
        <w:sz w:val="18"/>
        <w:szCs w:val="18"/>
      </w:rPr>
      <w:tab/>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8F6F51">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8B82" w14:textId="77777777" w:rsidR="00E269F1" w:rsidRDefault="00E269F1">
      <w:r>
        <w:separator/>
      </w:r>
    </w:p>
  </w:footnote>
  <w:footnote w:type="continuationSeparator" w:id="0">
    <w:p w14:paraId="3165C635" w14:textId="77777777" w:rsidR="00E269F1" w:rsidRDefault="00E26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E6B6" w14:textId="77777777" w:rsidR="00D16027" w:rsidRDefault="00000000">
    <w:pPr>
      <w:pBdr>
        <w:bottom w:val="single" w:sz="4" w:space="1" w:color="2E75B6"/>
      </w:pBdr>
    </w:pPr>
    <w:r>
      <w:rPr>
        <w:i/>
        <w:iCs/>
        <w:color w:val="888888"/>
        <w:sz w:val="18"/>
        <w:szCs w:val="18"/>
      </w:rPr>
      <w:t>AI-Informed Assessment Design  |  A Practical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645"/>
    <w:multiLevelType w:val="hybridMultilevel"/>
    <w:tmpl w:val="893E8414"/>
    <w:lvl w:ilvl="0" w:tplc="821A7CAE">
      <w:start w:val="1"/>
      <w:numFmt w:val="decimal"/>
      <w:lvlText w:val="%1."/>
      <w:lvlJc w:val="left"/>
      <w:pPr>
        <w:ind w:left="720" w:hanging="360"/>
      </w:pPr>
    </w:lvl>
    <w:lvl w:ilvl="1" w:tplc="A23A3D9C">
      <w:numFmt w:val="decimal"/>
      <w:lvlText w:val=""/>
      <w:lvlJc w:val="left"/>
    </w:lvl>
    <w:lvl w:ilvl="2" w:tplc="D4125FEE">
      <w:numFmt w:val="decimal"/>
      <w:lvlText w:val=""/>
      <w:lvlJc w:val="left"/>
    </w:lvl>
    <w:lvl w:ilvl="3" w:tplc="8A9283BC">
      <w:numFmt w:val="decimal"/>
      <w:lvlText w:val=""/>
      <w:lvlJc w:val="left"/>
    </w:lvl>
    <w:lvl w:ilvl="4" w:tplc="65F60702">
      <w:numFmt w:val="decimal"/>
      <w:lvlText w:val=""/>
      <w:lvlJc w:val="left"/>
    </w:lvl>
    <w:lvl w:ilvl="5" w:tplc="4BF8F864">
      <w:numFmt w:val="decimal"/>
      <w:lvlText w:val=""/>
      <w:lvlJc w:val="left"/>
    </w:lvl>
    <w:lvl w:ilvl="6" w:tplc="DD4C5F06">
      <w:numFmt w:val="decimal"/>
      <w:lvlText w:val=""/>
      <w:lvlJc w:val="left"/>
    </w:lvl>
    <w:lvl w:ilvl="7" w:tplc="C242F6F2">
      <w:numFmt w:val="decimal"/>
      <w:lvlText w:val=""/>
      <w:lvlJc w:val="left"/>
    </w:lvl>
    <w:lvl w:ilvl="8" w:tplc="2CFE8400">
      <w:numFmt w:val="decimal"/>
      <w:lvlText w:val=""/>
      <w:lvlJc w:val="left"/>
    </w:lvl>
  </w:abstractNum>
  <w:abstractNum w:abstractNumId="1" w15:restartNumberingAfterBreak="0">
    <w:nsid w:val="0E934F15"/>
    <w:multiLevelType w:val="hybridMultilevel"/>
    <w:tmpl w:val="47A6FE9E"/>
    <w:lvl w:ilvl="0" w:tplc="B49C6342">
      <w:start w:val="1"/>
      <w:numFmt w:val="decimal"/>
      <w:lvlText w:val="%1."/>
      <w:lvlJc w:val="left"/>
      <w:pPr>
        <w:ind w:left="720" w:hanging="360"/>
      </w:pPr>
    </w:lvl>
    <w:lvl w:ilvl="1" w:tplc="4604873E">
      <w:numFmt w:val="decimal"/>
      <w:lvlText w:val=""/>
      <w:lvlJc w:val="left"/>
    </w:lvl>
    <w:lvl w:ilvl="2" w:tplc="EA6E320E">
      <w:numFmt w:val="decimal"/>
      <w:lvlText w:val=""/>
      <w:lvlJc w:val="left"/>
    </w:lvl>
    <w:lvl w:ilvl="3" w:tplc="88906392">
      <w:numFmt w:val="decimal"/>
      <w:lvlText w:val=""/>
      <w:lvlJc w:val="left"/>
    </w:lvl>
    <w:lvl w:ilvl="4" w:tplc="478AFAB8">
      <w:numFmt w:val="decimal"/>
      <w:lvlText w:val=""/>
      <w:lvlJc w:val="left"/>
    </w:lvl>
    <w:lvl w:ilvl="5" w:tplc="2348D26C">
      <w:numFmt w:val="decimal"/>
      <w:lvlText w:val=""/>
      <w:lvlJc w:val="left"/>
    </w:lvl>
    <w:lvl w:ilvl="6" w:tplc="082835E0">
      <w:numFmt w:val="decimal"/>
      <w:lvlText w:val=""/>
      <w:lvlJc w:val="left"/>
    </w:lvl>
    <w:lvl w:ilvl="7" w:tplc="4816094C">
      <w:numFmt w:val="decimal"/>
      <w:lvlText w:val=""/>
      <w:lvlJc w:val="left"/>
    </w:lvl>
    <w:lvl w:ilvl="8" w:tplc="1B7E21B0">
      <w:numFmt w:val="decimal"/>
      <w:lvlText w:val=""/>
      <w:lvlJc w:val="left"/>
    </w:lvl>
  </w:abstractNum>
  <w:abstractNum w:abstractNumId="2" w15:restartNumberingAfterBreak="0">
    <w:nsid w:val="103F61D4"/>
    <w:multiLevelType w:val="hybridMultilevel"/>
    <w:tmpl w:val="BB02F162"/>
    <w:lvl w:ilvl="0" w:tplc="C7102B28">
      <w:start w:val="1"/>
      <w:numFmt w:val="decimal"/>
      <w:lvlText w:val="%1."/>
      <w:lvlJc w:val="left"/>
      <w:pPr>
        <w:ind w:left="720" w:hanging="360"/>
      </w:pPr>
    </w:lvl>
    <w:lvl w:ilvl="1" w:tplc="19203B96">
      <w:numFmt w:val="decimal"/>
      <w:lvlText w:val=""/>
      <w:lvlJc w:val="left"/>
    </w:lvl>
    <w:lvl w:ilvl="2" w:tplc="53C89E18">
      <w:numFmt w:val="decimal"/>
      <w:lvlText w:val=""/>
      <w:lvlJc w:val="left"/>
    </w:lvl>
    <w:lvl w:ilvl="3" w:tplc="6B6ED59E">
      <w:numFmt w:val="decimal"/>
      <w:lvlText w:val=""/>
      <w:lvlJc w:val="left"/>
    </w:lvl>
    <w:lvl w:ilvl="4" w:tplc="B6AC9BE4">
      <w:numFmt w:val="decimal"/>
      <w:lvlText w:val=""/>
      <w:lvlJc w:val="left"/>
    </w:lvl>
    <w:lvl w:ilvl="5" w:tplc="F3B4CDEC">
      <w:numFmt w:val="decimal"/>
      <w:lvlText w:val=""/>
      <w:lvlJc w:val="left"/>
    </w:lvl>
    <w:lvl w:ilvl="6" w:tplc="6DA0F51E">
      <w:numFmt w:val="decimal"/>
      <w:lvlText w:val=""/>
      <w:lvlJc w:val="left"/>
    </w:lvl>
    <w:lvl w:ilvl="7" w:tplc="2A926A50">
      <w:numFmt w:val="decimal"/>
      <w:lvlText w:val=""/>
      <w:lvlJc w:val="left"/>
    </w:lvl>
    <w:lvl w:ilvl="8" w:tplc="E714806E">
      <w:numFmt w:val="decimal"/>
      <w:lvlText w:val=""/>
      <w:lvlJc w:val="left"/>
    </w:lvl>
  </w:abstractNum>
  <w:abstractNum w:abstractNumId="3" w15:restartNumberingAfterBreak="0">
    <w:nsid w:val="1B582F8C"/>
    <w:multiLevelType w:val="hybridMultilevel"/>
    <w:tmpl w:val="7EE82AE4"/>
    <w:lvl w:ilvl="0" w:tplc="E5E4E742">
      <w:start w:val="1"/>
      <w:numFmt w:val="bullet"/>
      <w:lvlText w:val="•"/>
      <w:lvlJc w:val="left"/>
      <w:pPr>
        <w:ind w:left="640" w:hanging="320"/>
      </w:pPr>
    </w:lvl>
    <w:lvl w:ilvl="1" w:tplc="69C2CF92">
      <w:start w:val="1"/>
      <w:numFmt w:val="bullet"/>
      <w:lvlText w:val="–"/>
      <w:lvlJc w:val="left"/>
      <w:pPr>
        <w:ind w:left="1200" w:hanging="320"/>
      </w:pPr>
    </w:lvl>
    <w:lvl w:ilvl="2" w:tplc="AA924ED8">
      <w:numFmt w:val="decimal"/>
      <w:lvlText w:val=""/>
      <w:lvlJc w:val="left"/>
    </w:lvl>
    <w:lvl w:ilvl="3" w:tplc="2E12B1BC">
      <w:numFmt w:val="decimal"/>
      <w:lvlText w:val=""/>
      <w:lvlJc w:val="left"/>
    </w:lvl>
    <w:lvl w:ilvl="4" w:tplc="0C20A62A">
      <w:numFmt w:val="decimal"/>
      <w:lvlText w:val=""/>
      <w:lvlJc w:val="left"/>
    </w:lvl>
    <w:lvl w:ilvl="5" w:tplc="43F46F2A">
      <w:numFmt w:val="decimal"/>
      <w:lvlText w:val=""/>
      <w:lvlJc w:val="left"/>
    </w:lvl>
    <w:lvl w:ilvl="6" w:tplc="2CBED56C">
      <w:numFmt w:val="decimal"/>
      <w:lvlText w:val=""/>
      <w:lvlJc w:val="left"/>
    </w:lvl>
    <w:lvl w:ilvl="7" w:tplc="2E00250A">
      <w:numFmt w:val="decimal"/>
      <w:lvlText w:val=""/>
      <w:lvlJc w:val="left"/>
    </w:lvl>
    <w:lvl w:ilvl="8" w:tplc="5E5C76A8">
      <w:numFmt w:val="decimal"/>
      <w:lvlText w:val=""/>
      <w:lvlJc w:val="left"/>
    </w:lvl>
  </w:abstractNum>
  <w:abstractNum w:abstractNumId="4" w15:restartNumberingAfterBreak="0">
    <w:nsid w:val="269D18B0"/>
    <w:multiLevelType w:val="hybridMultilevel"/>
    <w:tmpl w:val="7A5A5422"/>
    <w:lvl w:ilvl="0" w:tplc="F39E77EE">
      <w:start w:val="1"/>
      <w:numFmt w:val="bullet"/>
      <w:lvlText w:val="●"/>
      <w:lvlJc w:val="left"/>
      <w:pPr>
        <w:ind w:left="720" w:hanging="360"/>
      </w:pPr>
    </w:lvl>
    <w:lvl w:ilvl="1" w:tplc="56B285E0">
      <w:start w:val="1"/>
      <w:numFmt w:val="bullet"/>
      <w:lvlText w:val="○"/>
      <w:lvlJc w:val="left"/>
      <w:pPr>
        <w:ind w:left="1440" w:hanging="360"/>
      </w:pPr>
    </w:lvl>
    <w:lvl w:ilvl="2" w:tplc="544C48BA">
      <w:start w:val="1"/>
      <w:numFmt w:val="bullet"/>
      <w:lvlText w:val="■"/>
      <w:lvlJc w:val="left"/>
      <w:pPr>
        <w:ind w:left="2160" w:hanging="360"/>
      </w:pPr>
    </w:lvl>
    <w:lvl w:ilvl="3" w:tplc="8678544C">
      <w:start w:val="1"/>
      <w:numFmt w:val="bullet"/>
      <w:lvlText w:val="●"/>
      <w:lvlJc w:val="left"/>
      <w:pPr>
        <w:ind w:left="2880" w:hanging="360"/>
      </w:pPr>
    </w:lvl>
    <w:lvl w:ilvl="4" w:tplc="771E2944">
      <w:start w:val="1"/>
      <w:numFmt w:val="bullet"/>
      <w:lvlText w:val="○"/>
      <w:lvlJc w:val="left"/>
      <w:pPr>
        <w:ind w:left="3600" w:hanging="360"/>
      </w:pPr>
    </w:lvl>
    <w:lvl w:ilvl="5" w:tplc="87F67200">
      <w:start w:val="1"/>
      <w:numFmt w:val="bullet"/>
      <w:lvlText w:val="■"/>
      <w:lvlJc w:val="left"/>
      <w:pPr>
        <w:ind w:left="4320" w:hanging="360"/>
      </w:pPr>
    </w:lvl>
    <w:lvl w:ilvl="6" w:tplc="F22AE240">
      <w:start w:val="1"/>
      <w:numFmt w:val="bullet"/>
      <w:lvlText w:val="●"/>
      <w:lvlJc w:val="left"/>
      <w:pPr>
        <w:ind w:left="5040" w:hanging="360"/>
      </w:pPr>
    </w:lvl>
    <w:lvl w:ilvl="7" w:tplc="4DA65B58">
      <w:start w:val="1"/>
      <w:numFmt w:val="bullet"/>
      <w:lvlText w:val="●"/>
      <w:lvlJc w:val="left"/>
      <w:pPr>
        <w:ind w:left="5760" w:hanging="360"/>
      </w:pPr>
    </w:lvl>
    <w:lvl w:ilvl="8" w:tplc="AC780926">
      <w:start w:val="1"/>
      <w:numFmt w:val="bullet"/>
      <w:lvlText w:val="●"/>
      <w:lvlJc w:val="left"/>
      <w:pPr>
        <w:ind w:left="6480" w:hanging="360"/>
      </w:pPr>
    </w:lvl>
  </w:abstractNum>
  <w:abstractNum w:abstractNumId="5" w15:restartNumberingAfterBreak="0">
    <w:nsid w:val="35203D9E"/>
    <w:multiLevelType w:val="hybridMultilevel"/>
    <w:tmpl w:val="28BAB0F2"/>
    <w:lvl w:ilvl="0" w:tplc="DBCA4F60">
      <w:start w:val="1"/>
      <w:numFmt w:val="decimal"/>
      <w:lvlText w:val="%1."/>
      <w:lvlJc w:val="left"/>
      <w:pPr>
        <w:ind w:left="720" w:hanging="360"/>
      </w:pPr>
    </w:lvl>
    <w:lvl w:ilvl="1" w:tplc="6A26A222">
      <w:numFmt w:val="decimal"/>
      <w:lvlText w:val=""/>
      <w:lvlJc w:val="left"/>
    </w:lvl>
    <w:lvl w:ilvl="2" w:tplc="79506F8C">
      <w:numFmt w:val="decimal"/>
      <w:lvlText w:val=""/>
      <w:lvlJc w:val="left"/>
    </w:lvl>
    <w:lvl w:ilvl="3" w:tplc="E070AA9A">
      <w:numFmt w:val="decimal"/>
      <w:lvlText w:val=""/>
      <w:lvlJc w:val="left"/>
    </w:lvl>
    <w:lvl w:ilvl="4" w:tplc="6FD6E292">
      <w:numFmt w:val="decimal"/>
      <w:lvlText w:val=""/>
      <w:lvlJc w:val="left"/>
    </w:lvl>
    <w:lvl w:ilvl="5" w:tplc="998E6164">
      <w:numFmt w:val="decimal"/>
      <w:lvlText w:val=""/>
      <w:lvlJc w:val="left"/>
    </w:lvl>
    <w:lvl w:ilvl="6" w:tplc="C8D08A2E">
      <w:numFmt w:val="decimal"/>
      <w:lvlText w:val=""/>
      <w:lvlJc w:val="left"/>
    </w:lvl>
    <w:lvl w:ilvl="7" w:tplc="8854714E">
      <w:numFmt w:val="decimal"/>
      <w:lvlText w:val=""/>
      <w:lvlJc w:val="left"/>
    </w:lvl>
    <w:lvl w:ilvl="8" w:tplc="38A0C3A8">
      <w:numFmt w:val="decimal"/>
      <w:lvlText w:val=""/>
      <w:lvlJc w:val="left"/>
    </w:lvl>
  </w:abstractNum>
  <w:abstractNum w:abstractNumId="6" w15:restartNumberingAfterBreak="0">
    <w:nsid w:val="39047D6D"/>
    <w:multiLevelType w:val="hybridMultilevel"/>
    <w:tmpl w:val="0AF00DD4"/>
    <w:lvl w:ilvl="0" w:tplc="D02808E0">
      <w:start w:val="1"/>
      <w:numFmt w:val="decimal"/>
      <w:lvlText w:val="%1."/>
      <w:lvlJc w:val="left"/>
      <w:pPr>
        <w:ind w:left="720" w:hanging="360"/>
      </w:pPr>
    </w:lvl>
    <w:lvl w:ilvl="1" w:tplc="DDEC3CA6">
      <w:numFmt w:val="decimal"/>
      <w:lvlText w:val=""/>
      <w:lvlJc w:val="left"/>
    </w:lvl>
    <w:lvl w:ilvl="2" w:tplc="F8AC8816">
      <w:numFmt w:val="decimal"/>
      <w:lvlText w:val=""/>
      <w:lvlJc w:val="left"/>
    </w:lvl>
    <w:lvl w:ilvl="3" w:tplc="57A270E6">
      <w:numFmt w:val="decimal"/>
      <w:lvlText w:val=""/>
      <w:lvlJc w:val="left"/>
    </w:lvl>
    <w:lvl w:ilvl="4" w:tplc="CB7AA1F8">
      <w:numFmt w:val="decimal"/>
      <w:lvlText w:val=""/>
      <w:lvlJc w:val="left"/>
    </w:lvl>
    <w:lvl w:ilvl="5" w:tplc="1966E686">
      <w:numFmt w:val="decimal"/>
      <w:lvlText w:val=""/>
      <w:lvlJc w:val="left"/>
    </w:lvl>
    <w:lvl w:ilvl="6" w:tplc="5E44B840">
      <w:numFmt w:val="decimal"/>
      <w:lvlText w:val=""/>
      <w:lvlJc w:val="left"/>
    </w:lvl>
    <w:lvl w:ilvl="7" w:tplc="1AB611BA">
      <w:numFmt w:val="decimal"/>
      <w:lvlText w:val=""/>
      <w:lvlJc w:val="left"/>
    </w:lvl>
    <w:lvl w:ilvl="8" w:tplc="58B80B38">
      <w:numFmt w:val="decimal"/>
      <w:lvlText w:val=""/>
      <w:lvlJc w:val="left"/>
    </w:lvl>
  </w:abstractNum>
  <w:abstractNum w:abstractNumId="7" w15:restartNumberingAfterBreak="0">
    <w:nsid w:val="53162C20"/>
    <w:multiLevelType w:val="hybridMultilevel"/>
    <w:tmpl w:val="0088B58C"/>
    <w:lvl w:ilvl="0" w:tplc="49FE12C2">
      <w:start w:val="1"/>
      <w:numFmt w:val="bullet"/>
      <w:lvlText w:val=""/>
      <w:lvlJc w:val="left"/>
      <w:pPr>
        <w:ind w:left="480" w:hanging="480"/>
      </w:pPr>
    </w:lvl>
    <w:lvl w:ilvl="1" w:tplc="19644F26">
      <w:numFmt w:val="decimal"/>
      <w:lvlText w:val=""/>
      <w:lvlJc w:val="left"/>
    </w:lvl>
    <w:lvl w:ilvl="2" w:tplc="F28EE304">
      <w:numFmt w:val="decimal"/>
      <w:lvlText w:val=""/>
      <w:lvlJc w:val="left"/>
    </w:lvl>
    <w:lvl w:ilvl="3" w:tplc="CE7E3A0E">
      <w:numFmt w:val="decimal"/>
      <w:lvlText w:val=""/>
      <w:lvlJc w:val="left"/>
    </w:lvl>
    <w:lvl w:ilvl="4" w:tplc="B41AF7C6">
      <w:numFmt w:val="decimal"/>
      <w:lvlText w:val=""/>
      <w:lvlJc w:val="left"/>
    </w:lvl>
    <w:lvl w:ilvl="5" w:tplc="138E7FE4">
      <w:numFmt w:val="decimal"/>
      <w:lvlText w:val=""/>
      <w:lvlJc w:val="left"/>
    </w:lvl>
    <w:lvl w:ilvl="6" w:tplc="E7BA49B6">
      <w:numFmt w:val="decimal"/>
      <w:lvlText w:val=""/>
      <w:lvlJc w:val="left"/>
    </w:lvl>
    <w:lvl w:ilvl="7" w:tplc="5FA0D29C">
      <w:numFmt w:val="decimal"/>
      <w:lvlText w:val=""/>
      <w:lvlJc w:val="left"/>
    </w:lvl>
    <w:lvl w:ilvl="8" w:tplc="657230B0">
      <w:numFmt w:val="decimal"/>
      <w:lvlText w:val=""/>
      <w:lvlJc w:val="left"/>
    </w:lvl>
  </w:abstractNum>
  <w:num w:numId="1" w16cid:durableId="679042684">
    <w:abstractNumId w:val="4"/>
    <w:lvlOverride w:ilvl="0">
      <w:startOverride w:val="1"/>
    </w:lvlOverride>
  </w:num>
  <w:num w:numId="2" w16cid:durableId="1039554369">
    <w:abstractNumId w:val="3"/>
    <w:lvlOverride w:ilvl="0">
      <w:startOverride w:val="1"/>
    </w:lvlOverride>
  </w:num>
  <w:num w:numId="3" w16cid:durableId="532883908">
    <w:abstractNumId w:val="7"/>
    <w:lvlOverride w:ilvl="0">
      <w:startOverride w:val="1"/>
    </w:lvlOverride>
  </w:num>
  <w:num w:numId="4" w16cid:durableId="88701298">
    <w:abstractNumId w:val="1"/>
    <w:lvlOverride w:ilvl="0">
      <w:startOverride w:val="1"/>
    </w:lvlOverride>
  </w:num>
  <w:num w:numId="5" w16cid:durableId="1519276426">
    <w:abstractNumId w:val="6"/>
    <w:lvlOverride w:ilvl="0">
      <w:startOverride w:val="1"/>
    </w:lvlOverride>
  </w:num>
  <w:num w:numId="6" w16cid:durableId="1737237252">
    <w:abstractNumId w:val="0"/>
    <w:lvlOverride w:ilvl="0">
      <w:startOverride w:val="1"/>
    </w:lvlOverride>
  </w:num>
  <w:num w:numId="7" w16cid:durableId="394360206">
    <w:abstractNumId w:val="2"/>
    <w:lvlOverride w:ilvl="0">
      <w:startOverride w:val="1"/>
    </w:lvlOverride>
  </w:num>
  <w:num w:numId="8" w16cid:durableId="201892149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027"/>
    <w:rsid w:val="00203E5E"/>
    <w:rsid w:val="008F6F51"/>
    <w:rsid w:val="00D16027"/>
    <w:rsid w:val="00E26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B2B2"/>
  <w15:docId w15:val="{B93B6142-FE96-4DF9-8DE4-AEDEB3AB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A1A1A"/>
      <w:sz w:val="40"/>
      <w:szCs w:val="40"/>
    </w:rPr>
  </w:style>
  <w:style w:type="paragraph" w:styleId="Heading2">
    <w:name w:val="heading 2"/>
    <w:uiPriority w:val="9"/>
    <w:unhideWhenUsed/>
    <w:qFormat/>
    <w:pPr>
      <w:spacing w:before="320" w:after="100"/>
      <w:outlineLvl w:val="1"/>
    </w:pPr>
    <w:rPr>
      <w:b/>
      <w:bCs/>
      <w:color w:val="1A4F7A"/>
      <w:sz w:val="27"/>
      <w:szCs w:val="27"/>
    </w:rPr>
  </w:style>
  <w:style w:type="paragraph" w:styleId="Heading3">
    <w:name w:val="heading 3"/>
    <w:uiPriority w:val="9"/>
    <w:unhideWhenUsed/>
    <w:qFormat/>
    <w:pPr>
      <w:spacing w:before="220" w:after="6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386"/>
      </w:tabs>
      <w:spacing w:before="20" w:after="20"/>
    </w:pPr>
  </w:style>
  <w:style w:type="paragraph" w:styleId="Header">
    <w:name w:val="header"/>
    <w:basedOn w:val="Normal"/>
    <w:link w:val="HeaderChar"/>
    <w:uiPriority w:val="99"/>
    <w:unhideWhenUsed/>
    <w:rsid w:val="008F6F51"/>
    <w:pPr>
      <w:tabs>
        <w:tab w:val="center" w:pos="4513"/>
        <w:tab w:val="right" w:pos="9026"/>
      </w:tabs>
    </w:pPr>
  </w:style>
  <w:style w:type="character" w:customStyle="1" w:styleId="HeaderChar">
    <w:name w:val="Header Char"/>
    <w:basedOn w:val="DefaultParagraphFont"/>
    <w:link w:val="Header"/>
    <w:uiPriority w:val="99"/>
    <w:rsid w:val="008F6F51"/>
  </w:style>
  <w:style w:type="paragraph" w:styleId="Footer">
    <w:name w:val="footer"/>
    <w:basedOn w:val="Normal"/>
    <w:link w:val="FooterChar"/>
    <w:uiPriority w:val="99"/>
    <w:unhideWhenUsed/>
    <w:rsid w:val="008F6F51"/>
    <w:pPr>
      <w:tabs>
        <w:tab w:val="center" w:pos="4513"/>
        <w:tab w:val="right" w:pos="9026"/>
      </w:tabs>
    </w:pPr>
  </w:style>
  <w:style w:type="character" w:customStyle="1" w:styleId="FooterChar">
    <w:name w:val="Footer Char"/>
    <w:basedOn w:val="DefaultParagraphFont"/>
    <w:link w:val="Footer"/>
    <w:uiPriority w:val="99"/>
    <w:rsid w:val="008F6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133</Pages>
  <Words>59889</Words>
  <Characters>341370</Characters>
  <Application>Microsoft Office Word</Application>
  <DocSecurity>0</DocSecurity>
  <Lines>2844</Lines>
  <Paragraphs>800</Paragraphs>
  <ScaleCrop>false</ScaleCrop>
  <Company/>
  <LinksUpToDate>false</LinksUpToDate>
  <CharactersWithSpaces>400459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AI-Informed Assessment Design: A Practical Guide for Educators, Programme Leaders and Institutions</dc:title>
  <dc:creator>Working draft</dc:creator>
  <dc:description>Working draft, September 2026</dc:description>
  <cp:lastModifiedBy>Paul Hendrie</cp:lastModifiedBy>
  <cp:revision>2</cp:revision>
  <dcterms:created xsi:type="dcterms:W3CDTF">2026-09-04T19:56:00Z</dcterms:created>
  <dcterms:modified xsi:type="dcterms:W3CDTF">2026-09-04T23:06:00Z</dcterms:modified>
</cp:coreProperties>
</file>