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Academic Literacies</w:t>
      </w:r>
    </w:p>
    <w:p>
      <w:pPr>
        <w:pStyle w:val="Subtitle"/>
      </w:pPr>
      <w:r>
        <w:t>An EAP-led programme within academic literacies, with a pathway towards subfield status</w:t>
      </w:r>
    </w:p>
    <w:p>
      <w:pPr>
        <w:pStyle w:val="Metadata"/>
      </w:pPr>
      <w:r>
        <w:t>Revised position paper • Version 4 • 5 September 2026</w:t>
      </w:r>
    </w:p>
    <w:p>
      <w:pPr>
        <w:pStyle w:val="Heading2"/>
      </w:pPr>
      <w:r>
        <w:t>The argument in brief</w:t>
      </w:r>
    </w:p>
    <w:p>
      <w:pPr/>
      <w:r>
        <w:t>Generative AI raises a familiar educational problem in a changed form: how do students learn to make, evaluate and take responsibility for knowledge through academic communication? Academic literacies offers a strong framework for examining that problem because it connects texts with the people, practices and institutions that give them meaning. English for Academic Purposes (EAP) can make a substantial contribution through its expertise in discourse, disciplinary communication and teaching.</w:t>
      </w:r>
    </w:p>
    <w:p>
      <w:pPr/>
      <w:r>
        <w:t>This paper proposes an EAP-led, collaborative programme of research and practice, provisionally called generative academic literacies (GAL). Its practical base would be the AI for EAP Commons: an openly accessible collection of teaching resources, disciplinary cases, development materials and evidence from their use. The programme would work towards a recognisable EAP specialism. Whether a separate subfield is useful should remain an empirical and organisational question.</w:t>
      </w:r>
    </w:p>
    <w:p>
      <w:pPr/>
      <w:r>
        <w:t>The immediate commitment is to better learning, more defensible assessment and more equitable participation. A name, a repository and institutional recognition are means of supporting those purposes. The proposal should be judged by what changes for students and educators, including when the best decision is to limit or decline AI use.</w:t>
      </w:r>
    </w:p>
    <w:p>
      <w:pPr>
        <w:pStyle w:val="Heading1"/>
      </w:pPr>
      <w:r>
        <w:t>1. The claim</w:t>
      </w:r>
    </w:p>
    <w:p>
      <w:pPr/>
      <w:commentRangeStart w:id="0"/>
      <w:r>
        <w:t>This paper argues that academic literacies should provide a central intellectual framework for engagement with generative AI in academic learning and communication, and that EAP practitioners should help lead its development with disciplinary colleagues, students and other educational specialists. In-sessional EAP offers a promising base where it has established curriculum relationships and adequate capacity. Other settings should participate on the same evidential terms.</w:t>
      </w:r>
      <w:commentRangeEnd w:id="0"/>
      <w:r>
        <w:rPr>
          <w:rStyle w:val="CommentReference"/>
        </w:rPr>
        <w:commentReference w:id="0"/>
      </w:r>
    </w:p>
    <w:p>
      <w:pPr/>
      <w:r>
        <w:t>Three distinctions make the claim precise. Academic literacies is the theoretical orientation: it treats academic reading, writing and meaning-making as social practices shaped by knowledge, identity, language and power. EAP is a field of teaching and research that can help organise and deliver the work. GAL is a proposed programme and possible specialism at their intersection. These are related formations, not interchangeable names.</w:t>
      </w:r>
    </w:p>
    <w:p>
      <w:pPr/>
      <w:r>
        <w:t>The proposed definition is: generative academic literacies concerns how people learn, make meaning, exercise judgement and negotiate responsibility in academic practices shaped by generative AI. Its initial focus is reading, writing, source use, feedback and assessment. It also includes spoken and multimodal communication where these contribute to academic meaning. Technical model development, procurement and administrative automation require additional expertise beyond this programme's remit.</w:t>
      </w:r>
    </w:p>
    <w:p>
      <w:pPr/>
      <w:r>
        <w:t>The word “generative” is retained as a provisional working label. “AI-mediated academic literacies” is a more explicit description and should appear in introductory materials. Neither term should become a membership test. Colleagues should be able to contribute to the Commons without endorsing a new subfield or an AI adoption agenda.</w:t>
      </w:r>
    </w:p>
    <w:p>
      <w:pPr/>
      <w:r>
        <w:t>The proposal makes a claim to leadership through contribution. It does not establish EAP's exclusive jurisdiction over AI in higher education. A theory of academic meaning is indispensable to this work, but it cannot by itself settle questions of learning, accessibility, disciplinary knowledge, technology or institutional responsibility.</w:t>
      </w:r>
    </w:p>
    <w:p>
      <w:pPr>
        <w:pStyle w:val="Heading1"/>
      </w:pPr>
      <w:r>
        <w:t>2. What would justify a subfield?</w:t>
      </w:r>
    </w:p>
    <w:p>
      <w:pPr/>
      <w:commentRangeStart w:id="1"/>
      <w:r>
        <w:t>Five questions can guide a judgement about GAL's organisational status. They are proposed heuristics rather than a settled sociological test. Work on disciplinary organisation provides context for asking these questions; it does not supply a rule from which recognition follows automatically (Becher and Trowler, 2001; Abbott, 2001).</w:t>
      </w:r>
      <w:commentRangeEnd w:id="1"/>
      <w:r>
        <w:rPr>
          <w:rStyle w:val="CommentReference"/>
        </w:rPr>
        <w:commentReference w:id="1"/>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7D7D7"/>
          <w:left w:val="single" w:sz="4" w:color="D7D7D7"/>
          <w:bottom w:val="single" w:sz="4" w:color="D7D7D7"/>
          <w:right w:val="single" w:sz="4" w:color="D7D7D7"/>
          <w:insideH w:val="single" w:sz="4" w:color="D7D7D7"/>
          <w:insideV w:val="single" w:sz="4" w:color="D7D7D7"/>
        </w:tblBorders>
      </w:tblPr>
      <w:tblGrid>
        <w:gridCol w:w="2560"/>
        <w:gridCol w:w="3500"/>
        <w:gridCol w:w="3300"/>
      </w:tblGrid>
      <w:tr>
        <w:trPr>
          <w:cantSplit/>
          <w:tblHeader/>
        </w:trPr>
        <w:tc>
          <w:tcPr>
            <w:tcW w:type="dxa" w:w="2560"/>
            <w:vAlign w:val="center"/>
            <w:shd w:fill="F2F4F7" w:val="clear"/>
          </w:tcPr>
          <w:p>
            <w:pPr>
              <w:pStyle w:val="TableHeader"/>
              <w:keepNext/>
            </w:pPr>
            <w:r>
              <w:t>Criterion</w:t>
            </w:r>
          </w:p>
        </w:tc>
        <w:tc>
          <w:tcPr>
            <w:tcW w:type="dxa" w:w="3500"/>
            <w:vAlign w:val="center"/>
            <w:shd w:fill="F2F4F7" w:val="clear"/>
          </w:tcPr>
          <w:p>
            <w:pPr>
              <w:pStyle w:val="TableHeader"/>
              <w:keepNext/>
            </w:pPr>
            <w:r>
              <w:t>Present assessment</w:t>
            </w:r>
          </w:p>
        </w:tc>
        <w:tc>
          <w:tcPr>
            <w:tcW w:type="dxa" w:w="3300"/>
            <w:vAlign w:val="center"/>
            <w:shd w:fill="F2F4F7" w:val="clear"/>
          </w:tcPr>
          <w:p>
            <w:pPr>
              <w:pStyle w:val="TableHeader"/>
              <w:keepNext/>
            </w:pPr>
            <w:r>
              <w:t>Evidence still needed</w:t>
            </w:r>
          </w:p>
        </w:tc>
      </w:tr>
      <w:tr>
        <w:trPr>
          <w:cantSplit/>
        </w:trPr>
        <w:tc>
          <w:tcPr>
            <w:tcW w:type="dxa" w:w="2560"/>
            <w:vAlign w:val="center"/>
          </w:tcPr>
          <w:p>
            <w:pPr>
              <w:pStyle w:val="TableText"/>
            </w:pPr>
            <w:r>
              <w:t>A coherent, durable problem</w:t>
            </w:r>
          </w:p>
        </w:tc>
        <w:tc>
          <w:tcPr>
            <w:tcW w:type="dxa" w:w="3500"/>
            <w:vAlign w:val="center"/>
          </w:tcPr>
          <w:p>
            <w:pPr>
              <w:pStyle w:val="TableText"/>
            </w:pPr>
            <w:r>
              <w:t>Strong rationale; durability remains a forecast</w:t>
            </w:r>
          </w:p>
        </w:tc>
        <w:tc>
          <w:tcPr>
            <w:tcW w:type="dxa" w:w="3300"/>
            <w:vAlign w:val="center"/>
          </w:tcPr>
          <w:p>
            <w:pPr>
              <w:pStyle w:val="TableText"/>
            </w:pPr>
            <w:r>
              <w:t>Recurring questions across changing tools and contexts</w:t>
            </w:r>
          </w:p>
        </w:tc>
      </w:tr>
      <w:tr>
        <w:trPr>
          <w:cantSplit/>
        </w:trPr>
        <w:tc>
          <w:tcPr>
            <w:tcW w:type="dxa" w:w="2560"/>
            <w:vAlign w:val="center"/>
          </w:tcPr>
          <w:p>
            <w:pPr>
              <w:pStyle w:val="TableText"/>
            </w:pPr>
            <w:r>
              <w:t>A useful theoretical contribution</w:t>
            </w:r>
          </w:p>
        </w:tc>
        <w:tc>
          <w:tcPr>
            <w:tcW w:type="dxa" w:w="3500"/>
            <w:vAlign w:val="center"/>
          </w:tcPr>
          <w:p>
            <w:pPr>
              <w:pStyle w:val="TableText"/>
            </w:pPr>
            <w:r>
              <w:t>Academic literacies and EAP offer substantial resources</w:t>
            </w:r>
          </w:p>
        </w:tc>
        <w:tc>
          <w:tcPr>
            <w:tcW w:type="dxa" w:w="3300"/>
            <w:vAlign w:val="center"/>
          </w:tcPr>
          <w:p>
            <w:pPr>
              <w:pStyle w:val="TableText"/>
            </w:pPr>
            <w:r>
              <w:t>Demonstrations of what these explain or improve</w:t>
            </w:r>
          </w:p>
        </w:tc>
      </w:tr>
      <w:tr>
        <w:trPr>
          <w:cantSplit/>
        </w:trPr>
        <w:tc>
          <w:tcPr>
            <w:tcW w:type="dxa" w:w="2560"/>
            <w:vAlign w:val="center"/>
          </w:tcPr>
          <w:p>
            <w:pPr>
              <w:pStyle w:val="TableText"/>
            </w:pPr>
            <w:r>
              <w:t>Shared methods and practices</w:t>
            </w:r>
          </w:p>
        </w:tc>
        <w:tc>
          <w:tcPr>
            <w:tcW w:type="dxa" w:w="3500"/>
            <w:vAlign w:val="center"/>
          </w:tcPr>
          <w:p>
            <w:pPr>
              <w:pStyle w:val="TableText"/>
            </w:pPr>
            <w:r>
              <w:t>Established methods are being adapted</w:t>
            </w:r>
          </w:p>
        </w:tc>
        <w:tc>
          <w:tcPr>
            <w:tcW w:type="dxa" w:w="3300"/>
            <w:vAlign w:val="center"/>
          </w:tcPr>
          <w:p>
            <w:pPr>
              <w:pStyle w:val="TableText"/>
            </w:pPr>
            <w:r>
              <w:t>Independent use, methodological transparency and educational value</w:t>
            </w:r>
          </w:p>
        </w:tc>
      </w:tr>
      <w:tr>
        <w:trPr>
          <w:cantSplit/>
        </w:trPr>
        <w:tc>
          <w:tcPr>
            <w:tcW w:type="dxa" w:w="2560"/>
            <w:vAlign w:val="center"/>
          </w:tcPr>
          <w:p>
            <w:pPr>
              <w:pStyle w:val="TableText"/>
            </w:pPr>
            <w:r>
              <w:t>A community with capacity</w:t>
            </w:r>
          </w:p>
        </w:tc>
        <w:tc>
          <w:tcPr>
            <w:tcW w:type="dxa" w:w="3500"/>
            <w:vAlign w:val="center"/>
          </w:tcPr>
          <w:p>
            <w:pPr>
              <w:pStyle w:val="TableText"/>
            </w:pPr>
            <w:r>
              <w:t>Plausible constituency; local demand varies</w:t>
            </w:r>
          </w:p>
        </w:tc>
        <w:tc>
          <w:tcPr>
            <w:tcW w:type="dxa" w:w="3300"/>
            <w:vAlign w:val="center"/>
          </w:tcPr>
          <w:p>
            <w:pPr>
              <w:pStyle w:val="TableText"/>
            </w:pPr>
            <w:r>
              <w:t>Sustained participation, protected time and shared infrastructure</w:t>
            </w:r>
          </w:p>
        </w:tc>
      </w:tr>
      <w:tr>
        <w:trPr>
          <w:cantSplit/>
        </w:trPr>
        <w:tc>
          <w:tcPr>
            <w:tcW w:type="dxa" w:w="2560"/>
            <w:vAlign w:val="center"/>
          </w:tcPr>
          <w:p>
            <w:pPr>
              <w:pStyle w:val="TableText"/>
            </w:pPr>
            <w:r>
              <w:t>A productive relationship with neighbours</w:t>
            </w:r>
          </w:p>
        </w:tc>
        <w:tc>
          <w:tcPr>
            <w:tcW w:type="dxa" w:w="3500"/>
            <w:vAlign w:val="center"/>
          </w:tcPr>
          <w:p>
            <w:pPr>
              <w:pStyle w:val="TableText"/>
            </w:pPr>
            <w:r>
              <w:t>An achievable partnership</w:t>
            </w:r>
          </w:p>
        </w:tc>
        <w:tc>
          <w:tcPr>
            <w:tcW w:type="dxa" w:w="3300"/>
            <w:vAlign w:val="center"/>
          </w:tcPr>
          <w:p>
            <w:pPr>
              <w:pStyle w:val="TableText"/>
            </w:pPr>
            <w:r>
              <w:t>Evidence that organisation helps collaboration and avoids duplication</w:t>
            </w:r>
          </w:p>
        </w:tc>
      </w:tr>
    </w:tbl>
    <w:p>
      <w:pPr>
        <w:spacing w:after="0" w:before="0" w:line="60" w:lineRule="exact"/>
      </w:pPr>
      <w:r>
        <w:rPr>
          <w:sz w:val="6"/>
        </w:rPr>
      </w:r>
    </w:p>
    <w:p>
      <w:pPr/>
      <w:r>
        <w:t>English for Research Publication Purposes offers a relevant precedent for a specialism with distinctive problems and constituencies (Cargill and Burgess, 2008; Flowerdew, 2015). CALL's discussion of normalisation provides a different lesson: successful work may become ordinary practice without retaining a separate label (Bax, 2003). Neither analogy establishes that GAL must become a subfield.</w:t>
      </w:r>
    </w:p>
    <w:p>
      <w:pPr/>
      <w:r>
        <w:t>The appropriate initial status is therefore a named programme with an explicit research agenda, shared resources and a development pathway. A subfield becomes more defensible if this organisation produces knowledge and practice that a loose topic network does not sustain. The burden of proof concerns the value of the organisational form as well as the importance of the problem.</w:t>
      </w:r>
    </w:p>
    <w:p>
      <w:pPr>
        <w:pStyle w:val="Heading1"/>
      </w:pPr>
      <w:r>
        <w:t>3. The case for the programme</w:t>
      </w:r>
    </w:p>
    <w:p>
      <w:pPr>
        <w:pStyle w:val="Heading2"/>
      </w:pPr>
      <w:r>
        <w:t>3.1 A changed configuration of academic practice</w:t>
      </w:r>
    </w:p>
    <w:p>
      <w:pPr/>
      <w:r>
        <w:t>The object is an academic activity and its relationships: a student interpreting a task, working with sources and tools, making decisions, producing an artefact and encountering an institution's judgement. Generative AI can enter at any of these points. It may influence understanding without leaving machine-generated prose in the submitted text.</w:t>
      </w:r>
    </w:p>
    <w:p>
      <w:pPr/>
      <w:commentRangeStart w:id="2"/>
      <w:r>
        <w:t>This is a changed configuration of longstanding concerns about mediated writing, collaboration and attribution. Academic literacies and research on digital textual practices already extend beyond the isolated text (Lea and Jones, 2011; Gourlay and Oliver, 2018). GAL should develop that inheritance rather than suggest that distributed authorship or textual mediation began in 2022.</w:t>
      </w:r>
      <w:commentRangeEnd w:id="2"/>
      <w:r>
        <w:rPr>
          <w:rStyle w:val="CommentReference"/>
        </w:rPr>
        <w:commentReference w:id="2"/>
      </w:r>
    </w:p>
    <w:p>
      <w:pPr/>
      <w:r>
        <w:t>Widely accessible generative systems have reduced the immediate effort required to produce some forms of plausible academic prose. Access, quality and cost remain uneven, and the longer-term technological settlement is uncertain. The educational problem is nevertheless substantial: the quality of a submitted artefact may provide incomplete evidence of the understanding developed through making it. This is a problem for investigation, not proof that all AI assistance weakens learning.</w:t>
      </w:r>
    </w:p>
    <w:p>
      <w:pPr/>
      <w:commentRangeStart w:id="3"/>
      <w:r>
        <w:t>Street's (1984) critique of autonomous accounts of literacy is useful here as a critique of institutional assumptions. A university makes that error when it treats fluent output as sufficient evidence of academic competence. Calling a language model the autonomous model “built as software” risks confusing an ideology with a technical system. AI outputs enter situated practices, acquire meaning through use and may reproduce social hierarchies. The question is how those processes operate and who can influence them.</w:t>
      </w:r>
      <w:commentRangeEnd w:id="3"/>
      <w:r>
        <w:rPr>
          <w:rStyle w:val="CommentReference"/>
        </w:rPr>
        <w:commentReference w:id="3"/>
      </w:r>
    </w:p>
    <w:p>
      <w:pPr>
        <w:pStyle w:val="Heading2"/>
      </w:pPr>
      <w:r>
        <w:t>3.2 What academic literacies adds</w:t>
      </w:r>
    </w:p>
    <w:p>
      <w:pPr/>
      <w:r>
        <w:t>An academic literacies approach asks how an apparently individual difficulty is shaped by institutional expectations. A student asked to “use AI responsibly” needs more than a list of permitted functions: they need to understand what counts as knowledge in this task, whose assistance is legitimate, how decisions will be judged and whether those expectations are open to challenge (Lea and Street, 1998).</w:t>
      </w:r>
    </w:p>
    <w:p>
      <w:pPr/>
      <w:commentRangeStart w:id="4"/>
      <w:r>
        <w:t>Lillis and Scott (2007) give the programme a further obligation: to examine and potentially transform conventions, not simply teach compliance with them. A resource grounded in this orientation should therefore create room to question whose language is treated as credible, which sources are privileged, how rules distribute risk and whether an assessment rewards the learning it claims to value.</w:t>
      </w:r>
      <w:commentRangeEnd w:id="4"/>
      <w:r>
        <w:rPr>
          <w:rStyle w:val="CommentReference"/>
        </w:rPr>
        <w:commentReference w:id="4"/>
      </w:r>
    </w:p>
    <w:p>
      <w:pPr/>
      <w:r>
        <w:t>Academic literacies already has a substantial pedagogical literature. Working with Academic Literacies documents practical work across settings (Lillis et al., 2015). GAL's contribution would be to develop and test approaches for AI-mediated practices within this wider conversation.</w:t>
      </w:r>
    </w:p>
    <w:p>
      <w:pPr/>
      <w:r>
        <w:t>EAP contributes detailed ways of examining communicative choices. Genre analysis can explore the purpose of a text and the moves through which it pursues that purpose; stance analysis can examine how claims and relationships with readers are expressed; work on writer identity can inform discussion of which changes a writer accepts and why (Swales, 1990; Hyland, 2005; Ivanič, 1998). These analyses generate questions for teaching. Their usefulness does not establish a writer's identity, the truth of a claim or the validity of an assessment.</w:t>
      </w:r>
    </w:p>
    <w:p>
      <w:pPr>
        <w:pStyle w:val="Heading2"/>
      </w:pPr>
      <w:r>
        <w:t>3.3 What the current empirical evidence supports</w:t>
      </w:r>
    </w:p>
    <w:p>
      <w:pPr/>
      <w:r>
        <w:t>Jiang and Hyland (2025b) report less interactional metadiscourse in the ChatGPT essays in their comparison with British university student writing. Their companion study identifies differences in the use of metadiscursive nouns (Jiang and Hyland, 2025a). These findings support the usefulness of EAP categories for analysing particular corpora. They do not establish a universal signature of AI writing or directly measure learning.</w:t>
      </w:r>
    </w:p>
    <w:p>
      <w:pPr/>
      <w:commentRangeStart w:id="5"/>
      <w:r>
        <w:t>Mo and Crosthwaite (2025) report a narrower repertoire of stance and engagement features in generated essays, alongside variation across models and disciplines. Their results should not be compressed into the claim that all models produce the same rhetorical profile. More recent research shows that changing the prompt can substantially change metadiscourse frequencies and their realisation (Crosthwaite, Sun and Jiang, 2026).</w:t>
      </w:r>
      <w:commentRangeEnd w:id="5"/>
      <w:r>
        <w:rPr>
          <w:rStyle w:val="CommentReference"/>
        </w:rPr>
        <w:commentReference w:id="5"/>
      </w:r>
    </w:p>
    <w:p>
      <w:pPr/>
      <w:r>
        <w:t>The programme should therefore record models, dates, prompts, sources and revision conditions when interpreting generated examples. Its strongest teaching question is whether a claim, rhetorical choice or explanation works in the task at hand. It should not train educators to infer AI authorship from thin stance, polished language or a change of style. Corpus differences are not individual diagnostic tests.</w:t>
      </w:r>
    </w:p>
    <w:p>
      <w:pPr>
        <w:pStyle w:val="Heading2"/>
      </w:pPr>
      <w:r>
        <w:t>3.4 Methods to adapt and evaluate</w:t>
      </w:r>
    </w:p>
    <w:p>
      <w:pPr/>
      <w:r>
        <w:t>GAL can draw on discourse and corpus analysis, observation, interviews, practitioner inquiry and studies of revision. An academic literacies approach particularly needs participants' accounts and institutional context alongside textual evidence. Each method should answer a stated question; no single validation measure fits the whole programme.</w:t>
      </w:r>
    </w:p>
    <w:p>
      <w:pPr>
        <w:keepNext/>
      </w:pPr>
      <w:r>
        <w:t>The initial practice repertoire should include:</w:t>
      </w:r>
    </w:p>
    <w:p>
      <w:pPr>
        <w:pStyle w:val="CommonsBullet"/>
        <w:numPr>
          <w:ilvl w:val="0"/>
          <w:numId w:val="10"/>
        </w:numPr>
      </w:pPr>
      <w:r>
        <w:t>Task analysis: identify the learning purpose, disciplinary expectations, permitted assistance and evidence needed to judge learning.</w:t>
      </w:r>
    </w:p>
    <w:p>
      <w:pPr>
        <w:pStyle w:val="CommonsBullet"/>
        <w:numPr>
          <w:ilvl w:val="0"/>
          <w:numId w:val="10"/>
        </w:numPr>
      </w:pPr>
      <w:r>
        <w:t>Claim-and-source analysis: examine whether evidence supports the precise claim being made, including uncertainty and limitations.</w:t>
      </w:r>
    </w:p>
    <w:p>
      <w:pPr>
        <w:pStyle w:val="CommonsBullet"/>
        <w:numPr>
          <w:ilvl w:val="0"/>
          <w:numId w:val="10"/>
        </w:numPr>
      </w:pPr>
      <w:r>
        <w:t>Revision analysis: compare documented versions and discuss changes in meaning, stance and ownership with the writer.</w:t>
      </w:r>
    </w:p>
    <w:p>
      <w:pPr>
        <w:pStyle w:val="CommonsBullet"/>
        <w:numPr>
          <w:ilvl w:val="0"/>
          <w:numId w:val="10"/>
        </w:numPr>
      </w:pPr>
      <w:r>
        <w:t>Decision accounts: record a small number of consequential choices about using, revising or rejecting assistance.</w:t>
      </w:r>
    </w:p>
    <w:p>
      <w:pPr>
        <w:pStyle w:val="CommonsBullet"/>
        <w:numPr>
          <w:ilvl w:val="0"/>
          <w:numId w:val="10"/>
        </w:numPr>
      </w:pPr>
      <w:r>
        <w:t>Policy inquiry: examine how staff and students interpret a rule, who bears its burdens and what should change.</w:t>
      </w:r>
    </w:p>
    <w:p>
      <w:pPr/>
      <w:commentRangeStart w:id="6"/>
      <w:r>
        <w:t>“Seam analysis” can be retained as an optional label for analysing known revision histories, but should not imply that human and machine passages have reliably detectable borders. Provenance records have precedents in writing-process research, version histories and attribution practices. Neither procedure needs an unprecedented origin to be valuable.</w:t>
      </w:r>
      <w:commentRangeEnd w:id="6"/>
      <w:r>
        <w:rPr>
          <w:rStyle w:val="CommentReference"/>
        </w:rPr>
        <w:commentReference w:id="6"/>
      </w:r>
    </w:p>
    <w:p>
      <w:pPr/>
      <w:r>
        <w:t>For coding schemes, evaluate agreement and construct validity where appropriate. For qualitative inquiry, make interpretation, researcher position, alternative accounts and disconfirming cases visible. For teaching resources, test independent usability, learning, transfer, access and workload. Publication or agreement between raters alone does not establish educational effectiveness.</w:t>
      </w:r>
    </w:p>
    <w:p>
      <w:pPr>
        <w:pStyle w:val="Heading2"/>
      </w:pPr>
      <w:r>
        <w:t>3.5 A constituency without a monopoly</w:t>
      </w:r>
    </w:p>
    <w:p>
      <w:pPr/>
      <w:commentRangeStart w:id="7"/>
      <w:r>
        <w:t>The HEPI/Kortext survey published in March 2026 reports that 95% of respondents used AI in some way and 94% used generative AI to help with assessed work. The survey involved 1,054 full-time UK undergraduates and was conducted in December 2025 (Stephenson and Armstrong, 2026). These are self-reports from a defined population. Assistance with assessed work is a broad category, not a measure of submitted AI prose or misconduct. The results establish relevance, not demand for GAL specifically.</w:t>
      </w:r>
      <w:commentRangeEnd w:id="7"/>
      <w:r>
        <w:rPr>
          <w:rStyle w:val="CommentReference"/>
        </w:rPr>
        <w:commentReference w:id="7"/>
      </w:r>
    </w:p>
    <w:p>
      <w:pPr/>
      <w:r>
        <w:t>Multilingual students warrant sustained attention, without being treated as a uniform group. Liang et al. (2023) document detector bias in the systems and samples they examined; Weber-Wulff et al. (2023) document wider detection limitations. Such evidence supports caution about detection-based judgement. It does not establish that every detector behaves identically or that one student group always experiences the greatest harm. Access, disability, prior education and institutional context also matter.</w:t>
      </w:r>
    </w:p>
    <w:p>
      <w:pPr/>
      <w:r>
        <w:t>The neighbouring provision is substantial. Jisc's student research recommends course-specific critical AI education (Jisc, 2025), while writing studies offers both teaching collections and a developed cross-curricular position on AI (Vee, Laquintano and Schnitzler, 2023; AWAC Working Group on AI in WAC, 2025). GAL should make its additional contribution clear: close analysis of disciplinary meaning, attention to multilingual participation and an accountable process for turning that analysis into teaching.</w:t>
      </w:r>
    </w:p>
    <w:p>
      <w:pPr>
        <w:pStyle w:val="Heading1"/>
      </w:pPr>
      <w:r>
        <w:t>4. Why in-sessional EAP is a promising base</w:t>
      </w:r>
    </w:p>
    <w:p>
      <w:pPr/>
      <w:r>
        <w:t>Where EAP practitioners work with subject teams on live curricula, they can connect assessment briefs, student work, disciplinary expectations and language development. Collaborative academic literacy instruction provides a strong rationale for this arrangement (Wingate, 2018). The proposal should build on such relationships and examine how well they operate locally.</w:t>
      </w:r>
    </w:p>
    <w:p>
      <w:pPr/>
      <w:commentRangeStart w:id="8"/>
      <w:r>
        <w:t>In-sessional provision is not uniformly embedded or resourced. Learning Development, libraries, writing centres and educational development teams may already hold the relevant relationships. Pre-sessional and foundation programmes also contain consequential assessments and offer valuable settings for transition and longitudinal inquiry. The appropriate base is the setting with sustained access, expertise, trust and capacity, rather than an institutional label alone.</w:t>
      </w:r>
      <w:commentRangeEnd w:id="8"/>
      <w:r>
        <w:rPr>
          <w:rStyle w:val="CommentReference"/>
        </w:rPr>
        <w:commentReference w:id="8"/>
      </w:r>
    </w:p>
    <w:p>
      <w:pPr/>
      <w:r>
        <w:t>EAP staff and subject specialists bring overlapping, complementary expertise. Their partnership should not depend on claiming that academics cannot articulate their own conventions. Students also contribute knowledge about how tasks, technologies and rules are experienced. They should participate in defining the problem and evaluating the response.</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7D7D7"/>
          <w:left w:val="single" w:sz="4" w:color="D7D7D7"/>
          <w:bottom w:val="single" w:sz="4" w:color="D7D7D7"/>
          <w:right w:val="single" w:sz="4" w:color="D7D7D7"/>
          <w:insideH w:val="single" w:sz="4" w:color="D7D7D7"/>
          <w:insideV w:val="single" w:sz="4" w:color="D7D7D7"/>
        </w:tblBorders>
      </w:tblPr>
      <w:tblGrid>
        <w:gridCol w:w="3000"/>
        <w:gridCol w:w="6360"/>
      </w:tblGrid>
      <w:tr>
        <w:trPr>
          <w:cantSplit/>
          <w:tblHeader/>
        </w:trPr>
        <w:tc>
          <w:tcPr>
            <w:tcW w:type="dxa" w:w="3000"/>
            <w:vAlign w:val="center"/>
            <w:shd w:fill="F2F4F7" w:val="clear"/>
          </w:tcPr>
          <w:p>
            <w:pPr>
              <w:pStyle w:val="TableHeader"/>
              <w:keepNext/>
            </w:pPr>
            <w:r>
              <w:t>Contribution</w:t>
            </w:r>
          </w:p>
        </w:tc>
        <w:tc>
          <w:tcPr>
            <w:tcW w:type="dxa" w:w="6360"/>
            <w:vAlign w:val="center"/>
            <w:shd w:fill="F2F4F7" w:val="clear"/>
          </w:tcPr>
          <w:p>
            <w:pPr>
              <w:pStyle w:val="TableHeader"/>
              <w:keepNext/>
            </w:pPr>
            <w:r>
              <w:t>Proposed responsibility</w:t>
            </w:r>
          </w:p>
        </w:tc>
      </w:tr>
      <w:tr>
        <w:trPr>
          <w:cantSplit/>
        </w:trPr>
        <w:tc>
          <w:tcPr>
            <w:tcW w:type="dxa" w:w="3000"/>
            <w:vAlign w:val="center"/>
          </w:tcPr>
          <w:p>
            <w:pPr>
              <w:pStyle w:val="TableText"/>
            </w:pPr>
            <w:r>
              <w:t>EAP and academic literacies specialists</w:t>
            </w:r>
          </w:p>
        </w:tc>
        <w:tc>
          <w:tcPr>
            <w:tcW w:type="dxa" w:w="6360"/>
            <w:vAlign w:val="center"/>
          </w:tcPr>
          <w:p>
            <w:pPr>
              <w:pStyle w:val="TableText"/>
            </w:pPr>
            <w:r>
              <w:t>Convene inquiry into discourse, participation and learning</w:t>
            </w:r>
          </w:p>
        </w:tc>
      </w:tr>
      <w:tr>
        <w:trPr>
          <w:cantSplit/>
        </w:trPr>
        <w:tc>
          <w:tcPr>
            <w:tcW w:type="dxa" w:w="3000"/>
            <w:vAlign w:val="center"/>
          </w:tcPr>
          <w:p>
            <w:pPr>
              <w:pStyle w:val="TableText"/>
            </w:pPr>
            <w:r>
              <w:t>Disciplinary educators</w:t>
            </w:r>
          </w:p>
        </w:tc>
        <w:tc>
          <w:tcPr>
            <w:tcW w:type="dxa" w:w="6360"/>
            <w:vAlign w:val="center"/>
          </w:tcPr>
          <w:p>
            <w:pPr>
              <w:pStyle w:val="TableText"/>
            </w:pPr>
            <w:r>
              <w:t>Co-design tasks and assess disciplinary reasoning</w:t>
            </w:r>
          </w:p>
        </w:tc>
      </w:tr>
      <w:tr>
        <w:trPr>
          <w:cantSplit/>
        </w:trPr>
        <w:tc>
          <w:tcPr>
            <w:tcW w:type="dxa" w:w="3000"/>
            <w:vAlign w:val="center"/>
          </w:tcPr>
          <w:p>
            <w:pPr>
              <w:pStyle w:val="TableText"/>
            </w:pPr>
            <w:r>
              <w:t>Students and student representatives</w:t>
            </w:r>
          </w:p>
        </w:tc>
        <w:tc>
          <w:tcPr>
            <w:tcW w:type="dxa" w:w="6360"/>
            <w:vAlign w:val="center"/>
          </w:tcPr>
          <w:p>
            <w:pPr>
              <w:pStyle w:val="TableText"/>
            </w:pPr>
            <w:r>
              <w:t>Shape examples, challenge burdens and review usability</w:t>
            </w:r>
          </w:p>
        </w:tc>
      </w:tr>
      <w:tr>
        <w:trPr>
          <w:cantSplit/>
        </w:trPr>
        <w:tc>
          <w:tcPr>
            <w:tcW w:type="dxa" w:w="3000"/>
            <w:vAlign w:val="center"/>
          </w:tcPr>
          <w:p>
            <w:pPr>
              <w:pStyle w:val="TableText"/>
            </w:pPr>
            <w:r>
              <w:t>Libraries and Learning Development</w:t>
            </w:r>
          </w:p>
        </w:tc>
        <w:tc>
          <w:tcPr>
            <w:tcW w:type="dxa" w:w="6360"/>
            <w:vAlign w:val="center"/>
          </w:tcPr>
          <w:p>
            <w:pPr>
              <w:pStyle w:val="TableText"/>
            </w:pPr>
            <w:r>
              <w:t>Co-design source, information, digital and study practices</w:t>
            </w:r>
          </w:p>
        </w:tc>
      </w:tr>
      <w:tr>
        <w:trPr>
          <w:cantSplit/>
        </w:trPr>
        <w:tc>
          <w:tcPr>
            <w:tcW w:type="dxa" w:w="3000"/>
            <w:vAlign w:val="center"/>
          </w:tcPr>
          <w:p>
            <w:pPr>
              <w:pStyle w:val="TableText"/>
            </w:pPr>
            <w:r>
              <w:t>Educational development and assessment specialists</w:t>
            </w:r>
          </w:p>
        </w:tc>
        <w:tc>
          <w:tcPr>
            <w:tcW w:type="dxa" w:w="6360"/>
            <w:vAlign w:val="center"/>
          </w:tcPr>
          <w:p>
            <w:pPr>
              <w:pStyle w:val="TableText"/>
            </w:pPr>
            <w:r>
              <w:t>Align curriculum, feedback and assessment design</w:t>
            </w:r>
          </w:p>
        </w:tc>
      </w:tr>
      <w:tr>
        <w:trPr>
          <w:cantSplit/>
        </w:trPr>
        <w:tc>
          <w:tcPr>
            <w:tcW w:type="dxa" w:w="3000"/>
            <w:vAlign w:val="center"/>
          </w:tcPr>
          <w:p>
            <w:pPr>
              <w:pStyle w:val="TableText"/>
            </w:pPr>
            <w:r>
              <w:t>Relevant institutional services</w:t>
            </w:r>
          </w:p>
        </w:tc>
        <w:tc>
          <w:tcPr>
            <w:tcW w:type="dxa" w:w="6360"/>
            <w:vAlign w:val="center"/>
          </w:tcPr>
          <w:p>
            <w:pPr>
              <w:pStyle w:val="TableText"/>
            </w:pPr>
            <w:r>
              <w:t>Advise on accessibility, approved tools, data and formal procedures</w:t>
            </w:r>
          </w:p>
        </w:tc>
      </w:tr>
    </w:tbl>
    <w:p>
      <w:pPr>
        <w:spacing w:after="0" w:before="0" w:line="60" w:lineRule="exact"/>
      </w:pPr>
      <w:r>
        <w:rPr>
          <w:sz w:val="6"/>
        </w:rPr>
      </w:r>
    </w:p>
    <w:p>
      <w:pPr/>
      <w:r>
        <w:t>This is a starting arrangement for negotiation, not a fixed division of professional territory. Teaching support, research participation and formal misconduct procedures need clear boundaries. A student seeking help should understand what is confidential, what may be shared and under which local rules.</w:t>
      </w:r>
    </w:p>
    <w:p>
      <w:pPr>
        <w:pStyle w:val="Heading1"/>
      </w:pPr>
      <w:r>
        <w:t>5. Objections that should shape the design</w:t>
      </w:r>
    </w:p>
    <w:p>
      <w:pPr>
        <w:pStyle w:val="Heading2"/>
      </w:pPr>
      <w:r>
        <w:t>5.1 “This is an important topic, not a subfield”</w:t>
      </w:r>
    </w:p>
    <w:p>
      <w:pPr/>
      <w:r>
        <w:t>That remains a reasonable position. The five criteria do not decide the issue, and the programme does not require immediate agreement. A shared agenda and tested resources can establish whether sustained organisation adds value. The strongest response is evidence of useful work that others adopt and develop.</w:t>
      </w:r>
    </w:p>
    <w:p>
      <w:pPr>
        <w:pStyle w:val="Heading2"/>
      </w:pPr>
      <w:r>
        <w:t>5.2 “This is academic socialisation presented as academic literacies”</w:t>
      </w:r>
    </w:p>
    <w:p>
      <w:pPr/>
      <w:r>
        <w:t>This objection succeeds if the resources merely teach students to reproduce current conventions or disclose assistance more efficiently. The programme must also examine those conventions and the arrangements that enforce them. Each disciplinary project should identify an institutional question alongside a teaching question and report whether students' contributions altered a task, criterion or rule.</w:t>
      </w:r>
    </w:p>
    <w:p>
      <w:pPr>
        <w:pStyle w:val="Heading2"/>
      </w:pPr>
      <w:r>
        <w:t>5.3 “Polished outputs are being confused with learning”</w:t>
      </w:r>
    </w:p>
    <w:p>
      <w:pPr/>
      <w:r>
        <w:t>A learner can improve a text by following suggestions without understanding the changes. Another may use assistance to make an argument they understand more accessible. The programme must distinguish these possibilities. Activities should include explanation, feedback, revision and a subsequent opportunity to apply the learning under appropriate conditions. Task design should account for differences between novices and more experienced learners.</w:t>
      </w:r>
    </w:p>
    <w:p>
      <w:pPr>
        <w:pStyle w:val="Heading2"/>
      </w:pPr>
      <w:r>
        <w:t>5.4 “The approach will become surveillance”</w:t>
      </w:r>
    </w:p>
    <w:p>
      <w:pPr/>
      <w:commentRangeStart w:id="9"/>
      <w:r>
        <w:t>Decision accounts can support reflection, but exhaustive logs can create compliance work and expose personal material. Use proportionate, purpose-specific records; do not treat a log as proof of authorship. Missing records alone should not become evidence of misconduct. Public examples should initially be synthetic or explicitly cleared for sharing. Any research collection requires its own approved arrangements and a meaningful choice about participation.</w:t>
      </w:r>
      <w:commentRangeEnd w:id="9"/>
      <w:r>
        <w:rPr>
          <w:rStyle w:val="CommentReference"/>
        </w:rPr>
        <w:commentReference w:id="9"/>
      </w:r>
    </w:p>
    <w:p>
      <w:pPr>
        <w:pStyle w:val="Heading2"/>
      </w:pPr>
      <w:r>
        <w:t>5.5 “The programme normalises commercial AI and marginalises refusal”</w:t>
      </w:r>
    </w:p>
    <w:p>
      <w:pPr/>
      <w:r>
        <w:t>Critical examination includes non-use, restricted use and collective challenge to adoption. Participation in the Commons should not require an AI subscription or the upload of student work. Resources should consider access, linguistic norms, vendor influence and the costs of proposed practices. Where a learning objective does not require live tool use, a supplied example or an alternative activity may be sufficient.</w:t>
      </w:r>
    </w:p>
    <w:p>
      <w:pPr>
        <w:pStyle w:val="Heading2"/>
      </w:pPr>
      <w:r>
        <w:t>5.6 “EAP cannot absorb another unfunded responsibility”</w:t>
      </w:r>
    </w:p>
    <w:p>
      <w:pPr/>
      <w:r>
        <w:t>Professional marginality is a reason to secure resources, not a substitute for them (Ding and Bruce, 2017). A pilot needs allocated coordination, disciplinary review, student participation and technical maintenance. If that capacity is absent, reduce the scope. An underfunded initiative's failure would demonstrate an implementation problem; it would not, by itself, disprove the intellectual case.</w:t>
      </w:r>
    </w:p>
    <w:p>
      <w:pPr>
        <w:pStyle w:val="Heading1"/>
      </w:pPr>
      <w:r>
        <w:t>6. What GAL would build</w:t>
      </w:r>
    </w:p>
    <w:p>
      <w:pPr>
        <w:pStyle w:val="Heading2"/>
      </w:pPr>
      <w:r>
        <w:t>6.1 The AI for EAP Commons</w:t>
      </w:r>
    </w:p>
    <w:p>
      <w:pPr/>
      <w:commentRangeStart w:id="10"/>
      <w:r>
        <w:t>The Commons would be the programme's shared working infrastructure. Its public purpose is straightforward: help educators design teaching in which students learn to make and defend disciplinary judgements when AI is available. It should welcome educators across higher education while making its EAP and academic literacies foundations visible.</w:t>
      </w:r>
      <w:commentRangeEnd w:id="10"/>
      <w:r>
        <w:rPr>
          <w:rStyle w:val="CommentReference"/>
        </w:rPr>
        <w:commentReference w:id="10"/>
      </w:r>
    </w:p>
    <w:p>
      <w:pPr/>
      <w:r>
        <w:t>Its first release should organise resources around teaching problems: reading sources, developing claims, making sense of feedback, revising meaning, deciding about assistance and designing assessment. A visitor should be able to find a resource, understand its limits and adapt it for a class without first reading this paper.</w:t>
      </w:r>
    </w:p>
    <w:p>
      <w:pPr/>
      <w:r>
        <w:t>Every resource should specify a task, a learning purpose, the learner's decisions, a worked example, teaching instructions, an accessible alternative and a way of checking learning. It should also name the disciplinary conventions in play and invite scrutiny of them. Review status, use in teaching and evidence of effectiveness should be reported separately.</w:t>
      </w:r>
    </w:p>
    <w:p>
      <w:pPr/>
      <w:r>
        <w:t>The collection should begin with a small group of contrasting disciplinary cases and grow through documented adaptation. A Commons requires shared stewardship: contributor credit, transparent review, clear reuse permissions, correction and withdrawal routes, and a plan for maintenance. Downloads alone do not make a collection a Commons.</w:t>
      </w:r>
    </w:p>
    <w:p>
      <w:pPr>
        <w:pStyle w:val="Heading2"/>
      </w:pPr>
      <w:r>
        <w:t>6.2 A practitioner-development pathway</w:t>
      </w:r>
    </w:p>
    <w:p>
      <w:pPr/>
      <w:r>
        <w:t>Four stages offer an initial structure: understand the task and technology; analyse meaning and participation; design and evaluate teaching; contribute to institutional change and shared inquiry. Participants should produce a small portfolio containing a task analysis, a teaching resource, an account of its use and a reasoned revision.</w:t>
      </w:r>
    </w:p>
    <w:p>
      <w:pPr/>
      <w:r>
        <w:t>BALEAP's accreditation criteria provide a potential mapping, including planning and design, teaching and learning, assessment and feedback, and scholarship and development (BALEAP, n.d.). O'Flynn (2026) argues for explicit AI descriptors in the competency framework. A Commons pathway could contribute evidence and proposals to that conversation. It should not imply BALEAP endorsement or award accredited status without an agreed basis.</w:t>
      </w:r>
    </w:p>
    <w:p>
      <w:pPr>
        <w:pStyle w:val="Heading2"/>
      </w:pPr>
      <w:r>
        <w:t>6.3 A research programme</w:t>
      </w:r>
    </w:p>
    <w:p>
      <w:pPr/>
      <w:r>
        <w:t>Study what students learn through assistance, how they explain revisions, how rules affect participation and disclosure, and whether other educators can use the resources. Identify a plausible comparison, limitations and evidence that would challenge the preferred explanation.</w:t>
      </w:r>
    </w:p>
    <w:p>
      <w:pPr/>
      <w:r>
        <w:t>Publish contextual evidence notes, including disappointing results. Later studies should examine transfer, differences across groups and institutional change. Research participation must remain separate from access to teaching and support.</w:t>
      </w:r>
    </w:p>
    <w:p>
      <w:pPr>
        <w:pStyle w:val="Heading2"/>
      </w:pPr>
      <w:r>
        <w:t>6.4 An institutional contribution</w:t>
      </w:r>
    </w:p>
    <w:p>
      <w:pPr/>
      <w:r>
        <w:t>Earn an advisory role by co-designing assessment-specific guidance, facilitating staff discussions and evaluating AI policies. Authorised bodies retain responsibility for assessment, formal cases and institutional policy. EAP leadership becomes credible through better decisions and demonstrable student benefit.</w:t>
      </w:r>
    </w:p>
    <w:p>
      <w:pPr>
        <w:pStyle w:val="Heading1"/>
      </w:pPr>
      <w:r>
        <w:t>7. What would count as success, revision or failure?</w:t>
      </w:r>
    </w:p>
    <w:p>
      <w:pPr/>
      <w:r>
        <w:t>The first review should take place after one teaching cycle; an organisational review should follow after approximately three years, subject to actual resourcing. Targets should be agreed before collecting results. The following are proposed indicators, not validated thresholds.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7D7D7"/>
          <w:left w:val="single" w:sz="4" w:color="D7D7D7"/>
          <w:bottom w:val="single" w:sz="4" w:color="D7D7D7"/>
          <w:right w:val="single" w:sz="4" w:color="D7D7D7"/>
          <w:insideH w:val="single" w:sz="4" w:color="D7D7D7"/>
          <w:insideV w:val="single" w:sz="4" w:color="D7D7D7"/>
        </w:tblBorders>
      </w:tblPr>
      <w:tblGrid>
        <w:gridCol w:w="2560"/>
        <w:gridCol w:w="3500"/>
        <w:gridCol w:w="3300"/>
      </w:tblGrid>
      <w:tr>
        <w:trPr>
          <w:cantSplit/>
          <w:tblHeader/>
        </w:trPr>
        <w:tc>
          <w:tcPr>
            <w:tcW w:type="dxa" w:w="2560"/>
            <w:vAlign w:val="center"/>
            <w:shd w:fill="F2F4F7" w:val="clear"/>
          </w:tcPr>
          <w:p>
            <w:pPr>
              <w:pStyle w:val="TableHeader"/>
              <w:keepNext/>
            </w:pPr>
            <w:r>
              <w:t>Outcome</w:t>
            </w:r>
          </w:p>
        </w:tc>
        <w:tc>
          <w:tcPr>
            <w:tcW w:type="dxa" w:w="3500"/>
            <w:vAlign w:val="center"/>
            <w:shd w:fill="F2F4F7" w:val="clear"/>
          </w:tcPr>
          <w:p>
            <w:pPr>
              <w:pStyle w:val="TableHeader"/>
              <w:keepNext/>
            </w:pPr>
            <w:r>
              <w:t>Evidence to collect</w:t>
            </w:r>
          </w:p>
        </w:tc>
        <w:tc>
          <w:tcPr>
            <w:tcW w:type="dxa" w:w="3300"/>
            <w:vAlign w:val="center"/>
            <w:shd w:fill="F2F4F7" w:val="clear"/>
          </w:tcPr>
          <w:p>
            <w:pPr>
              <w:pStyle w:val="TableHeader"/>
              <w:keepNext/>
            </w:pPr>
            <w:r>
              <w:t>Interpretation limit</w:t>
            </w:r>
          </w:p>
        </w:tc>
      </w:tr>
      <w:tr>
        <w:trPr>
          <w:cantSplit/>
        </w:trPr>
        <w:tc>
          <w:tcPr>
            <w:tcW w:type="dxa" w:w="2560"/>
            <w:vAlign w:val="center"/>
          </w:tcPr>
          <w:p>
            <w:pPr>
              <w:pStyle w:val="TableText"/>
            </w:pPr>
            <w:r>
              <w:t>Learning and judgement</w:t>
            </w:r>
          </w:p>
        </w:tc>
        <w:tc>
          <w:tcPr>
            <w:tcW w:type="dxa" w:w="3500"/>
            <w:vAlign w:val="center"/>
          </w:tcPr>
          <w:p>
            <w:pPr>
              <w:pStyle w:val="TableText"/>
            </w:pPr>
            <w:r>
              <w:t>Explanations, revisions and later task performance</w:t>
            </w:r>
          </w:p>
        </w:tc>
        <w:tc>
          <w:tcPr>
            <w:tcW w:type="dxa" w:w="3300"/>
            <w:vAlign w:val="center"/>
          </w:tcPr>
          <w:p>
            <w:pPr>
              <w:pStyle w:val="TableText"/>
            </w:pPr>
            <w:r>
              <w:t>Better outputs or confidence alone are insufficient</w:t>
            </w:r>
          </w:p>
        </w:tc>
      </w:tr>
      <w:tr>
        <w:trPr>
          <w:cantSplit/>
        </w:trPr>
        <w:tc>
          <w:tcPr>
            <w:tcW w:type="dxa" w:w="2560"/>
            <w:vAlign w:val="center"/>
          </w:tcPr>
          <w:p>
            <w:pPr>
              <w:pStyle w:val="TableText"/>
            </w:pPr>
            <w:r>
              <w:t>Transfer</w:t>
            </w:r>
          </w:p>
        </w:tc>
        <w:tc>
          <w:tcPr>
            <w:tcW w:type="dxa" w:w="3500"/>
            <w:vAlign w:val="center"/>
          </w:tcPr>
          <w:p>
            <w:pPr>
              <w:pStyle w:val="TableText"/>
            </w:pPr>
            <w:r>
              <w:t>Performance in a new task or context</w:t>
            </w:r>
          </w:p>
        </w:tc>
        <w:tc>
          <w:tcPr>
            <w:tcW w:type="dxa" w:w="3300"/>
            <w:vAlign w:val="center"/>
          </w:tcPr>
          <w:p>
            <w:pPr>
              <w:pStyle w:val="TableText"/>
            </w:pPr>
            <w:r>
              <w:t>A small local improvement is not sector-wide effectiveness</w:t>
            </w:r>
          </w:p>
        </w:tc>
      </w:tr>
      <w:tr>
        <w:trPr>
          <w:cantSplit/>
        </w:trPr>
        <w:tc>
          <w:tcPr>
            <w:tcW w:type="dxa" w:w="2560"/>
            <w:vAlign w:val="center"/>
          </w:tcPr>
          <w:p>
            <w:pPr>
              <w:pStyle w:val="TableText"/>
            </w:pPr>
            <w:r>
              <w:t>Equitable participation</w:t>
            </w:r>
          </w:p>
        </w:tc>
        <w:tc>
          <w:tcPr>
            <w:tcW w:type="dxa" w:w="3500"/>
            <w:vAlign w:val="center"/>
          </w:tcPr>
          <w:p>
            <w:pPr>
              <w:pStyle w:val="TableText"/>
            </w:pPr>
            <w:r>
              <w:t>Access, burden and experience across relevant groups</w:t>
            </w:r>
          </w:p>
        </w:tc>
        <w:tc>
          <w:tcPr>
            <w:tcW w:type="dxa" w:w="3300"/>
            <w:vAlign w:val="center"/>
          </w:tcPr>
          <w:p>
            <w:pPr>
              <w:pStyle w:val="TableText"/>
            </w:pPr>
            <w:r>
              <w:t>Aggregate improvement can conceal unequal outcomes</w:t>
            </w:r>
          </w:p>
        </w:tc>
      </w:tr>
      <w:tr>
        <w:trPr>
          <w:cantSplit/>
        </w:trPr>
        <w:tc>
          <w:tcPr>
            <w:tcW w:type="dxa" w:w="2560"/>
            <w:vAlign w:val="center"/>
          </w:tcPr>
          <w:p>
            <w:pPr>
              <w:pStyle w:val="TableText"/>
            </w:pPr>
            <w:r>
              <w:t>Changed institutional practice</w:t>
            </w:r>
          </w:p>
        </w:tc>
        <w:tc>
          <w:tcPr>
            <w:tcW w:type="dxa" w:w="3500"/>
            <w:vAlign w:val="center"/>
          </w:tcPr>
          <w:p>
            <w:pPr>
              <w:pStyle w:val="TableText"/>
            </w:pPr>
            <w:r>
              <w:t>Revised tasks, criteria or rules with student input</w:t>
            </w:r>
          </w:p>
        </w:tc>
        <w:tc>
          <w:tcPr>
            <w:tcW w:type="dxa" w:w="3300"/>
            <w:vAlign w:val="center"/>
          </w:tcPr>
          <w:p>
            <w:pPr>
              <w:pStyle w:val="TableText"/>
            </w:pPr>
            <w:r>
              <w:t>A policy document alone may not change practice</w:t>
            </w:r>
          </w:p>
        </w:tc>
      </w:tr>
      <w:tr>
        <w:trPr>
          <w:cantSplit/>
        </w:trPr>
        <w:tc>
          <w:tcPr>
            <w:tcW w:type="dxa" w:w="2560"/>
            <w:vAlign w:val="center"/>
          </w:tcPr>
          <w:p>
            <w:pPr>
              <w:pStyle w:val="TableText"/>
            </w:pPr>
            <w:r>
              <w:t>Independent usefulness</w:t>
            </w:r>
          </w:p>
        </w:tc>
        <w:tc>
          <w:tcPr>
            <w:tcW w:type="dxa" w:w="3500"/>
            <w:vAlign w:val="center"/>
          </w:tcPr>
          <w:p>
            <w:pPr>
              <w:pStyle w:val="TableText"/>
            </w:pPr>
            <w:r>
              <w:t>Resources run and adapted by other educators</w:t>
            </w:r>
          </w:p>
        </w:tc>
        <w:tc>
          <w:tcPr>
            <w:tcW w:type="dxa" w:w="3300"/>
            <w:vAlign w:val="center"/>
          </w:tcPr>
          <w:p>
            <w:pPr>
              <w:pStyle w:val="TableText"/>
            </w:pPr>
            <w:r>
              <w:t>Downloads and positive reactions are weak proxies</w:t>
            </w:r>
          </w:p>
        </w:tc>
      </w:tr>
      <w:tr>
        <w:trPr>
          <w:cantSplit/>
        </w:trPr>
        <w:tc>
          <w:tcPr>
            <w:tcW w:type="dxa" w:w="2560"/>
            <w:vAlign w:val="center"/>
          </w:tcPr>
          <w:p>
            <w:pPr>
              <w:pStyle w:val="TableText"/>
            </w:pPr>
            <w:r>
              <w:t>Sustainability</w:t>
            </w:r>
          </w:p>
        </w:tc>
        <w:tc>
          <w:tcPr>
            <w:tcW w:type="dxa" w:w="3500"/>
            <w:vAlign w:val="center"/>
          </w:tcPr>
          <w:p>
            <w:pPr>
              <w:pStyle w:val="TableText"/>
            </w:pPr>
            <w:r>
              <w:t>Actual staff time, review capacity and maintenance</w:t>
            </w:r>
          </w:p>
        </w:tc>
        <w:tc>
          <w:tcPr>
            <w:tcW w:type="dxa" w:w="3300"/>
            <w:vAlign w:val="center"/>
          </w:tcPr>
          <w:p>
            <w:pPr>
              <w:pStyle w:val="TableText"/>
            </w:pPr>
            <w:r>
              <w:t>Growth without ownership may increase fragility</w:t>
            </w:r>
          </w:p>
        </w:tc>
      </w:tr>
    </w:tbl>
    <w:p>
      <w:pPr>
        <w:spacing w:after="0" w:before="0" w:line="60" w:lineRule="exact"/>
      </w:pPr>
      <w:r>
        <w:rPr>
          <w:sz w:val="6"/>
        </w:rPr>
      </w:r>
    </w:p>
    <w:p>
      <w:pPr/>
      <w:r>
        <w:t>Integrity-case data require particular care. Distinguish allegations from substantiated findings and consider changes in reporting, policy and population composition. Establish local baselines; the HEPI survey does not supply a longitudinal measure of false accusation specifically among multilingual students. Fewer cases could reflect either better practice or reduced willingness to disclose concerns.</w:t>
      </w:r>
    </w:p>
    <w:p>
      <w:pPr/>
      <w:commentRangeStart w:id="11"/>
      <w:r>
        <w:t>Continue and expand if resources support worthwhile learning and participation at a sustainable cost. Revise methods if logs create burden, learning does not transfer or disciplinary partners find the approach unhelpful. Integrate into an existing initiative if a separate programme adds little. Consider a subfield claim if a durable community, cumulative scholarship and independently useful practices emerge. Absorption into ordinary EAP or broader educational practice would be a successful outcome where the educational contribution survives.</w:t>
      </w:r>
      <w:commentRangeEnd w:id="11"/>
      <w:r>
        <w:rPr>
          <w:rStyle w:val="CommentReference"/>
        </w:rPr>
        <w:commentReference w:id="11"/>
      </w:r>
    </w:p>
    <w:p>
      <w:pPr>
        <w:pStyle w:val="Heading1"/>
      </w:pPr>
      <w:r>
        <w:t>8. Conclusion</w:t>
      </w:r>
    </w:p>
    <w:p>
      <w:pPr/>
      <w:r>
        <w:t>Academic literacies provides a strong basis for asking what AI changes about academic knowledge-making, participation and judgement. EAP has substantial expertise to contribute, particularly through collaborative work on disciplinary communication. These commitments justify an organised programme now, while leaving the eventual status of GAL open.</w:t>
      </w:r>
    </w:p>
    <w:p>
      <w:pPr/>
      <w:r>
        <w:t>The next step is to establish a small, well-supported AI for EAP Commons, build a coherent set of resources with educators and students, and investigate what happens when they are used. The programme will earn authority by explaining difficult problems, improving teaching and making institutional practices more open to scrutiny. That is a stronger foundation for a field than a claim to territory.</w:t>
      </w:r>
    </w:p>
    <w:p>
      <w:pPr>
        <w:pStyle w:val="Heading1"/>
        <w:pageBreakBefore/>
      </w:pPr>
      <w:r>
        <w:t>References</w:t>
      </w:r>
    </w:p>
    <w:p>
      <w:pPr>
        <w:pStyle w:val="Reference"/>
      </w:pPr>
      <w:r>
        <w:t>Abbott, A. (2001) Chaos of Disciplines. Chicago: University of Chicago Press.</w:t>
      </w:r>
    </w:p>
    <w:p>
      <w:pPr>
        <w:pStyle w:val="Reference"/>
      </w:pPr>
      <w:r>
        <w:t xml:space="preserve">AWAC Working Group on AI in WAC (2025) AWAC Statement on AI and Writing Across the Curriculum. Version 2.0. Association for Writing Across the Curriculum. </w:t>
      </w:r>
      <w:hyperlink r:id="rId11">
        <w:r>
          <w:rPr>
            <w:color w:val="315B78"/>
            <w:u w:val="single"/>
          </w:rPr>
          <w:t>AWAC: Statement on AI and Writing Across the Curriculum</w:t>
        </w:r>
      </w:hyperlink>
      <w:r/>
      <w:r/>
    </w:p>
    <w:p>
      <w:pPr>
        <w:pStyle w:val="Reference"/>
      </w:pPr>
      <w:r>
        <w:t xml:space="preserve">BALEAP (n.d.) ‘Pathways to TEAP accreditation’, TEAP accreditation handbook. </w:t>
      </w:r>
      <w:hyperlink r:id="rId12">
        <w:r>
          <w:rPr>
            <w:color w:val="315B78"/>
            <w:u w:val="single"/>
          </w:rPr>
          <w:t>BALEAP: TEAP accreditation handbook</w:t>
        </w:r>
      </w:hyperlink>
      <w:r/>
      <w:r>
        <w:t xml:space="preserve"> (Accessed: 5 September 2026).</w:t>
      </w:r>
    </w:p>
    <w:p>
      <w:pPr>
        <w:pStyle w:val="Reference"/>
      </w:pPr>
      <w:r>
        <w:t xml:space="preserve">Bax, S. (2003) ‘CALL – past, present and future’, System, 31(1), pp. 13–28. </w:t>
      </w:r>
      <w:hyperlink r:id="rId13">
        <w:r>
          <w:rPr>
            <w:color w:val="315B78"/>
            <w:u w:val="single"/>
          </w:rPr>
          <w:t>doi.org/10.1016/S0346-251X(02)00071-4</w:t>
        </w:r>
      </w:hyperlink>
      <w:r/>
      <w:r/>
    </w:p>
    <w:p>
      <w:pPr>
        <w:pStyle w:val="Reference"/>
      </w:pPr>
      <w:r>
        <w:t>Becher, T. and Trowler, P.R. (2001) Academic Tribes and Territories: Intellectual Enquiry and the Culture of Disciplines. 2nd edn. Buckingham: SRHE and Open University Press.</w:t>
      </w:r>
    </w:p>
    <w:p>
      <w:pPr>
        <w:pStyle w:val="Reference"/>
      </w:pPr>
      <w:r>
        <w:t xml:space="preserve">Cargill, M. and Burgess, S. (2008) ‘Introduction to the special issue: English for Research Publication Purposes’, Journal of English for Academic Purposes, 7(2), pp. 75–76. </w:t>
      </w:r>
      <w:hyperlink r:id="rId14">
        <w:r>
          <w:rPr>
            <w:color w:val="315B78"/>
            <w:u w:val="single"/>
          </w:rPr>
          <w:t>doi.org/10.1016/j.jeap.2008.02.006</w:t>
        </w:r>
      </w:hyperlink>
      <w:r/>
      <w:r/>
    </w:p>
    <w:p>
      <w:pPr>
        <w:pStyle w:val="Reference"/>
      </w:pPr>
      <w:r>
        <w:t xml:space="preserve">Crosthwaite, P., Sun, S.(A.) and Jiang, F.(K.) (2026) ‘Prompt sensitivity in AI writing: a methodological caution for corpus-based analysis of AI-generated language’, The Modern Language Journal. Advance online publication, 20 August. </w:t>
      </w:r>
      <w:hyperlink r:id="rId15">
        <w:r>
          <w:rPr>
            <w:color w:val="315B78"/>
            <w:u w:val="single"/>
          </w:rPr>
          <w:t>doi.org/10.1111/modl.70089</w:t>
        </w:r>
      </w:hyperlink>
      <w:r/>
      <w:r/>
    </w:p>
    <w:p>
      <w:pPr>
        <w:pStyle w:val="Reference"/>
      </w:pPr>
      <w:r>
        <w:t>Ding, A. and Bruce, I. (2017) The English for Academic Purposes Practitioner: Operating on the Edge of Academia. Cham: Palgrave Macmillan.</w:t>
      </w:r>
    </w:p>
    <w:p>
      <w:pPr>
        <w:pStyle w:val="Reference"/>
      </w:pPr>
      <w:r>
        <w:t xml:space="preserve">Flowerdew, J. (2015) ‘Some thoughts on English for Research Publication Purposes (ERPP) and related issues’, Language Teaching, 48(2), pp. 250–262. </w:t>
      </w:r>
      <w:hyperlink r:id="rId16">
        <w:r>
          <w:rPr>
            <w:color w:val="315B78"/>
            <w:u w:val="single"/>
          </w:rPr>
          <w:t>doi.org/10.1017/S0261444812000523</w:t>
        </w:r>
      </w:hyperlink>
      <w:r/>
      <w:r/>
    </w:p>
    <w:p>
      <w:pPr>
        <w:pStyle w:val="Reference"/>
      </w:pPr>
      <w:r>
        <w:t>Gourlay, L. and Oliver, M. (2018) Student Engagement in the Digital University: Sociomaterial Assemblages. Abingdon: Routledge.</w:t>
      </w:r>
    </w:p>
    <w:p>
      <w:pPr>
        <w:pStyle w:val="Reference"/>
      </w:pPr>
      <w:r>
        <w:t xml:space="preserve">Hyland, K. (2005) ‘Stance and engagement: a model of interaction in academic discourse’, Discourse Studies, 7(2), pp. 173–192. </w:t>
      </w:r>
      <w:hyperlink r:id="rId17">
        <w:r>
          <w:rPr>
            <w:color w:val="315B78"/>
            <w:u w:val="single"/>
          </w:rPr>
          <w:t>doi.org/10.1177/1461445605050365</w:t>
        </w:r>
      </w:hyperlink>
      <w:r/>
      <w:r/>
    </w:p>
    <w:p>
      <w:pPr>
        <w:pStyle w:val="Reference"/>
      </w:pPr>
      <w:r>
        <w:t>Ivanič, R. (1998) Writing and Identity: The Discoursal Construction of Identity in Academic Writing. Amsterdam: John Benjamins.</w:t>
      </w:r>
    </w:p>
    <w:p>
      <w:pPr>
        <w:pStyle w:val="Reference"/>
      </w:pPr>
      <w:r>
        <w:t xml:space="preserve">Jiang, F.(K.) and Hyland, K. (2025a) ‘Metadiscursive nouns in academic argument: ChatGPT vs student practices’, Journal of English for Academic Purposes, 75, 101514. </w:t>
      </w:r>
      <w:hyperlink r:id="rId18">
        <w:r>
          <w:rPr>
            <w:color w:val="315B78"/>
            <w:u w:val="single"/>
          </w:rPr>
          <w:t>doi.org/10.1016/j.jeap.2025.101514</w:t>
        </w:r>
      </w:hyperlink>
      <w:r/>
      <w:r/>
    </w:p>
    <w:p>
      <w:pPr>
        <w:pStyle w:val="Reference"/>
      </w:pPr>
      <w:r>
        <w:t xml:space="preserve">Jiang, F.(K.) and Hyland, K. (2025b) ‘Rhetorical distinctions: comparing metadiscourse in essays by ChatGPT and students’, English for Specific Purposes, 79, pp. 17–29. </w:t>
      </w:r>
      <w:hyperlink r:id="rId19">
        <w:r>
          <w:rPr>
            <w:color w:val="315B78"/>
            <w:u w:val="single"/>
          </w:rPr>
          <w:t>doi.org/10.1016/j.esp.2025.03.001</w:t>
        </w:r>
      </w:hyperlink>
      <w:r/>
      <w:r/>
    </w:p>
    <w:p>
      <w:pPr>
        <w:pStyle w:val="Reference"/>
      </w:pPr>
      <w:r>
        <w:t xml:space="preserve">Jisc (2025) Student Perceptions of AI 2025. 22 May. </w:t>
      </w:r>
      <w:hyperlink r:id="rId20">
        <w:r>
          <w:rPr>
            <w:color w:val="315B78"/>
            <w:u w:val="single"/>
          </w:rPr>
          <w:t>Jisc: Student Perceptions of AI 2025</w:t>
        </w:r>
      </w:hyperlink>
      <w:r/>
      <w:r/>
    </w:p>
    <w:p>
      <w:pPr>
        <w:pStyle w:val="Reference"/>
      </w:pPr>
      <w:r>
        <w:t xml:space="preserve">Lea, M.R. and Jones, S. (2011) ‘Digital literacies in higher education: exploring textual and technological practice’, Studies in Higher Education, 36(4), pp. 377–393. </w:t>
      </w:r>
      <w:hyperlink r:id="rId21">
        <w:r>
          <w:rPr>
            <w:color w:val="315B78"/>
            <w:u w:val="single"/>
          </w:rPr>
          <w:t>doi.org/10.1080/03075071003664021</w:t>
        </w:r>
      </w:hyperlink>
      <w:r/>
      <w:r/>
    </w:p>
    <w:p>
      <w:pPr>
        <w:pStyle w:val="Reference"/>
      </w:pPr>
      <w:r>
        <w:t xml:space="preserve">Lea, M.R. and Street, B.V. (1998) ‘Student writing in higher education: an academic literacies approach’, Studies in Higher Education, 23(2), pp. 157–172. </w:t>
      </w:r>
      <w:hyperlink r:id="rId22">
        <w:r>
          <w:rPr>
            <w:color w:val="315B78"/>
            <w:u w:val="single"/>
          </w:rPr>
          <w:t>doi.org/10.1080/03075079812331380364</w:t>
        </w:r>
      </w:hyperlink>
      <w:r/>
      <w:r/>
    </w:p>
    <w:p>
      <w:pPr>
        <w:pStyle w:val="Reference"/>
      </w:pPr>
      <w:r>
        <w:t xml:space="preserve">Liang, W., Yuksekgonul, M., Mao, Y., Wu, E. and Zou, J. (2023) ‘GPT detectors are biased against non-native English writers’, Patterns, 4(7), 100779. </w:t>
      </w:r>
      <w:hyperlink r:id="rId23">
        <w:r>
          <w:rPr>
            <w:color w:val="315B78"/>
            <w:u w:val="single"/>
          </w:rPr>
          <w:t>doi.org/10.1016/j.patter.2023.100779</w:t>
        </w:r>
      </w:hyperlink>
      <w:r/>
      <w:r/>
    </w:p>
    <w:p>
      <w:pPr>
        <w:pStyle w:val="Reference"/>
      </w:pPr>
      <w:r>
        <w:t xml:space="preserve">Lillis, T., Harrington, K., Lea, M.R. and Mitchell, S. (eds) (2015) Working with Academic Literacies: Case Studies towards Transformative Practice. Fort Collins, CO: WAC Clearinghouse; Anderson, SC: Parlor Press. </w:t>
      </w:r>
      <w:hyperlink r:id="rId24">
        <w:r>
          <w:rPr>
            <w:color w:val="315B78"/>
            <w:u w:val="single"/>
          </w:rPr>
          <w:t>doi.org/10.37514/PER-B.2015.0674</w:t>
        </w:r>
      </w:hyperlink>
      <w:r/>
      <w:r/>
    </w:p>
    <w:p>
      <w:pPr>
        <w:pStyle w:val="Reference"/>
      </w:pPr>
      <w:r>
        <w:t xml:space="preserve">Lillis, T. and Scott, M. (2007) ‘Defining academic literacies research: issues of epistemology, ideology and strategy’, Journal of Applied Linguistics, 4(1), pp. 5–32. </w:t>
      </w:r>
      <w:hyperlink r:id="rId25">
        <w:r>
          <w:rPr>
            <w:color w:val="315B78"/>
            <w:u w:val="single"/>
          </w:rPr>
          <w:t>doi.org/10.1558/japl.v4i1.5</w:t>
        </w:r>
      </w:hyperlink>
      <w:r/>
      <w:r/>
    </w:p>
    <w:p>
      <w:pPr>
        <w:pStyle w:val="Reference"/>
      </w:pPr>
      <w:r>
        <w:t xml:space="preserve">Mo, Z. and Crosthwaite, P. (2025) ‘Exploring the affordances of generative AI large language models for stance and engagement in academic writing’, Journal of English for Academic Purposes, 75, 101499. </w:t>
      </w:r>
      <w:hyperlink r:id="rId26">
        <w:r>
          <w:rPr>
            <w:color w:val="315B78"/>
            <w:u w:val="single"/>
          </w:rPr>
          <w:t>doi.org/10.1016/j.jeap.2025.101499</w:t>
        </w:r>
      </w:hyperlink>
      <w:r/>
      <w:r/>
    </w:p>
    <w:p>
      <w:pPr>
        <w:pStyle w:val="Reference"/>
      </w:pPr>
      <w:r>
        <w:t xml:space="preserve">O’Flynn, J. (2026) ‘Bridging the 2008–2026 gap: updating the BALEAP Competencies Framework for the AI era’, BALEAP Journal of Research and Practice, 2(1), pp. 118–129. </w:t>
      </w:r>
      <w:hyperlink r:id="rId27">
        <w:r>
          <w:rPr>
            <w:color w:val="315B78"/>
            <w:u w:val="single"/>
          </w:rPr>
          <w:t>doi.org/10.31273/baleapjrp.v2.n1.2189</w:t>
        </w:r>
      </w:hyperlink>
      <w:r/>
      <w:r/>
    </w:p>
    <w:p>
      <w:pPr>
        <w:pStyle w:val="Reference"/>
      </w:pPr>
      <w:r>
        <w:t xml:space="preserve">Stephenson, R. and Armstrong, C. (2026) Student Generative Artificial Intelligence Survey 2026. HEPI Report 199. Oxford: Higher Education Policy Institute. </w:t>
      </w:r>
      <w:hyperlink r:id="rId28">
        <w:r>
          <w:rPr>
            <w:color w:val="315B78"/>
            <w:u w:val="single"/>
          </w:rPr>
          <w:t>HEPI: Student AI Survey 2026</w:t>
        </w:r>
      </w:hyperlink>
      <w:r/>
      <w:r/>
    </w:p>
    <w:p>
      <w:pPr>
        <w:pStyle w:val="Reference"/>
      </w:pPr>
      <w:r>
        <w:t>Street, B.V. (1984) Literacy in Theory and Practice. Cambridge: Cambridge University Press.</w:t>
      </w:r>
    </w:p>
    <w:p>
      <w:pPr>
        <w:pStyle w:val="Reference"/>
      </w:pPr>
      <w:r>
        <w:t>Swales, J.M. (1990) Genre Analysis: English in Academic and Research Settings. Cambridge: Cambridge University Press.</w:t>
      </w:r>
    </w:p>
    <w:p>
      <w:pPr>
        <w:pStyle w:val="Reference"/>
      </w:pPr>
      <w:r>
        <w:t xml:space="preserve">Vee, A., Laquintano, T. and Schnitzler, C. (eds) (2023) TextGenEd: Teaching with Text Generation Technologies. Fort Collins, CO: WAC Clearinghouse. </w:t>
      </w:r>
      <w:hyperlink r:id="rId29">
        <w:r>
          <w:rPr>
            <w:color w:val="315B78"/>
            <w:u w:val="single"/>
          </w:rPr>
          <w:t>WAC Clearinghouse: TextGenEd</w:t>
        </w:r>
      </w:hyperlink>
      <w:r/>
      <w:r/>
    </w:p>
    <w:p>
      <w:pPr>
        <w:pStyle w:val="Reference"/>
      </w:pPr>
      <w:r>
        <w:t xml:space="preserve">Weber-Wulff, D., Anohina-Naumeca, A., Bjelobaba, S., Foltýnek, T., Guerrero-Dib, J., Popoola, O., Šigut, P. and Waddington, L. (2023) ‘Testing of detection tools for AI-generated text’, International Journal for Educational Integrity, 19, 26. </w:t>
      </w:r>
      <w:hyperlink r:id="rId30">
        <w:r>
          <w:rPr>
            <w:color w:val="315B78"/>
            <w:u w:val="single"/>
          </w:rPr>
          <w:t>doi.org/10.1007/s40979-023-00146-z</w:t>
        </w:r>
      </w:hyperlink>
      <w:r/>
      <w:r/>
    </w:p>
    <w:p>
      <w:pPr>
        <w:pStyle w:val="Reference"/>
      </w:pPr>
      <w:r>
        <w:t xml:space="preserve">Wingate, U. (2018) ‘Academic literacy across the curriculum: towards a collaborative instructional approach’, Language Teaching, 51(3), pp. 349–364. </w:t>
      </w:r>
      <w:hyperlink r:id="rId31">
        <w:r>
          <w:rPr>
            <w:color w:val="315B78"/>
            <w:u w:val="single"/>
          </w:rPr>
          <w:t>doi.org/10.1017/S0261444816000264</w:t>
        </w:r>
      </w:hyperlink>
      <w: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09-05T23:15:11Z">
    <w:p>
      <w:pPr>
        <w:pStyle w:val="CommentText"/>
      </w:pPr>
      <w:r>
        <w:rPr>
          <w:rStyle w:val="CommentReference"/>
        </w:rPr>
        <w:annotationRef/>
      </w:r>
      <w:r>
        <w:t>Strategic revision of original §1: separates the intellectual framework from institutional ownership. EAP leadership remains central; subfield recognition becomes a proposition to test.</w:t>
      </w:r>
    </w:p>
  </w:comment>
  <w:comment w:id="1" w:author="Editorial review" w:initials="ER" w:date="2026-09-05T23:15:11Z">
    <w:p>
      <w:pPr>
        <w:pStyle w:val="CommentText"/>
      </w:pPr>
      <w:r>
        <w:rPr>
          <w:rStyle w:val="CommentReference"/>
        </w:rPr>
        <w:annotationRef/>
      </w:r>
      <w:r>
        <w:t>Original §2 presented these criteria too close to a decisive test. They are now explicitly author-proposed heuristics. The eight-section progression has been retained.</w:t>
      </w:r>
    </w:p>
  </w:comment>
  <w:comment w:id="2" w:author="Editorial review" w:initials="ER" w:date="2026-09-05T23:15:11Z">
    <w:p>
      <w:pPr>
        <w:pStyle w:val="CommentText"/>
      </w:pPr>
      <w:r>
        <w:rPr>
          <w:rStyle w:val="CommentReference"/>
        </w:rPr>
        <w:annotationRef/>
      </w:r>
      <w:r>
        <w:t>Original §3.1 overstated the novelty of distributed academic production. Existing academic and digital literacies research already investigates mediated practices.</w:t>
      </w:r>
    </w:p>
  </w:comment>
  <w:comment w:id="3" w:author="Editorial review" w:initials="ER" w:date="2026-09-05T23:15:11Z">
    <w:p>
      <w:pPr>
        <w:pStyle w:val="CommentText"/>
      </w:pPr>
      <w:r>
        <w:rPr>
          <w:rStyle w:val="CommentReference"/>
        </w:rPr>
        <w:annotationRef/>
      </w:r>
      <w:r>
        <w:t>Original §§3.1–3.2: shifts the autonomous-literacy critique from the machine itself to assumptions made about fluent output. This avoids a category error and preserves the critical insight.</w:t>
      </w:r>
    </w:p>
  </w:comment>
  <w:comment w:id="4" w:author="Editorial review" w:initials="ER" w:date="2026-09-05T23:15:11Z">
    <w:p>
      <w:pPr>
        <w:pStyle w:val="CommentText"/>
      </w:pPr>
      <w:r>
        <w:rPr>
          <w:rStyle w:val="CommentReference"/>
        </w:rPr>
        <w:annotationRef/>
      </w:r>
      <w:r>
        <w:t>Adds the transformative obligation that was underdeveloped in version 3: institutional conventions and power must be open to inquiry, not just taught to students.</w:t>
      </w:r>
    </w:p>
  </w:comment>
  <w:comment w:id="5" w:author="Editorial review" w:initials="ER" w:date="2026-09-05T23:15:11Z">
    <w:p>
      <w:pPr>
        <w:pStyle w:val="CommentText"/>
      </w:pPr>
      <w:r>
        <w:rPr>
          <w:rStyle w:val="CommentReference"/>
        </w:rPr>
        <w:annotationRef/>
      </w:r>
      <w:r>
        <w:t>Corrects overgeneralisation in original §3.2. The study reports variation across models and disciplines. Adds Crosthwaite, Sun and Jiang (2026), published 20 August, on prompt sensitivity.</w:t>
      </w:r>
    </w:p>
  </w:comment>
  <w:comment w:id="6" w:author="Editorial review" w:initials="ER" w:date="2026-09-05T23:15:11Z">
    <w:p>
      <w:pPr>
        <w:pStyle w:val="CommentText"/>
      </w:pPr>
      <w:r>
        <w:rPr>
          <w:rStyle w:val="CommentReference"/>
        </w:rPr>
        <w:annotationRef/>
      </w:r>
      <w:r>
        <w:t>Original §3.3 claimed unprecedented methods. Removes this unsupported novelty claim and confines seam analysis to known revision histories, rather than inferred AI boundaries.</w:t>
      </w:r>
    </w:p>
  </w:comment>
  <w:comment w:id="7" w:author="Editorial review" w:initials="ER" w:date="2026-09-05T23:15:11Z">
    <w:p>
      <w:pPr>
        <w:pStyle w:val="CommentText"/>
      </w:pPr>
      <w:r>
        <w:rPr>
          <w:rStyle w:val="CommentReference"/>
        </w:rPr>
        <w:annotationRef/>
      </w:r>
      <w:r>
        <w:t>Original §3.4: headline percentages confirmed. Adds sample, fieldwork timing and the distinction between broad assistance, submitted prose and misconduct.</w:t>
      </w:r>
    </w:p>
  </w:comment>
  <w:comment w:id="8" w:author="Editorial review" w:initials="ER" w:date="2026-09-05T23:15:11Z">
    <w:p>
      <w:pPr>
        <w:pStyle w:val="CommentText"/>
      </w:pPr>
      <w:r>
        <w:rPr>
          <w:rStyle w:val="CommentReference"/>
        </w:rPr>
        <w:annotationRef/>
      </w:r>
      <w:r>
        <w:t>Original §4 overclaimed exclusive access and dismissed foundation/pre-sessional contexts. Leadership is now conditional on local relationships and capacity.</w:t>
      </w:r>
    </w:p>
  </w:comment>
  <w:comment w:id="9" w:author="Editorial review" w:initials="ER" w:date="2026-09-05T23:15:11Z">
    <w:p>
      <w:pPr>
        <w:pStyle w:val="CommentText"/>
      </w:pPr>
      <w:r>
        <w:rPr>
          <w:rStyle w:val="CommentReference"/>
        </w:rPr>
        <w:annotationRef/>
      </w:r>
      <w:r>
        <w:t>Adds a safeguard to original provenance/disclosure proposals: proportionate records, clear purposes and separate research arrangements. Teaching tools cannot guarantee local policy immunity.</w:t>
      </w:r>
    </w:p>
  </w:comment>
  <w:comment w:id="10" w:author="Editorial review" w:initials="ER" w:date="2026-09-05T23:15:11Z">
    <w:p>
      <w:pPr>
        <w:pStyle w:val="CommentText"/>
      </w:pPr>
      <w:r>
        <w:rPr>
          <w:rStyle w:val="CommentReference"/>
        </w:rPr>
        <w:annotationRef/>
      </w:r>
      <w:r>
        <w:t>Develops original §6 in response to the requested Commons. Gives it a resource standard, a stewardship model and a route from practice to evidence.</w:t>
      </w:r>
    </w:p>
  </w:comment>
  <w:comment w:id="11" w:author="Editorial review" w:initials="ER" w:date="2026-09-05T23:15:11Z">
    <w:p>
      <w:pPr>
        <w:pStyle w:val="CommentText"/>
      </w:pPr>
      <w:r>
        <w:rPr>
          <w:rStyle w:val="CommentReference"/>
        </w:rPr>
        <w:annotationRef/>
      </w:r>
      <w:r>
        <w:t>Reworks original §7: success concerns learning, participation and sustainability. Lack of resources alone does not refute an intellectual claim; integration into existing work is a legitimate outcome.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FOR EAP COMMONS  |  POSITION PAPER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before="0"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202020"/>
      <w:sz w:val="22"/>
      <w:lang w:val="en-GB"/>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666666"/>
      <w:sz w:val="18"/>
      <w:lang w:val="en-GB"/>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666666"/>
      <w:sz w:val="18"/>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i w:val="0"/>
      <w:color w:val="202020"/>
      <w:sz w:val="32"/>
      <w:szCs w:val="28"/>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i w:val="0"/>
      <w:color w:val="202020"/>
      <w:sz w:val="26"/>
      <w:szCs w:val="26"/>
      <w:lang w:val="en-GB"/>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i w:val="0"/>
      <w:color w:val="20202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before="0"/>
      <w:contextualSpacing/>
    </w:pPr>
    <w:rPr>
      <w:rFonts w:asciiTheme="majorHAnsi" w:eastAsiaTheme="majorEastAsia" w:hAnsiTheme="majorHAnsi" w:cstheme="majorBidi" w:ascii="Calibri" w:hAnsi="Calibri"/>
      <w:b/>
      <w:i w:val="0"/>
      <w:color w:val="202020"/>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val="0"/>
      <w:iCs/>
      <w:color w:val="505050"/>
      <w:spacing w:val="15"/>
      <w:sz w:val="26"/>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widowControl/>
      <w:spacing w:before="0" w:after="240" w:line="264" w:lineRule="auto"/>
    </w:pPr>
    <w:rPr>
      <w:rFonts w:ascii="Calibri" w:hAnsi="Calibri"/>
      <w:b w:val="0"/>
      <w:i w:val="0"/>
      <w:color w:val="606060"/>
      <w:sz w:val="18"/>
      <w:lang w:val="en-GB"/>
    </w:rPr>
  </w:style>
  <w:style w:type="paragraph" w:customStyle="1" w:styleId="Reference">
    <w:name w:val="Reference"/>
    <w:pPr>
      <w:keepLines/>
      <w:widowControl/>
      <w:spacing w:before="0" w:after="120" w:line="264" w:lineRule="auto"/>
    </w:pPr>
    <w:rPr>
      <w:rFonts w:ascii="Calibri" w:hAnsi="Calibri"/>
      <w:b w:val="0"/>
      <w:i w:val="0"/>
      <w:color w:val="202020"/>
      <w:sz w:val="20"/>
      <w:lang w:val="en-GB"/>
    </w:rPr>
  </w:style>
  <w:style w:type="paragraph" w:customStyle="1" w:styleId="TableText">
    <w:name w:val="Table Text"/>
    <w:pPr>
      <w:widowControl/>
      <w:spacing w:before="0" w:after="60" w:line="264" w:lineRule="auto"/>
    </w:pPr>
    <w:rPr>
      <w:rFonts w:ascii="Calibri" w:hAnsi="Calibri"/>
      <w:b w:val="0"/>
      <w:i w:val="0"/>
      <w:color w:val="202020"/>
      <w:sz w:val="21"/>
      <w:lang w:val="en-GB"/>
    </w:rPr>
  </w:style>
  <w:style w:type="paragraph" w:customStyle="1" w:styleId="TableHeader">
    <w:name w:val="Table Header"/>
    <w:pPr>
      <w:widowControl/>
      <w:spacing w:before="0" w:after="60" w:line="264" w:lineRule="auto"/>
    </w:pPr>
    <w:rPr>
      <w:rFonts w:ascii="Calibri" w:hAnsi="Calibri"/>
      <w:b/>
      <w:i w:val="0"/>
      <w:color w:val="202020"/>
      <w:sz w:val="21"/>
      <w:lang w:val="en-GB"/>
    </w:rPr>
  </w:style>
  <w:style w:type="paragraph" w:customStyle="1" w:styleId="TableSource">
    <w:name w:val="Table Source"/>
    <w:pPr>
      <w:widowControl/>
      <w:spacing w:before="80" w:after="80" w:line="264" w:lineRule="auto"/>
    </w:pPr>
    <w:rPr>
      <w:rFonts w:ascii="Calibri" w:hAnsi="Calibri"/>
      <w:b w:val="0"/>
      <w:i w:val="0"/>
      <w:color w:val="505050"/>
      <w:sz w:val="19"/>
      <w:lang w:val="en-GB"/>
    </w:rPr>
  </w:style>
  <w:style w:type="paragraph" w:customStyle="1" w:styleId="CommonsBullet">
    <w:name w:val="Commons Bullet"/>
    <w:pPr>
      <w:widowControl/>
      <w:spacing w:before="0" w:after="80" w:line="290" w:lineRule="auto"/>
      <w:ind w:left="540" w:hanging="279"/>
    </w:pPr>
    <w:rPr>
      <w:rFonts w:ascii="Calibri" w:hAnsi="Calibri"/>
      <w:b w:val="0"/>
      <w:i w:val="0"/>
      <w:color w:val="202020"/>
      <w:sz w:val="22"/>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acassociation.org/ai-statement/" TargetMode="External"/><Relationship Id="rId12" Type="http://schemas.openxmlformats.org/officeDocument/2006/relationships/hyperlink" Target="https://www.baleap.org/teap-accreditation-handbook/pathways-to-teap-accreditation" TargetMode="External"/><Relationship Id="rId13" Type="http://schemas.openxmlformats.org/officeDocument/2006/relationships/hyperlink" Target="https://doi.org/10.1016/S0346-251X(02)00071-4" TargetMode="External"/><Relationship Id="rId14" Type="http://schemas.openxmlformats.org/officeDocument/2006/relationships/hyperlink" Target="https://doi.org/10.1016/j.jeap.2008.02.006" TargetMode="External"/><Relationship Id="rId15" Type="http://schemas.openxmlformats.org/officeDocument/2006/relationships/hyperlink" Target="https://doi.org/10.1111/modl.70089" TargetMode="External"/><Relationship Id="rId16" Type="http://schemas.openxmlformats.org/officeDocument/2006/relationships/hyperlink" Target="https://doi.org/10.1017/S0261444812000523" TargetMode="External"/><Relationship Id="rId17" Type="http://schemas.openxmlformats.org/officeDocument/2006/relationships/hyperlink" Target="https://doi.org/10.1177/1461445605050365" TargetMode="External"/><Relationship Id="rId18" Type="http://schemas.openxmlformats.org/officeDocument/2006/relationships/hyperlink" Target="https://doi.org/10.1016/j.jeap.2025.101514" TargetMode="External"/><Relationship Id="rId19" Type="http://schemas.openxmlformats.org/officeDocument/2006/relationships/hyperlink" Target="https://doi.org/10.1016/j.esp.2025.03.001" TargetMode="External"/><Relationship Id="rId20" Type="http://schemas.openxmlformats.org/officeDocument/2006/relationships/hyperlink" Target="https://www.jisc.ac.uk/reports/student-perceptions-of-ai-2025" TargetMode="External"/><Relationship Id="rId21" Type="http://schemas.openxmlformats.org/officeDocument/2006/relationships/hyperlink" Target="https://doi.org/10.1080/03075071003664021" TargetMode="External"/><Relationship Id="rId22" Type="http://schemas.openxmlformats.org/officeDocument/2006/relationships/hyperlink" Target="https://doi.org/10.1080/03075079812331380364" TargetMode="External"/><Relationship Id="rId23" Type="http://schemas.openxmlformats.org/officeDocument/2006/relationships/hyperlink" Target="https://doi.org/10.1016/j.patter.2023.100779" TargetMode="External"/><Relationship Id="rId24" Type="http://schemas.openxmlformats.org/officeDocument/2006/relationships/hyperlink" Target="https://doi.org/10.37514/PER-B.2015.0674" TargetMode="External"/><Relationship Id="rId25" Type="http://schemas.openxmlformats.org/officeDocument/2006/relationships/hyperlink" Target="https://doi.org/10.1558/japl.v4i1.5" TargetMode="External"/><Relationship Id="rId26" Type="http://schemas.openxmlformats.org/officeDocument/2006/relationships/hyperlink" Target="https://doi.org/10.1016/j.jeap.2025.101499" TargetMode="External"/><Relationship Id="rId27" Type="http://schemas.openxmlformats.org/officeDocument/2006/relationships/hyperlink" Target="https://doi.org/10.31273/baleapjrp.v2.n1.2189" TargetMode="External"/><Relationship Id="rId28" Type="http://schemas.openxmlformats.org/officeDocument/2006/relationships/hyperlink" Target="https://www.hepi.ac.uk/reports/student-generative-ai-survey-2026/" TargetMode="External"/><Relationship Id="rId29" Type="http://schemas.openxmlformats.org/officeDocument/2006/relationships/hyperlink" Target="https://wacclearinghouse.org/repository/collections/textgened/" TargetMode="External"/><Relationship Id="rId30" Type="http://schemas.openxmlformats.org/officeDocument/2006/relationships/hyperlink" Target="https://doi.org/10.1007/s40979-023-00146-z" TargetMode="External"/><Relationship Id="rId31" Type="http://schemas.openxmlformats.org/officeDocument/2006/relationships/hyperlink" Target="https://doi.org/10.1017/S0261444816000264" TargetMode="External"/><Relationship Id="rId3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Academic Literacies</dc:title>
  <dc:subject>Academic literacies, EAP and generative AI</dc:subject>
  <dc:creator/>
  <cp:keywords>Academic literacies; EAP; AI; Commons</cp:keywords>
  <dc:description>generated by python-docx</dc:description>
  <cp:lastModifiedBy/>
  <cp:revision>1</cp:revision>
  <dcterms:created xsi:type="dcterms:W3CDTF">2013-12-23T23:15:00Z</dcterms:created>
  <dcterms:modified xsi:type="dcterms:W3CDTF">2013-12-23T23:15:00Z</dcterms:modified>
  <cp:category/>
</cp:coreProperties>
</file>