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Calibri" w:cs="Calibri" w:eastAsia="Calibri" w:hAnsi="Calibri"/>
          <w:b/>
          <w:bCs/>
          <w:color w:val="1F3A52"/>
          <w:sz w:val="52"/>
          <w:szCs w:val="52"/>
        </w:rPr>
        <w:t xml:space="preserve">Authorship in the Age of AI</w:t>
      </w:r>
    </w:p>
    <w:p>
      <w:pPr>
        <w:spacing w:after="120"/>
      </w:pPr>
      <w:r>
        <w:rPr>
          <w:rFonts w:ascii="Calibri" w:cs="Calibri" w:eastAsia="Calibri" w:hAnsi="Calibri"/>
          <w:color w:val="4A5568"/>
          <w:sz w:val="28"/>
          <w:szCs w:val="28"/>
        </w:rPr>
        <w:t xml:space="preserve">Rethinking authorship for student assessment in higher education: an academic literacies position paper</w:t>
      </w:r>
    </w:p>
    <w:p>
      <w:pPr>
        <w:pBdr>
          <w:bottom w:val="single" w:color="1F3A52" w:sz="8" w:space="8"/>
        </w:pBdr>
        <w:spacing w:after="480"/>
      </w:pPr>
      <w:r>
        <w:rPr>
          <w:rFonts w:ascii="Calibri" w:cs="Calibri" w:eastAsia="Calibri" w:hAnsi="Calibri"/>
          <w:i/>
          <w:iCs/>
          <w:color w:val="6B7280"/>
          <w:sz w:val="20"/>
          <w:szCs w:val="20"/>
        </w:rPr>
        <w:t xml:space="preserve">Position paper — draft for discussion, September 2026</w:t>
      </w:r>
    </w:p>
    <w:p>
      <w:pPr>
        <w:keepNext/>
        <w:keepLines/>
        <w:pBdr>
          <w:top w:val="single" w:color="2F4F6F" w:sz="12" w:space="6"/>
          <w:left w:val="single" w:color="2F4F6F" w:sz="12" w:space="8"/>
        </w:pBdr>
        <w:shd w:fill="F1F3F6" w:color="auto" w:val="clear"/>
        <w:spacing w:after="60" w:before="200"/>
        <w:ind w:left="284" w:right="284"/>
      </w:pPr>
      <w:r>
        <w:rPr>
          <w:rFonts w:ascii="Calibri" w:cs="Calibri" w:eastAsia="Calibri" w:hAnsi="Calibri"/>
          <w:b/>
          <w:bCs/>
          <w:color w:val="4A5568"/>
          <w:spacing w:val="40"/>
          <w:sz w:val="18"/>
          <w:szCs w:val="18"/>
        </w:rPr>
        <w:t xml:space="preserve">SUMMARY</w:t>
      </w:r>
    </w:p>
    <w:p>
      <w:pPr>
        <w:keepLines/>
        <w:pBdr>
          <w:bottom w:val="single" w:color="2F4F6F" w:sz="12" w:space="6"/>
          <w:left w:val="single" w:color="2F4F6F" w:sz="12" w:space="8"/>
        </w:pBdr>
        <w:shd w:fill="F1F3F6" w:color="auto" w:val="clear"/>
        <w:spacing w:after="240" w:line="276"/>
        <w:ind w:left="284" w:right="284"/>
      </w:pPr>
      <w:r>
        <w:rPr>
          <w:sz w:val="21"/>
          <w:szCs w:val="21"/>
        </w:rPr>
        <w:t xml:space="preserve">Generative AI has reopened an old question — what is an author? — inside the everyday machinery of university assessment. This paper argues, from an in-sessional academic literacies perspective, that the sector's difficulty is less technological than conceptual. Much assessment practice rests on an unexamined idea of authorship as the unaided production of words: an idea that authorship theory set aside decades ago and that AI has now made unworkable. Drawing on three bodies of evidence — theories of authorship and writer identity, the redefinition of authorship in scholarly publishing and integrity policy, and assessment research — the paper proposes that, for assessment purposes, authorship should be understood as accountable, reflective and dialogic meaning-making: the student's demonstrable capacity to take responsibility for, explain and defend the meaning of their work, including any use of AI, within the conventions of their discipline. It sets out eight practical principles for teachers and course designers, offers worked examples across nine disciplines, and argues that in-sessional academic literacies provision, which already teaches source use, voice and reflection, is well placed to help disciplines put the principles into practice.</w:t>
      </w:r>
    </w:p>
    <w:p>
      <w:pPr>
        <w:pStyle w:val="Heading1"/>
        <w:keepNext/>
        <w:spacing w:after="160" w:before="480"/>
      </w:pPr>
      <w:r>
        <w:rPr>
          <w:rFonts w:ascii="Calibri" w:cs="Calibri" w:eastAsia="Calibri" w:hAnsi="Calibri"/>
          <w:b/>
          <w:bCs/>
          <w:color w:val="1F3A52"/>
          <w:sz w:val="30"/>
          <w:szCs w:val="30"/>
        </w:rPr>
        <w:t xml:space="preserve">1. Introduction</w:t>
      </w:r>
    </w:p>
    <w:p>
      <w:pPr>
        <w:spacing w:after="160" w:line="276"/>
      </w:pPr>
      <w:r>
        <w:t xml:space="preserve">Since late 2022, students have had access to tools that produce fluent, well-organised academic prose on demand. The scale of adoption is no longer in doubt. The most recent UK survey found that 92% of full-time undergraduates use generative AI tools, up from 66% a year earlier, and that 88% have used them for assessed work (Freeman, 2025). Most of that use is legitimate or at least ambiguous: explaining concepts, summarising readings, checking grammar. But 18% of respondents admitted placing AI-generated text directly into assessed work, and many said they were unsure what counted as acceptable use. That uncertainty is the heart of the matter. It reflects not student cynicism but a gap in our own thinking about what we are asking students to be when we ask them to be authors.</w:t>
      </w:r>
    </w:p>
    <w:p>
      <w:pPr>
        <w:spacing w:after="160" w:line="276"/>
      </w:pPr>
      <w:r>
        <w:t xml:space="preserve">Three debates have been running at once, and they are often run together. The first is conceptual: what can authorship, voice and ownership mean when text is co-produced with a machine? The second is regulatory and institutional: how should integrity policy and scholarly publishing define and attribute authorship, and is authorship something that can be verified after the fact, for example by detection software, or something that has to be designed for? The third is practical: how should we design assessment and teach writing so that what we certify is the student's own and so that students learn along the way? Confusing these levels produces confused responses. A conceptual question about what authorship is cannot be answered by buying a detector; a practical problem in a lab-report module cannot be solved by a university-wide principle.</w:t>
      </w:r>
    </w:p>
    <w:p>
      <w:pPr>
        <w:spacing w:after="160" w:line="276"/>
      </w:pPr>
      <w:r>
        <w:t xml:space="preserve">This paper takes the three levels in turn and then draws them together. It does not begin from a fixed position. Instead, it asks what the evidence at each level supports, where that evidence is strong, where it is thin and where it is contested, and only then proposes a working definition of authorship for assessment and a set of design principles that follow from it. The definition is stated at the outset so that readers can test the argument against it: for the purpose of assessment, authorship is accountable, reflective and dialogic meaning-making — the student's demonstrable capacity to take responsibility for, explain and defend the meaning of their work, including any use of AI, within the conventions of their discipline.</w:t>
      </w:r>
    </w:p>
    <w:p>
      <w:pPr>
        <w:spacing w:after="160" w:line="276"/>
      </w:pPr>
      <w:r>
        <w:t xml:space="preserve">The paper is written from the vantage point of in-sessional English for Academic Purposes and academic literacies provision. This is not a parochial choice. Practitioners in this field have spent decades on precisely the questions that AI has made urgent for everyone: what counts as legitimate use of other people's words; how a writer develops a voice inside a discipline's conventions; where the ethical line falls when a third party — a proofreader, a tutor, a friend, now a machine — intervenes in a student's text; and how to teach all of this across faculties whose authorship norms differ sharply. The academic literacies tradition also brings something the wider assessment debate has often lacked: an insistence that questions of writing are questions of identity, power and equity, not only of skill.</w:t>
      </w:r>
    </w:p>
    <w:p>
      <w:pPr>
        <w:spacing w:after="160" w:line="276"/>
      </w:pPr>
      <w:r>
        <w:t xml:space="preserve">The argument proceeds as follows. Section 2 asks what authorship has been taken to mean, and shows that the idea of the solitary originator was abandoned in theory long before AI. Section 3 shows that the EAP field rehearsed the AI debate years ago in its arguments about patchwriting and proofreading. Section 4 summarises what students are doing and thinking. Section 5 examines how publishers, regulators and universities have responded, including the evidence on detection. Section 6 turns to assessment design. Section 7 works through nine disciplines. Section 8 sets out the definition and eight principles, Section 9 states what evidence would change them, and Section 10 concludes with the distinctive contribution of in-sessional provision.</w:t>
      </w:r>
    </w:p>
    <w:p>
      <w:pPr>
        <w:pStyle w:val="Heading1"/>
        <w:keepNext/>
        <w:spacing w:after="160" w:before="480"/>
      </w:pPr>
      <w:r>
        <w:rPr>
          <w:rFonts w:ascii="Calibri" w:cs="Calibri" w:eastAsia="Calibri" w:hAnsi="Calibri"/>
          <w:b/>
          <w:bCs/>
          <w:color w:val="1F3A52"/>
          <w:sz w:val="30"/>
          <w:szCs w:val="30"/>
        </w:rPr>
        <w:t xml:space="preserve">2. What do we mean by authorship?</w:t>
      </w:r>
    </w:p>
    <w:p>
      <w:pPr>
        <w:pStyle w:val="Heading2"/>
        <w:keepNext/>
        <w:spacing w:after="120" w:before="320"/>
      </w:pPr>
      <w:r>
        <w:rPr>
          <w:rFonts w:ascii="Calibri" w:cs="Calibri" w:eastAsia="Calibri" w:hAnsi="Calibri"/>
          <w:b/>
          <w:bCs/>
          <w:color w:val="2F4F6F"/>
          <w:sz w:val="24"/>
          <w:szCs w:val="24"/>
        </w:rPr>
        <w:t xml:space="preserve">2.1 The author was never alone</w:t>
      </w:r>
    </w:p>
    <w:p>
      <w:pPr>
        <w:spacing w:after="160" w:line="276"/>
      </w:pPr>
      <w:r>
        <w:t xml:space="preserve">The idea that a piece of writing has a single origin — one mind from which the words flow — is a comparatively recent and culturally specific inheritance, and one that literary and social theory spent much of the twentieth century dismantling. Barthes (1977) famously described the text as "a tissue of quotations drawn from the innumerable centres of culture", displacing the author as the guarantor of a text's meaning and relocating that meaning in the reader. Foucault (1977) went further, replacing the person of the author with what he called the author-function: not an individual but a role, produced by legal, institutional and discursive arrangements, that "characterizes the existence, circulation and operation of certain discourses within a society". Who counts as an author, in other words, is settled by the institutions that need authors — for attribution, for accountability, for credit and for blame — and it changes as those institutions change.</w:t>
      </w:r>
    </w:p>
    <w:p>
      <w:pPr>
        <w:spacing w:after="160" w:line="276"/>
      </w:pPr>
      <w:r>
        <w:t xml:space="preserve">Bakhtin's account of language is even more directly useful. For Bakhtin (1981, p. 293), "the word in language is half someone else's": every utterance is populated by the intentions and accents of previous speakers, and it becomes the speaker's own only through the labour of appropriating it, bending it to a new purpose. Kristeva's notion of intertextuality generalises the point to writing: every text is woven from other texts. On this view, writing has always been a matter of orchestrating other people's words. What distinguishes the author is not the origination of every phrase but the intentional, purposeful and answerable shaping of borrowed material into an utterance of one's own.</w:t>
      </w:r>
    </w:p>
    <w:p>
      <w:pPr>
        <w:spacing w:after="160" w:line="276"/>
      </w:pPr>
      <w:r>
        <w:t xml:space="preserve">The practical consequence for assessment is considerable. If authorship was already the accountable orchestration of others' voices, then generative AI does not create a rupture so much as intensify a condition that theory had already described. A large language model is, quite literally, an aggregate of other people's words. What it cannot supply is the intention, the purpose and the answerability that turn borrowed words into an author's own. That is where the assessment of authorship should look.</w:t>
      </w:r>
    </w:p>
    <w:p>
      <w:pPr>
        <w:pStyle w:val="Heading2"/>
        <w:keepNext/>
        <w:spacing w:after="120" w:before="320"/>
      </w:pPr>
      <w:r>
        <w:rPr>
          <w:rFonts w:ascii="Calibri" w:cs="Calibri" w:eastAsia="Calibri" w:hAnsi="Calibri"/>
          <w:b/>
          <w:bCs/>
          <w:color w:val="2F4F6F"/>
          <w:sz w:val="24"/>
          <w:szCs w:val="24"/>
        </w:rPr>
        <w:t xml:space="preserve">2.2 Authorship as identity and practice: the academic literacies view</w:t>
      </w:r>
    </w:p>
    <w:p>
      <w:pPr>
        <w:spacing w:after="160" w:line="276"/>
      </w:pPr>
      <w:r>
        <w:t xml:space="preserve">Within higher education, the academic literacies tradition has developed the most useful account of what student authorship involves. Lea and Street (1998) distinguished three models of student writing that remain a helpful diagnostic. A study skills model treats writing as a set of transferable surface techniques — grammar, structure, referencing — that a student either has or lacks. An academic socialisation model treats writing as induction into the norms of a discipline. An academic literacies model treats student writing as a matter of epistemology and identity: of what counts as knowledge in a given setting, who is entitled to make claims, and how the writer negotiates the demands of institutional power. Lillis and Scott (2007) later gave the field its defining orientation: a critical, ideological stance towards academic conventions, and a commitment to transformative rather than merely normative goals — changing practices rather than only helping students conform to them.</w:t>
      </w:r>
    </w:p>
    <w:p>
      <w:pPr>
        <w:spacing w:after="160" w:line="276"/>
      </w:pPr>
      <w:r>
        <w:t xml:space="preserve">These three models predict three very different institutional responses to AI. A study skills framing sees the tool as either doing or not doing the surface task, and so gravitates naturally towards prohibition and detection: if the machine wrote the words, the skill was not demonstrated. An academic socialisation framing worries about whether students are being inducted into disciplinary norms or bypassing them, and tends towards permissive-but-supervised use. An academic literacies framing asks a different question altogether: not "did a machine produce these words?" but "whose meaning is this, and can the student stand behind it?" That question is answerable in ways the first is not, and it is the question this paper pursues.</w:t>
      </w:r>
    </w:p>
    <w:p>
      <w:pPr>
        <w:spacing w:after="160" w:line="276"/>
      </w:pPr>
      <w:r>
        <w:t xml:space="preserve">Ivanič's (1998) study of writer identity gives the question its texture. She distinguishes the autobiographical self the writer brings to the act of writing, the discoursal self that the text projects, and the self as author — the degree to which the writer claims authority for the content. All three are shaped by the possibilities for selfhood that a context makes available. Writing, she argues, "implicates every fibre of the writer's multifaceted being" (Ivanič, 1998, p. 181). This is not a romantic claim about self-expression; it is an empirical claim that identity is constructed in and through the choices a writer makes, including the choice of which voices to let into the text and on what terms. AI adds one more voice to that negotiation, and a powerful one. Whether it crowds out the writer's own or is brought under the writer's control is precisely a question of authorship.</w:t>
      </w:r>
    </w:p>
    <w:p>
      <w:pPr>
        <w:spacing w:after="160" w:line="276"/>
      </w:pPr>
      <w:r>
        <w:t xml:space="preserve">Hyland's work shows that voice, so often treated as ineffable, is in fact a repertoire of describable choices. His model of stance and engagement (Hyland, 2005) identifies the linguistic resources — hedges, boosters, attitude markers, self-mention, reader address — through which writers position themselves in relation to their claims and their readers. His analysis of disciplinary voices (Hyland, 2008) shows that these resources are deployed differently in different fields: what sounds authoritative in philosophy sounds unwarranted in biology. Two conclusions follow. Voice can be taught, because it is made of learnable choices. And voice can be assessed, because those choices are visible in the text and discussable with the writer. Pittam et al. (2009), working in the same direction from psychology, showed that students' beliefs about their own authorial identity — their confidence in writing, their understanding of authorship, their sense of ownership — can be measured and developed, which provides an empirical bridge between identity theory and pedagogy.</w:t>
      </w:r>
    </w:p>
    <w:p>
      <w:pPr>
        <w:spacing w:after="160" w:line="276"/>
      </w:pPr>
      <w:r>
        <w:t xml:space="preserve">Taken together, the academic literacies account gives us an idea of authorship that is neither the solitary genius of Romantic theory nor the mechanical text-producer of the study skills model. Authorship is identity work done within constraints, through the accountable orchestration of voices, using resources that can be named and taught. On that account, the appearance of AI changes the resources available but not the nature of the task.</w:t>
      </w:r>
    </w:p>
    <w:p>
      <w:pPr>
        <w:pStyle w:val="Heading2"/>
        <w:keepNext/>
        <w:spacing w:after="120" w:before="320"/>
      </w:pPr>
      <w:r>
        <w:rPr>
          <w:rFonts w:ascii="Calibri" w:cs="Calibri" w:eastAsia="Calibri" w:hAnsi="Calibri"/>
          <w:b/>
          <w:bCs/>
          <w:color w:val="2F4F6F"/>
          <w:sz w:val="24"/>
          <w:szCs w:val="24"/>
        </w:rPr>
        <w:t xml:space="preserve">2.3 Working with the machine: postplagiarism and the black box</w:t>
      </w:r>
    </w:p>
    <w:p>
      <w:pPr>
        <w:spacing w:after="160" w:line="276"/>
      </w:pPr>
      <w:r>
        <w:t xml:space="preserve">Two recent contributions bring these ideas into direct contact with AI. Eaton (2023) has proposed the concept of postplagiarism, an era in which hybrid human–AI writing becomes normal and in which, she argues, the familiar apparatus of plagiarism detection and punishment loses much of its purchase. Her central distinction is between control and responsibility. Writers may choose to hand over a great deal of control to a tool — drafting, rephrasing, structuring — but they do not thereby hand over responsibility. The human author remains answerable for accuracy, for truthfulness, for the ethical use of others' work and for the attribution of what was borrowed.</w:t>
      </w:r>
    </w:p>
    <w:p>
      <w:pPr>
        <w:spacing w:after="160" w:line="276"/>
      </w:pPr>
      <w:r>
        <w:t xml:space="preserve">Bearman and Ajjawi (2023) approach the same problem from pedagogy. They argue that since AI systems are, to their users, black boxes whose workings cannot be inspected, education should help students learn to work with the black box: to evaluate outputs without full knowledge of how they were produced, to understand the limits of what such tools can be trusted with, and to retain judgement over what they accept. This is an education in evaluative capability rather than in tool mechanics, and it maps closely onto the academic literacies emphasis on judgement, purpose and ownership.</w:t>
      </w:r>
    </w:p>
    <w:p>
      <w:pPr>
        <w:spacing w:after="160" w:line="276"/>
      </w:pPr>
      <w:r>
        <w:t xml:space="preserve">The two contributions yield a memorable heuristic that teachers can use with students and that this paper will return to: you may hand over control, but you may not hand over responsibility. The author is the one who answers for the text.</w:t>
      </w:r>
    </w:p>
    <w:p>
      <w:pPr>
        <w:pStyle w:val="Heading1"/>
        <w:keepNext/>
        <w:spacing w:after="160" w:before="480"/>
      </w:pPr>
      <w:r>
        <w:rPr>
          <w:rFonts w:ascii="Calibri" w:cs="Calibri" w:eastAsia="Calibri" w:hAnsi="Calibri"/>
          <w:b/>
          <w:bCs/>
          <w:color w:val="1F3A52"/>
          <w:sz w:val="30"/>
          <w:szCs w:val="30"/>
        </w:rPr>
        <w:t xml:space="preserve">3. The EAP precedent: we have been here before</w:t>
      </w:r>
    </w:p>
    <w:p>
      <w:pPr>
        <w:spacing w:after="160" w:line="276"/>
      </w:pPr>
      <w:r>
        <w:t xml:space="preserve">The AI debate is frequently conducted as though the question of what counts as a student's own work had previously been settled and has only now been unsettled. The second-language writing literature shows otherwise. Two lines of research in particular rehearsed the current argument well before generative AI arrived, and both point towards pedagogy and explicitness rather than policing.</w:t>
      </w:r>
    </w:p>
    <w:p>
      <w:pPr>
        <w:spacing w:after="160" w:line="276"/>
      </w:pPr>
      <w:r>
        <w:t xml:space="preserve">The first concerns source use. Pecorari (2003), studying postgraduate second-language writers, found that a great deal of what university regulations would classify as plagiarism was better described as patchwriting: copying from a source, then deleting some words, altering grammatical structures and substituting synonyms. Crucially, her writers were not attempting to deceive. They were attempting to enter a discourse whose conventions they did not yet command, using the only strategy available to them — borrowing the language of the discipline in order to learn it. Pecorari argued that the appropriate response was instruction, not accusation: patchwriting is a developmental stage on the way to competent source use. The parallel with AI is exact. A student who pastes a model's paragraph into an essay may be cheating, or may be doing what patchwriters have always done, borrowing fluency they do not yet possess. The distinction is not visible in the text. It is visible only in what the student understands and can do, which is why pedagogy comes first.</w:t>
      </w:r>
    </w:p>
    <w:p>
      <w:pPr>
        <w:spacing w:after="160" w:line="276"/>
      </w:pPr>
      <w:r>
        <w:t xml:space="preserve">The second line concerns third-party intervention. Harwood (2019) and colleagues documented, in a series of studies, the range of things that proofreaders actually do to student texts, from correcting typographical errors to reorganising paragraphs and rewriting content, and showed that lecturers, language tutors, proofreaders and students disagree about where the ethical line falls. There was no shared definition of "the student's own work" even when the helper was human. Richards and Harwood (2024) turned this finding into a practical instrument: a stakeholder tool that asks teachers to specify, in advance and for a given task, which kinds of intervention are acceptable and which are not. The logic transfers directly to AI. If we could never define acceptable human help in the abstract, and instead had to specify it per task, then the same is true of acceptable machine help. The proofreading literature offers an existing template for how to do so.</w:t>
      </w:r>
    </w:p>
    <w:p>
      <w:pPr>
        <w:spacing w:after="160" w:line="276"/>
      </w:pPr>
      <w:r>
        <w:t xml:space="preserve">The lesson of both precedents is the same. Universities have always tolerated help with writing, from lecturers' feedback to peer review to proofreading services; what they lacked was a habit of saying explicitly which help was permitted and expected. AI has made that habit unavoidable.</w:t>
      </w:r>
    </w:p>
    <w:p>
      <w:pPr>
        <w:pStyle w:val="Heading1"/>
        <w:keepNext/>
        <w:spacing w:after="160" w:before="480"/>
      </w:pPr>
      <w:r>
        <w:rPr>
          <w:rFonts w:ascii="Calibri" w:cs="Calibri" w:eastAsia="Calibri" w:hAnsi="Calibri"/>
          <w:b/>
          <w:bCs/>
          <w:color w:val="1F3A52"/>
          <w:sz w:val="30"/>
          <w:szCs w:val="30"/>
        </w:rPr>
        <w:t xml:space="preserve">4. What students are doing and thinking</w:t>
      </w:r>
    </w:p>
    <w:p>
      <w:pPr>
        <w:spacing w:after="160" w:line="276"/>
      </w:pPr>
      <w:r>
        <w:t xml:space="preserve">The empirical picture is developing quickly but its outlines are clear. The 2025 HEPI/Kortext survey (Freeman, 2025), based on 1,041 online interviews with full-time UK undergraduates conducted in December 2024, found that use of generative AI had become near-universal, that use for assessed work had risen from 53% to 88% in a single year, and that a substantial minority were including AI-generated text in submissions. Students reported that they were uncertain what was acceptable and that guidance varied by module and by lecturer. A digital divide was also visible: male students, students in STEM and health disciplines, and students from more advantaged backgrounds reported heavier use, which raises the prospect that open AI use, unaccompanied by teaching and by institutionally provided tools, will widen rather than narrow attainment gaps.</w:t>
      </w:r>
    </w:p>
    <w:p>
      <w:pPr>
        <w:spacing w:after="160" w:line="276"/>
      </w:pPr>
      <w:r>
        <w:t xml:space="preserve">For multilingual writers the picture is more complicated still. Warschauer et al. (2023) identify what they call an imitation contradiction. Writers of English as a second or additional language are urged to produce prose that sounds like that of expert native users; generative AI now makes such prose trivial to obtain; and yet the same writers are the ones most likely to fall under suspicion when they use it, because their unaided writing is expected to bear the marks of their linguistic background. The contradiction is sharpened by the evidence, discussed in Section 5, that AI detectors disproportionately flag non-native writing as machine-generated. Multilingual students are thus doubly exposed: pressed towards a standard that the tool meets, and penalised for the appearance of having met it.</w:t>
      </w:r>
    </w:p>
    <w:p>
      <w:pPr>
        <w:spacing w:after="160" w:line="276"/>
      </w:pPr>
      <w:r>
        <w:t xml:space="preserve">Two implications follow for assessment. First, authorship cannot be assumed; it must be taught. Students who are unsure what acceptable use looks like need explicit instruction in the difference between using a tool to learn and using it to substitute for learning, and in how to disclose what they did. Second, equity is not an afterthought. Any policy that depends on suspicion, detection or invigilation will land hardest on the students who already face the greatest barriers.</w:t>
      </w:r>
    </w:p>
    <w:p>
      <w:pPr>
        <w:pStyle w:val="Heading1"/>
        <w:keepNext/>
        <w:spacing w:after="160" w:before="480"/>
      </w:pPr>
      <w:r>
        <w:rPr>
          <w:rFonts w:ascii="Calibri" w:cs="Calibri" w:eastAsia="Calibri" w:hAnsi="Calibri"/>
          <w:b/>
          <w:bCs/>
          <w:color w:val="1F3A52"/>
          <w:sz w:val="30"/>
          <w:szCs w:val="30"/>
        </w:rPr>
        <w:t xml:space="preserve">5. How institutions are responding</w:t>
      </w:r>
    </w:p>
    <w:p>
      <w:pPr>
        <w:pStyle w:val="Heading2"/>
        <w:keepNext/>
        <w:spacing w:after="120" w:before="320"/>
      </w:pPr>
      <w:r>
        <w:rPr>
          <w:rFonts w:ascii="Calibri" w:cs="Calibri" w:eastAsia="Calibri" w:hAnsi="Calibri"/>
          <w:b/>
          <w:bCs/>
          <w:color w:val="2F4F6F"/>
          <w:sz w:val="24"/>
          <w:szCs w:val="24"/>
        </w:rPr>
        <w:t xml:space="preserve">5.1 Scholarly publishing: authorship as accountability</w:t>
      </w:r>
    </w:p>
    <w:p>
      <w:pPr>
        <w:spacing w:after="160" w:line="276"/>
      </w:pPr>
      <w:r>
        <w:t xml:space="preserve">The clearest thinking about authorship in the age of AI has come not from teaching-and-learning policy but from scholarly publishing, where authorship carries legal, reputational and financial weight and where a workable definition was needed immediately. The response was rapid and remarkably unanimous. The International Committee of Medical Journal Editors, whose criteria for authorship are the most widely adopted in the world, ruled that chatbots cannot be listed as authors because they cannot be responsible for the accuracy, integrity and originality of the work — and responsibility of that kind is a requirement of authorship (ICMJE, 2025). The Committee on Publication Ethics took the same view in its position statement: AI tools "cannot meet the requirements for authorship as they cannot take responsibility" for the work, cannot declare conflicts of interest and cannot manage copyright and licensing agreements (COPE, 2023). Nature and its sister journals announced that no large language model would be accepted as a credited author, on the explicit ground that authorship carries accountability and such tools cannot bear it (Nature, 2023). In every case the same alternative was adopted: use of AI must be disclosed, in the methods section or acknowledgements, but it does not confer authorship.</w:t>
      </w:r>
    </w:p>
    <w:p>
      <w:pPr>
        <w:spacing w:after="160" w:line="276"/>
      </w:pPr>
      <w:r>
        <w:t xml:space="preserve">Two features of this settlement deserve emphasis. The first is that publishers did not define authorship by origination. Nothing in these policies says that an author must have typed the words. Scientific papers have long been written by teams in which the person who drafted the prose may not be the person who designed the study or analysed the data; the Contributor Roles Taxonomy (CRediT), now a formal standard (NISO, 2022), exists precisely because authorship is a bundle of distinguishable contributions. What publishers said instead is that authorship is defined by accountability: an author is someone who can answer for the work. The second feature is that the settlement has held. Three years on, no major publisher has reversed it, and the disclosure norm has become routine.</w:t>
      </w:r>
    </w:p>
    <w:p>
      <w:pPr>
        <w:spacing w:after="160" w:line="276"/>
      </w:pPr>
      <w:r>
        <w:t xml:space="preserve">For student assessment the transferable principle could hardly be clearer. If the research community, which has the strongest possible incentives to get authorship right, has concluded that authorship is accountability rather than keystroke origin, then universities assessing students can adopt the same standard with confidence. The student is the author of a piece of assessed work to the extent that they can take responsibility for it — can explain it, defend it, correct it and answer for its claims. That is a standard that can be taught and examined. Whether a machine contributed to the wording cannot be reliably established, and, on this standard, is not the decisive question.</w:t>
      </w:r>
    </w:p>
    <w:p>
      <w:pPr>
        <w:pStyle w:val="Heading2"/>
        <w:keepNext/>
        <w:spacing w:after="120" w:before="320"/>
      </w:pPr>
      <w:r>
        <w:rPr>
          <w:rFonts w:ascii="Calibri" w:cs="Calibri" w:eastAsia="Calibri" w:hAnsi="Calibri"/>
          <w:b/>
          <w:bCs/>
          <w:color w:val="2F4F6F"/>
          <w:sz w:val="24"/>
          <w:szCs w:val="24"/>
        </w:rPr>
        <w:t xml:space="preserve">5.2 UK and international policy</w:t>
      </w:r>
    </w:p>
    <w:p>
      <w:pPr>
        <w:spacing w:after="160" w:line="276"/>
      </w:pPr>
      <w:r>
        <w:t xml:space="preserve">Policy in UK higher education has moved, with some lag, in the same direction. The Russell Group (2023) published five principles that have been widely adopted beyond its membership: universities will support students and staff to become AI-literate; staff will be equipped to support students in using AI tools appropriately; teaching and assessment will be adapted to incorporate ethical AI use and to ensure equal access; academic rigour and integrity will be upheld; and universities will collaborate to share practice as the technology evolves. The stance is permissive but principled, and it explicitly rejects prohibition as unrealistic. The Quality Assurance Agency has advised providers to revisit assessment design for the ChatGPT era, with an emphasis on authentic and process-oriented tasks rather than on detection (QAA, 2023). Jisc and Advance HE have produced practitioner guidance in a similar spirit, and most UK institutions now operate some form of graded permission scheme — typically a traffic light or numbered scale attached to each assessment — alongside a requirement that students declare their use of AI.</w:t>
      </w:r>
    </w:p>
    <w:p>
      <w:pPr>
        <w:spacing w:after="160" w:line="276"/>
      </w:pPr>
      <w:r>
        <w:t xml:space="preserve">Internationally, the most influential document has been the Australian regulator's commissioned report, Assessment reform for the age of artificial intelligence (Lodge et al., 2023). It rests on two guiding principles: that assessment and learning experiences should equip students to participate ethically and actively in a society in which AI is ubiquitous, and that institutions must be able to form trustworthy judgements about what students have learned. Among its propositions are that there is no such thing as an AI-proof assessment, and that security should therefore be achieved at the level of the programme rather than the individual task, by layering multiple imperfect assessments so that the gaps in one are covered by another — the so-called Swiss cheese model. UNESCO's guidance (Miao and Holmes, 2023) adds a human-centred framing at the global level, emphasising agency, inclusion and the protection of learners.</w:t>
      </w:r>
    </w:p>
    <w:p>
      <w:pPr>
        <w:spacing w:after="160" w:line="276"/>
      </w:pPr>
      <w:r>
        <w:t xml:space="preserve">The direction of travel across all these documents is consistent. Prohibition has been set aside as unenforceable and educationally unproductive. In its place is a combination of literacy — teaching students and staff to use the tools well — and design: changing assessment so that it certifies what students can do rather than what a tool can do for them. What the policy documents have generally not supplied is a worked-out account of what authorship means under these conditions. That is the gap this paper aims to fill.</w:t>
      </w:r>
    </w:p>
    <w:p>
      <w:pPr>
        <w:pStyle w:val="Heading2"/>
        <w:keepNext/>
        <w:spacing w:after="120" w:before="320"/>
      </w:pPr>
      <w:r>
        <w:rPr>
          <w:rFonts w:ascii="Calibri" w:cs="Calibri" w:eastAsia="Calibri" w:hAnsi="Calibri"/>
          <w:b/>
          <w:bCs/>
          <w:color w:val="2F4F6F"/>
          <w:sz w:val="24"/>
          <w:szCs w:val="24"/>
        </w:rPr>
        <w:t xml:space="preserve">5.3 The detection dead-end</w:t>
      </w:r>
    </w:p>
    <w:p>
      <w:pPr>
        <w:spacing w:after="160" w:line="276"/>
      </w:pPr>
      <w:r>
        <w:t xml:space="preserve">If authorship were something to be verified after submission, the natural instrument would be AI-text detection software, and many institutions adopted such tools in the first wave of response. The evidence now available makes that approach untenable, and the point needs stating plainly because it is the firmest empirical finding in the whole debate.</w:t>
      </w:r>
    </w:p>
    <w:p>
      <w:pPr>
        <w:spacing w:after="160" w:line="276"/>
      </w:pPr>
      <w:r>
        <w:t xml:space="preserve">Weber-Wulff et al. (2023), in the most systematic independent evaluation to date, tested twelve publicly available detection tools and two commercial systems, Turnitin and PlagiarismCheck, against human-written, machine-generated, machine-translated and lightly edited texts. All of the tools scored below 80% accuracy and only five exceeded 70%. They were biased towards classifying text as human-written, so that roughly one in five machine-generated texts was misattributed to a human author, and their performance collapsed when machine-generated text had been lightly paraphrased or translated. The authors concluded that the tools are neither accurate nor reliable enough to serve as evidence in academic misconduct proceedings.</w:t>
      </w:r>
    </w:p>
    <w:p>
      <w:pPr>
        <w:spacing w:after="160" w:line="276"/>
      </w:pPr>
      <w:r>
        <w:t xml:space="preserve">The equity dimension is starker still. Liang et al. (2023) ran seven widely used GPT detectors over essays written by non-native English speakers for the TOEFL examination and over essays by native-speaking American school students. The detectors flagged the non-native essays as AI-generated at an average false-positive rate of 61.3%, against 5.1% for the native-speaker essays. Nearly one in five of the human-written TOEFL essays was unanimously classified as machine-generated by all seven tools, and at least one tool flagged almost all of them. The mechanism is not mysterious: detectors key on low lexical and syntactic variety, which is exactly the profile of competent but non-native prose. A university that uses such tools to trigger misconduct investigations is, in effect, running a policy that targets its international and multilingual students.</w:t>
      </w:r>
    </w:p>
    <w:p>
      <w:pPr>
        <w:spacing w:after="160" w:line="276"/>
      </w:pPr>
      <w:r>
        <w:t xml:space="preserve">The implication for authorship is decisive. Authorship cannot be treated as a fact about the origin of the words that a machine will later confirm or deny. It is technically unsound to try, and discriminatory in practice. Authorship must instead be designed for and evidenced: built into tasks in ways that make the student's accountable judgement visible, so that no retrospective verification is needed. Detector outputs may, at most, be treated as a weak prompt for a conversation with a student. They should never be treated as evidence.</w:t>
      </w:r>
    </w:p>
    <w:p>
      <w:pPr>
        <w:pStyle w:val="Heading2"/>
        <w:keepNext/>
        <w:spacing w:after="120" w:before="320"/>
      </w:pPr>
      <w:r>
        <w:rPr>
          <w:rFonts w:ascii="Calibri" w:cs="Calibri" w:eastAsia="Calibri" w:hAnsi="Calibri"/>
          <w:b/>
          <w:bCs/>
          <w:color w:val="2F4F6F"/>
          <w:sz w:val="24"/>
          <w:szCs w:val="24"/>
        </w:rPr>
        <w:t xml:space="preserve">5.4 Disclosure frameworks</w:t>
      </w:r>
    </w:p>
    <w:p>
      <w:pPr>
        <w:spacing w:after="160" w:line="276"/>
      </w:pPr>
      <w:r>
        <w:t xml:space="preserve">If authorship is accountability, then disclosure — telling the reader what was done, by whom and with what — is its natural instrument, exactly as it is in scholarly publishing. The most widely adopted student-facing framework is the AI Assessment Scale (Perkins et al., 2024), which asks teachers to specify, for each task, one of five levels of permitted use, from no AI at all through AI-assisted idea generation and editing to full AI use with human oversight. Its 2024 revision (Perkins, Roe and Furze, 2024) is instructive in itself. The original scale used a traffic-light colour scheme; the revision abandoned it, because teachers and students were reading "no AI" as the virtuous end and "full AI" as the transgressive end, when the point of the scale is that the appropriate level depends on the learning outcome. The revision also added an exploratory level to accommodate tasks in which students investigate the tools themselves. An adaptation for English for Academic Purposes (Roe, Perkins and Tregubova, 2024) tailors the levels to language development contexts and, tellingly, adopts a neutral colour palette for the same reason.</w:t>
      </w:r>
    </w:p>
    <w:p>
      <w:pPr>
        <w:spacing w:after="160" w:line="276"/>
      </w:pPr>
      <w:r>
        <w:t xml:space="preserve">Scales of this kind, combined with a requirement for a specific AI-use statement, do two things that prohibition cannot. They make the teacher's expectations explicit per task, which is what the proofreading literature showed was needed all along; and they give the student a structured way to take responsibility for what they did. Their limits should be acknowledged. The evidence on how well AI-use statements actually work — whether students complete them honestly and specifically, whether markers read and act on them, whether they change behaviour — is thin, and it is possible that they will become a compliance ritual. That is an argument for teaching students how to write them, and for pairing them with tasks in which the disclosed process is itself discussed and assessed, rather than an argument against them.</w:t>
      </w:r>
    </w:p>
    <w:p>
      <w:pPr>
        <w:pStyle w:val="Heading1"/>
        <w:keepNext/>
        <w:spacing w:after="160" w:before="480"/>
      </w:pPr>
      <w:r>
        <w:rPr>
          <w:rFonts w:ascii="Calibri" w:cs="Calibri" w:eastAsia="Calibri" w:hAnsi="Calibri"/>
          <w:b/>
          <w:bCs/>
          <w:color w:val="1F3A52"/>
          <w:sz w:val="30"/>
          <w:szCs w:val="30"/>
        </w:rPr>
        <w:t xml:space="preserve">6. Designing for authorship</w:t>
      </w:r>
    </w:p>
    <w:p>
      <w:pPr>
        <w:pStyle w:val="Heading2"/>
        <w:keepNext/>
        <w:spacing w:after="120" w:before="320"/>
      </w:pPr>
      <w:r>
        <w:rPr>
          <w:rFonts w:ascii="Calibri" w:cs="Calibri" w:eastAsia="Calibri" w:hAnsi="Calibri"/>
          <w:b/>
          <w:bCs/>
          <w:color w:val="2F4F6F"/>
          <w:sz w:val="24"/>
          <w:szCs w:val="24"/>
        </w:rPr>
        <w:t xml:space="preserve">6.1 No AI-proof assessment: security, validity and structure</w:t>
      </w:r>
    </w:p>
    <w:p>
      <w:pPr>
        <w:spacing w:after="160" w:line="276"/>
      </w:pPr>
      <w:r>
        <w:t xml:space="preserve">Dawson (2021) provides the conceptual vocabulary. He distinguishes academic integrity (the values and behaviours of students), assessment validity (whether an assessment measures what it claims to) and assessment security (the measures that ensure the person being credited is the person who did the work). The three are related but distinct, and much confusion has come from treating them as one. A task can be valid but insecure; a secure task can measure something trivial. Corbin, Dawson and Liu (2025) push the argument further with the claim that talk is cheap: statements of expectation, integrity pledges and appeals to values, however sincere, do not change what students do under pressure. Only structural change to assessment does.</w:t>
      </w:r>
    </w:p>
    <w:p>
      <w:pPr>
        <w:spacing w:after="160" w:line="276"/>
      </w:pPr>
      <w:r>
        <w:t xml:space="preserve">The structural model that has attracted most attention is the two-lane approach developed at the University of Sydney (Bridgeman, Liu and Weeks, 2024). In the first lane sit secured assessments of learning: supervised, in-person tasks such as examinations, vivas and interactive orals, used at a small number of meaningful points in a programme to establish, with confidence, what a student can do without assistance. In the second lane sit open assessments for and as learning, in which AI use cannot realistically be prevented and is instead scaffolded, disclosed and engaged with critically. The proportion matters. The Sydney rationale was an internal finding that the great majority of existing assessments could be completed by AI; the response was not to secure them all, which would have been neither feasible nor educationally desirable, but to secure a few and redesign the rest. Security becomes a property of the programme, not of every task.</w:t>
      </w:r>
    </w:p>
    <w:p>
      <w:pPr>
        <w:spacing w:after="160" w:line="276"/>
      </w:pPr>
      <w:r>
        <w:t xml:space="preserve">This is the practical expression of the accountability principle. In lane one the institution verifies authorship directly, by watching. In lane two it does not try to; it asks instead for the evidence of authorship that accountability implies — disclosure, reflection, process and the capacity to defend.</w:t>
      </w:r>
    </w:p>
    <w:p>
      <w:pPr>
        <w:pStyle w:val="Heading2"/>
        <w:keepNext/>
        <w:spacing w:after="120" w:before="320"/>
      </w:pPr>
      <w:r>
        <w:rPr>
          <w:rFonts w:ascii="Calibri" w:cs="Calibri" w:eastAsia="Calibri" w:hAnsi="Calibri"/>
          <w:b/>
          <w:bCs/>
          <w:color w:val="2F4F6F"/>
          <w:sz w:val="24"/>
          <w:szCs w:val="24"/>
        </w:rPr>
        <w:t xml:space="preserve">6.2 Evaluative judgement: the authorship capability</w:t>
      </w:r>
    </w:p>
    <w:p>
      <w:pPr>
        <w:spacing w:after="160" w:line="276"/>
      </w:pPr>
      <w:r>
        <w:t xml:space="preserve">What, in lane two, should be assessed? The most useful answer in the assessment literature is evaluative judgement, defined by Tai et al. (2018, p. 471) as "the capability to make decisions about the quality of work of oneself and others". Their argument, which predates generative AI, is that this capability is the true goal of higher education assessment, because graduates will spend their working lives judging the quality of work in the absence of a marker. AI has made the argument urgent. A student who can judge the quality of a model's output — can see where it is generic, where it is wrong, where it fails to answer the question set — and who can defend the choices they made about what to keep, change and discard, is exercising authorship in exactly the accountable sense this paper proposes. A student who cannot is not the author of the text they submit, whoever typed it.</w:t>
      </w:r>
    </w:p>
    <w:p>
      <w:pPr>
        <w:spacing w:after="160" w:line="276"/>
      </w:pPr>
      <w:r>
        <w:t xml:space="preserve">Evaluative judgement is invisible in a finished product but visible in process and in dialogue. The assessment formats that surface it are well known and none is new: interactive oral assessment, in which students discuss their work with an assessor and respond to unscripted questions (Sotiriadou et al., 2020); reflective commentaries in which students account for the decisions they made, including their decisions about AI; submitted drafts with annotated revisions; viva-style defences of written work; and portfolios that document development over time. What these formats share is that they require the student to answer for the work, and answering is what authors do.</w:t>
      </w:r>
    </w:p>
    <w:p>
      <w:pPr>
        <w:pStyle w:val="Heading2"/>
        <w:keepNext/>
        <w:spacing w:after="120" w:before="320"/>
      </w:pPr>
      <w:r>
        <w:rPr>
          <w:rFonts w:ascii="Calibri" w:cs="Calibri" w:eastAsia="Calibri" w:hAnsi="Calibri"/>
          <w:b/>
          <w:bCs/>
          <w:color w:val="2F4F6F"/>
          <w:sz w:val="24"/>
          <w:szCs w:val="24"/>
        </w:rPr>
        <w:t xml:space="preserve">6.3 Critiques and equity risks</w:t>
      </w:r>
    </w:p>
    <w:p>
      <w:pPr>
        <w:spacing w:after="160" w:line="276"/>
      </w:pPr>
      <w:r>
        <w:t xml:space="preserve">Designing for authorship carries risks of its own, and a position paper that ignored them would not deserve trust. The most obvious is the temptation to over-populate lane one. A wholesale return to invigilated examinations would secure authorship at the cost of everything else we know about assessment: it narrows what is assessed, rewards performance under time pressure, and discards the process-rich, authentic tasks that best support learning. Surveillance technologies — remote proctoring, keystroke logging, mandatory version histories — raise privacy concerns and create an adversarial climate that undermines the very trust on which accountable authorship depends.</w:t>
      </w:r>
    </w:p>
    <w:p>
      <w:pPr>
        <w:spacing w:after="160" w:line="276"/>
      </w:pPr>
      <w:r>
        <w:t xml:space="preserve">There are subtler risks. Process evidence and reflective commentaries add workload for students and markers, and can penalise students whose writing processes are non-linear or who compose in their heads. Oral assessment can disadvantage students who are anxious, who speak English as an additional language, or who have disabilities that affect speech. Requiring particular AI tools, or assuming access to them, hands an advantage to students who can pay for premium versions. And the detection evidence already reviewed shows how easily an integrity regime can become, in practice, a regime against multilingual students.</w:t>
      </w:r>
    </w:p>
    <w:p>
      <w:pPr>
        <w:spacing w:after="160" w:line="276"/>
      </w:pPr>
      <w:r>
        <w:t xml:space="preserve">The academic literacies tradition is well placed to hold these risks in view, because it has always treated writing as a site of unequal power. The position this paper takes is therefore equity-first: any design for authorship must be tested against the question of whom it disadvantages, and adjusted until the answer is acceptable. In practice this means keeping lane one small and well-supported; offering choice and adjustment in oral formats; treating reflective commentary as a taught genre rather than an added burden; and ensuring that any tool students are expected to use is provided by the institution.</w:t>
      </w:r>
    </w:p>
    <w:p>
      <w:pPr>
        <w:pStyle w:val="Heading2"/>
        <w:keepNext/>
        <w:spacing w:after="120" w:before="320"/>
      </w:pPr>
      <w:r>
        <w:rPr>
          <w:rFonts w:ascii="Calibri" w:cs="Calibri" w:eastAsia="Calibri" w:hAnsi="Calibri"/>
          <w:b/>
          <w:bCs/>
          <w:color w:val="2F4F6F"/>
          <w:sz w:val="24"/>
          <w:szCs w:val="24"/>
        </w:rPr>
        <w:t xml:space="preserve">6.4 What in-sessional academic literacies provision brings</w:t>
      </w:r>
    </w:p>
    <w:p>
      <w:pPr>
        <w:spacing w:after="160" w:line="276"/>
      </w:pPr>
      <w:r>
        <w:t xml:space="preserve">In-sessional EAP and academic literacies provision is unusually well positioned to help disciplines make this shift, because its existing curriculum is, in effect, a curriculum in authorship. It already teaches source use — how to bring other voices into a text and mark whose they are — and treats citation not as a mechanical convention but as a form of dialogue with a scholarly community. It already teaches voice and stance, in Hyland's sense, as describable choices that vary by discipline. It already teaches genre awareness, so that students understand what a lab report, a case analysis or a critical essay is for and why its conventions are as they are. And it routinely uses reflective and metacognitive commentary to help students articulate the choices they made in a piece of writing. Every one of these is a component of accountable authorship in the age of AI.</w:t>
      </w:r>
    </w:p>
    <w:p>
      <w:pPr>
        <w:spacing w:after="160" w:line="276"/>
      </w:pPr>
      <w:r>
        <w:t xml:space="preserve">The field has also engaged directly with the technology. Its sector association in the UK has made generative AI a focus of professional meetings and working groups, and the adaptation of the AI Assessment Scale for EAP noted above is one product of that engagement. Three contributions to the disciplines follow. The first is a vocabulary: terms such as patchwriting, source integration, stance and voice give discipline staff a way to talk with students about the difference between legitimate and illegitimate use of borrowed language that is more precise than "cheating". The second is a pedagogy: EAP practitioners know how to teach disclosure, reflection and source use as skills rather than announce them as rules. The third is an equity lens, grounded in second-language writing research, that keeps the interests of multilingual and international students in view when policies are designed.</w:t>
      </w:r>
    </w:p>
    <w:p>
      <w:pPr>
        <w:spacing w:after="160" w:line="276"/>
      </w:pPr>
      <w:r>
        <w:t xml:space="preserve">The mode of contribution matters as much as the content. In-sessional provision is at its most effective when embedded in disciplinary programmes rather than offered as a generic service, and the same is true of authorship pedagogy. The model this paper advocates is partnership: EAP practitioners and discipline staff co-designing tasks, disclosure expectations and reflective components for particular modules, so that the teaching of authorship happens where the assessment happens.</w:t>
      </w:r>
    </w:p>
    <w:p>
      <w:pPr>
        <w:pStyle w:val="Heading1"/>
        <w:keepNext/>
        <w:spacing w:after="160" w:before="480"/>
      </w:pPr>
      <w:r>
        <w:rPr>
          <w:rFonts w:ascii="Calibri" w:cs="Calibri" w:eastAsia="Calibri" w:hAnsi="Calibri"/>
          <w:b/>
          <w:bCs/>
          <w:color w:val="1F3A52"/>
          <w:sz w:val="30"/>
          <w:szCs w:val="30"/>
        </w:rPr>
        <w:t xml:space="preserve">7. Across the disciplines</w:t>
      </w:r>
    </w:p>
    <w:p>
      <w:pPr>
        <w:spacing w:after="160" w:line="276"/>
      </w:pPr>
      <w:r>
        <w:t xml:space="preserve">Authorship norms differ by discipline, and so must the design of assessment for it. Scientists have long written in teams with contributions distinguished by role; humanities scholars still prize the single-authored essay; programmers reuse code as a matter of professional virtue; lawyers build arguments from authority; clinicians write reflections that are inseparable from their own encounters with patients. A useful organising question, which follows directly from the accountability definition, is this: in this genre, where does the author's accountable judgement reside? Whatever the answer, that is what the assessment should make visible, and that is what AI should not be permitted to substitute for. What follows applies the question to nine fields. In each case the aim is not to prescribe but to show the reasoning in a form that course designers can adapt.</w:t>
      </w:r>
    </w:p>
    <w:p>
      <w:pPr>
        <w:pStyle w:val="Heading2"/>
        <w:keepNext/>
        <w:spacing w:after="120" w:before="320"/>
      </w:pPr>
      <w:r>
        <w:rPr>
          <w:rFonts w:ascii="Calibri" w:cs="Calibri" w:eastAsia="Calibri" w:hAnsi="Calibri"/>
          <w:b/>
          <w:bCs/>
          <w:color w:val="2F4F6F"/>
          <w:sz w:val="24"/>
          <w:szCs w:val="24"/>
        </w:rPr>
        <w:t xml:space="preserve">7.1 Natural sciences: the laboratory report</w:t>
      </w:r>
    </w:p>
    <w:p>
      <w:pPr>
        <w:spacing w:after="160" w:line="276"/>
      </w:pPr>
      <w:r>
        <w:t xml:space="preserve">In a lab report the author's judgement lies in experimental design, in the handling and interpretation of the data actually collected, and in honest reporting of what went wrong. Introductions and method descriptions are largely conventional and a model can produce them at will; results and discussion tied to this experiment, with its particular anomalies, cannot be generated without the data. Assessment should therefore weight interpretation, error analysis and the reasoning from data to claim, and may reasonably permit AI for drafting conventional sections with disclosure. A short oral check, in which the student explains an unexpected result, is a low-cost secured element.</w:t>
      </w:r>
    </w:p>
    <w:p>
      <w:pPr>
        <w:pStyle w:val="Heading2"/>
        <w:keepNext/>
        <w:spacing w:after="120" w:before="320"/>
      </w:pPr>
      <w:r>
        <w:rPr>
          <w:rFonts w:ascii="Calibri" w:cs="Calibri" w:eastAsia="Calibri" w:hAnsi="Calibri"/>
          <w:b/>
          <w:bCs/>
          <w:color w:val="2F4F6F"/>
          <w:sz w:val="24"/>
          <w:szCs w:val="24"/>
        </w:rPr>
        <w:t xml:space="preserve">7.2 Engineering: the design report</w:t>
      </w:r>
    </w:p>
    <w:p>
      <w:pPr>
        <w:spacing w:after="160" w:line="276"/>
      </w:pPr>
      <w:r>
        <w:t xml:space="preserve">Engineering authorship is the justification of design decisions against constraints of cost, safety, materials and client need. The report exists to make that justification inspectable. Assessment should focus on the reasoning chain and the trade-off analysis, and on the student's ability to defend choices in a design review, which is in any case the discipline's authentic forum. AI can be permitted for drafting, for checking calculations and for generating alternatives to be evaluated, provided that its use is disclosed and that the student is required to explain why the chosen option was preferred to those the tool proposed.</w:t>
      </w:r>
    </w:p>
    <w:p>
      <w:pPr>
        <w:pStyle w:val="Heading2"/>
        <w:keepNext/>
        <w:spacing w:after="120" w:before="320"/>
      </w:pPr>
      <w:r>
        <w:rPr>
          <w:rFonts w:ascii="Calibri" w:cs="Calibri" w:eastAsia="Calibri" w:hAnsi="Calibri"/>
          <w:b/>
          <w:bCs/>
          <w:color w:val="2F4F6F"/>
          <w:sz w:val="24"/>
          <w:szCs w:val="24"/>
        </w:rPr>
        <w:t xml:space="preserve">7.3 Computing: code and the AI pair programmer</w:t>
      </w:r>
    </w:p>
    <w:p>
      <w:pPr>
        <w:spacing w:after="160" w:line="276"/>
      </w:pPr>
      <w:r>
        <w:t xml:space="preserve">Computing already has mature norms of attribution and reuse: libraries, licences, code review, pair programming. AI coding assistants are now a standard professional tool, and banning them would be perverse. The computing education research is nonetheless cautionary. Prather et al. (2023) found that novices interacting with an AI assistant were often unable to understand or evaluate what it produced, and Prather et al. (2024) describe a widening gap in which weaker students accept code they cannot explain and feel productive without measurable learning gains, while stronger students benefit. The authorship implication is that comprehension, not production, is what must be evidenced. Assessment should ask students to explain code in plain language, to modify or extend it under changed requirements, and to debug it live; code walkthroughs and short vivas are well established in the field and serve as lane-one checkpoints.</w:t>
      </w:r>
    </w:p>
    <w:p>
      <w:pPr>
        <w:pStyle w:val="Heading2"/>
        <w:keepNext/>
        <w:spacing w:after="120" w:before="320"/>
      </w:pPr>
      <w:r>
        <w:rPr>
          <w:rFonts w:ascii="Calibri" w:cs="Calibri" w:eastAsia="Calibri" w:hAnsi="Calibri"/>
          <w:b/>
          <w:bCs/>
          <w:color w:val="2F4F6F"/>
          <w:sz w:val="24"/>
          <w:szCs w:val="24"/>
        </w:rPr>
        <w:t xml:space="preserve">7.4 Law: legal reasoning and writing</w:t>
      </w:r>
    </w:p>
    <w:p>
      <w:pPr>
        <w:spacing w:after="160" w:line="276"/>
      </w:pPr>
      <w:r>
        <w:t xml:space="preserve">Legal authorship is the construction of an argument from authority applied to facts. Generative AI is a plausible but unreliable legal researcher — it fabricates citations and misstates holdings — so the discipline's own norms already demand verification of every source. Assessment should test application of law to novel or bespoke fact patterns, which resist generic generation, and should require students to defend their reasoning orally, as moots and advocacy exercises already do. AI may be permitted for first-pass research and for drafting, on condition that every authority is verified and the verification is disclosed; the discipline's emerging literature on generative AI and assessment is developing along these lines.</w:t>
      </w:r>
    </w:p>
    <w:p>
      <w:pPr>
        <w:pStyle w:val="Heading2"/>
        <w:keepNext/>
        <w:spacing w:after="120" w:before="320"/>
      </w:pPr>
      <w:r>
        <w:rPr>
          <w:rFonts w:ascii="Calibri" w:cs="Calibri" w:eastAsia="Calibri" w:hAnsi="Calibri"/>
          <w:b/>
          <w:bCs/>
          <w:color w:val="2F4F6F"/>
          <w:sz w:val="24"/>
          <w:szCs w:val="24"/>
        </w:rPr>
        <w:t xml:space="preserve">7.5 Medicine and health sciences: reflection and the case write-up</w:t>
      </w:r>
    </w:p>
    <w:p>
      <w:pPr>
        <w:spacing w:after="160" w:line="276"/>
      </w:pPr>
      <w:r>
        <w:t xml:space="preserve">Clinical authorship integrates evidence with a specific patient encounter and with the student's own professional development. A reflective account of a placement, or a case write-up, is anchored in an experience the student had and a reasoning process they went through; a model can produce a plausible reflection but not this one. Assessment should weight the clinical reasoning and the reflection on the particular encounter, ideally in dialogue with a supervisor who was present. AI can be permitted for retrieving guidelines and evidence, again with verification and disclosure, and the discipline's existing habit of structured reflective genres gives EAP practitioners a natural point of entry.</w:t>
      </w:r>
    </w:p>
    <w:p>
      <w:pPr>
        <w:pStyle w:val="Heading2"/>
        <w:keepNext/>
        <w:spacing w:after="120" w:before="320"/>
      </w:pPr>
      <w:r>
        <w:rPr>
          <w:rFonts w:ascii="Calibri" w:cs="Calibri" w:eastAsia="Calibri" w:hAnsi="Calibri"/>
          <w:b/>
          <w:bCs/>
          <w:color w:val="2F4F6F"/>
          <w:sz w:val="24"/>
          <w:szCs w:val="24"/>
        </w:rPr>
        <w:t xml:space="preserve">7.6 Humanities: the essay and close reading</w:t>
      </w:r>
    </w:p>
    <w:p>
      <w:pPr>
        <w:spacing w:after="160" w:line="276"/>
      </w:pPr>
      <w:r>
        <w:t xml:space="preserve">The individual essay remains the humanities' signature authorship genre, and its purpose is original interpretation grounded in close engagement with texts. This is the field in which the study skills reflex — ban the tool, detect the prose — has been strongest, and it is where the academic literacies alternative matters most. Assessment can be anchored in close reading of specified passages, in seminar-linked writing that develops over a term, and in the emergence of an argumentative voice that can be traced across drafts. Reflective drafts and brief tutorial conversations make the thinking visible. AI can be used, with disclosure, as an interlocutor to argue against; the student who can show where the model's reading is shallow and why is demonstrating exactly the judgement the essay exists to develop.</w:t>
      </w:r>
    </w:p>
    <w:p>
      <w:pPr>
        <w:pStyle w:val="Heading2"/>
        <w:keepNext/>
        <w:spacing w:after="120" w:before="320"/>
      </w:pPr>
      <w:r>
        <w:rPr>
          <w:rFonts w:ascii="Calibri" w:cs="Calibri" w:eastAsia="Calibri" w:hAnsi="Calibri"/>
          <w:b/>
          <w:bCs/>
          <w:color w:val="2F4F6F"/>
          <w:sz w:val="24"/>
          <w:szCs w:val="24"/>
        </w:rPr>
        <w:t xml:space="preserve">7.7 Social sciences: research reports and data interpretation</w:t>
      </w:r>
    </w:p>
    <w:p>
      <w:pPr>
        <w:spacing w:after="160" w:line="276"/>
      </w:pPr>
      <w:r>
        <w:t xml:space="preserve">Social science authorship lies in the interpretation of data and the situating of findings within a literature. Where students collect or are given data, the analysis of that data is theirs in a way no tool can replicate, and assessment should weight it accordingly. Critical engagement with sources — evaluating rather than summarising — is the other locus of judgement and is directly teachable through academic literacies work on source use. AI may be permitted for literature mapping and for drafting, with disclosure and with a requirement that the student identify what the tool got wrong or missed.</w:t>
      </w:r>
    </w:p>
    <w:p>
      <w:pPr>
        <w:pStyle w:val="Heading2"/>
        <w:keepNext/>
        <w:spacing w:after="120" w:before="320"/>
      </w:pPr>
      <w:r>
        <w:rPr>
          <w:rFonts w:ascii="Calibri" w:cs="Calibri" w:eastAsia="Calibri" w:hAnsi="Calibri"/>
          <w:b/>
          <w:bCs/>
          <w:color w:val="2F4F6F"/>
          <w:sz w:val="24"/>
          <w:szCs w:val="24"/>
        </w:rPr>
        <w:t xml:space="preserve">7.8 Creative arts and design: portfolio and process</w:t>
      </w:r>
    </w:p>
    <w:p>
      <w:pPr>
        <w:spacing w:after="160" w:line="276"/>
      </w:pPr>
      <w:r>
        <w:t xml:space="preserve">In the creative disciplines authorship has long been understood as process: iteration, experimentation, the documented development of a work, and the artist's or designer's statement that accounts for it. The portfolio already evidences authorship in exactly the accountable sense, and generative tools take their place as one medium among others, to be disclosed and reflected upon. Assessment should continue to weight the documented process and the statement; the interesting pedagogical question, which these disciplines are well placed to lead on, is how students articulate the difference between a tool they used and a work they made.</w:t>
      </w:r>
    </w:p>
    <w:p>
      <w:pPr>
        <w:pStyle w:val="Heading2"/>
        <w:keepNext/>
        <w:spacing w:after="120" w:before="320"/>
      </w:pPr>
      <w:r>
        <w:rPr>
          <w:rFonts w:ascii="Calibri" w:cs="Calibri" w:eastAsia="Calibri" w:hAnsi="Calibri"/>
          <w:b/>
          <w:bCs/>
          <w:color w:val="2F4F6F"/>
          <w:sz w:val="24"/>
          <w:szCs w:val="24"/>
        </w:rPr>
        <w:t xml:space="preserve">7.9 Business and management: reports and case analyses</w:t>
      </w:r>
    </w:p>
    <w:p>
      <w:pPr>
        <w:spacing w:after="160" w:line="276"/>
      </w:pPr>
      <w:r>
        <w:t xml:space="preserve">Business authorship is contextual application: recommendations tailored to a specific organisation, market or case. Generic case analyses are easily generated; analyses of a live, local or bespoke case, defended in a presentation to a panel that asks questions, are not. Assessment should use such cases, weight the tailoring and the defence, and permit AI for research, modelling and drafting with disclosure. The presentation and question-and-answer session functions as the lane-one element and mirrors professional practice.</w:t>
      </w:r>
    </w:p>
    <w:p>
      <w:pPr>
        <w:pStyle w:val="Heading1"/>
        <w:keepNext/>
        <w:spacing w:after="160" w:before="480"/>
      </w:pPr>
      <w:r>
        <w:rPr>
          <w:rFonts w:ascii="Calibri" w:cs="Calibri" w:eastAsia="Calibri" w:hAnsi="Calibri"/>
          <w:b/>
          <w:bCs/>
          <w:color w:val="1F3A52"/>
          <w:sz w:val="30"/>
          <w:szCs w:val="30"/>
        </w:rPr>
        <w:t xml:space="preserve">8. A definition and eight principles</w:t>
      </w:r>
    </w:p>
    <w:p>
      <w:pPr>
        <w:pStyle w:val="Heading2"/>
        <w:keepNext/>
        <w:spacing w:after="120" w:before="320"/>
      </w:pPr>
      <w:r>
        <w:rPr>
          <w:rFonts w:ascii="Calibri" w:cs="Calibri" w:eastAsia="Calibri" w:hAnsi="Calibri"/>
          <w:b/>
          <w:bCs/>
          <w:color w:val="2F4F6F"/>
          <w:sz w:val="24"/>
          <w:szCs w:val="24"/>
        </w:rPr>
        <w:t xml:space="preserve">8.1 The definition</w:t>
      </w:r>
    </w:p>
    <w:p>
      <w:pPr>
        <w:spacing w:after="160" w:line="276"/>
      </w:pPr>
      <w:r>
        <w:t xml:space="preserve">The evidence reviewed at each of the three levels converges on a single position, which can now be stated in full.</w:t>
      </w:r>
    </w:p>
    <w:p>
      <w:pPr>
        <w:keepNext/>
        <w:keepLines/>
        <w:pBdr>
          <w:top w:val="single" w:color="2F4F6F" w:sz="12" w:space="6"/>
          <w:left w:val="single" w:color="2F4F6F" w:sz="12" w:space="8"/>
        </w:pBdr>
        <w:shd w:fill="F1F3F6" w:color="auto" w:val="clear"/>
        <w:spacing w:after="60" w:before="200"/>
        <w:ind w:left="284" w:right="284"/>
      </w:pPr>
      <w:r>
        <w:rPr>
          <w:rFonts w:ascii="Calibri" w:cs="Calibri" w:eastAsia="Calibri" w:hAnsi="Calibri"/>
          <w:b/>
          <w:bCs/>
          <w:color w:val="4A5568"/>
          <w:spacing w:val="40"/>
          <w:sz w:val="18"/>
          <w:szCs w:val="18"/>
        </w:rPr>
        <w:t xml:space="preserve">DEFINITION</w:t>
      </w:r>
    </w:p>
    <w:p>
      <w:pPr>
        <w:keepLines/>
        <w:pBdr>
          <w:bottom w:val="single" w:color="2F4F6F" w:sz="12" w:space="6"/>
          <w:left w:val="single" w:color="2F4F6F" w:sz="12" w:space="8"/>
        </w:pBdr>
        <w:shd w:fill="F1F3F6" w:color="auto" w:val="clear"/>
        <w:spacing w:after="240" w:line="276"/>
        <w:ind w:left="284" w:right="284"/>
      </w:pPr>
      <w:r>
        <w:rPr>
          <w:b/>
          <w:bCs/>
          <w:sz w:val="23"/>
          <w:szCs w:val="23"/>
        </w:rPr>
        <w:t xml:space="preserve">For the purpose of student assessment, authorship is accountable, reflective and dialogic meaning-making: the student's demonstrable capacity to take responsibility for, explain and defend the meaning of their work, including any use of AI, within the conventions of their discipline.</w:t>
      </w:r>
    </w:p>
    <w:p>
      <w:pPr>
        <w:spacing w:after="160" w:line="276"/>
      </w:pPr>
      <w:r>
        <w:t xml:space="preserve">Four things recommend this definition. It is continuous with sixty years of authorship theory and with the academic literacies tradition, which never held that an author was a solitary originator and always held that writing was the accountable orchestration of voices. It mirrors the standard that scholarly publishing has already adopted, so that what we ask of students is the same thing we ask of ourselves. It sidesteps the technical and ethical failure of detection, because it does not depend on establishing where the words came from. And it is teachable and assessable, because accountability, explanation and defence are things students can be shown how to do and things assessors can see.</w:t>
      </w:r>
    </w:p>
    <w:p>
      <w:pPr>
        <w:spacing w:after="160" w:line="276"/>
      </w:pPr>
      <w:r>
        <w:t xml:space="preserve">The definition also changes the practitioner's job. The task is no longer to police origination, a task that was always poorly defined and is now impossible. It is to cultivate accountable authorship and to design assessment that makes it evident.</w:t>
      </w:r>
    </w:p>
    <w:p>
      <w:pPr>
        <w:pStyle w:val="Heading2"/>
        <w:keepNext/>
        <w:spacing w:after="120" w:before="320"/>
      </w:pPr>
      <w:r>
        <w:rPr>
          <w:rFonts w:ascii="Calibri" w:cs="Calibri" w:eastAsia="Calibri" w:hAnsi="Calibri"/>
          <w:b/>
          <w:bCs/>
          <w:color w:val="2F4F6F"/>
          <w:sz w:val="24"/>
          <w:szCs w:val="24"/>
        </w:rPr>
        <w:t xml:space="preserve">8.2 Eight principles for teachers and course designers</w:t>
      </w:r>
    </w:p>
    <w:p>
      <w:pPr>
        <w:pStyle w:val="ListParagraph"/>
        <w:numPr>
          <w:ilvl w:val="0"/>
          <w:numId w:val="2"/>
        </w:numPr>
        <w:spacing w:after="160" w:line="276"/>
      </w:pPr>
      <w:r>
        <w:t xml:space="preserve">Design for authorship; do not try to detect it. Treat the output of AI-text detectors as, at most, a weak prompt for a conversation with a student, and never as evidence in a misconduct process. The false-positive rates and the bias against multilingual writers make detection-based penalties indefensible on both evidential and equity grounds.</w:t>
      </w:r>
    </w:p>
    <w:p>
      <w:pPr>
        <w:pStyle w:val="ListParagraph"/>
        <w:numPr>
          <w:ilvl w:val="0"/>
          <w:numId w:val="2"/>
        </w:numPr>
        <w:spacing w:after="160" w:line="276"/>
      </w:pPr>
      <w:r>
        <w:t xml:space="preserve">Make accountability the standard. Ask students to stand behind their meaning, orally or in writing. If a student can explain and defend a piece of work, including the choices they made about AI, they own it. The heuristic to share with students is that they may hand over control but may not hand over responsibility.</w:t>
      </w:r>
    </w:p>
    <w:p>
      <w:pPr>
        <w:pStyle w:val="ListParagraph"/>
        <w:numPr>
          <w:ilvl w:val="0"/>
          <w:numId w:val="2"/>
        </w:numPr>
        <w:spacing w:after="160" w:line="276"/>
      </w:pPr>
      <w:r>
        <w:t xml:space="preserve">Adopt a two-lane, programmatic design. Secure a small number of high-stakes points across a programme — vivas, interactive orals, supervised tasks — where authorship is verified directly. Make most tasks open, transparent and process-rich, and let security be a property of the programme rather than of every assignment.</w:t>
      </w:r>
    </w:p>
    <w:p>
      <w:pPr>
        <w:pStyle w:val="ListParagraph"/>
        <w:numPr>
          <w:ilvl w:val="0"/>
          <w:numId w:val="2"/>
        </w:numPr>
        <w:spacing w:after="160" w:line="276"/>
      </w:pPr>
      <w:r>
        <w:t xml:space="preserve">Specify permitted use per task, and teach disclosure. Use a scale such as the AI Assessment Scale to state, for each task, what use is permitted and expected, following the logic of the proofreading literature that acceptable help can only be defined per task. Teach students how to write an honest and specific AI-use statement, and treat that statement as part of the work.</w:t>
      </w:r>
    </w:p>
    <w:p>
      <w:pPr>
        <w:pStyle w:val="ListParagraph"/>
        <w:numPr>
          <w:ilvl w:val="0"/>
          <w:numId w:val="2"/>
        </w:numPr>
        <w:spacing w:after="160" w:line="276"/>
      </w:pPr>
      <w:r>
        <w:t xml:space="preserve">Assess process and judgement, not only product. Use reflective commentaries, annotated drafts, portfolios, viva-style defences and interactive orals to make evaluative judgement visible. The question to ask of every task is whether it requires the student to answer for the work.</w:t>
      </w:r>
    </w:p>
    <w:p>
      <w:pPr>
        <w:pStyle w:val="ListParagraph"/>
        <w:numPr>
          <w:ilvl w:val="0"/>
          <w:numId w:val="2"/>
        </w:numPr>
        <w:spacing w:after="160" w:line="276"/>
      </w:pPr>
      <w:r>
        <w:t xml:space="preserve">Teach source use and voice explicitly, and treat AI as one more voice. Frame generative AI within existing pedagogy on citation, paraphrase, stance and voice, so that students learn to bring its output into their writing under their own control and to mark what it contributed, exactly as they learn to do with published sources.</w:t>
      </w:r>
    </w:p>
    <w:p>
      <w:pPr>
        <w:pStyle w:val="ListParagraph"/>
        <w:numPr>
          <w:ilvl w:val="0"/>
          <w:numId w:val="2"/>
        </w:numPr>
        <w:spacing w:after="160" w:line="276"/>
      </w:pPr>
      <w:r>
        <w:t xml:space="preserve">Lead with equity. Test every design against the question of whom it disadvantages. Keep secured assessment small and well supported; offer adjustments in oral formats; provide institutionally any tool students are expected to use; and protect multilingual and international students from the suspicion that detection and surveillance generate.</w:t>
      </w:r>
    </w:p>
    <w:p>
      <w:pPr>
        <w:pStyle w:val="ListParagraph"/>
        <w:numPr>
          <w:ilvl w:val="0"/>
          <w:numId w:val="2"/>
        </w:numPr>
        <w:spacing w:after="160" w:line="276"/>
      </w:pPr>
      <w:r>
        <w:t xml:space="preserve">Embed, do not bolt on. Deliver authorship pedagogy inside disciplinary curricula, through partnership between academic literacies practitioners and discipline staff, so that students learn what authorship means in their field at the point where their authorship is assessed.</w:t>
      </w:r>
    </w:p>
    <w:p>
      <w:pPr>
        <w:pStyle w:val="Heading1"/>
        <w:keepNext/>
        <w:spacing w:after="160" w:before="480"/>
      </w:pPr>
      <w:r>
        <w:rPr>
          <w:rFonts w:ascii="Calibri" w:cs="Calibri" w:eastAsia="Calibri" w:hAnsi="Calibri"/>
          <w:b/>
          <w:bCs/>
          <w:color w:val="1F3A52"/>
          <w:sz w:val="30"/>
          <w:szCs w:val="30"/>
        </w:rPr>
        <w:t xml:space="preserve">9. What would change this position</w:t>
      </w:r>
    </w:p>
    <w:p>
      <w:pPr>
        <w:spacing w:after="160" w:line="276"/>
      </w:pPr>
      <w:r>
        <w:t xml:space="preserve">A position built from evidence should say what evidence would revise it. Three thresholds stand out. If independent evaluation showed AI-text detectors achieving consistently low false-positive rates without demographic bias, limited verification uses might become defensible, though the accountability standard would still be the better foundation. If large-scale study showed that AI-use statements were being systematically gamed and could not be improved by teaching, the balance within the two-lane model would need to shift towards more secured points. And if evidence accumulated that open AI use was widening attainment gaps even where tools were institutionally provided and their use was taught, the equity-protective constraints in principle seven would need strengthening, possibly at the expense of openness. None of these thresholds has been reached on present evidence.</w:t>
      </w:r>
    </w:p>
    <w:p>
      <w:pPr>
        <w:pStyle w:val="Heading1"/>
        <w:keepNext/>
        <w:spacing w:after="160" w:before="480"/>
      </w:pPr>
      <w:r>
        <w:rPr>
          <w:rFonts w:ascii="Calibri" w:cs="Calibri" w:eastAsia="Calibri" w:hAnsi="Calibri"/>
          <w:b/>
          <w:bCs/>
          <w:color w:val="1F3A52"/>
          <w:sz w:val="30"/>
          <w:szCs w:val="30"/>
        </w:rPr>
        <w:t xml:space="preserve">10. Conclusion</w:t>
      </w:r>
    </w:p>
    <w:p>
      <w:pPr>
        <w:spacing w:after="160" w:line="276"/>
      </w:pPr>
      <w:r>
        <w:t xml:space="preserve">The arrival of generative AI has not so much created a crisis of authorship as exposed one. Universities were certifying authorship on the basis of an assumption — that the words in a submitted text were produced unaided by the student whose name was on it — which was never examined, was never quite true, and is now untenable. The way out is not a better detector but a better definition. Authorship theory, the academic literacies tradition, the scholarly publishing community and the assessment research literature all point the same way: authorship is accountability. The author is the one who can answer for the work.</w:t>
      </w:r>
    </w:p>
    <w:p>
      <w:pPr>
        <w:spacing w:after="160" w:line="276"/>
      </w:pPr>
      <w:r>
        <w:t xml:space="preserve">That definition is teachable, assessable and fair. It asks of students what the research community asks of itself. It can be built into assessment through the design moves set out above, most of which are already familiar and none of which requires surveillance. And it gives in-sessional academic literacies provision a role of real consequence. The practitioners who have spent their careers teaching students to bring other voices into their writing, to find their own voice among them and to account for the choices they made are the people best placed to help every discipline teach and assess authorship in the age of AI. The opportunity is to move that expertise from the margins of the university to the centre of its assessment design.</w:t>
      </w:r>
    </w:p>
    <w:p>
      <w:pPr>
        <w:pStyle w:val="Heading1"/>
        <w:keepNext/>
        <w:spacing w:after="160" w:before="480"/>
      </w:pPr>
      <w:r>
        <w:rPr>
          <w:rFonts w:ascii="Calibri" w:cs="Calibri" w:eastAsia="Calibri" w:hAnsi="Calibri"/>
          <w:b/>
          <w:bCs/>
          <w:color w:val="1F3A52"/>
          <w:sz w:val="30"/>
          <w:szCs w:val="30"/>
        </w:rPr>
        <w:t xml:space="preserve">References</w:t>
      </w:r>
    </w:p>
    <w:p>
      <w:pPr>
        <w:spacing w:after="120" w:line="264"/>
        <w:ind w:left="567" w:hanging="567"/>
      </w:pPr>
      <w:r>
        <w:t xml:space="preserve">Bakhtin, M.M. (1981) </w:t>
      </w:r>
      <w:r>
        <w:rPr>
          <w:i/>
          <w:iCs/>
        </w:rPr>
        <w:t xml:space="preserve">The Dialogic Imagination: Four Essays</w:t>
      </w:r>
      <w:r>
        <w:t xml:space="preserve">. Edited by M. Holquist, translated by C. Emerson and M. Holquist. Austin: University of Texas Press.</w:t>
      </w:r>
    </w:p>
    <w:p>
      <w:pPr>
        <w:spacing w:after="120" w:line="264"/>
        <w:ind w:left="567" w:hanging="567"/>
      </w:pPr>
      <w:r>
        <w:t xml:space="preserve">Barthes, R. (1977) 'The death of the author', in </w:t>
      </w:r>
      <w:r>
        <w:rPr>
          <w:i/>
          <w:iCs/>
        </w:rPr>
        <w:t xml:space="preserve">Image–Music–Text</w:t>
      </w:r>
      <w:r>
        <w:t xml:space="preserve">. Translated by S. Heath. London: Fontana, pp. 142–148.</w:t>
      </w:r>
    </w:p>
    <w:p>
      <w:pPr>
        <w:spacing w:after="120" w:line="264"/>
        <w:ind w:left="567" w:hanging="567"/>
      </w:pPr>
      <w:r>
        <w:t xml:space="preserve">Bearman, M. and Ajjawi, R. (2023) 'Learning to work with the black box: pedagogy for a world with artificial intelligence', </w:t>
      </w:r>
      <w:r>
        <w:rPr>
          <w:i/>
          <w:iCs/>
        </w:rPr>
        <w:t xml:space="preserve">British Journal of Educational Technology</w:t>
      </w:r>
      <w:r>
        <w:t xml:space="preserve">, 54(5), pp. 1160–1173. doi:10.1111/bjet.13337.</w:t>
      </w:r>
    </w:p>
    <w:p>
      <w:pPr>
        <w:spacing w:after="120" w:line="264"/>
        <w:ind w:left="567" w:hanging="567"/>
      </w:pPr>
      <w:r>
        <w:t xml:space="preserve">Bridgeman, A., Liu, D. and Weeks, R. (2024) </w:t>
      </w:r>
      <w:r>
        <w:rPr>
          <w:i/>
          <w:iCs/>
        </w:rPr>
        <w:t xml:space="preserve">Program level assessment design and the two-lane approach</w:t>
      </w:r>
      <w:r>
        <w:t xml:space="preserve">. Teaching@Sydney, University of Sydney. Available at: https://educational-innovation.sydney.edu.au/teaching@sydney/program-level-assessment-two-lane/ (Accessed: 3 September 2026).</w:t>
      </w:r>
    </w:p>
    <w:p>
      <w:pPr>
        <w:spacing w:after="120" w:line="264"/>
        <w:ind w:left="567" w:hanging="567"/>
      </w:pPr>
      <w:r>
        <w:t xml:space="preserve">Committee on Publication Ethics (COPE) (2023) </w:t>
      </w:r>
      <w:r>
        <w:rPr>
          <w:i/>
          <w:iCs/>
        </w:rPr>
        <w:t xml:space="preserve">Authorship and AI tools: COPE position statement</w:t>
      </w:r>
      <w:r>
        <w:t xml:space="preserve">. Available at: https://publicationethics.org/cope-position-statements/ai-author (Accessed: 3 September 2026).</w:t>
      </w:r>
    </w:p>
    <w:p>
      <w:pPr>
        <w:spacing w:after="120" w:line="264"/>
        <w:ind w:left="567" w:hanging="567"/>
      </w:pPr>
      <w:r>
        <w:t xml:space="preserve">Corbin, T., Dawson, P. and Liu, D. (2025) 'Talk is cheap: why structural assessment changes are needed for a time of GenAI', </w:t>
      </w:r>
      <w:r>
        <w:rPr>
          <w:i/>
          <w:iCs/>
        </w:rPr>
        <w:t xml:space="preserve">Assessment &amp; Evaluation in Higher Education</w:t>
      </w:r>
      <w:r>
        <w:t xml:space="preserve">, 50(7), pp. 1087–1097. doi:10.1080/02602938.2025.2503964.</w:t>
      </w:r>
    </w:p>
    <w:p>
      <w:pPr>
        <w:spacing w:after="120" w:line="264"/>
        <w:ind w:left="567" w:hanging="567"/>
      </w:pPr>
      <w:r>
        <w:t xml:space="preserve">Dawson, P. (2021) </w:t>
      </w:r>
      <w:r>
        <w:rPr>
          <w:i/>
          <w:iCs/>
        </w:rPr>
        <w:t xml:space="preserve">Defending Assessment Security in a Digital World: Preventing E-Cheating and Supporting Academic Integrity in Higher Education</w:t>
      </w:r>
      <w:r>
        <w:t xml:space="preserve">. London: Routledge. doi:10.4324/9780429324178.</w:t>
      </w:r>
    </w:p>
    <w:p>
      <w:pPr>
        <w:spacing w:after="120" w:line="264"/>
        <w:ind w:left="567" w:hanging="567"/>
      </w:pPr>
      <w:r>
        <w:t xml:space="preserve">Eaton, S.E. (2023) 'Postplagiarism: transdisciplinary ethics and integrity in the age of artificial intelligence and neurotechnology', </w:t>
      </w:r>
      <w:r>
        <w:rPr>
          <w:i/>
          <w:iCs/>
        </w:rPr>
        <w:t xml:space="preserve">International Journal for Educational Integrity</w:t>
      </w:r>
      <w:r>
        <w:t xml:space="preserve">, 19, 23. doi:10.1007/s40979-023-00144-1.</w:t>
      </w:r>
    </w:p>
    <w:p>
      <w:pPr>
        <w:spacing w:after="120" w:line="264"/>
        <w:ind w:left="567" w:hanging="567"/>
      </w:pPr>
      <w:r>
        <w:t xml:space="preserve">Foucault, M. (1977) 'What is an author?', in D.F. Bouchard (ed.) </w:t>
      </w:r>
      <w:r>
        <w:rPr>
          <w:i/>
          <w:iCs/>
        </w:rPr>
        <w:t xml:space="preserve">Language, Counter-Memory, Practice: Selected Essays and Interviews</w:t>
      </w:r>
      <w:r>
        <w:t xml:space="preserve">. Translated by D.F. Bouchard and S. Simon. Ithaca, NY: Cornell University Press, pp. 113–138.</w:t>
      </w:r>
    </w:p>
    <w:p>
      <w:pPr>
        <w:spacing w:after="120" w:line="264"/>
        <w:ind w:left="567" w:hanging="567"/>
      </w:pPr>
      <w:r>
        <w:t xml:space="preserve">Freeman, J. (2025) </w:t>
      </w:r>
      <w:r>
        <w:rPr>
          <w:i/>
          <w:iCs/>
        </w:rPr>
        <w:t xml:space="preserve">Student Generative AI Survey 2025</w:t>
      </w:r>
      <w:r>
        <w:t xml:space="preserve"> (HEPI Policy Note 61). Oxford: Higher Education Policy Institute and Kortext. Available at: https://www.hepi.ac.uk/reports/student-generative-ai-survey-2025/ (Accessed: 3 September 2026).</w:t>
      </w:r>
    </w:p>
    <w:p>
      <w:pPr>
        <w:spacing w:after="120" w:line="264"/>
        <w:ind w:left="567" w:hanging="567"/>
      </w:pPr>
      <w:r>
        <w:t xml:space="preserve">Harwood, N. (2019) '"I have to hold myself back from getting into all that": investigating ethical issues in the proofreading of student writing', </w:t>
      </w:r>
      <w:r>
        <w:rPr>
          <w:i/>
          <w:iCs/>
        </w:rPr>
        <w:t xml:space="preserve">Journal of Academic Ethics</w:t>
      </w:r>
      <w:r>
        <w:t xml:space="preserve">, 17, pp. 17–49. doi:10.1007/s10805-018-9313-6.</w:t>
      </w:r>
    </w:p>
    <w:p>
      <w:pPr>
        <w:spacing w:after="120" w:line="264"/>
        <w:ind w:left="567" w:hanging="567"/>
      </w:pPr>
      <w:r>
        <w:t xml:space="preserve">Hyland, K. (2005) 'Stance and engagement: a model of interaction in academic discourse', </w:t>
      </w:r>
      <w:r>
        <w:rPr>
          <w:i/>
          <w:iCs/>
        </w:rPr>
        <w:t xml:space="preserve">Discourse Studies</w:t>
      </w:r>
      <w:r>
        <w:t xml:space="preserve">, 7(2), pp. 173–192. doi:10.1177/1461445605050365.</w:t>
      </w:r>
    </w:p>
    <w:p>
      <w:pPr>
        <w:spacing w:after="120" w:line="264"/>
        <w:ind w:left="567" w:hanging="567"/>
      </w:pPr>
      <w:r>
        <w:t xml:space="preserve">Hyland, K. (2008) 'Disciplinary voices: interactions in research writing', </w:t>
      </w:r>
      <w:r>
        <w:rPr>
          <w:i/>
          <w:iCs/>
        </w:rPr>
        <w:t xml:space="preserve">English Text Construction</w:t>
      </w:r>
      <w:r>
        <w:t xml:space="preserve">, 1(1), pp. 5–22. doi:10.1075/etc.1.1.03hyl.</w:t>
      </w:r>
    </w:p>
    <w:p>
      <w:pPr>
        <w:spacing w:after="120" w:line="264"/>
        <w:ind w:left="567" w:hanging="567"/>
      </w:pPr>
      <w:r>
        <w:t xml:space="preserve">International Committee of Medical Journal Editors (ICMJE) (2025) </w:t>
      </w:r>
      <w:r>
        <w:rPr>
          <w:i/>
          <w:iCs/>
        </w:rPr>
        <w:t xml:space="preserve">Recommendations for the Conduct, Reporting, Editing, and Publication of Scholarly Work in Medical Journals</w:t>
      </w:r>
      <w:r>
        <w:t xml:space="preserve">. Available at: https://www.icmje.org/icmje-recommendations.pdf (Accessed: 3 September 2026).</w:t>
      </w:r>
    </w:p>
    <w:p>
      <w:pPr>
        <w:spacing w:after="120" w:line="264"/>
        <w:ind w:left="567" w:hanging="567"/>
      </w:pPr>
      <w:r>
        <w:t xml:space="preserve">Ivanič, R. (1998) </w:t>
      </w:r>
      <w:r>
        <w:rPr>
          <w:i/>
          <w:iCs/>
        </w:rPr>
        <w:t xml:space="preserve">Writing and Identity: The Discoursal Construction of Identity in Academic Writing</w:t>
      </w:r>
      <w:r>
        <w:t xml:space="preserve">. Amsterdam: John Benjamins.</w:t>
      </w:r>
    </w:p>
    <w:p>
      <w:pPr>
        <w:spacing w:after="120" w:line="264"/>
        <w:ind w:left="567" w:hanging="567"/>
      </w:pPr>
      <w:r>
        <w:t xml:space="preserve">Lea, M.R. and Street, B.V. (1998) 'Student writing in higher education: an academic literacies approach', </w:t>
      </w:r>
      <w:r>
        <w:rPr>
          <w:i/>
          <w:iCs/>
        </w:rPr>
        <w:t xml:space="preserve">Studies in Higher Education</w:t>
      </w:r>
      <w:r>
        <w:t xml:space="preserve">, 23(2), pp. 157–172. doi:10.1080/03075079812331380364.</w:t>
      </w:r>
    </w:p>
    <w:p>
      <w:pPr>
        <w:spacing w:after="120" w:line="264"/>
        <w:ind w:left="567" w:hanging="567"/>
      </w:pPr>
      <w:r>
        <w:t xml:space="preserve">Liang, W., Yuksekgonul, M., Mao, Y., Wu, E. and Zou, J. (2023) 'GPT detectors are biased against non-native English writers', </w:t>
      </w:r>
      <w:r>
        <w:rPr>
          <w:i/>
          <w:iCs/>
        </w:rPr>
        <w:t xml:space="preserve">Patterns</w:t>
      </w:r>
      <w:r>
        <w:t xml:space="preserve">, 4(7), 100779. doi:10.1016/j.patter.2023.100779.</w:t>
      </w:r>
    </w:p>
    <w:p>
      <w:pPr>
        <w:spacing w:after="120" w:line="264"/>
        <w:ind w:left="567" w:hanging="567"/>
      </w:pPr>
      <w:r>
        <w:t xml:space="preserve">Lillis, T. and Scott, M. (2007) 'Defining academic literacies research: issues of epistemology, ideology and strategy', </w:t>
      </w:r>
      <w:r>
        <w:rPr>
          <w:i/>
          <w:iCs/>
        </w:rPr>
        <w:t xml:space="preserve">Journal of Applied Linguistics</w:t>
      </w:r>
      <w:r>
        <w:t xml:space="preserve">, 4(1), pp. 5–32. doi:10.1558/japl.v4i1.5.</w:t>
      </w:r>
    </w:p>
    <w:p>
      <w:pPr>
        <w:spacing w:after="120" w:line="264"/>
        <w:ind w:left="567" w:hanging="567"/>
      </w:pPr>
      <w:r>
        <w:t xml:space="preserve">Lodge, J.M., Howard, S., Bearman, M., Dawson, P. and Associates (2023) </w:t>
      </w:r>
      <w:r>
        <w:rPr>
          <w:i/>
          <w:iCs/>
        </w:rPr>
        <w:t xml:space="preserve">Assessment Reform for the Age of Artificial Intelligence</w:t>
      </w:r>
      <w:r>
        <w:t xml:space="preserve">. Melbourne: Tertiary Education Quality and Standards Agency (TEQSA). Available at: https://www.teqsa.gov.au/guides-resources/resources/corporate-publications/assessment-reform-age-artificial-intelligence (Accessed: 3 September 2026).</w:t>
      </w:r>
    </w:p>
    <w:p>
      <w:pPr>
        <w:spacing w:after="120" w:line="264"/>
        <w:ind w:left="567" w:hanging="567"/>
      </w:pPr>
      <w:r>
        <w:t xml:space="preserve">Miao, F. and Holmes, W. (2023) </w:t>
      </w:r>
      <w:r>
        <w:rPr>
          <w:i/>
          <w:iCs/>
        </w:rPr>
        <w:t xml:space="preserve">Guidance for Generative AI in Education and Research</w:t>
      </w:r>
      <w:r>
        <w:t xml:space="preserve">. Paris: UNESCO.</w:t>
      </w:r>
    </w:p>
    <w:p>
      <w:pPr>
        <w:spacing w:after="120" w:line="264"/>
        <w:ind w:left="567" w:hanging="567"/>
      </w:pPr>
      <w:r>
        <w:t xml:space="preserve">Nature (2023) 'Tools such as ChatGPT threaten transparent science; here are our ground rules for their use' (Editorial), </w:t>
      </w:r>
      <w:r>
        <w:rPr>
          <w:i/>
          <w:iCs/>
        </w:rPr>
        <w:t xml:space="preserve">Nature</w:t>
      </w:r>
      <w:r>
        <w:t xml:space="preserve">, 613(7945), p. 612. doi:10.1038/d41586-023-00191-1.</w:t>
      </w:r>
    </w:p>
    <w:p>
      <w:pPr>
        <w:spacing w:after="120" w:line="264"/>
        <w:ind w:left="567" w:hanging="567"/>
      </w:pPr>
      <w:r>
        <w:t xml:space="preserve">NISO (2022) </w:t>
      </w:r>
      <w:r>
        <w:rPr>
          <w:i/>
          <w:iCs/>
        </w:rPr>
        <w:t xml:space="preserve">ANSI/NISO Z39.104-2022, CRediT, Contributor Roles Taxonomy</w:t>
      </w:r>
      <w:r>
        <w:t xml:space="preserve">. Baltimore, MD: National Information Standards Organization. Available at: https://credit.niso.org/ (Accessed: 3 September 2026).</w:t>
      </w:r>
    </w:p>
    <w:p>
      <w:pPr>
        <w:spacing w:after="120" w:line="264"/>
        <w:ind w:left="567" w:hanging="567"/>
      </w:pPr>
      <w:r>
        <w:t xml:space="preserve">Pecorari, D. (2003) 'Good and original: plagiarism and patchwriting in academic second-language writing', </w:t>
      </w:r>
      <w:r>
        <w:rPr>
          <w:i/>
          <w:iCs/>
        </w:rPr>
        <w:t xml:space="preserve">Journal of Second Language Writing</w:t>
      </w:r>
      <w:r>
        <w:t xml:space="preserve">, 12(4), pp. 317–345. doi:10.1016/j.jslw.2003.08.004.</w:t>
      </w:r>
    </w:p>
    <w:p>
      <w:pPr>
        <w:spacing w:after="120" w:line="264"/>
        <w:ind w:left="567" w:hanging="567"/>
      </w:pPr>
      <w:r>
        <w:t xml:space="preserve">Perkins, M., Furze, L., Roe, J. and MacVaugh, J. (2024) 'The Artificial Intelligence Assessment Scale (AIAS): a framework for ethical integration of generative AI in educational assessment', </w:t>
      </w:r>
      <w:r>
        <w:rPr>
          <w:i/>
          <w:iCs/>
        </w:rPr>
        <w:t xml:space="preserve">Journal of University Teaching and Learning Practice</w:t>
      </w:r>
      <w:r>
        <w:t xml:space="preserve">, 21(6). doi:10.53761/q3azde36.</w:t>
      </w:r>
    </w:p>
    <w:p>
      <w:pPr>
        <w:spacing w:after="120" w:line="264"/>
        <w:ind w:left="567" w:hanging="567"/>
      </w:pPr>
      <w:r>
        <w:t xml:space="preserve">Perkins, M., Roe, J. and Furze, L. (2024) </w:t>
      </w:r>
      <w:r>
        <w:rPr>
          <w:i/>
          <w:iCs/>
        </w:rPr>
        <w:t xml:space="preserve">The AI Assessment Scale Revisited: A Framework for Educational Assessment</w:t>
      </w:r>
      <w:r>
        <w:t xml:space="preserve">. arXiv:2412.09029. doi:10.48550/arXiv.2412.09029.</w:t>
      </w:r>
    </w:p>
    <w:p>
      <w:pPr>
        <w:spacing w:after="120" w:line="264"/>
        <w:ind w:left="567" w:hanging="567"/>
      </w:pPr>
      <w:r>
        <w:t xml:space="preserve">Pittam, G., Elander, J., Lusher, J., Fox, P. and Payne, N. (2009) 'Student beliefs and attitudes about authorial identity in academic writing', </w:t>
      </w:r>
      <w:r>
        <w:rPr>
          <w:i/>
          <w:iCs/>
        </w:rPr>
        <w:t xml:space="preserve">Studies in Higher Education</w:t>
      </w:r>
      <w:r>
        <w:t xml:space="preserve">, 34(2), pp. 153–170. doi:10.1080/03075070802528270.</w:t>
      </w:r>
    </w:p>
    <w:p>
      <w:pPr>
        <w:spacing w:after="120" w:line="264"/>
        <w:ind w:left="567" w:hanging="567"/>
      </w:pPr>
      <w:r>
        <w:t xml:space="preserve">Prather, J., Reeves, B.N., Denny, P., Becker, B.A., Leinonen, J., Luxton-Reilly, A., Powell, G., Finnie-Ansley, J. and Santos, E.A. (2023) '"It's weird that it knows what I want": usability and interactions with Copilot for novice programmers', </w:t>
      </w:r>
      <w:r>
        <w:rPr>
          <w:i/>
          <w:iCs/>
        </w:rPr>
        <w:t xml:space="preserve">ACM Transactions on Computer-Human Interaction</w:t>
      </w:r>
      <w:r>
        <w:t xml:space="preserve">, 31(1), pp. 1–31. doi:10.1145/3617367.</w:t>
      </w:r>
    </w:p>
    <w:p>
      <w:pPr>
        <w:spacing w:after="120" w:line="264"/>
        <w:ind w:left="567" w:hanging="567"/>
      </w:pPr>
      <w:r>
        <w:t xml:space="preserve">Prather, J., Reeves, B.N., Leinonen, J., MacNeil, S., Randrianasolo, A.S., Becker, B.A., Kimmel, B., Wright, J. and Briggs, B. (2024) 'The widening gap: the benefits and harms of generative AI for novice programmers', in </w:t>
      </w:r>
      <w:r>
        <w:rPr>
          <w:i/>
          <w:iCs/>
        </w:rPr>
        <w:t xml:space="preserve">Proceedings of the 2024 ACM Conference on International Computing Education Research (ICER '24)</w:t>
      </w:r>
      <w:r>
        <w:t xml:space="preserve">, Vol. 1, pp. 469–486. doi:10.1145/3632620.3671116.</w:t>
      </w:r>
    </w:p>
    <w:p>
      <w:pPr>
        <w:spacing w:after="120" w:line="264"/>
        <w:ind w:left="567" w:hanging="567"/>
      </w:pPr>
      <w:r>
        <w:t xml:space="preserve">QAA (2023) </w:t>
      </w:r>
      <w:r>
        <w:rPr>
          <w:i/>
          <w:iCs/>
        </w:rPr>
        <w:t xml:space="preserve">Maintaining Quality and Standards in the ChatGPT Era: QAA Advice on the Opportunities and Challenges Posed by Generative Artificial Intelligence</w:t>
      </w:r>
      <w:r>
        <w:t xml:space="preserve">. Gloucester: Quality Assurance Agency for Higher Education.</w:t>
      </w:r>
    </w:p>
    <w:p>
      <w:pPr>
        <w:spacing w:after="120" w:line="264"/>
        <w:ind w:left="567" w:hanging="567"/>
      </w:pPr>
      <w:r>
        <w:t xml:space="preserve">Richards, F. and Harwood, N. (2024) 'Proofreading student writing: a research-based stakeholder tool focused on ethical practice', </w:t>
      </w:r>
      <w:r>
        <w:rPr>
          <w:i/>
          <w:iCs/>
        </w:rPr>
        <w:t xml:space="preserve">International Journal for Educational Integrity</w:t>
      </w:r>
      <w:r>
        <w:t xml:space="preserve">, 20(1), 16. doi:10.1007/s40979-024-00165-4.</w:t>
      </w:r>
    </w:p>
    <w:p>
      <w:pPr>
        <w:spacing w:after="120" w:line="264"/>
        <w:ind w:left="567" w:hanging="567"/>
      </w:pPr>
      <w:r>
        <w:t xml:space="preserve">Roe, J., Perkins, M. and Tregubova, Y. (2024) </w:t>
      </w:r>
      <w:r>
        <w:rPr>
          <w:i/>
          <w:iCs/>
        </w:rPr>
        <w:t xml:space="preserve">The EAP-AIAS: Adapting the AI Assessment Scale for English for Academic Purposes</w:t>
      </w:r>
      <w:r>
        <w:t xml:space="preserve">. arXiv:2408.01075. doi:10.48550/arXiv.2408.01075.</w:t>
      </w:r>
    </w:p>
    <w:p>
      <w:pPr>
        <w:spacing w:after="120" w:line="264"/>
        <w:ind w:left="567" w:hanging="567"/>
      </w:pPr>
      <w:r>
        <w:t xml:space="preserve">Russell Group (2023) </w:t>
      </w:r>
      <w:r>
        <w:rPr>
          <w:i/>
          <w:iCs/>
        </w:rPr>
        <w:t xml:space="preserve">Russell Group Principles on the Use of Generative AI Tools in Education</w:t>
      </w:r>
      <w:r>
        <w:t xml:space="preserve">. London: Russell Group. Available at: https://russellgroup.ac.uk/media/6137/rg_ai_principles-final.pdf (Accessed: 3 September 2026).</w:t>
      </w:r>
    </w:p>
    <w:p>
      <w:pPr>
        <w:spacing w:after="120" w:line="264"/>
        <w:ind w:left="567" w:hanging="567"/>
      </w:pPr>
      <w:r>
        <w:t xml:space="preserve">Sotiriadou, P., Logan, D., Daly, A. and Guest, R. (2020) 'The role of authentic assessment to preserve academic integrity and promote skill development and employability', </w:t>
      </w:r>
      <w:r>
        <w:rPr>
          <w:i/>
          <w:iCs/>
        </w:rPr>
        <w:t xml:space="preserve">Studies in Higher Education</w:t>
      </w:r>
      <w:r>
        <w:t xml:space="preserve">, 45(11), pp. 2132–2148. doi:10.1080/03075079.2019.1582015.</w:t>
      </w:r>
    </w:p>
    <w:p>
      <w:pPr>
        <w:spacing w:after="120" w:line="264"/>
        <w:ind w:left="567" w:hanging="567"/>
      </w:pPr>
      <w:r>
        <w:t xml:space="preserve">Tai, J., Ajjawi, R., Boud, D., Dawson, P. and Panadero, E. (2018) 'Developing evaluative judgement: enabling students to make decisions about the quality of work', </w:t>
      </w:r>
      <w:r>
        <w:rPr>
          <w:i/>
          <w:iCs/>
        </w:rPr>
        <w:t xml:space="preserve">Higher Education</w:t>
      </w:r>
      <w:r>
        <w:t xml:space="preserve">, 76(3), pp. 467–481. doi:10.1007/s10734-017-0220-3.</w:t>
      </w:r>
    </w:p>
    <w:p>
      <w:pPr>
        <w:spacing w:after="120" w:line="264"/>
        <w:ind w:left="567" w:hanging="567"/>
      </w:pPr>
      <w:r>
        <w:t xml:space="preserve">Warschauer, M., Tseng, W., Yim, S., Webster, T., Jacob, S., Du, Q. and Tate, T. (2023) 'The affordances and contradictions of AI-generated text for writers of English as a second or foreign language', </w:t>
      </w:r>
      <w:r>
        <w:rPr>
          <w:i/>
          <w:iCs/>
        </w:rPr>
        <w:t xml:space="preserve">Journal of Second Language Writing</w:t>
      </w:r>
      <w:r>
        <w:t xml:space="preserve">, 62, 101071. doi:10.1016/j.jslw.2023.101071.</w:t>
      </w:r>
    </w:p>
    <w:p>
      <w:pPr>
        <w:spacing w:after="120" w:line="264"/>
        <w:ind w:left="567" w:hanging="567"/>
      </w:pPr>
      <w:r>
        <w:t xml:space="preserve">Weber-Wulff, D., Anohina-Naumeca, A., Bjelobaba, S., Foltýnek, T., Guerrero-Dib, J., Popoola, O., Šigut, P. and Waddington, L. (2023) 'Testing of detection tools for AI-generated text', </w:t>
      </w:r>
      <w:r>
        <w:rPr>
          <w:i/>
          <w:iCs/>
        </w:rPr>
        <w:t xml:space="preserve">International Journal for Educational Integrity</w:t>
      </w:r>
      <w:r>
        <w:t xml:space="preserve">, 19(1), 26. doi:10.1007/s40979-023-00146-z.</w:t>
      </w:r>
    </w:p>
    <w:p>
      <w:r>
        <w:br w:type="page"/>
      </w:r>
    </w:p>
    <w:p>
      <w:pPr>
        <w:pStyle w:val="Heading1"/>
        <w:keepNext/>
        <w:spacing w:after="160" w:before="480"/>
      </w:pPr>
      <w:r>
        <w:rPr>
          <w:rFonts w:ascii="Calibri" w:cs="Calibri" w:eastAsia="Calibri" w:hAnsi="Calibri"/>
          <w:b/>
          <w:bCs/>
          <w:color w:val="1F3A52"/>
          <w:sz w:val="30"/>
          <w:szCs w:val="30"/>
        </w:rPr>
        <w:t xml:space="preserve">Appendix: Notes on sources and verification</w:t>
      </w:r>
    </w:p>
    <w:p>
      <w:pPr>
        <w:spacing w:after="160" w:line="276"/>
      </w:pPr>
      <w:r>
        <w:t xml:space="preserve">This appendix records the verification status of the sources cited, so that the reference list can be checked before submission. It should be removed from any published version.</w:t>
      </w:r>
    </w:p>
    <w:p>
      <w:pPr>
        <w:spacing w:after="160" w:line="276"/>
      </w:pPr>
      <w:r>
        <w:rPr>
          <w:b/>
          <w:bCs/>
        </w:rPr>
        <w:t xml:space="preserve">Verified against publisher or official records (author, year, venue and DOI or URL confirmed):</w:t>
      </w:r>
      <w:r>
        <w:t xml:space="preserve"> Bakhtin (1981; the quotation is at p. 293), Barthes (1977), Foucault (1977), Hyland (2005; 2008), Ivanič (1998), Lea and Street (1998), Lillis and Scott (2007), Pittam et al. (2009), Pecorari (2003), Harwood (2019), Richards and Harwood (2024), Bearman and Ajjawi (2023), Tai et al. (2018), Dawson (2021), Corbin, Dawson and Liu (2025), Weber-Wulff et al. (2023), Liang et al. (2023), Warschauer et al. (2023), Perkins et al. (2024), Perkins, Roe and Furze (2024), Roe, Perkins and Tregubova (2024), Nature (2023), COPE (2023), NISO (2022), Russell Group (2023), Lodge et al. (2023) and Freeman (2025).</w:t>
      </w:r>
    </w:p>
    <w:p>
      <w:pPr>
        <w:spacing w:after="160" w:line="276"/>
      </w:pPr>
      <w:r>
        <w:rPr>
          <w:b/>
          <w:bCs/>
        </w:rPr>
        <w:t xml:space="preserve">To be checked before submission:</w:t>
      </w:r>
    </w:p>
    <w:p>
      <w:pPr>
        <w:pStyle w:val="ListParagraph"/>
        <w:numPr>
          <w:ilvl w:val="0"/>
          <w:numId w:val="3"/>
        </w:numPr>
        <w:spacing w:after="120" w:line="276"/>
      </w:pPr>
      <w:r>
        <w:t xml:space="preserve">Prather et al. (2023) and Prather et al. (2024): titles, venues and DOIs were confirmed from citing reference lists rather than from the primary documents; confirm the author lists and page ranges against the ACM Digital Library.</w:t>
      </w:r>
    </w:p>
    <w:p>
      <w:pPr>
        <w:pStyle w:val="ListParagraph"/>
        <w:numPr>
          <w:ilvl w:val="0"/>
          <w:numId w:val="3"/>
        </w:numPr>
        <w:spacing w:after="120" w:line="276"/>
      </w:pPr>
      <w:r>
        <w:t xml:space="preserve">Sotiriadou et al. (2020): a standard citation for interactive oral assessment, but the DOI was not retrieved from a publisher record during the research and should be confirmed.</w:t>
      </w:r>
    </w:p>
    <w:p>
      <w:pPr>
        <w:pStyle w:val="ListParagraph"/>
        <w:numPr>
          <w:ilvl w:val="0"/>
          <w:numId w:val="3"/>
        </w:numPr>
        <w:spacing w:after="120" w:line="276"/>
      </w:pPr>
      <w:r>
        <w:t xml:space="preserve">Eaton (2023): confirm the article DOI (10.1007/s40979-023-00144-1) against the journal. Eaton's six tenets of postplagiarism were first circulated as a University of Calgary working paper (2023); cite that document as well if the tenets are quoted directly.</w:t>
      </w:r>
    </w:p>
    <w:p>
      <w:pPr>
        <w:pStyle w:val="ListParagraph"/>
        <w:numPr>
          <w:ilvl w:val="0"/>
          <w:numId w:val="3"/>
        </w:numPr>
        <w:spacing w:after="120" w:line="276"/>
      </w:pPr>
      <w:r>
        <w:t xml:space="preserve">ICMJE (2025): the Recommendations are updated periodically; confirm the edition date and cite the version consulted.</w:t>
      </w:r>
    </w:p>
    <w:p>
      <w:pPr>
        <w:pStyle w:val="ListParagraph"/>
        <w:numPr>
          <w:ilvl w:val="0"/>
          <w:numId w:val="3"/>
        </w:numPr>
        <w:spacing w:after="120" w:line="276"/>
      </w:pPr>
      <w:r>
        <w:t xml:space="preserve">QAA (2023): confirm the exact title, date and URL of the QAA advice document on generative AI, and add the URL to the reference.</w:t>
      </w:r>
    </w:p>
    <w:p>
      <w:pPr>
        <w:pStyle w:val="ListParagraph"/>
        <w:numPr>
          <w:ilvl w:val="0"/>
          <w:numId w:val="3"/>
        </w:numPr>
        <w:spacing w:after="120" w:line="276"/>
      </w:pPr>
      <w:r>
        <w:t xml:space="preserve">Bridgeman, Liu and Weeks (2024): this is a University of Sydney Teaching@Sydney web resource, not a peer-reviewed article, and is cited as such. The claim that most existing assessments were found to be vulnerable to AI derives from the university's internal review as reported in institutional and secondary sources, and is worded cautiously in the text for that reason.</w:t>
      </w:r>
    </w:p>
    <w:p>
      <w:pPr>
        <w:pStyle w:val="ListParagraph"/>
        <w:numPr>
          <w:ilvl w:val="0"/>
          <w:numId w:val="3"/>
        </w:numPr>
        <w:spacing w:after="120" w:line="276"/>
      </w:pPr>
      <w:r>
        <w:t xml:space="preserve">Roe, Perkins and Tregubova (2024): a published journal version of the EAP-AIAS may now be available; if confirmed, cite the published version in preference to the preprint.</w:t>
      </w:r>
    </w:p>
    <w:p>
      <w:pPr>
        <w:pStyle w:val="ListParagraph"/>
        <w:numPr>
          <w:ilvl w:val="0"/>
          <w:numId w:val="3"/>
        </w:numPr>
        <w:spacing w:after="120" w:line="276"/>
      </w:pPr>
      <w:r>
        <w:t xml:space="preserve">Barthes (1977) and Foucault (1977): the quotations are from the standard English translations. Confirm page numbers for the quoted phrases against the editions used.</w:t>
      </w:r>
    </w:p>
    <w:p>
      <w:pPr>
        <w:spacing w:after="160" w:line="276"/>
      </w:pPr>
      <w:r>
        <w:rPr>
          <w:b/>
          <w:bCs/>
        </w:rPr>
        <w:t xml:space="preserve">Quotation practice.</w:t>
      </w:r>
      <w:r>
        <w:t xml:space="preserve"> Direct quotations have been kept short and limited to one per source, with page numbers where the source is paginated. All other material is paraphrased. Statistical claims (Freeman, 2025; Weber-Wulff et al., 2023; Liang et al., 2023) are reported as figures rather than quoted.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Authorship in the Age of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abstractNum w:abstractNumId="3" w15:restartNumberingAfterBreak="0">
    <w:multiLevelType w:val="hybridMultilevel"/>
    <w:lvl w:ilvl="0" w15:tentative="1">
      <w:start w:val="1"/>
      <w:numFmt w:val="decimal"/>
      <w:lvlText w:val="%1."/>
      <w:lvlJc w:val="left"/>
      <w:pPr>
        <w:ind w:left="567" w:hanging="397"/>
      </w:pPr>
      <w:rPr>
        <w:rFonts w:ascii="Calibri" w:cs="Calibri" w:eastAsia="Calibri" w:hAnsi="Calibri"/>
        <w:b/>
        <w:bCs/>
        <w:color w:val="1F3A5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F3A52"/>
      <w:sz w:val="30"/>
      <w:szCs w:val="30"/>
    </w:rPr>
  </w:style>
  <w:style w:type="paragraph" w:styleId="Heading2">
    <w:name w:val="Heading 2"/>
    <w:basedOn w:val="Normal"/>
    <w:next w:val="Normal"/>
    <w:qFormat/>
    <w:pPr>
      <w:spacing w:after="120" w:before="320"/>
      <w:outlineLvl w:val="1"/>
    </w:pPr>
    <w:rPr>
      <w:rFonts w:ascii="Calibri" w:cs="Calibri" w:eastAsia="Calibri" w:hAnsi="Calibri"/>
      <w:b/>
      <w:bCs/>
      <w:color w:val="2F4F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Authorship in the Age of AI</dc:title>
  <dc:creator>Position paper</dc:creator>
  <cp:lastModifiedBy>Un-named</cp:lastModifiedBy>
  <cp:revision>1</cp:revision>
  <dcterms:created xsi:type="dcterms:W3CDTF">2026-09-03T10:23:29.762Z</dcterms:created>
  <dcterms:modified xsi:type="dcterms:W3CDTF">2026-09-03T10:23:29.762Z</dcterms:modified>
</cp:coreProperties>
</file>

<file path=docProps/custom.xml><?xml version="1.0" encoding="utf-8"?>
<Properties xmlns="http://schemas.openxmlformats.org/officeDocument/2006/custom-properties" xmlns:vt="http://schemas.openxmlformats.org/officeDocument/2006/docPropsVTypes"/>
</file>