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4"/>
        </w:rPr>
        <w:t>THE TOYOTA FOUNDATION INTERNATIONAL GRANT PROGRAM 2026</w:t>
      </w:r>
    </w:p>
    <w:p>
      <w:pPr>
        <w:spacing w:after="120"/>
        <w:jc w:val="center"/>
      </w:pPr>
      <w:r>
        <w:rPr>
          <w:b w:val="0"/>
          <w:i/>
          <w:sz w:val="21"/>
        </w:rPr>
        <w:t>Full Proposal Draft — Revised for Guideline Compliance</w:t>
      </w:r>
    </w:p>
    <w:p>
      <w:pPr>
        <w:spacing w:before="120" w:after="40"/>
      </w:pPr>
      <w:r>
        <w:rPr>
          <w:b/>
          <w:color w:val="8B4513"/>
          <w:sz w:val="22"/>
        </w:rPr>
        <w:t>1. Project Title and Overview</w:t>
      </w:r>
    </w:p>
    <w:p>
      <w:pPr>
        <w:spacing w:after="80"/>
      </w:pPr>
      <w:r>
        <w:rPr>
          <w:b w:val="0"/>
          <w:i w:val="0"/>
          <w:sz w:val="21"/>
        </w:rPr>
        <w:t>Digital RT–Muban: Practitioners’ Exchange on Smart Neighborhood Management for Circular and Caring Communities in Indonesia and Thailand.</w:t>
      </w:r>
    </w:p>
    <w:p>
      <w:pPr>
        <w:spacing w:after="80"/>
      </w:pPr>
      <w:r>
        <w:rPr>
          <w:b w:val="0"/>
          <w:i w:val="0"/>
          <w:sz w:val="21"/>
        </w:rPr>
        <w:t>Grant period: Two-Year Grant (November 1, 2026 – October 31, 2028). Requested budget: JPY 10,000,000. Project countries: Indonesia and Thailand. Language of application: English.</w:t>
      </w:r>
    </w:p>
    <w:p>
      <w:pPr>
        <w:spacing w:before="120" w:after="40"/>
      </w:pPr>
      <w:r>
        <w:rPr>
          <w:b/>
          <w:color w:val="8B4513"/>
          <w:sz w:val="22"/>
        </w:rPr>
        <w:t>2. Compliance with the Four Keywords</w:t>
      </w:r>
    </w:p>
    <w:p>
      <w:pPr>
        <w:pStyle w:val="ListBullet"/>
        <w:spacing w:after="40"/>
      </w:pPr>
      <w:r>
        <w:rPr>
          <w:sz w:val="20"/>
        </w:rPr>
        <w:t>Transnational: The project addresses a shared neighborhood-governance issue in two target countries, with active participation from Indonesia and Thailand on an equal basis.</w:t>
      </w:r>
    </w:p>
    <w:p>
      <w:pPr>
        <w:pStyle w:val="ListBullet"/>
        <w:spacing w:after="40"/>
      </w:pPr>
      <w:r>
        <w:rPr>
          <w:sz w:val="20"/>
        </w:rPr>
        <w:t>Cross Sector: The team includes academics and community-oriented practitioners, and the project engages neighborhood leaders and residents in practical problem solving.</w:t>
      </w:r>
    </w:p>
    <w:p>
      <w:pPr>
        <w:pStyle w:val="ListBullet"/>
        <w:spacing w:after="40"/>
      </w:pPr>
      <w:r>
        <w:rPr>
          <w:sz w:val="20"/>
        </w:rPr>
        <w:t>Mutual Learning: The project is structured around co-design, online dialogue, and two-way in-person exchanges at the project sites in both countries.</w:t>
      </w:r>
    </w:p>
    <w:p>
      <w:pPr>
        <w:pStyle w:val="ListBullet"/>
        <w:spacing w:after="40"/>
      </w:pPr>
      <w:r>
        <w:rPr>
          <w:sz w:val="20"/>
        </w:rPr>
        <w:t>Foresight: The project anticipates future challenges in digitally supported community governance, environmental action, and inclusive neighborhood care.</w:t>
      </w:r>
    </w:p>
    <w:p>
      <w:pPr>
        <w:spacing w:before="120" w:after="40"/>
      </w:pPr>
      <w:r>
        <w:rPr>
          <w:b/>
          <w:color w:val="8B4513"/>
          <w:sz w:val="22"/>
        </w:rPr>
        <w:t>3. Issues to Be Addressed</w:t>
      </w:r>
    </w:p>
    <w:p>
      <w:pPr>
        <w:spacing w:after="80"/>
      </w:pPr>
      <w:r>
        <w:rPr>
          <w:b w:val="0"/>
          <w:i w:val="0"/>
          <w:sz w:val="21"/>
        </w:rPr>
        <w:t>RT in Indonesia and Muban in Thailand remain central to community life, but many still rely on fragmented communication, manual administration, and disconnected programs for waste, local economy, and security. The shared issue is how to sustain active, inclusive, and resilient neighborhood governance in the digital era. This issue has social significance because it affects residents directly and can generate ripple effects if a transferable model is developed.</w:t>
      </w:r>
    </w:p>
    <w:p>
      <w:pPr>
        <w:spacing w:before="120" w:after="40"/>
      </w:pPr>
      <w:r>
        <w:rPr>
          <w:b/>
          <w:color w:val="8B4513"/>
          <w:sz w:val="22"/>
        </w:rPr>
        <w:t>4. Project Objectives</w:t>
      </w:r>
    </w:p>
    <w:p>
      <w:pPr>
        <w:pStyle w:val="ListBullet"/>
        <w:spacing w:after="40"/>
      </w:pPr>
      <w:r>
        <w:rPr>
          <w:sz w:val="20"/>
        </w:rPr>
        <w:t>Compare neighborhood governance practices in one RT in Indonesia and one Muban in Thailand.</w:t>
      </w:r>
    </w:p>
    <w:p>
      <w:pPr>
        <w:pStyle w:val="ListBullet"/>
        <w:spacing w:after="40"/>
      </w:pPr>
      <w:r>
        <w:rPr>
          <w:sz w:val="20"/>
        </w:rPr>
        <w:t>Identify strengths, limitations, and future needs in administration, waste management, local economy, and neighborhood security.</w:t>
      </w:r>
    </w:p>
    <w:p>
      <w:pPr>
        <w:pStyle w:val="ListBullet"/>
        <w:spacing w:after="40"/>
      </w:pPr>
      <w:r>
        <w:rPr>
          <w:sz w:val="20"/>
        </w:rPr>
        <w:t>Co-create a multilingual digital platform that integrates five functions: administration, waste banking, marketplace, SOS, and patrol scheduling.</w:t>
      </w:r>
    </w:p>
    <w:p>
      <w:pPr>
        <w:pStyle w:val="ListBullet"/>
        <w:spacing w:after="40"/>
      </w:pPr>
      <w:r>
        <w:rPr>
          <w:sz w:val="20"/>
        </w:rPr>
        <w:t>Pilot the platform in both countries and evaluate feasibility, usability, and social impact.</w:t>
      </w:r>
    </w:p>
    <w:p>
      <w:pPr>
        <w:pStyle w:val="ListBullet"/>
        <w:spacing w:after="40"/>
      </w:pPr>
      <w:r>
        <w:rPr>
          <w:sz w:val="20"/>
        </w:rPr>
        <w:t>Produce outputs that can be shared with wider communities and policy stakeholders.</w:t>
      </w:r>
    </w:p>
    <w:p>
      <w:pPr>
        <w:spacing w:before="120" w:after="40"/>
      </w:pPr>
      <w:r>
        <w:rPr>
          <w:b/>
          <w:color w:val="8B4513"/>
          <w:sz w:val="22"/>
        </w:rPr>
        <w:t>5. Project Team</w:t>
      </w:r>
    </w:p>
    <w:p>
      <w:pPr>
        <w:pStyle w:val="ListBullet"/>
        <w:spacing w:after="40"/>
      </w:pPr>
      <w:r>
        <w:rPr>
          <w:sz w:val="20"/>
        </w:rPr>
        <w:t>Indonesia (UNNES, PNF FIPP): Hendra Dedi Kriswanto, S.Pd., M.Pd. (Project Representative / Project Leader); Dr. Imam Shofwan, M.Pd.; Dr. Decky; Allfine Loretha, S.Pd., M.Pd.</w:t>
      </w:r>
    </w:p>
    <w:p>
      <w:pPr>
        <w:pStyle w:val="ListBullet"/>
        <w:spacing w:after="40"/>
      </w:pPr>
      <w:r>
        <w:rPr>
          <w:sz w:val="20"/>
        </w:rPr>
        <w:t>Thailand (Chulalongkorn University): Wirathep Pathumcharoenwattana (Country Co-Leader); Suwithida Charungkaittikul (Co-Investigator).</w:t>
      </w:r>
    </w:p>
    <w:p>
      <w:pPr>
        <w:pStyle w:val="ListBullet"/>
        <w:spacing w:after="40"/>
      </w:pPr>
      <w:r>
        <w:rPr>
          <w:sz w:val="20"/>
        </w:rPr>
        <w:t>Community practitioners: one RT leader in Semarang and one Phu Yai Ban in Thailand (to be formally confirmed).</w:t>
      </w:r>
    </w:p>
    <w:p>
      <w:pPr>
        <w:spacing w:before="120" w:after="40"/>
      </w:pPr>
      <w:r>
        <w:rPr>
          <w:b/>
          <w:color w:val="8B4513"/>
          <w:sz w:val="22"/>
        </w:rPr>
        <w:t>6. Activities and Methods</w:t>
      </w:r>
    </w:p>
    <w:p>
      <w:pPr>
        <w:pStyle w:val="ListBullet"/>
        <w:spacing w:after="40"/>
      </w:pPr>
      <w:r>
        <w:rPr>
          <w:sz w:val="20"/>
        </w:rPr>
        <w:t>Phase 1 (Nov 2026–Feb 2027): Baseline study, document review, interviews, focus groups, and surveys in both countries.</w:t>
      </w:r>
    </w:p>
    <w:p>
      <w:pPr>
        <w:pStyle w:val="ListBullet"/>
        <w:spacing w:after="40"/>
      </w:pPr>
      <w:r>
        <w:rPr>
          <w:sz w:val="20"/>
        </w:rPr>
        <w:t>Phase 2 (Mar–Aug 2027): Co-design workshops and prototype development with residents, leaders, youth, and local entrepreneurs.</w:t>
      </w:r>
    </w:p>
    <w:p>
      <w:pPr>
        <w:pStyle w:val="ListBullet"/>
        <w:spacing w:after="40"/>
      </w:pPr>
      <w:r>
        <w:rPr>
          <w:sz w:val="20"/>
        </w:rPr>
        <w:t>Phase 3 (Sep 2027–Feb 2028): Two-way in-person exchange visits and pilot implementation in the selected RT and Muban.</w:t>
      </w:r>
    </w:p>
    <w:p>
      <w:pPr>
        <w:pStyle w:val="ListBullet"/>
        <w:spacing w:after="40"/>
      </w:pPr>
      <w:r>
        <w:rPr>
          <w:sz w:val="20"/>
        </w:rPr>
        <w:t>Phase 4 (Mar–Oct 2028): Monitoring, evaluation, dissemination, and preparation of toolkit, policy briefs, and academic output.</w:t>
      </w:r>
    </w:p>
    <w:p>
      <w:pPr>
        <w:spacing w:before="120" w:after="40"/>
      </w:pPr>
      <w:r>
        <w:rPr>
          <w:b/>
          <w:color w:val="8B4513"/>
          <w:sz w:val="22"/>
        </w:rPr>
        <w:t>7. Expected Outputs and Outcomes</w:t>
      </w:r>
    </w:p>
    <w:p>
      <w:pPr>
        <w:pStyle w:val="ListBullet"/>
        <w:spacing w:after="40"/>
      </w:pPr>
      <w:r>
        <w:rPr>
          <w:sz w:val="20"/>
        </w:rPr>
        <w:t>Comparative report on RT and Muban systems.</w:t>
      </w:r>
    </w:p>
    <w:p>
      <w:pPr>
        <w:pStyle w:val="ListBullet"/>
        <w:spacing w:after="40"/>
      </w:pPr>
      <w:r>
        <w:rPr>
          <w:sz w:val="20"/>
        </w:rPr>
        <w:t>Multilingual prototype of the digital platform.</w:t>
      </w:r>
    </w:p>
    <w:p>
      <w:pPr>
        <w:pStyle w:val="ListBullet"/>
        <w:spacing w:after="40"/>
      </w:pPr>
      <w:r>
        <w:rPr>
          <w:sz w:val="20"/>
        </w:rPr>
        <w:t>Pilot implementation reports from both sites.</w:t>
      </w:r>
    </w:p>
    <w:p>
      <w:pPr>
        <w:pStyle w:val="ListBullet"/>
        <w:spacing w:after="40"/>
      </w:pPr>
      <w:r>
        <w:rPr>
          <w:sz w:val="20"/>
        </w:rPr>
        <w:t>Training modules and community documentation.</w:t>
      </w:r>
    </w:p>
    <w:p>
      <w:pPr>
        <w:pStyle w:val="ListBullet"/>
        <w:spacing w:after="40"/>
      </w:pPr>
      <w:r>
        <w:rPr>
          <w:sz w:val="20"/>
        </w:rPr>
        <w:t>Policy briefs and at least one academic paper.</w:t>
      </w:r>
    </w:p>
    <w:p>
      <w:pPr>
        <w:pStyle w:val="ListBullet"/>
        <w:spacing w:after="40"/>
      </w:pPr>
      <w:r>
        <w:rPr>
          <w:sz w:val="20"/>
        </w:rPr>
        <w:t>Open toolkit for adaptation by other communities in Asia.</w:t>
      </w:r>
    </w:p>
    <w:p>
      <w:pPr>
        <w:spacing w:before="120" w:after="40"/>
      </w:pPr>
      <w:r>
        <w:rPr>
          <w:b/>
          <w:color w:val="8B4513"/>
          <w:sz w:val="22"/>
        </w:rPr>
        <w:t>8. Mutual Learning and Ripple Effect</w:t>
      </w:r>
    </w:p>
    <w:p>
      <w:pPr>
        <w:spacing w:after="80"/>
      </w:pPr>
      <w:r>
        <w:rPr>
          <w:b w:val="0"/>
          <w:i w:val="0"/>
          <w:sz w:val="21"/>
        </w:rPr>
        <w:t>The project is designed so that Indonesia and Thailand learn from each other on an equal footing. Indonesia contributes experience in community-based waste banking and structured neighborhood coordination; Thailand contributes experience in community education and local development. The project is expected to produce a practical model that may be adapted by other RT, Muban, or similar local communities in the region.</w:t>
      </w:r>
    </w:p>
    <w:p>
      <w:pPr>
        <w:spacing w:before="120" w:after="40"/>
      </w:pPr>
      <w:r>
        <w:rPr>
          <w:b/>
          <w:color w:val="8B4513"/>
          <w:sz w:val="22"/>
        </w:rPr>
        <w:t>9. Budget Overview</w:t>
      </w:r>
    </w:p>
    <w:p>
      <w:pPr>
        <w:pStyle w:val="ListBullet"/>
        <w:spacing w:after="40"/>
      </w:pPr>
      <w:r>
        <w:rPr>
          <w:sz w:val="20"/>
        </w:rPr>
        <w:t>Personnel and honoraria: JPY 2,900,000 (29% of total budget; within the 30% limit).</w:t>
      </w:r>
    </w:p>
    <w:p>
      <w:pPr>
        <w:pStyle w:val="ListBullet"/>
        <w:spacing w:after="40"/>
      </w:pPr>
      <w:r>
        <w:rPr>
          <w:sz w:val="20"/>
        </w:rPr>
        <w:t>Administrative expenses: JPY 800,000 (8% of total budget; within the 10% limit).</w:t>
      </w:r>
    </w:p>
    <w:p>
      <w:pPr>
        <w:pStyle w:val="ListBullet"/>
        <w:spacing w:after="40"/>
      </w:pPr>
      <w:r>
        <w:rPr>
          <w:sz w:val="20"/>
        </w:rPr>
        <w:t>Remaining budget allocated to travel, workshops, field research, platform development, and dissemination.</w:t>
      </w:r>
    </w:p>
    <w:p>
      <w:pPr>
        <w:spacing w:before="120" w:after="40"/>
      </w:pPr>
      <w:r>
        <w:rPr>
          <w:b/>
          <w:color w:val="8B4513"/>
          <w:sz w:val="22"/>
        </w:rPr>
        <w:t>10. Important Eligibility Note</w:t>
      </w:r>
    </w:p>
    <w:p>
      <w:pPr>
        <w:spacing w:after="80"/>
      </w:pPr>
      <w:r>
        <w:rPr>
          <w:b/>
          <w:i w:val="0"/>
          <w:sz w:val="21"/>
        </w:rPr>
        <w:t>The Toyota Foundation guideline states that the project representative must have a contact address (home or office) in Japan. This requirement must be resolved before submission of the full application.</w:t>
      </w:r>
    </w:p>
    <w:p>
      <w:pPr>
        <w:spacing w:before="160" w:after="60"/>
      </w:pPr>
      <w:r>
        <w:rPr>
          <w:b/>
          <w:color w:val="8B4513"/>
          <w:sz w:val="22"/>
        </w:rPr>
        <w:t>11. Theoretical Framework</w:t>
      </w:r>
    </w:p>
    <w:p>
      <w:pPr>
        <w:spacing w:after="80"/>
      </w:pPr>
      <w:r>
        <w:rPr>
          <w:i w:val="0"/>
          <w:sz w:val="21"/>
        </w:rPr>
      </w:r>
      <w:r>
        <w:rPr>
          <w:sz w:val="21"/>
        </w:rPr>
        <w:t>The project draws on social capital theory, community informatics, and adult and community education. Social capital theory highlights how institutions, networks, and social norms at the community level support trust, cooperation, and collective action [3].</w:t>
      </w:r>
    </w:p>
    <w:p>
      <w:pPr>
        <w:spacing w:after="80"/>
      </w:pPr>
      <w:r>
        <w:rPr>
          <w:i w:val="0"/>
          <w:sz w:val="21"/>
        </w:rPr>
      </w:r>
      <w:r>
        <w:rPr>
          <w:sz w:val="21"/>
        </w:rPr>
        <w:t>Existing studies on RT and neighborhood groups in Indonesia describe them as the “mouth and ears of government”, responsible for conveying information, coordinating collective activities, and mediating small-scale conflicts, but also point out limitations such as uneven institutional capacity and limited genuine participation [7]–[9].</w:t>
      </w:r>
    </w:p>
    <w:p>
      <w:pPr>
        <w:spacing w:after="80"/>
      </w:pPr>
      <w:r>
        <w:rPr>
          <w:i w:val="0"/>
          <w:sz w:val="21"/>
        </w:rPr>
      </w:r>
      <w:r>
        <w:rPr>
          <w:sz w:val="21"/>
        </w:rPr>
        <w:t>Community informatics and ICT-for-local-governance research suggest that digital platforms can enhance transparency, collaboration, and a sense of belonging among residents when appropriately designed, while also highlighting risks related to digital divides and institutional resistance [1], [2], [6].</w:t>
      </w:r>
    </w:p>
    <w:p>
      <w:pPr>
        <w:spacing w:after="80"/>
      </w:pPr>
      <w:r>
        <w:rPr>
          <w:i w:val="0"/>
          <w:sz w:val="21"/>
        </w:rPr>
      </w:r>
      <w:r>
        <w:rPr>
          <w:sz w:val="21"/>
        </w:rPr>
        <w:t>Within adult and community education, works in Thailand and other Asian contexts emphasize the role of community learning centres and lifelong learning initiatives in strengthening community resilience, social inclusion, and civic engagement [10].</w:t>
      </w:r>
    </w:p>
    <w:p>
      <w:pPr>
        <w:spacing w:before="160" w:after="60"/>
      </w:pPr>
      <w:r>
        <w:rPr>
          <w:b/>
          <w:color w:val="8B4513"/>
          <w:sz w:val="22"/>
        </w:rPr>
        <w:t>12. Research Gap</w:t>
      </w:r>
    </w:p>
    <w:p>
      <w:pPr>
        <w:spacing w:after="80"/>
      </w:pPr>
      <w:r>
        <w:rPr>
          <w:i w:val="0"/>
          <w:sz w:val="21"/>
        </w:rPr>
      </w:r>
      <w:r>
        <w:rPr>
          <w:sz w:val="21"/>
        </w:rPr>
        <w:t>From this literature, several gaps can be identified. First, most digital participation and e-governance studies in Asia focus on national portals, municipal-level initiatives, or telecentres rather than on integrated digital solutions specifically designed for micro-level governance units such as RT and Muban [1], [2], [6].</w:t>
      </w:r>
    </w:p>
    <w:p>
      <w:pPr>
        <w:spacing w:after="80"/>
      </w:pPr>
      <w:r>
        <w:rPr>
          <w:i w:val="0"/>
          <w:sz w:val="21"/>
        </w:rPr>
      </w:r>
      <w:r>
        <w:rPr>
          <w:sz w:val="21"/>
        </w:rPr>
        <w:t>Second, studies on community-based waste banks in Indonesia typically analyse environmental and economic benefits in single-country settings and rarely link these initiatives to broader questions of neighborhood governance or digital transformation [4], [5]. Similarly, research on village or Muban governance in Thailand often concentrates on leadership roles and participatory practices in isolation from digital innovation.</w:t>
      </w:r>
    </w:p>
    <w:p>
      <w:pPr>
        <w:spacing w:after="80"/>
      </w:pPr>
      <w:r>
        <w:rPr>
          <w:i w:val="0"/>
          <w:sz w:val="21"/>
        </w:rPr>
      </w:r>
      <w:r>
        <w:rPr>
          <w:sz w:val="21"/>
        </w:rPr>
        <w:t>Third, there is very little comparative work that systematically connects neighborhood governance, digital transformation, and adult or community learning between Indonesia and Thailand, even though both countries face similar grassroots challenges [6], [8], [10].</w:t>
      </w:r>
    </w:p>
    <w:p>
      <w:pPr>
        <w:spacing w:after="80"/>
      </w:pPr>
      <w:r>
        <w:rPr>
          <w:i w:val="0"/>
          <w:sz w:val="21"/>
        </w:rPr>
      </w:r>
      <w:r>
        <w:rPr>
          <w:sz w:val="21"/>
        </w:rPr>
        <w:t>Finally, while social capital theory is widely used to interpret the functioning of communities, there are few empirical studies that evaluate neighborhood-scale digital platforms using social capital indicators such as trust, reciprocity, and civic participation across two different national contexts [3].</w:t>
      </w:r>
    </w:p>
    <w:p>
      <w:pPr>
        <w:spacing w:before="160" w:after="60"/>
      </w:pPr>
      <w:r>
        <w:rPr>
          <w:b/>
          <w:color w:val="8B4513"/>
          <w:sz w:val="22"/>
        </w:rPr>
        <w:t>13. Project Novelty</w:t>
      </w:r>
    </w:p>
    <w:p>
      <w:pPr>
        <w:spacing w:after="80"/>
      </w:pPr>
      <w:r>
        <w:rPr>
          <w:i w:val="0"/>
          <w:sz w:val="21"/>
        </w:rPr>
      </w:r>
      <w:r>
        <w:rPr>
          <w:sz w:val="21"/>
        </w:rPr>
        <w:t>In response to these gaps, the project offers several contributions. First, it co-designs and pilots a transnational, neighborhood-scale digital platform that integrates five core functions—resident administration, waste banking, local marketplace, SOS emergency alerts, and patrol scheduling—within a single ecosystem, going beyond earlier work that treated administrative, environmental, economic, and security issues separately [1], [2], [4]–[6].</w:t>
      </w:r>
    </w:p>
    <w:p>
      <w:pPr>
        <w:spacing w:after="80"/>
      </w:pPr>
      <w:r>
        <w:rPr>
          <w:i w:val="0"/>
          <w:sz w:val="21"/>
        </w:rPr>
      </w:r>
      <w:r>
        <w:rPr>
          <w:sz w:val="21"/>
        </w:rPr>
        <w:t>Second, the project explicitly combines community informatics with adult and community education. The Digital RT–Muban platform is conceived as both a governance tool and a learning environment, where residents and local leaders can experiment with new practices, reflect on their experiences, and build digital skills related to neighborhood management [2], [6], [10].</w:t>
      </w:r>
    </w:p>
    <w:p>
      <w:pPr>
        <w:spacing w:after="80"/>
      </w:pPr>
      <w:r>
        <w:rPr>
          <w:i w:val="0"/>
          <w:sz w:val="21"/>
        </w:rPr>
      </w:r>
      <w:r>
        <w:rPr>
          <w:sz w:val="21"/>
        </w:rPr>
        <w:t>Third, the research is designed as a genuinely transnational and mutual-learning process. Indonesia contributes experience with community-based waste banks and structured neighborhood security practices, while Thailand contributes experience with community education and local development approaches, with both sides expected to benefit from comparative reflection [4], [5], [8], [10].</w:t>
      </w:r>
    </w:p>
    <w:p>
      <w:pPr>
        <w:spacing w:after="80"/>
      </w:pPr>
      <w:r>
        <w:rPr>
          <w:i w:val="0"/>
          <w:sz w:val="21"/>
        </w:rPr>
      </w:r>
      <w:r>
        <w:rPr>
          <w:sz w:val="21"/>
        </w:rPr>
        <w:t>Fourth, the evaluation framework incorporates social capital indicators alongside more conventional usage and satisfaction measures. By examining changes in trust, participation, and perceived collective efficacy in both RT and Muban, the project will generate comparative insights into how digital tools can strengthen neighborhood social capital in different cultural and institutional settings [3].</w:t>
      </w:r>
    </w:p>
    <w:p>
      <w:pPr>
        <w:spacing w:before="160" w:after="60"/>
      </w:pPr>
      <w:r>
        <w:rPr>
          <w:b/>
          <w:color w:val="8B4513"/>
          <w:sz w:val="22"/>
        </w:rPr>
        <w:t>14. References (IEEE style)</w:t>
      </w:r>
    </w:p>
    <w:p>
      <w:pPr>
        <w:spacing w:after="40"/>
      </w:pPr>
      <w:r>
        <w:rPr>
          <w:sz w:val="20"/>
        </w:rPr>
        <w:t>[1]  O. H. Romero and R. J. Contreras Rivera, "Digital citizen participation and organizational transparency in local governments: A systematic review of platforms, impact and barriers," Revista InveCom, vol. 6, no. 2, e602055, 2026, doi: 10.5281/zenodo.16372953.</w:t>
      </w:r>
    </w:p>
    <w:p>
      <w:pPr>
        <w:spacing w:after="40"/>
      </w:pPr>
      <w:r>
        <w:rPr>
          <w:sz w:val="20"/>
        </w:rPr>
        <w:t>[2]  S. Finquelievich, P. Baumann, and A. Jara, "Information and communication technologies (ICT) in local development: electronic government and citizen webs," Interações (Campo Grande), vol. 8, no. 2, pp. 171–186, 2007.</w:t>
      </w:r>
    </w:p>
    <w:p>
      <w:pPr>
        <w:spacing w:after="40"/>
      </w:pPr>
      <w:r>
        <w:rPr>
          <w:sz w:val="20"/>
        </w:rPr>
        <w:t>[3]  E. Prince, "Role of social capital in community development," Journal of Advanced Sociology, vol. 5, no. 2, pp. 55–68, 2024, doi: 10.47941/jas.1860.</w:t>
      </w:r>
    </w:p>
    <w:p>
      <w:pPr>
        <w:spacing w:after="40"/>
      </w:pPr>
      <w:r>
        <w:rPr>
          <w:sz w:val="20"/>
        </w:rPr>
        <w:t>[4]  S. Anam and A. Siwiendrayanti, "Analysis of community-based waste management through waste bank in Tinjomoyo Urban Village, Semarang City, Central Java," Jurnal Presipitasi: Media Komunikasi dan Pengembangan Teknik Lingkungan, vol. 20, no. 3, pp. 590–601, 2023, doi: 10.14710/presipitasi.v20i3.590-601.</w:t>
      </w:r>
    </w:p>
    <w:p>
      <w:pPr>
        <w:spacing w:after="40"/>
      </w:pPr>
      <w:r>
        <w:rPr>
          <w:sz w:val="20"/>
        </w:rPr>
        <w:t>[5]  N. Nurdin and D. Faizah, "The roles and challenges of a community-based waste bank: A case of Bank Sampah Teratai in South Tangerang, Indonesia," Aristo, vol. 14, no. 1, pp. 1–20, 2025, doi: 10.24269/ars.v14i1.11860.</w:t>
      </w:r>
    </w:p>
    <w:p>
      <w:pPr>
        <w:spacing w:after="40"/>
      </w:pPr>
      <w:r>
        <w:rPr>
          <w:sz w:val="20"/>
        </w:rPr>
        <w:t>[6]  A. Rachmawati and S. M. Mulyana, "Digital transformation in community development of Malaysia and Indonesia," International Conference on Community Development (ICCD), vol. 5, no. 1, pp. 232–242, 2023, doi: 10.33068/iccd.v5i1.591.</w:t>
      </w:r>
    </w:p>
    <w:p>
      <w:pPr>
        <w:spacing w:after="40"/>
      </w:pPr>
      <w:r>
        <w:rPr>
          <w:sz w:val="20"/>
        </w:rPr>
        <w:t>[7]  H. Rowe and F. Aser, "Efektivitas implementasi kebijakan penataan lembaga kemasyarakatan Rukun Tetangga dan Rukun Warga di Kabupaten Bogor Provinsi Jawa Barat," Jurnal Ilmiah Wahana Bhakti Praja, vol. 9, no. 1, pp. 15–28, 2019.</w:t>
      </w:r>
    </w:p>
    <w:p>
      <w:pPr>
        <w:spacing w:after="40"/>
      </w:pPr>
      <w:r>
        <w:rPr>
          <w:sz w:val="20"/>
        </w:rPr>
        <w:t>[8]  H. S. Widodo, "Roles of neighborhood group to promote participatory development in Indonesia: Case of three villages in Purbalingga district, Central Java province," Jurnal Studi Pemerintahan, vol. 6, no. 1, pp. 45–67, 2015, doi: 10.18196/jgp.2015.0010.</w:t>
      </w:r>
    </w:p>
    <w:p>
      <w:pPr>
        <w:spacing w:after="40"/>
      </w:pPr>
      <w:r>
        <w:rPr>
          <w:sz w:val="20"/>
        </w:rPr>
        <w:t>[9]  R. Siregar and Y. P. Sari, "Penguatan kelembagaan Rukun Tetangga dan Rukun Warga (RT/RW) di Kelurahan Rintis Kecamatan Lima Puluh Kota Pekanbaru," Jurnal Manajemen, Politik, dan Kebijakan Publik, vol. 3, no. 1, pp. 37–48, 2020, doi: 10.24198/jmpp.v3i1.23683.</w:t>
      </w:r>
    </w:p>
    <w:p>
      <w:pPr>
        <w:spacing w:after="40"/>
      </w:pPr>
      <w:r>
        <w:rPr>
          <w:sz w:val="20"/>
        </w:rPr>
        <w:t>[10] S. Charungkaittikul, "Guidelines for lifelong education management to mobilize learning community in the social-cultural context of Thailand," International Journal of Adult Vocational Education and Technology, vol. 9, no. 1, pp. 31–41, 2018.</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