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  <Override ContentType="application/vnd.openxmlformats-officedocument.wordprocessingml.header+xml" PartName="/word/header12.xml"/>
  <Override ContentType="application/vnd.openxmlformats-officedocument.wordprocessingml.footer+xml" PartName="/word/footer12.xml"/>
  <Override ContentType="application/vnd.openxmlformats-officedocument.wordprocessingml.header+xml" PartName="/word/header13.xml"/>
  <Override ContentType="application/vnd.openxmlformats-officedocument.wordprocessingml.footer+xml" PartName="/word/footer13.xml"/>
  <Override ContentType="application/vnd.openxmlformats-officedocument.wordprocessingml.header+xml" PartName="/word/header14.xml"/>
  <Override ContentType="application/vnd.openxmlformats-officedocument.wordprocessingml.footer+xml" PartName="/word/footer1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00" w:lineRule="auto"/>
        <w:jc w:val="center"/>
      </w:pPr>
      <w:r>
        <w:rPr>
          <w:b/>
          <w:bCs/>
          <w:caps/>
          <w:color w:val="0E1F33"/>
          <w:sz w:val="26"/>
          <w:szCs w:val="26"/>
        </w:rPr>
        <w:t xml:space="preserve">Universidade Paulista – UNIP</w:t>
      </w:r>
    </w:p>
    <w:p>
      <w:pPr>
        <w:spacing w:after="600" w:before="0" w:line="300" w:lineRule="auto"/>
        <w:jc w:val="center"/>
      </w:pPr>
      <w:r>
        <w:rPr>
          <w:color w:val="0E1F33"/>
          <w:sz w:val="24"/>
          <w:szCs w:val="24"/>
        </w:rPr>
        <w:t xml:space="preserve">Curso Superior de Tecnologia em Análise e Desenvolvimento de Sistemas</w:t>
      </w:r>
    </w:p>
    <w:p>
      <w:pPr>
        <w:spacing w:after="0" w:before="0" w:line="320" w:lineRule="auto"/>
        <w:jc w:val="center"/>
      </w:pPr>
      <w:r>
        <w:rPr>
          <w:color w:val="0E1F33"/>
          <w:sz w:val="24"/>
          <w:szCs w:val="24"/>
        </w:rPr>
        <w:t xml:space="preserve">Gabriel Pimenta de Jesus</w:t>
      </w:r>
    </w:p>
    <w:p>
      <w:pPr>
        <w:spacing w:after="0" w:before="0" w:line="320" w:lineRule="auto"/>
        <w:jc w:val="center"/>
      </w:pPr>
      <w:r>
        <w:rPr>
          <w:color w:val="0E1F33"/>
          <w:sz w:val="24"/>
          <w:szCs w:val="24"/>
        </w:rPr>
        <w:t xml:space="preserve">Hendrew dos Santos Braz</w:t>
      </w:r>
    </w:p>
    <w:p>
      <w:pPr>
        <w:spacing w:after="0" w:before="0" w:line="320" w:lineRule="auto"/>
        <w:jc w:val="center"/>
      </w:pPr>
      <w:r>
        <w:rPr>
          <w:color w:val="0E1F33"/>
          <w:sz w:val="24"/>
          <w:szCs w:val="24"/>
        </w:rPr>
        <w:t xml:space="preserve">Manuel Douglas Silva Alves</w:t>
      </w:r>
    </w:p>
    <w:p>
      <w:pPr>
        <w:spacing w:after="0" w:before="0" w:line="320" w:lineRule="auto"/>
        <w:jc w:val="center"/>
      </w:pPr>
      <w:r>
        <w:rPr>
          <w:color w:val="0E1F33"/>
          <w:sz w:val="24"/>
          <w:szCs w:val="24"/>
        </w:rPr>
        <w:t xml:space="preserve">Matheus Renato Bento Estevo</w:t>
      </w:r>
    </w:p>
    <w:p>
      <w:pPr>
        <w:spacing w:after="0" w:before="0" w:line="320" w:lineRule="auto"/>
        <w:jc w:val="center"/>
      </w:pPr>
      <w:r>
        <w:rPr>
          <w:color w:val="0E1F33"/>
          <w:sz w:val="24"/>
          <w:szCs w:val="24"/>
        </w:rPr>
        <w:t xml:space="preserve">Matheus Santos Ribeiro</w:t>
      </w:r>
    </w:p>
    <w:p>
      <w:pPr>
        <w:spacing w:before="700"/>
      </w:pPr>
    </w:p>
    <w:p>
      <w:pPr>
        <w:keepNext w:val="false"/>
        <w:spacing w:after="0"/>
        <w:jc w:val="center"/>
      </w:pPr>
      <w:r>
        <w:drawing>
          <wp:inline distT="0" distB="0" distL="0" distR="0">
            <wp:extent cx="1514475" cy="1447800"/>
            <wp:effectExtent t="0" r="0" b="0" l="0"/>
            <wp:docPr id="1" name="logo-medflow.png" descr="Logotipo MedFlow Solutions" title="Logotipo MedFlow Solu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20" w:line="300" w:lineRule="auto"/>
        <w:jc w:val="center"/>
      </w:pPr>
      <w:r>
        <w:rPr>
          <w:b/>
          <w:bCs/>
          <w:color w:val="0B1F4B"/>
          <w:sz w:val="36"/>
          <w:szCs w:val="36"/>
        </w:rPr>
        <w:t xml:space="preserve">MedFlow Solutions</w:t>
      </w:r>
    </w:p>
    <w:p>
      <w:pPr>
        <w:spacing w:after="0" w:before="0" w:line="300" w:lineRule="auto"/>
        <w:jc w:val="center"/>
      </w:pPr>
      <w:r>
        <w:rPr>
          <w:color w:val="0E1F33"/>
          <w:sz w:val="26"/>
          <w:szCs w:val="26"/>
        </w:rPr>
        <w:t xml:space="preserve">Especificação de Requisitos de Software (ISO/IEC/IEEE 29148)</w:t>
      </w:r>
    </w:p>
    <w:p>
      <w:pPr>
        <w:spacing w:after="0" w:before="0" w:line="300" w:lineRule="auto"/>
        <w:jc w:val="center"/>
      </w:pPr>
      <w:r>
        <w:rPr>
          <w:color w:val="0E1F33"/>
          <w:sz w:val="26"/>
          <w:szCs w:val="26"/>
        </w:rPr>
        <w:t xml:space="preserve">Casos de Uso, Diagramas de Sequência,</w:t>
      </w:r>
    </w:p>
    <w:p>
      <w:pPr>
        <w:spacing w:after="240" w:before="0" w:line="300" w:lineRule="auto"/>
        <w:jc w:val="center"/>
      </w:pPr>
      <w:r>
        <w:rPr>
          <w:color w:val="0E1F33"/>
          <w:sz w:val="26"/>
          <w:szCs w:val="26"/>
        </w:rPr>
        <w:t xml:space="preserve">Casos de Teste e Implementação</w:t>
      </w:r>
    </w:p>
    <w:p>
      <w:pPr>
        <w:spacing w:after="0" w:before="0" w:line="300" w:lineRule="auto"/>
        <w:jc w:val="center"/>
      </w:pPr>
      <w:r>
        <w:rPr>
          <w:color w:val="455867"/>
          <w:sz w:val="22"/>
          <w:szCs w:val="22"/>
        </w:rPr>
        <w:t xml:space="preserve">Projeto Integrado Multidisciplinar (PIM III) · Versão 2.0</w:t>
      </w:r>
    </w:p>
    <w:p>
      <w:pPr>
        <w:spacing w:after="0" w:before="3000" w:line="300" w:lineRule="auto"/>
        <w:jc w:val="center"/>
      </w:pPr>
      <w:r>
        <w:rPr>
          <w:b/>
          <w:bCs/>
          <w:caps/>
          <w:color w:val="0E1F33"/>
          <w:sz w:val="24"/>
          <w:szCs w:val="24"/>
        </w:rPr>
        <w:t xml:space="preserve">São Paulo</w:t>
      </w:r>
    </w:p>
    <w:p>
      <w:pPr>
        <w:spacing w:after="0" w:before="0" w:line="300" w:lineRule="auto"/>
        <w:jc w:val="center"/>
      </w:pPr>
      <w:r>
        <w:rPr>
          <w:b/>
          <w:bCs/>
          <w:color w:val="0E1F33"/>
          <w:sz w:val="24"/>
          <w:szCs w:val="24"/>
        </w:rPr>
        <w:t xml:space="preserve">2026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701" w:right="1134" w:bottom="1134" w:left="1701" w:header="851" w:footer="567" w:gutter="0"/>
          <w:pgNumType/>
          <w:docGrid w:linePitch="360"/>
        </w:sectPr>
      </w:pPr>
    </w:p>
    <w:p>
      <w:pPr>
        <w:spacing w:after="320" w:line="300" w:lineRule="auto"/>
      </w:pPr>
      <w:r>
        <w:rPr>
          <w:b/>
          <w:bCs/>
          <w:color w:val="0B1F4B"/>
          <w:sz w:val="32"/>
          <w:szCs w:val="32"/>
        </w:rPr>
        <w:t xml:space="preserve">Histórico de revisões</w:t>
      </w:r>
    </w:p>
    <w:tbl>
      <w:tblPr>
        <w:tblW w:type="dxa" w:w="9071"/>
        <w:tblBorders>
          <w:top w:val="single" w:color="C9D3DA" w:sz="4"/>
          <w:left w:val="single" w:color="C9D3DA" w:sz="4"/>
          <w:bottom w:val="single" w:color="C9D3DA" w:sz="4"/>
          <w:right w:val="single" w:color="C9D3DA" w:sz="4"/>
          <w:insideH w:val="single" w:color="C9D3DA" w:sz="4"/>
          <w:insideV w:val="single" w:color="C9D3DA" w:sz="4"/>
        </w:tblBorders>
        <w:tblLayout w:type="fixed"/>
      </w:tblPr>
      <w:tblGrid>
        <w:gridCol w:w="1000"/>
        <w:gridCol w:w="1600"/>
        <w:gridCol w:w="1700"/>
        <w:gridCol w:w="4771"/>
      </w:tblGrid>
      <w:tr>
        <w:trPr>
          <w:cantSplit/>
          <w:tblHeader/>
        </w:trPr>
        <w:tc>
          <w:tcPr>
            <w:tcW w:type="dxa" w:w="1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Versão</w:t>
            </w:r>
          </w:p>
        </w:tc>
        <w:tc>
          <w:tcPr>
            <w:tcW w:type="dxa" w:w="16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Data</w:t>
            </w:r>
          </w:p>
        </w:tc>
        <w:tc>
          <w:tcPr>
            <w:tcW w:type="dxa" w:w="17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Autores</w:t>
            </w:r>
          </w:p>
        </w:tc>
        <w:tc>
          <w:tcPr>
            <w:tcW w:type="dxa" w:w="4771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2026 (1º sem.)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Grupo MedFlow</w:t>
            </w:r>
          </w:p>
        </w:tc>
        <w:tc>
          <w:tcPr>
            <w:tcW w:type="dxa" w:w="47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Especificação funcional original do PIM III (requisitos em prosa, fluxos 8.1 a 8.3, segurança e LGPD na seção 12).</w:t>
            </w:r>
          </w:p>
        </w:tc>
      </w:tr>
      <w:tr>
        <w:trPr>
          <w:cantSplit/>
        </w:trPr>
        <w:tc>
          <w:tcPr>
            <w:tcW w:type="dxa" w:w="1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2.0</w:t>
            </w:r>
          </w:p>
        </w:tc>
        <w:tc>
          <w:tcPr>
            <w:tcW w:type="dxa" w:w="16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17/10/2026</w:t>
            </w:r>
          </w:p>
        </w:tc>
        <w:tc>
          <w:tcPr>
            <w:tcW w:type="dxa" w:w="17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Grupo MedFlow</w:t>
            </w:r>
          </w:p>
        </w:tc>
        <w:tc>
          <w:tcPr>
            <w:tcW w:type="dxa" w:w="47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Revisão pela ISO/IEC/IEEE 29148: requisitos numerados e verificáveis, regras de negócio, casos de uso, diagramas de sequência, casos de teste, rastreabilidade e reimplementação.</w:t>
            </w:r>
          </w:p>
        </w:tc>
      </w:tr>
    </w:tbl>
    <w:p>
      <w:pPr>
        <w:spacing w:after="120" w:before="240" w:line="360" w:lineRule="auto"/>
        <w:ind w:firstLine="709"/>
        <w:jc w:val="both"/>
      </w:pPr>
      <w:r>
        <w:t xml:space="preserve">Este documento substitui a especificação funcional entregue no PIM III. Os identificadores (RF, RN, RNF, UC e CT) são estáveis: uma alteração futura cria nova versão e acrescenta uma linha a este histórico, sem renumerar o que já existe.</w:t>
      </w:r>
    </w:p>
    <w:p>
      <w:pPr>
        <w:sectPr>
          <w:headerReference w:type="default" r:id="rId9"/>
          <w:footerReference w:type="default" r:id="rId10"/>
          <w:type w:val="nextPage"/>
          <w:pgSz w:w="11906" w:h="16838" w:orient="portrait"/>
          <w:pgMar w:top="1701" w:right="1134" w:bottom="1134" w:left="1701" w:header="851" w:footer="567" w:gutter="0"/>
          <w:pgNumType/>
          <w:docGrid w:linePitch="360"/>
        </w:sectPr>
      </w:pPr>
    </w:p>
    <w:p>
      <w:pPr>
        <w:spacing w:after="320" w:line="300" w:lineRule="auto"/>
      </w:pPr>
      <w:r>
        <w:rPr>
          <w:b/>
          <w:bCs/>
          <w:color w:val="0B1F4B"/>
          <w:sz w:val="32"/>
          <w:szCs w:val="32"/>
        </w:rPr>
        <w:t xml:space="preserve">Sumário</w:t>
      </w:r>
    </w:p>
    <w:p>
      <w:pPr>
        <w:pStyle w:val="TOC1"/>
        <w:tabs>
          <w:tab w:val="right" w:pos="9071" w:leader="dot"/>
        </w:tabs>
        <w:spacing w:after="30" w:before="140" w:line="264" w:lineRule="auto"/>
      </w:pPr>
      <w:r>
        <w:fldChar w:fldCharType="begin" w:dirty="false"/>
      </w:r>
      <w:r>
        <w:instrText xml:space="preserve"> TOC \o "1-2" \h \z \u </w:instrText>
      </w:r>
      <w:r>
        <w:fldChar w:fldCharType="separate"/>
      </w:r>
      <w:hyperlink w:history="1" w:anchor="sec_001">
        <w:r>
          <w:rPr>
            <w:b/>
            <w:bCs/>
            <w:color w:val="0E1F33"/>
            <w:sz w:val="22"/>
            <w:szCs w:val="22"/>
          </w:rPr>
          <w:t xml:space="preserve">1 Introdução</w:t>
        </w:r>
        <w:r>
          <w:rPr>
            <w:b/>
            <w:bCs/>
            <w:color w:val="0E1F33"/>
            <w:sz w:val="22"/>
            <w:szCs w:val="22"/>
          </w:rPr>
          <w:tab/>
          <w:t xml:space="preserve">5</w:t>
        </w:r>
      </w:hyperlink>
    </w:p>
    <w:p>
      <w:pPr>
        <w:pStyle w:val="TOC2"/>
        <w:tabs>
          <w:tab w:val="right" w:pos="9071" w:leader="dot"/>
        </w:tabs>
        <w:spacing w:after="30" w:before="0" w:line="264" w:lineRule="auto"/>
        <w:ind w:left="400"/>
      </w:pPr>
      <w:hyperlink w:history="1" w:anchor="sec_002">
        <w:r>
          <w:rPr>
            <w:b w:val="false"/>
            <w:bCs w:val="false"/>
            <w:color w:val="0E1F33"/>
            <w:sz w:val="21"/>
            <w:szCs w:val="21"/>
          </w:rPr>
          <w:t xml:space="preserve">1.1 Propósito</w:t>
        </w:r>
        <w:r>
          <w:rPr>
            <w:b w:val="false"/>
            <w:bCs w:val="false"/>
            <w:color w:val="0E1F33"/>
            <w:sz w:val="21"/>
            <w:szCs w:val="21"/>
          </w:rPr>
          <w:tab/>
          <w:t xml:space="preserve">5</w:t>
        </w:r>
      </w:hyperlink>
    </w:p>
    <w:p>
      <w:pPr>
        <w:pStyle w:val="TOC2"/>
        <w:tabs>
          <w:tab w:val="right" w:pos="9071" w:leader="dot"/>
        </w:tabs>
        <w:spacing w:after="30" w:before="0" w:line="264" w:lineRule="auto"/>
        <w:ind w:left="400"/>
      </w:pPr>
      <w:hyperlink w:history="1" w:anchor="sec_003">
        <w:r>
          <w:rPr>
            <w:b w:val="false"/>
            <w:bCs w:val="false"/>
            <w:color w:val="0E1F33"/>
            <w:sz w:val="21"/>
            <w:szCs w:val="21"/>
          </w:rPr>
          <w:t xml:space="preserve">1.2 Escopo do produto</w:t>
        </w:r>
        <w:r>
          <w:rPr>
            <w:b w:val="false"/>
            <w:bCs w:val="false"/>
            <w:color w:val="0E1F33"/>
            <w:sz w:val="21"/>
            <w:szCs w:val="21"/>
          </w:rPr>
          <w:tab/>
          <w:t xml:space="preserve">5</w:t>
        </w:r>
      </w:hyperlink>
    </w:p>
    <w:p>
      <w:pPr>
        <w:pStyle w:val="TOC2"/>
        <w:tabs>
          <w:tab w:val="right" w:pos="9071" w:leader="dot"/>
        </w:tabs>
        <w:spacing w:after="30" w:before="0" w:line="264" w:lineRule="auto"/>
        <w:ind w:left="400"/>
      </w:pPr>
      <w:hyperlink w:history="1" w:anchor="sec_004">
        <w:r>
          <w:rPr>
            <w:b w:val="false"/>
            <w:bCs w:val="false"/>
            <w:color w:val="0E1F33"/>
            <w:sz w:val="21"/>
            <w:szCs w:val="21"/>
          </w:rPr>
          <w:t xml:space="preserve">1.3 Definições, siglas e abreviações</w:t>
        </w:r>
        <w:r>
          <w:rPr>
            <w:b w:val="false"/>
            <w:bCs w:val="false"/>
            <w:color w:val="0E1F33"/>
            <w:sz w:val="21"/>
            <w:szCs w:val="21"/>
          </w:rPr>
          <w:tab/>
          <w:t xml:space="preserve">6</w:t>
        </w:r>
      </w:hyperlink>
    </w:p>
    <w:p>
      <w:pPr>
        <w:pStyle w:val="TOC2"/>
        <w:tabs>
          <w:tab w:val="right" w:pos="9071" w:leader="dot"/>
        </w:tabs>
        <w:spacing w:after="30" w:before="0" w:line="264" w:lineRule="auto"/>
        <w:ind w:left="400"/>
      </w:pPr>
      <w:hyperlink w:history="1" w:anchor="sec_005">
        <w:r>
          <w:rPr>
            <w:b w:val="false"/>
            <w:bCs w:val="false"/>
            <w:color w:val="0E1F33"/>
            <w:sz w:val="21"/>
            <w:szCs w:val="21"/>
          </w:rPr>
          <w:t xml:space="preserve">1.4 Referências</w:t>
        </w:r>
        <w:r>
          <w:rPr>
            <w:b w:val="false"/>
            <w:bCs w:val="false"/>
            <w:color w:val="0E1F33"/>
            <w:sz w:val="21"/>
            <w:szCs w:val="21"/>
          </w:rPr>
          <w:tab/>
          <w:t xml:space="preserve">6</w:t>
        </w:r>
      </w:hyperlink>
    </w:p>
    <w:p>
      <w:pPr>
        <w:pStyle w:val="TOC2"/>
        <w:tabs>
          <w:tab w:val="right" w:pos="9071" w:leader="dot"/>
        </w:tabs>
        <w:spacing w:after="30" w:before="0" w:line="264" w:lineRule="auto"/>
        <w:ind w:left="400"/>
      </w:pPr>
      <w:hyperlink w:history="1" w:anchor="sec_006">
        <w:r>
          <w:rPr>
            <w:b w:val="false"/>
            <w:bCs w:val="false"/>
            <w:color w:val="0E1F33"/>
            <w:sz w:val="21"/>
            <w:szCs w:val="21"/>
          </w:rPr>
          <w:t xml:space="preserve">1.5 Organização do documento</w:t>
        </w:r>
        <w:r>
          <w:rPr>
            <w:b w:val="false"/>
            <w:bCs w:val="false"/>
            <w:color w:val="0E1F33"/>
            <w:sz w:val="21"/>
            <w:szCs w:val="21"/>
          </w:rPr>
          <w:tab/>
          <w:t xml:space="preserve">7</w:t>
        </w:r>
      </w:hyperlink>
    </w:p>
    <w:p>
      <w:pPr>
        <w:pStyle w:val="TOC1"/>
        <w:tabs>
          <w:tab w:val="right" w:pos="9071" w:leader="dot"/>
        </w:tabs>
        <w:spacing w:after="30" w:before="140" w:line="264" w:lineRule="auto"/>
      </w:pPr>
      <w:hyperlink w:history="1" w:anchor="sec_007">
        <w:r>
          <w:rPr>
            <w:b/>
            <w:bCs/>
            <w:color w:val="0E1F33"/>
            <w:sz w:val="22"/>
            <w:szCs w:val="22"/>
          </w:rPr>
          <w:t xml:space="preserve">2 Revisão da especificação funcional original</w:t>
        </w:r>
        <w:r>
          <w:rPr>
            <w:b/>
            <w:bCs/>
            <w:color w:val="0E1F33"/>
            <w:sz w:val="22"/>
            <w:szCs w:val="22"/>
          </w:rPr>
          <w:tab/>
          <w:t xml:space="preserve">8</w:t>
        </w:r>
      </w:hyperlink>
    </w:p>
    <w:p>
      <w:pPr>
        <w:pStyle w:val="TOC2"/>
        <w:tabs>
          <w:tab w:val="right" w:pos="9071" w:leader="dot"/>
        </w:tabs>
        <w:spacing w:after="30" w:before="0" w:line="264" w:lineRule="auto"/>
        <w:ind w:left="400"/>
      </w:pPr>
      <w:hyperlink w:history="1" w:anchor="sec_008">
        <w:r>
          <w:rPr>
            <w:b w:val="false"/>
            <w:bCs w:val="false"/>
            <w:color w:val="0E1F33"/>
            <w:sz w:val="21"/>
            <w:szCs w:val="21"/>
          </w:rPr>
          <w:t xml:space="preserve">2.1 Resumo da especificação original</w:t>
        </w:r>
        <w:r>
          <w:rPr>
            <w:b w:val="false"/>
            <w:bCs w:val="false"/>
            <w:color w:val="0E1F33"/>
            <w:sz w:val="21"/>
            <w:szCs w:val="21"/>
          </w:rPr>
          <w:tab/>
          <w:t xml:space="preserve">8</w:t>
        </w:r>
      </w:hyperlink>
    </w:p>
    <w:p>
      <w:pPr>
        <w:pStyle w:val="TOC2"/>
        <w:tabs>
          <w:tab w:val="right" w:pos="9071" w:leader="dot"/>
        </w:tabs>
        <w:spacing w:after="30" w:before="0" w:line="264" w:lineRule="auto"/>
        <w:ind w:left="400"/>
      </w:pPr>
      <w:hyperlink w:history="1" w:anchor="sec_009">
        <w:r>
          <w:rPr>
            <w:b w:val="false"/>
            <w:bCs w:val="false"/>
            <w:color w:val="0E1F33"/>
            <w:sz w:val="21"/>
            <w:szCs w:val="21"/>
          </w:rPr>
          <w:t xml:space="preserve">2.2 Avaliação por critério</w:t>
        </w:r>
        <w:r>
          <w:rPr>
            <w:b w:val="false"/>
            <w:bCs w:val="false"/>
            <w:color w:val="0E1F33"/>
            <w:sz w:val="21"/>
            <w:szCs w:val="21"/>
          </w:rPr>
          <w:tab/>
          <w:t xml:space="preserve">8</w:t>
        </w:r>
      </w:hyperlink>
    </w:p>
    <w:p>
      <w:pPr>
        <w:pStyle w:val="TOC2"/>
        <w:tabs>
          <w:tab w:val="right" w:pos="9071" w:leader="dot"/>
        </w:tabs>
        <w:spacing w:after="30" w:before="0" w:line="264" w:lineRule="auto"/>
        <w:ind w:left="400"/>
      </w:pPr>
      <w:hyperlink w:history="1" w:anchor="sec_010">
        <w:r>
          <w:rPr>
            <w:b w:val="false"/>
            <w:bCs w:val="false"/>
            <w:color w:val="0E1F33"/>
            <w:sz w:val="21"/>
            <w:szCs w:val="21"/>
          </w:rPr>
          <w:t xml:space="preserve">2.3 Ambiguidades, duplicidades, conflitos e lacunas</w:t>
        </w:r>
        <w:r>
          <w:rPr>
            <w:b w:val="false"/>
            <w:bCs w:val="false"/>
            <w:color w:val="0E1F33"/>
            <w:sz w:val="21"/>
            <w:szCs w:val="21"/>
          </w:rPr>
          <w:tab/>
          <w:t xml:space="preserve">10</w:t>
        </w:r>
      </w:hyperlink>
    </w:p>
    <w:p>
      <w:pPr>
        <w:pStyle w:val="TOC2"/>
        <w:tabs>
          <w:tab w:val="right" w:pos="9071" w:leader="dot"/>
        </w:tabs>
        <w:spacing w:after="30" w:before="0" w:line="264" w:lineRule="auto"/>
        <w:ind w:left="400"/>
      </w:pPr>
      <w:hyperlink w:history="1" w:anchor="sec_011">
        <w:r>
          <w:rPr>
            <w:b w:val="false"/>
            <w:bCs w:val="false"/>
            <w:color w:val="0E1F33"/>
            <w:sz w:val="21"/>
            <w:szCs w:val="21"/>
          </w:rPr>
          <w:t xml:space="preserve">2.4 Decisões de revisão</w:t>
        </w:r>
        <w:r>
          <w:rPr>
            <w:b w:val="false"/>
            <w:bCs w:val="false"/>
            <w:color w:val="0E1F33"/>
            <w:sz w:val="21"/>
            <w:szCs w:val="21"/>
          </w:rPr>
          <w:tab/>
          <w:t xml:space="preserve">12</w:t>
        </w:r>
      </w:hyperlink>
    </w:p>
    <w:p>
      <w:pPr>
        <w:pStyle w:val="TOC1"/>
        <w:tabs>
          <w:tab w:val="right" w:pos="9071" w:leader="dot"/>
        </w:tabs>
        <w:spacing w:after="30" w:before="140" w:line="264" w:lineRule="auto"/>
      </w:pPr>
      <w:hyperlink w:history="1" w:anchor="sec_012">
        <w:r>
          <w:rPr>
            <w:b/>
            <w:bCs/>
            <w:color w:val="0E1F33"/>
            <w:sz w:val="22"/>
            <w:szCs w:val="22"/>
          </w:rPr>
          <w:t xml:space="preserve">3 Descrição geral</w:t>
        </w:r>
        <w:r>
          <w:rPr>
            <w:b/>
            <w:bCs/>
            <w:color w:val="0E1F33"/>
            <w:sz w:val="22"/>
            <w:szCs w:val="22"/>
          </w:rPr>
          <w:tab/>
          <w:t xml:space="preserve">13</w:t>
        </w:r>
      </w:hyperlink>
    </w:p>
    <w:p>
      <w:pPr>
        <w:pStyle w:val="TOC2"/>
        <w:tabs>
          <w:tab w:val="right" w:pos="9071" w:leader="dot"/>
        </w:tabs>
        <w:spacing w:after="30" w:before="0" w:line="264" w:lineRule="auto"/>
        <w:ind w:left="400"/>
      </w:pPr>
      <w:hyperlink w:history="1" w:anchor="sec_013">
        <w:r>
          <w:rPr>
            <w:b w:val="false"/>
            <w:bCs w:val="false"/>
            <w:color w:val="0E1F33"/>
            <w:sz w:val="21"/>
            <w:szCs w:val="21"/>
          </w:rPr>
          <w:t xml:space="preserve">3.1 Perspectiva do produto</w:t>
        </w:r>
        <w:r>
          <w:rPr>
            <w:b w:val="false"/>
            <w:bCs w:val="false"/>
            <w:color w:val="0E1F33"/>
            <w:sz w:val="21"/>
            <w:szCs w:val="21"/>
          </w:rPr>
          <w:tab/>
          <w:t xml:space="preserve">13</w:t>
        </w:r>
      </w:hyperlink>
    </w:p>
    <w:p>
      <w:pPr>
        <w:pStyle w:val="TOC2"/>
        <w:tabs>
          <w:tab w:val="right" w:pos="9071" w:leader="dot"/>
        </w:tabs>
        <w:spacing w:after="30" w:before="0" w:line="264" w:lineRule="auto"/>
        <w:ind w:left="400"/>
      </w:pPr>
      <w:hyperlink w:history="1" w:anchor="sec_014">
        <w:r>
          <w:rPr>
            <w:b w:val="false"/>
            <w:bCs w:val="false"/>
            <w:color w:val="0E1F33"/>
            <w:sz w:val="21"/>
            <w:szCs w:val="21"/>
          </w:rPr>
          <w:t xml:space="preserve">3.2 Funções do produto</w:t>
        </w:r>
        <w:r>
          <w:rPr>
            <w:b w:val="false"/>
            <w:bCs w:val="false"/>
            <w:color w:val="0E1F33"/>
            <w:sz w:val="21"/>
            <w:szCs w:val="21"/>
          </w:rPr>
          <w:tab/>
          <w:t xml:space="preserve">14</w:t>
        </w:r>
      </w:hyperlink>
    </w:p>
    <w:p>
      <w:pPr>
        <w:pStyle w:val="TOC2"/>
        <w:tabs>
          <w:tab w:val="right" w:pos="9071" w:leader="dot"/>
        </w:tabs>
        <w:spacing w:after="30" w:before="0" w:line="264" w:lineRule="auto"/>
        <w:ind w:left="400"/>
      </w:pPr>
      <w:hyperlink w:history="1" w:anchor="sec_015">
        <w:r>
          <w:rPr>
            <w:b w:val="false"/>
            <w:bCs w:val="false"/>
            <w:color w:val="0E1F33"/>
            <w:sz w:val="21"/>
            <w:szCs w:val="21"/>
          </w:rPr>
          <w:t xml:space="preserve">3.3 Características dos usuários</w:t>
        </w:r>
        <w:r>
          <w:rPr>
            <w:b w:val="false"/>
            <w:bCs w:val="false"/>
            <w:color w:val="0E1F33"/>
            <w:sz w:val="21"/>
            <w:szCs w:val="21"/>
          </w:rPr>
          <w:tab/>
          <w:t xml:space="preserve">14</w:t>
        </w:r>
      </w:hyperlink>
    </w:p>
    <w:p>
      <w:pPr>
        <w:pStyle w:val="TOC2"/>
        <w:tabs>
          <w:tab w:val="right" w:pos="9071" w:leader="dot"/>
        </w:tabs>
        <w:spacing w:after="30" w:before="0" w:line="264" w:lineRule="auto"/>
        <w:ind w:left="400"/>
      </w:pPr>
      <w:hyperlink w:history="1" w:anchor="sec_016">
        <w:r>
          <w:rPr>
            <w:b w:val="false"/>
            <w:bCs w:val="false"/>
            <w:color w:val="0E1F33"/>
            <w:sz w:val="21"/>
            <w:szCs w:val="21"/>
          </w:rPr>
          <w:t xml:space="preserve">3.4 Restrições</w:t>
        </w:r>
        <w:r>
          <w:rPr>
            <w:b w:val="false"/>
            <w:bCs w:val="false"/>
            <w:color w:val="0E1F33"/>
            <w:sz w:val="21"/>
            <w:szCs w:val="21"/>
          </w:rPr>
          <w:tab/>
          <w:t xml:space="preserve">15</w:t>
        </w:r>
      </w:hyperlink>
    </w:p>
    <w:p>
      <w:pPr>
        <w:pStyle w:val="TOC2"/>
        <w:tabs>
          <w:tab w:val="right" w:pos="9071" w:leader="dot"/>
        </w:tabs>
        <w:spacing w:after="30" w:before="0" w:line="264" w:lineRule="auto"/>
        <w:ind w:left="400"/>
      </w:pPr>
      <w:hyperlink w:history="1" w:anchor="sec_017">
        <w:r>
          <w:rPr>
            <w:b w:val="false"/>
            <w:bCs w:val="false"/>
            <w:color w:val="0E1F33"/>
            <w:sz w:val="21"/>
            <w:szCs w:val="21"/>
          </w:rPr>
          <w:t xml:space="preserve">3.5 Suposições e dependências</w:t>
        </w:r>
        <w:r>
          <w:rPr>
            <w:b w:val="false"/>
            <w:bCs w:val="false"/>
            <w:color w:val="0E1F33"/>
            <w:sz w:val="21"/>
            <w:szCs w:val="21"/>
          </w:rPr>
          <w:tab/>
          <w:t xml:space="preserve">15</w:t>
        </w:r>
      </w:hyperlink>
    </w:p>
    <w:p>
      <w:pPr>
        <w:pStyle w:val="TOC2"/>
        <w:tabs>
          <w:tab w:val="right" w:pos="9071" w:leader="dot"/>
        </w:tabs>
        <w:spacing w:after="30" w:before="0" w:line="264" w:lineRule="auto"/>
        <w:ind w:left="400"/>
      </w:pPr>
      <w:hyperlink w:history="1" w:anchor="sec_018">
        <w:r>
          <w:rPr>
            <w:b w:val="false"/>
            <w:bCs w:val="false"/>
            <w:color w:val="0E1F33"/>
            <w:sz w:val="21"/>
            <w:szCs w:val="21"/>
          </w:rPr>
          <w:t xml:space="preserve">3.6 Fora do escopo desta versão</w:t>
        </w:r>
        <w:r>
          <w:rPr>
            <w:b w:val="false"/>
            <w:bCs w:val="false"/>
            <w:color w:val="0E1F33"/>
            <w:sz w:val="21"/>
            <w:szCs w:val="21"/>
          </w:rPr>
          <w:tab/>
          <w:t xml:space="preserve">15</w:t>
        </w:r>
      </w:hyperlink>
    </w:p>
    <w:p>
      <w:pPr>
        <w:pStyle w:val="TOC1"/>
        <w:tabs>
          <w:tab w:val="right" w:pos="9071" w:leader="dot"/>
        </w:tabs>
        <w:spacing w:after="30" w:before="140" w:line="264" w:lineRule="auto"/>
      </w:pPr>
      <w:hyperlink w:history="1" w:anchor="sec_019">
        <w:r>
          <w:rPr>
            <w:b/>
            <w:bCs/>
            <w:color w:val="0E1F33"/>
            <w:sz w:val="22"/>
            <w:szCs w:val="22"/>
          </w:rPr>
          <w:t xml:space="preserve">4 Requisitos específicos</w:t>
        </w:r>
        <w:r>
          <w:rPr>
            <w:b/>
            <w:bCs/>
            <w:color w:val="0E1F33"/>
            <w:sz w:val="22"/>
            <w:szCs w:val="22"/>
          </w:rPr>
          <w:tab/>
          <w:t xml:space="preserve">16</w:t>
        </w:r>
      </w:hyperlink>
    </w:p>
    <w:p>
      <w:pPr>
        <w:pStyle w:val="TOC2"/>
        <w:tabs>
          <w:tab w:val="right" w:pos="9071" w:leader="dot"/>
        </w:tabs>
        <w:spacing w:after="30" w:before="0" w:line="264" w:lineRule="auto"/>
        <w:ind w:left="400"/>
      </w:pPr>
      <w:hyperlink w:history="1" w:anchor="sec_020">
        <w:r>
          <w:rPr>
            <w:b w:val="false"/>
            <w:bCs w:val="false"/>
            <w:color w:val="0E1F33"/>
            <w:sz w:val="21"/>
            <w:szCs w:val="21"/>
          </w:rPr>
          <w:t xml:space="preserve">4.1 Requisitos funcionais</w:t>
        </w:r>
        <w:r>
          <w:rPr>
            <w:b w:val="false"/>
            <w:bCs w:val="false"/>
            <w:color w:val="0E1F33"/>
            <w:sz w:val="21"/>
            <w:szCs w:val="21"/>
          </w:rPr>
          <w:tab/>
          <w:t xml:space="preserve">16</w:t>
        </w:r>
      </w:hyperlink>
    </w:p>
    <w:p>
      <w:pPr>
        <w:pStyle w:val="TOC2"/>
        <w:tabs>
          <w:tab w:val="right" w:pos="9071" w:leader="dot"/>
        </w:tabs>
        <w:spacing w:after="30" w:before="0" w:line="264" w:lineRule="auto"/>
        <w:ind w:left="400"/>
      </w:pPr>
      <w:hyperlink w:history="1" w:anchor="sec_021">
        <w:r>
          <w:rPr>
            <w:b w:val="false"/>
            <w:bCs w:val="false"/>
            <w:color w:val="0E1F33"/>
            <w:sz w:val="21"/>
            <w:szCs w:val="21"/>
          </w:rPr>
          <w:t xml:space="preserve">4.2 Regras de negócio</w:t>
        </w:r>
        <w:r>
          <w:rPr>
            <w:b w:val="false"/>
            <w:bCs w:val="false"/>
            <w:color w:val="0E1F33"/>
            <w:sz w:val="21"/>
            <w:szCs w:val="21"/>
          </w:rPr>
          <w:tab/>
          <w:t xml:space="preserve">19</w:t>
        </w:r>
      </w:hyperlink>
    </w:p>
    <w:p>
      <w:pPr>
        <w:pStyle w:val="TOC2"/>
        <w:tabs>
          <w:tab w:val="right" w:pos="9071" w:leader="dot"/>
        </w:tabs>
        <w:spacing w:after="30" w:before="0" w:line="264" w:lineRule="auto"/>
        <w:ind w:left="400"/>
      </w:pPr>
      <w:hyperlink w:history="1" w:anchor="sec_022">
        <w:r>
          <w:rPr>
            <w:b w:val="false"/>
            <w:bCs w:val="false"/>
            <w:color w:val="0E1F33"/>
            <w:sz w:val="21"/>
            <w:szCs w:val="21"/>
          </w:rPr>
          <w:t xml:space="preserve">4.3 Requisitos não funcionais</w:t>
        </w:r>
        <w:r>
          <w:rPr>
            <w:b w:val="false"/>
            <w:bCs w:val="false"/>
            <w:color w:val="0E1F33"/>
            <w:sz w:val="21"/>
            <w:szCs w:val="21"/>
          </w:rPr>
          <w:tab/>
          <w:t xml:space="preserve">20</w:t>
        </w:r>
      </w:hyperlink>
    </w:p>
    <w:p>
      <w:pPr>
        <w:pStyle w:val="TOC2"/>
        <w:tabs>
          <w:tab w:val="right" w:pos="9071" w:leader="dot"/>
        </w:tabs>
        <w:spacing w:after="30" w:before="0" w:line="264" w:lineRule="auto"/>
        <w:ind w:left="400"/>
      </w:pPr>
      <w:hyperlink w:history="1" w:anchor="sec_023">
        <w:r>
          <w:rPr>
            <w:b w:val="false"/>
            <w:bCs w:val="false"/>
            <w:color w:val="0E1F33"/>
            <w:sz w:val="21"/>
            <w:szCs w:val="21"/>
          </w:rPr>
          <w:t xml:space="preserve">4.4 Requisitos de dados e privacidade (LGPD)</w:t>
        </w:r>
        <w:r>
          <w:rPr>
            <w:b w:val="false"/>
            <w:bCs w:val="false"/>
            <w:color w:val="0E1F33"/>
            <w:sz w:val="21"/>
            <w:szCs w:val="21"/>
          </w:rPr>
          <w:tab/>
          <w:t xml:space="preserve">21</w:t>
        </w:r>
      </w:hyperlink>
    </w:p>
    <w:p>
      <w:pPr>
        <w:pStyle w:val="TOC2"/>
        <w:tabs>
          <w:tab w:val="right" w:pos="9071" w:leader="dot"/>
        </w:tabs>
        <w:spacing w:after="30" w:before="0" w:line="264" w:lineRule="auto"/>
        <w:ind w:left="400"/>
      </w:pPr>
      <w:hyperlink w:history="1" w:anchor="sec_024">
        <w:r>
          <w:rPr>
            <w:b w:val="false"/>
            <w:bCs w:val="false"/>
            <w:color w:val="0E1F33"/>
            <w:sz w:val="21"/>
            <w:szCs w:val="21"/>
          </w:rPr>
          <w:t xml:space="preserve">4.5 Interfaces externas</w:t>
        </w:r>
        <w:r>
          <w:rPr>
            <w:b w:val="false"/>
            <w:bCs w:val="false"/>
            <w:color w:val="0E1F33"/>
            <w:sz w:val="21"/>
            <w:szCs w:val="21"/>
          </w:rPr>
          <w:tab/>
          <w:t xml:space="preserve">22</w:t>
        </w:r>
      </w:hyperlink>
    </w:p>
    <w:p>
      <w:pPr>
        <w:pStyle w:val="TOC2"/>
        <w:tabs>
          <w:tab w:val="right" w:pos="9071" w:leader="dot"/>
        </w:tabs>
        <w:spacing w:after="30" w:before="0" w:line="264" w:lineRule="auto"/>
        <w:ind w:left="400"/>
      </w:pPr>
      <w:hyperlink w:history="1" w:anchor="sec_028">
        <w:r>
          <w:rPr>
            <w:b w:val="false"/>
            <w:bCs w:val="false"/>
            <w:color w:val="0E1F33"/>
            <w:sz w:val="21"/>
            <w:szCs w:val="21"/>
          </w:rPr>
          <w:t xml:space="preserve">4.6 Estados do pedido</w:t>
        </w:r>
        <w:r>
          <w:rPr>
            <w:b w:val="false"/>
            <w:bCs w:val="false"/>
            <w:color w:val="0E1F33"/>
            <w:sz w:val="21"/>
            <w:szCs w:val="21"/>
          </w:rPr>
          <w:tab/>
          <w:t xml:space="preserve">24</w:t>
        </w:r>
      </w:hyperlink>
    </w:p>
    <w:p>
      <w:pPr>
        <w:pStyle w:val="TOC2"/>
        <w:tabs>
          <w:tab w:val="right" w:pos="9071" w:leader="dot"/>
        </w:tabs>
        <w:spacing w:after="30" w:before="0" w:line="264" w:lineRule="auto"/>
        <w:ind w:left="400"/>
      </w:pPr>
      <w:hyperlink w:history="1" w:anchor="sec_029">
        <w:r>
          <w:rPr>
            <w:b w:val="false"/>
            <w:bCs w:val="false"/>
            <w:color w:val="0E1F33"/>
            <w:sz w:val="21"/>
            <w:szCs w:val="21"/>
          </w:rPr>
          <w:t xml:space="preserve">4.7 Modelo de dados</w:t>
        </w:r>
        <w:r>
          <w:rPr>
            <w:b w:val="false"/>
            <w:bCs w:val="false"/>
            <w:color w:val="0E1F33"/>
            <w:sz w:val="21"/>
            <w:szCs w:val="21"/>
          </w:rPr>
          <w:tab/>
          <w:t xml:space="preserve">26</w:t>
        </w:r>
      </w:hyperlink>
    </w:p>
    <w:p>
      <w:pPr>
        <w:pStyle w:val="TOC1"/>
        <w:tabs>
          <w:tab w:val="right" w:pos="9071" w:leader="dot"/>
        </w:tabs>
        <w:spacing w:after="30" w:before="140" w:line="264" w:lineRule="auto"/>
      </w:pPr>
      <w:hyperlink w:history="1" w:anchor="sec_030">
        <w:r>
          <w:rPr>
            <w:b/>
            <w:bCs/>
            <w:color w:val="0E1F33"/>
            <w:sz w:val="22"/>
            <w:szCs w:val="22"/>
          </w:rPr>
          <w:t xml:space="preserve">5 Casos de uso</w:t>
        </w:r>
        <w:r>
          <w:rPr>
            <w:b/>
            <w:bCs/>
            <w:color w:val="0E1F33"/>
            <w:sz w:val="22"/>
            <w:szCs w:val="22"/>
          </w:rPr>
          <w:tab/>
          <w:t xml:space="preserve">27</w:t>
        </w:r>
      </w:hyperlink>
    </w:p>
    <w:p>
      <w:pPr>
        <w:pStyle w:val="TOC2"/>
        <w:tabs>
          <w:tab w:val="right" w:pos="9071" w:leader="dot"/>
        </w:tabs>
        <w:spacing w:after="30" w:before="0" w:line="264" w:lineRule="auto"/>
        <w:ind w:left="400"/>
      </w:pPr>
      <w:hyperlink w:history="1" w:anchor="sec_031">
        <w:r>
          <w:rPr>
            <w:b w:val="false"/>
            <w:bCs w:val="false"/>
            <w:color w:val="0E1F33"/>
            <w:sz w:val="21"/>
            <w:szCs w:val="21"/>
          </w:rPr>
          <w:t xml:space="preserve">5.1 Atores</w:t>
        </w:r>
        <w:r>
          <w:rPr>
            <w:b w:val="false"/>
            <w:bCs w:val="false"/>
            <w:color w:val="0E1F33"/>
            <w:sz w:val="21"/>
            <w:szCs w:val="21"/>
          </w:rPr>
          <w:tab/>
          <w:t xml:space="preserve">27</w:t>
        </w:r>
      </w:hyperlink>
    </w:p>
    <w:p>
      <w:pPr>
        <w:pStyle w:val="TOC2"/>
        <w:tabs>
          <w:tab w:val="right" w:pos="9071" w:leader="dot"/>
        </w:tabs>
        <w:spacing w:after="30" w:before="0" w:line="264" w:lineRule="auto"/>
        <w:ind w:left="400"/>
      </w:pPr>
      <w:hyperlink w:history="1" w:anchor="sec_032">
        <w:r>
          <w:rPr>
            <w:b w:val="false"/>
            <w:bCs w:val="false"/>
            <w:color w:val="0E1F33"/>
            <w:sz w:val="21"/>
            <w:szCs w:val="21"/>
          </w:rPr>
          <w:t xml:space="preserve">5.2 Diagrama de casos de uso</w:t>
        </w:r>
        <w:r>
          <w:rPr>
            <w:b w:val="false"/>
            <w:bCs w:val="false"/>
            <w:color w:val="0E1F33"/>
            <w:sz w:val="21"/>
            <w:szCs w:val="21"/>
          </w:rPr>
          <w:tab/>
          <w:t xml:space="preserve">27</w:t>
        </w:r>
      </w:hyperlink>
    </w:p>
    <w:p>
      <w:pPr>
        <w:pStyle w:val="TOC2"/>
        <w:tabs>
          <w:tab w:val="right" w:pos="9071" w:leader="dot"/>
        </w:tabs>
        <w:spacing w:after="30" w:before="0" w:line="264" w:lineRule="auto"/>
        <w:ind w:left="400"/>
      </w:pPr>
      <w:hyperlink w:history="1" w:anchor="sec_033">
        <w:r>
          <w:rPr>
            <w:b w:val="false"/>
            <w:bCs w:val="false"/>
            <w:color w:val="0E1F33"/>
            <w:sz w:val="21"/>
            <w:szCs w:val="21"/>
          </w:rPr>
          <w:t xml:space="preserve">5.3 Especificação dos casos de uso</w:t>
        </w:r>
        <w:r>
          <w:rPr>
            <w:b w:val="false"/>
            <w:bCs w:val="false"/>
            <w:color w:val="0E1F33"/>
            <w:sz w:val="21"/>
            <w:szCs w:val="21"/>
          </w:rPr>
          <w:tab/>
          <w:t xml:space="preserve">28</w:t>
        </w:r>
      </w:hyperlink>
    </w:p>
    <w:p>
      <w:pPr>
        <w:pStyle w:val="TOC1"/>
        <w:tabs>
          <w:tab w:val="right" w:pos="9071" w:leader="dot"/>
        </w:tabs>
        <w:spacing w:after="30" w:before="140" w:line="264" w:lineRule="auto"/>
      </w:pPr>
      <w:hyperlink w:history="1" w:anchor="sec_034">
        <w:r>
          <w:rPr>
            <w:b/>
            <w:bCs/>
            <w:color w:val="0E1F33"/>
            <w:sz w:val="22"/>
            <w:szCs w:val="22"/>
          </w:rPr>
          <w:t xml:space="preserve">6 Diagramas de sequência</w:t>
        </w:r>
        <w:r>
          <w:rPr>
            <w:b/>
            <w:bCs/>
            <w:color w:val="0E1F33"/>
            <w:sz w:val="22"/>
            <w:szCs w:val="22"/>
          </w:rPr>
          <w:tab/>
          <w:t xml:space="preserve">35</w:t>
        </w:r>
      </w:hyperlink>
    </w:p>
    <w:p>
      <w:pPr>
        <w:pStyle w:val="TOC2"/>
        <w:tabs>
          <w:tab w:val="right" w:pos="9071" w:leader="dot"/>
        </w:tabs>
        <w:spacing w:after="30" w:before="0" w:line="264" w:lineRule="auto"/>
        <w:ind w:left="400"/>
      </w:pPr>
      <w:hyperlink w:history="1" w:anchor="sec_035">
        <w:r>
          <w:rPr>
            <w:b w:val="false"/>
            <w:bCs w:val="false"/>
            <w:color w:val="0E1F33"/>
            <w:sz w:val="21"/>
            <w:szCs w:val="21"/>
          </w:rPr>
          <w:t xml:space="preserve">6.1 UC02 Autenticar-se</w:t>
        </w:r>
        <w:r>
          <w:rPr>
            <w:b w:val="false"/>
            <w:bCs w:val="false"/>
            <w:color w:val="0E1F33"/>
            <w:sz w:val="21"/>
            <w:szCs w:val="21"/>
          </w:rPr>
          <w:tab/>
          <w:t xml:space="preserve">36</w:t>
        </w:r>
      </w:hyperlink>
    </w:p>
    <w:p>
      <w:pPr>
        <w:pStyle w:val="TOC2"/>
        <w:tabs>
          <w:tab w:val="right" w:pos="9071" w:leader="dot"/>
        </w:tabs>
        <w:spacing w:after="30" w:before="0" w:line="264" w:lineRule="auto"/>
        <w:ind w:left="400"/>
      </w:pPr>
      <w:hyperlink w:history="1" w:anchor="sec_036">
        <w:r>
          <w:rPr>
            <w:b w:val="false"/>
            <w:bCs w:val="false"/>
            <w:color w:val="0E1F33"/>
            <w:sz w:val="21"/>
            <w:szCs w:val="21"/>
          </w:rPr>
          <w:t xml:space="preserve">6.2 UC03 Enviar receita</w:t>
        </w:r>
        <w:r>
          <w:rPr>
            <w:b w:val="false"/>
            <w:bCs w:val="false"/>
            <w:color w:val="0E1F33"/>
            <w:sz w:val="21"/>
            <w:szCs w:val="21"/>
          </w:rPr>
          <w:tab/>
          <w:t xml:space="preserve">37</w:t>
        </w:r>
      </w:hyperlink>
    </w:p>
    <w:p>
      <w:pPr>
        <w:pStyle w:val="TOC2"/>
        <w:tabs>
          <w:tab w:val="right" w:pos="9071" w:leader="dot"/>
        </w:tabs>
        <w:spacing w:after="30" w:before="0" w:line="264" w:lineRule="auto"/>
        <w:ind w:left="400"/>
      </w:pPr>
      <w:hyperlink w:history="1" w:anchor="sec_037">
        <w:r>
          <w:rPr>
            <w:b w:val="false"/>
            <w:bCs w:val="false"/>
            <w:color w:val="0E1F33"/>
            <w:sz w:val="21"/>
            <w:szCs w:val="21"/>
          </w:rPr>
          <w:t xml:space="preserve">6.3 UC04 Montar Box e confirmar pedido</w:t>
        </w:r>
        <w:r>
          <w:rPr>
            <w:b w:val="false"/>
            <w:bCs w:val="false"/>
            <w:color w:val="0E1F33"/>
            <w:sz w:val="21"/>
            <w:szCs w:val="21"/>
          </w:rPr>
          <w:tab/>
          <w:t xml:space="preserve">38</w:t>
        </w:r>
      </w:hyperlink>
    </w:p>
    <w:p>
      <w:pPr>
        <w:pStyle w:val="TOC2"/>
        <w:tabs>
          <w:tab w:val="right" w:pos="9071" w:leader="dot"/>
        </w:tabs>
        <w:spacing w:after="30" w:before="0" w:line="264" w:lineRule="auto"/>
        <w:ind w:left="400"/>
      </w:pPr>
      <w:hyperlink w:history="1" w:anchor="sec_038">
        <w:r>
          <w:rPr>
            <w:b w:val="false"/>
            <w:bCs w:val="false"/>
            <w:color w:val="0E1F33"/>
            <w:sz w:val="21"/>
            <w:szCs w:val="21"/>
          </w:rPr>
          <w:t xml:space="preserve">6.4 UC06 Analisar receita</w:t>
        </w:r>
        <w:r>
          <w:rPr>
            <w:b w:val="false"/>
            <w:bCs w:val="false"/>
            <w:color w:val="0E1F33"/>
            <w:sz w:val="21"/>
            <w:szCs w:val="21"/>
          </w:rPr>
          <w:tab/>
          <w:t xml:space="preserve">39</w:t>
        </w:r>
      </w:hyperlink>
    </w:p>
    <w:p>
      <w:pPr>
        <w:pStyle w:val="TOC2"/>
        <w:tabs>
          <w:tab w:val="right" w:pos="9071" w:leader="dot"/>
        </w:tabs>
        <w:spacing w:after="30" w:before="0" w:line="264" w:lineRule="auto"/>
        <w:ind w:left="400"/>
      </w:pPr>
      <w:hyperlink w:history="1" w:anchor="sec_039">
        <w:r>
          <w:rPr>
            <w:b w:val="false"/>
            <w:bCs w:val="false"/>
            <w:color w:val="0E1F33"/>
            <w:sz w:val="21"/>
            <w:szCs w:val="21"/>
          </w:rPr>
          <w:t xml:space="preserve">6.5 UC07 Separar e finalizar Box</w:t>
        </w:r>
        <w:r>
          <w:rPr>
            <w:b w:val="false"/>
            <w:bCs w:val="false"/>
            <w:color w:val="0E1F33"/>
            <w:sz w:val="21"/>
            <w:szCs w:val="21"/>
          </w:rPr>
          <w:tab/>
          <w:t xml:space="preserve">40</w:t>
        </w:r>
      </w:hyperlink>
    </w:p>
    <w:p>
      <w:pPr>
        <w:pStyle w:val="TOC2"/>
        <w:tabs>
          <w:tab w:val="right" w:pos="9071" w:leader="dot"/>
        </w:tabs>
        <w:spacing w:after="30" w:before="0" w:line="264" w:lineRule="auto"/>
        <w:ind w:left="400"/>
      </w:pPr>
      <w:hyperlink w:history="1" w:anchor="sec_040">
        <w:r>
          <w:rPr>
            <w:b w:val="false"/>
            <w:bCs w:val="false"/>
            <w:color w:val="0E1F33"/>
            <w:sz w:val="21"/>
            <w:szCs w:val="21"/>
          </w:rPr>
          <w:t xml:space="preserve">6.6 UC10 e UC11 Entrega e ocorrência</w:t>
        </w:r>
        <w:r>
          <w:rPr>
            <w:b w:val="false"/>
            <w:bCs w:val="false"/>
            <w:color w:val="0E1F33"/>
            <w:sz w:val="21"/>
            <w:szCs w:val="21"/>
          </w:rPr>
          <w:tab/>
          <w:t xml:space="preserve">41</w:t>
        </w:r>
      </w:hyperlink>
    </w:p>
    <w:p>
      <w:pPr>
        <w:pStyle w:val="TOC2"/>
        <w:tabs>
          <w:tab w:val="right" w:pos="9071" w:leader="dot"/>
        </w:tabs>
        <w:spacing w:after="30" w:before="0" w:line="264" w:lineRule="auto"/>
        <w:ind w:left="400"/>
      </w:pPr>
      <w:hyperlink w:history="1" w:anchor="sec_041">
        <w:r>
          <w:rPr>
            <w:b w:val="false"/>
            <w:bCs w:val="false"/>
            <w:color w:val="0E1F33"/>
            <w:sz w:val="21"/>
            <w:szCs w:val="21"/>
          </w:rPr>
          <w:t xml:space="preserve">6.7 UC12 Excluir conta</w:t>
        </w:r>
        <w:r>
          <w:rPr>
            <w:b w:val="false"/>
            <w:bCs w:val="false"/>
            <w:color w:val="0E1F33"/>
            <w:sz w:val="21"/>
            <w:szCs w:val="21"/>
          </w:rPr>
          <w:tab/>
          <w:t xml:space="preserve">42</w:t>
        </w:r>
      </w:hyperlink>
    </w:p>
    <w:p>
      <w:pPr>
        <w:pStyle w:val="TOC1"/>
        <w:tabs>
          <w:tab w:val="right" w:pos="9071" w:leader="dot"/>
        </w:tabs>
        <w:spacing w:after="30" w:before="140" w:line="264" w:lineRule="auto"/>
      </w:pPr>
      <w:hyperlink w:history="1" w:anchor="sec_042">
        <w:r>
          <w:rPr>
            <w:b/>
            <w:bCs/>
            <w:color w:val="0E1F33"/>
            <w:sz w:val="22"/>
            <w:szCs w:val="22"/>
          </w:rPr>
          <w:t xml:space="preserve">7 Casos de teste</w:t>
        </w:r>
        <w:r>
          <w:rPr>
            <w:b/>
            <w:bCs/>
            <w:color w:val="0E1F33"/>
            <w:sz w:val="22"/>
            <w:szCs w:val="22"/>
          </w:rPr>
          <w:tab/>
          <w:t xml:space="preserve">43</w:t>
        </w:r>
      </w:hyperlink>
    </w:p>
    <w:p>
      <w:pPr>
        <w:pStyle w:val="TOC2"/>
        <w:tabs>
          <w:tab w:val="right" w:pos="9071" w:leader="dot"/>
        </w:tabs>
        <w:spacing w:after="30" w:before="0" w:line="264" w:lineRule="auto"/>
        <w:ind w:left="400"/>
      </w:pPr>
      <w:hyperlink w:history="1" w:anchor="sec_043">
        <w:r>
          <w:rPr>
            <w:b w:val="false"/>
            <w:bCs w:val="false"/>
            <w:color w:val="0E1F33"/>
            <w:sz w:val="21"/>
            <w:szCs w:val="21"/>
          </w:rPr>
          <w:t xml:space="preserve">7.1 Estratégia de teste</w:t>
        </w:r>
        <w:r>
          <w:rPr>
            <w:b w:val="false"/>
            <w:bCs w:val="false"/>
            <w:color w:val="0E1F33"/>
            <w:sz w:val="21"/>
            <w:szCs w:val="21"/>
          </w:rPr>
          <w:tab/>
          <w:t xml:space="preserve">43</w:t>
        </w:r>
      </w:hyperlink>
    </w:p>
    <w:p>
      <w:pPr>
        <w:pStyle w:val="TOC2"/>
        <w:tabs>
          <w:tab w:val="right" w:pos="9071" w:leader="dot"/>
        </w:tabs>
        <w:spacing w:after="30" w:before="0" w:line="264" w:lineRule="auto"/>
        <w:ind w:left="400"/>
      </w:pPr>
      <w:hyperlink w:history="1" w:anchor="sec_044">
        <w:r>
          <w:rPr>
            <w:b w:val="false"/>
            <w:bCs w:val="false"/>
            <w:color w:val="0E1F33"/>
            <w:sz w:val="21"/>
            <w:szCs w:val="21"/>
          </w:rPr>
          <w:t xml:space="preserve">7.2 Casos de teste</w:t>
        </w:r>
        <w:r>
          <w:rPr>
            <w:b w:val="false"/>
            <w:bCs w:val="false"/>
            <w:color w:val="0E1F33"/>
            <w:sz w:val="21"/>
            <w:szCs w:val="21"/>
          </w:rPr>
          <w:tab/>
          <w:t xml:space="preserve">44</w:t>
        </w:r>
      </w:hyperlink>
    </w:p>
    <w:p>
      <w:pPr>
        <w:pStyle w:val="TOC2"/>
        <w:tabs>
          <w:tab w:val="right" w:pos="9071" w:leader="dot"/>
        </w:tabs>
        <w:spacing w:after="30" w:before="0" w:line="264" w:lineRule="auto"/>
        <w:ind w:left="400"/>
      </w:pPr>
      <w:hyperlink w:history="1" w:anchor="sec_045">
        <w:r>
          <w:rPr>
            <w:b w:val="false"/>
            <w:bCs w:val="false"/>
            <w:color w:val="0E1F33"/>
            <w:sz w:val="21"/>
            <w:szCs w:val="21"/>
          </w:rPr>
          <w:t xml:space="preserve">7.3 Resultado da execução</w:t>
        </w:r>
        <w:r>
          <w:rPr>
            <w:b w:val="false"/>
            <w:bCs w:val="false"/>
            <w:color w:val="0E1F33"/>
            <w:sz w:val="21"/>
            <w:szCs w:val="21"/>
          </w:rPr>
          <w:tab/>
          <w:t xml:space="preserve">47</w:t>
        </w:r>
      </w:hyperlink>
    </w:p>
    <w:p>
      <w:pPr>
        <w:pStyle w:val="TOC2"/>
        <w:tabs>
          <w:tab w:val="right" w:pos="9071" w:leader="dot"/>
        </w:tabs>
        <w:spacing w:after="30" w:before="0" w:line="264" w:lineRule="auto"/>
        <w:ind w:left="400"/>
      </w:pPr>
      <w:hyperlink w:history="1" w:anchor="sec_046">
        <w:r>
          <w:rPr>
            <w:b w:val="false"/>
            <w:bCs w:val="false"/>
            <w:color w:val="0E1F33"/>
            <w:sz w:val="21"/>
            <w:szCs w:val="21"/>
          </w:rPr>
          <w:t xml:space="preserve">7.4 O teste do pico de renovação</w:t>
        </w:r>
        <w:r>
          <w:rPr>
            <w:b w:val="false"/>
            <w:bCs w:val="false"/>
            <w:color w:val="0E1F33"/>
            <w:sz w:val="21"/>
            <w:szCs w:val="21"/>
          </w:rPr>
          <w:tab/>
          <w:t xml:space="preserve">47</w:t>
        </w:r>
      </w:hyperlink>
    </w:p>
    <w:p>
      <w:pPr>
        <w:pStyle w:val="TOC1"/>
        <w:tabs>
          <w:tab w:val="right" w:pos="9071" w:leader="dot"/>
        </w:tabs>
        <w:spacing w:after="30" w:before="140" w:line="264" w:lineRule="auto"/>
      </w:pPr>
      <w:hyperlink w:history="1" w:anchor="sec_047">
        <w:r>
          <w:rPr>
            <w:b/>
            <w:bCs/>
            <w:color w:val="0E1F33"/>
            <w:sz w:val="22"/>
            <w:szCs w:val="22"/>
          </w:rPr>
          <w:t xml:space="preserve">8 Implementação</w:t>
        </w:r>
        <w:r>
          <w:rPr>
            <w:b/>
            <w:bCs/>
            <w:color w:val="0E1F33"/>
            <w:sz w:val="22"/>
            <w:szCs w:val="22"/>
          </w:rPr>
          <w:tab/>
          <w:t xml:space="preserve">48</w:t>
        </w:r>
      </w:hyperlink>
    </w:p>
    <w:p>
      <w:pPr>
        <w:pStyle w:val="TOC2"/>
        <w:tabs>
          <w:tab w:val="right" w:pos="9071" w:leader="dot"/>
        </w:tabs>
        <w:spacing w:after="30" w:before="0" w:line="264" w:lineRule="auto"/>
        <w:ind w:left="400"/>
      </w:pPr>
      <w:hyperlink w:history="1" w:anchor="sec_048">
        <w:r>
          <w:rPr>
            <w:b w:val="false"/>
            <w:bCs w:val="false"/>
            <w:color w:val="0E1F33"/>
            <w:sz w:val="21"/>
            <w:szCs w:val="21"/>
          </w:rPr>
          <w:t xml:space="preserve">8.1 Tecnologias e padrões</w:t>
        </w:r>
        <w:r>
          <w:rPr>
            <w:b w:val="false"/>
            <w:bCs w:val="false"/>
            <w:color w:val="0E1F33"/>
            <w:sz w:val="21"/>
            <w:szCs w:val="21"/>
          </w:rPr>
          <w:tab/>
          <w:t xml:space="preserve">48</w:t>
        </w:r>
      </w:hyperlink>
    </w:p>
    <w:p>
      <w:pPr>
        <w:pStyle w:val="TOC2"/>
        <w:tabs>
          <w:tab w:val="right" w:pos="9071" w:leader="dot"/>
        </w:tabs>
        <w:spacing w:after="30" w:before="0" w:line="264" w:lineRule="auto"/>
        <w:ind w:left="400"/>
      </w:pPr>
      <w:hyperlink w:history="1" w:anchor="sec_049">
        <w:r>
          <w:rPr>
            <w:b w:val="false"/>
            <w:bCs w:val="false"/>
            <w:color w:val="0E1F33"/>
            <w:sz w:val="21"/>
            <w:szCs w:val="21"/>
          </w:rPr>
          <w:t xml:space="preserve">8.2 Arquitetura</w:t>
        </w:r>
        <w:r>
          <w:rPr>
            <w:b w:val="false"/>
            <w:bCs w:val="false"/>
            <w:color w:val="0E1F33"/>
            <w:sz w:val="21"/>
            <w:szCs w:val="21"/>
          </w:rPr>
          <w:tab/>
          <w:t xml:space="preserve">48</w:t>
        </w:r>
      </w:hyperlink>
    </w:p>
    <w:p>
      <w:pPr>
        <w:pStyle w:val="TOC2"/>
        <w:tabs>
          <w:tab w:val="right" w:pos="9071" w:leader="dot"/>
        </w:tabs>
        <w:spacing w:after="30" w:before="0" w:line="264" w:lineRule="auto"/>
        <w:ind w:left="400"/>
      </w:pPr>
      <w:hyperlink w:history="1" w:anchor="sec_050">
        <w:r>
          <w:rPr>
            <w:b w:val="false"/>
            <w:bCs w:val="false"/>
            <w:color w:val="0E1F33"/>
            <w:sz w:val="21"/>
            <w:szCs w:val="21"/>
          </w:rPr>
          <w:t xml:space="preserve">8.3 Estrutura do repositório</w:t>
        </w:r>
        <w:r>
          <w:rPr>
            <w:b w:val="false"/>
            <w:bCs w:val="false"/>
            <w:color w:val="0E1F33"/>
            <w:sz w:val="21"/>
            <w:szCs w:val="21"/>
          </w:rPr>
          <w:tab/>
          <w:t xml:space="preserve">49</w:t>
        </w:r>
      </w:hyperlink>
    </w:p>
    <w:p>
      <w:pPr>
        <w:pStyle w:val="TOC2"/>
        <w:tabs>
          <w:tab w:val="right" w:pos="9071" w:leader="dot"/>
        </w:tabs>
        <w:spacing w:after="30" w:before="0" w:line="264" w:lineRule="auto"/>
        <w:ind w:left="400"/>
      </w:pPr>
      <w:hyperlink w:history="1" w:anchor="sec_051">
        <w:r>
          <w:rPr>
            <w:b w:val="false"/>
            <w:bCs w:val="false"/>
            <w:color w:val="0E1F33"/>
            <w:sz w:val="21"/>
            <w:szCs w:val="21"/>
          </w:rPr>
          <w:t xml:space="preserve">8.4 Trechos que implementam as regras críticas</w:t>
        </w:r>
        <w:r>
          <w:rPr>
            <w:b w:val="false"/>
            <w:bCs w:val="false"/>
            <w:color w:val="0E1F33"/>
            <w:sz w:val="21"/>
            <w:szCs w:val="21"/>
          </w:rPr>
          <w:tab/>
          <w:t xml:space="preserve">49</w:t>
        </w:r>
      </w:hyperlink>
    </w:p>
    <w:p>
      <w:pPr>
        <w:pStyle w:val="TOC2"/>
        <w:tabs>
          <w:tab w:val="right" w:pos="9071" w:leader="dot"/>
        </w:tabs>
        <w:spacing w:after="30" w:before="0" w:line="264" w:lineRule="auto"/>
        <w:ind w:left="400"/>
      </w:pPr>
      <w:hyperlink w:history="1" w:anchor="sec_055">
        <w:r>
          <w:rPr>
            <w:b w:val="false"/>
            <w:bCs w:val="false"/>
            <w:color w:val="0E1F33"/>
            <w:sz w:val="21"/>
            <w:szCs w:val="21"/>
          </w:rPr>
          <w:t xml:space="preserve">8.5 Design da interface</w:t>
        </w:r>
        <w:r>
          <w:rPr>
            <w:b w:val="false"/>
            <w:bCs w:val="false"/>
            <w:color w:val="0E1F33"/>
            <w:sz w:val="21"/>
            <w:szCs w:val="21"/>
          </w:rPr>
          <w:tab/>
          <w:t xml:space="preserve">51</w:t>
        </w:r>
      </w:hyperlink>
    </w:p>
    <w:p>
      <w:pPr>
        <w:pStyle w:val="TOC2"/>
        <w:tabs>
          <w:tab w:val="right" w:pos="9071" w:leader="dot"/>
        </w:tabs>
        <w:spacing w:after="30" w:before="0" w:line="264" w:lineRule="auto"/>
        <w:ind w:left="400"/>
      </w:pPr>
      <w:hyperlink w:history="1" w:anchor="sec_056">
        <w:r>
          <w:rPr>
            <w:b w:val="false"/>
            <w:bCs w:val="false"/>
            <w:color w:val="0E1F33"/>
            <w:sz w:val="21"/>
            <w:szCs w:val="21"/>
          </w:rPr>
          <w:t xml:space="preserve">8.6 Como executar</w:t>
        </w:r>
        <w:r>
          <w:rPr>
            <w:b w:val="false"/>
            <w:bCs w:val="false"/>
            <w:color w:val="0E1F33"/>
            <w:sz w:val="21"/>
            <w:szCs w:val="21"/>
          </w:rPr>
          <w:tab/>
          <w:t xml:space="preserve">59</w:t>
        </w:r>
      </w:hyperlink>
    </w:p>
    <w:p>
      <w:pPr>
        <w:pStyle w:val="TOC2"/>
        <w:tabs>
          <w:tab w:val="right" w:pos="9071" w:leader="dot"/>
        </w:tabs>
        <w:spacing w:after="30" w:before="0" w:line="264" w:lineRule="auto"/>
        <w:ind w:left="400"/>
      </w:pPr>
      <w:hyperlink w:history="1" w:anchor="sec_057">
        <w:r>
          <w:rPr>
            <w:b w:val="false"/>
            <w:bCs w:val="false"/>
            <w:color w:val="0E1F33"/>
            <w:sz w:val="21"/>
            <w:szCs w:val="21"/>
          </w:rPr>
          <w:t xml:space="preserve">8.7 Situação da verificação e próximos passos</w:t>
        </w:r>
        <w:r>
          <w:rPr>
            <w:b w:val="false"/>
            <w:bCs w:val="false"/>
            <w:color w:val="0E1F33"/>
            <w:sz w:val="21"/>
            <w:szCs w:val="21"/>
          </w:rPr>
          <w:tab/>
          <w:t xml:space="preserve">59</w:t>
        </w:r>
      </w:hyperlink>
    </w:p>
    <w:p>
      <w:pPr>
        <w:pStyle w:val="TOC1"/>
        <w:tabs>
          <w:tab w:val="right" w:pos="9071" w:leader="dot"/>
        </w:tabs>
        <w:spacing w:after="30" w:before="140" w:line="264" w:lineRule="auto"/>
      </w:pPr>
      <w:hyperlink w:history="1" w:anchor="sec_058">
        <w:r>
          <w:rPr>
            <w:b/>
            <w:bCs/>
            <w:color w:val="0E1F33"/>
            <w:sz w:val="22"/>
            <w:szCs w:val="22"/>
          </w:rPr>
          <w:t xml:space="preserve">9 Matriz de rastreabilidade</w:t>
        </w:r>
        <w:r>
          <w:rPr>
            <w:b/>
            <w:bCs/>
            <w:color w:val="0E1F33"/>
            <w:sz w:val="22"/>
            <w:szCs w:val="22"/>
          </w:rPr>
          <w:tab/>
          <w:t xml:space="preserve">60</w:t>
        </w:r>
      </w:hyperlink>
    </w:p>
    <w:p>
      <w:pPr>
        <w:pStyle w:val="TOC1"/>
        <w:tabs>
          <w:tab w:val="right" w:pos="9071" w:leader="dot"/>
        </w:tabs>
        <w:spacing w:after="30" w:before="140" w:line="264" w:lineRule="auto"/>
      </w:pPr>
      <w:hyperlink w:history="1" w:anchor="sec_059">
        <w:r>
          <w:rPr>
            <w:b/>
            <w:bCs/>
            <w:color w:val="0E1F33"/>
            <w:sz w:val="22"/>
            <w:szCs w:val="22"/>
          </w:rPr>
          <w:t xml:space="preserve">Referências</w:t>
        </w:r>
        <w:r>
          <w:rPr>
            <w:b/>
            <w:bCs/>
            <w:color w:val="0E1F33"/>
            <w:sz w:val="22"/>
            <w:szCs w:val="22"/>
          </w:rPr>
          <w:tab/>
          <w:t xml:space="preserve">63</w:t>
        </w:r>
      </w:hyperlink>
      <w:r>
        <w:fldChar w:fldCharType="end"/>
      </w:r>
    </w:p>
    <w:p>
      <w:pPr>
        <w:sectPr>
          <w:headerReference w:type="default" r:id="rId11"/>
          <w:footerReference w:type="default" r:id="rId12"/>
          <w:type w:val="nextPage"/>
          <w:pgSz w:w="11906" w:h="16838" w:orient="portrait"/>
          <w:pgMar w:top="1701" w:right="1134" w:bottom="1134" w:left="1701" w:header="851" w:footer="567" w:gutter="0"/>
          <w:pgNumType/>
          <w:docGrid w:linePitch="360"/>
        </w:sectPr>
      </w:pPr>
    </w:p>
    <w:p>
      <w:pPr>
        <w:pStyle w:val="Heading1"/>
        <w:keepNext/>
      </w:pPr>
      <w:bookmarkStart w:name="sec_001" w:id="1"/>
      <w:r>
        <w:t xml:space="preserve">1 Introdução</w:t>
      </w:r>
      <w:bookmarkEnd w:id="1"/>
    </w:p>
    <w:p>
      <w:pPr>
        <w:pStyle w:val="Heading2"/>
        <w:keepNext/>
      </w:pPr>
      <w:bookmarkStart w:name="sec_002" w:id="2"/>
      <w:r>
        <w:t xml:space="preserve">1.1 Propósito</w:t>
      </w:r>
      <w:bookmarkEnd w:id="2"/>
    </w:p>
    <w:p>
      <w:pPr>
        <w:spacing w:after="120" w:before="0" w:line="360" w:lineRule="auto"/>
        <w:ind w:firstLine="709"/>
        <w:jc w:val="both"/>
      </w:pPr>
      <w:r>
        <w:t xml:space="preserve">Este documento especifica os requisitos de software do </w:t>
      </w:r>
      <w:r>
        <w:rPr>
          <w:b/>
          <w:bCs/>
        </w:rPr>
        <w:t xml:space="preserve">MedFlow Solutions, versão 2.0</w:t>
      </w:r>
      <w:r>
        <w:t xml:space="preserve">, seguindo a estrutura e as características de qualidade de requisitos da norma ISO/IEC/IEEE 29148:2018, que substituiu a IEEE 830. Ele revisa a especificação funcional entregue no PIM III, resolve as divergências encontradas entre o documento e o código do repositório do grupo e serve de base única para os casos de uso, os diagramas de sequência, os casos de teste e a nova implementação.</w:t>
      </w:r>
    </w:p>
    <w:p>
      <w:pPr>
        <w:spacing w:after="120" w:before="0" w:line="360" w:lineRule="auto"/>
        <w:ind w:firstLine="709"/>
        <w:jc w:val="both"/>
      </w:pPr>
      <w:r>
        <w:t xml:space="preserve">O público do documento é a equipe de desenvolvimento e de testes, os professores avaliadores do PIM e o farmacêutico responsável técnico (RT), que valida as regras sanitárias. Os requisitos estão escritos para serem verificados: cada um tem identificador, critério de aceitação e forma de verificação.</w:t>
      </w:r>
    </w:p>
    <w:p>
      <w:pPr>
        <w:pStyle w:val="Heading2"/>
        <w:keepNext/>
      </w:pPr>
      <w:bookmarkStart w:name="sec_003" w:id="3"/>
      <w:r>
        <w:t xml:space="preserve">1.2 Escopo do produto</w:t>
      </w:r>
      <w:bookmarkEnd w:id="3"/>
    </w:p>
    <w:p>
      <w:pPr>
        <w:spacing w:after="120" w:before="0" w:line="360" w:lineRule="auto"/>
        <w:ind w:firstLine="709"/>
        <w:jc w:val="both"/>
      </w:pPr>
      <w:r>
        <w:t xml:space="preserve">O MedFlow Solutions é uma plataforma web para farmácias que atendem pacientes de uso contínuo. O paciente envia a receita e monta a sua </w:t>
      </w:r>
      <w:r>
        <w:rPr>
          <w:b/>
          <w:bCs/>
        </w:rPr>
        <w:t xml:space="preserve">Box</w:t>
      </w:r>
      <w:r>
        <w:t xml:space="preserve"> mensal, um kit com sachês separados por horário; o farmacêutico analisa a receita; a equipe separa e etiqueta os sachês com lote e validade; e o entregador leva a Box até a casa do paciente. O sistema controla o estoque por lote, reserva os medicamentos no momento da confirmação do pedido e mostra ao paciente o status real de cada etapa.</w:t>
      </w:r>
    </w:p>
    <w:p>
      <w:pPr>
        <w:keepNext/>
        <w:spacing w:after="120" w:before="0" w:line="360" w:lineRule="auto"/>
        <w:ind w:firstLine="709"/>
        <w:jc w:val="both"/>
      </w:pPr>
      <w:r>
        <w:t xml:space="preserve">Os objetivos do produto, que orientam todos os requisitos, são:</w:t>
      </w:r>
    </w:p>
    <w:p>
      <w:pPr>
        <w:pStyle w:val="ListParagraph"/>
        <w:numPr>
          <w:ilvl w:val="0"/>
          <w:numId w:val="2"/>
        </w:numPr>
        <w:spacing w:after="80" w:line="320" w:lineRule="auto"/>
        <w:jc w:val="left"/>
      </w:pPr>
      <w:r>
        <w:rPr>
          <w:b/>
          <w:bCs/>
        </w:rPr>
        <w:t xml:space="preserve">Adesão ao tratamento:</w:t>
      </w:r>
      <w:r>
        <w:t xml:space="preserve"> a dose certa, no horário certo, sem interrupção por falta de medicamento.</w:t>
      </w:r>
    </w:p>
    <w:p>
      <w:pPr>
        <w:pStyle w:val="ListParagraph"/>
        <w:numPr>
          <w:ilvl w:val="0"/>
          <w:numId w:val="2"/>
        </w:numPr>
        <w:spacing w:after="80" w:line="320" w:lineRule="auto"/>
        <w:jc w:val="left"/>
      </w:pPr>
      <w:r>
        <w:rPr>
          <w:b/>
          <w:bCs/>
        </w:rPr>
        <w:t xml:space="preserve">Segurança do paciente:</w:t>
      </w:r>
      <w:r>
        <w:t xml:space="preserve"> nenhuma separação sem análise humana da receita e nenhum lote vencido, ou que vença durante o ciclo, dentro da Box.</w:t>
      </w:r>
    </w:p>
    <w:p>
      <w:pPr>
        <w:pStyle w:val="ListParagraph"/>
        <w:numPr>
          <w:ilvl w:val="0"/>
          <w:numId w:val="2"/>
        </w:numPr>
        <w:spacing w:after="80" w:line="320" w:lineRule="auto"/>
        <w:jc w:val="left"/>
      </w:pPr>
      <w:r>
        <w:rPr>
          <w:b/>
          <w:bCs/>
        </w:rPr>
        <w:t xml:space="preserve">Menos perda por validade:</w:t>
      </w:r>
      <w:r>
        <w:t xml:space="preserve"> consumo por FEFO e alertas de lote a vencer e de estoque abaixo do mínimo.</w:t>
      </w:r>
    </w:p>
    <w:p>
      <w:pPr>
        <w:pStyle w:val="ListParagraph"/>
        <w:numPr>
          <w:ilvl w:val="0"/>
          <w:numId w:val="2"/>
        </w:numPr>
        <w:spacing w:after="80" w:line="320" w:lineRule="auto"/>
        <w:jc w:val="left"/>
      </w:pPr>
      <w:r>
        <w:rPr>
          <w:b/>
          <w:bCs/>
        </w:rPr>
        <w:t xml:space="preserve">Rastreabilidade:</w:t>
      </w:r>
      <w:r>
        <w:t xml:space="preserve"> de cada sachê ao lote de origem e de cada mudança de status ao seu autor.</w:t>
      </w:r>
    </w:p>
    <w:p>
      <w:pPr>
        <w:pStyle w:val="ListParagraph"/>
        <w:numPr>
          <w:ilvl w:val="0"/>
          <w:numId w:val="2"/>
        </w:numPr>
        <w:spacing w:after="80" w:line="320" w:lineRule="auto"/>
        <w:jc w:val="left"/>
      </w:pPr>
      <w:r>
        <w:rPr>
          <w:b/>
          <w:bCs/>
        </w:rPr>
        <w:t xml:space="preserve">Privacidade:</w:t>
      </w:r>
      <w:r>
        <w:t xml:space="preserve"> dados de saúde tratados conforme a LGPD, com os direitos do titular exercidos pelo próprio paciente.</w:t>
      </w:r>
    </w:p>
    <w:p>
      <w:pPr>
        <w:spacing w:after="120" w:before="80" w:line="360" w:lineRule="auto"/>
        <w:ind w:firstLine="709"/>
        <w:jc w:val="both"/>
      </w:pPr>
      <w:r>
        <w:t xml:space="preserve">O que o sistema não faz nesta versão está na seção 3.6.</w:t>
      </w:r>
    </w:p>
    <w:p>
      <w:pPr>
        <w:pStyle w:val="Heading2"/>
        <w:keepNext/>
      </w:pPr>
      <w:bookmarkStart w:name="sec_004" w:id="4"/>
      <w:r>
        <w:t xml:space="preserve">1.3 Definições, siglas e abreviações</w:t>
      </w:r>
      <w:bookmarkEnd w:id="4"/>
    </w:p>
    <w:p>
      <w:pPr>
        <w:keepNext/>
        <w:spacing w:after="100" w:before="200" w:line="276" w:lineRule="auto"/>
        <w:jc w:val="center"/>
      </w:pPr>
      <w:r>
        <w:rPr>
          <w:b/>
          <w:bCs/>
          <w:color w:val="0E1F33"/>
          <w:sz w:val="20"/>
          <w:szCs w:val="20"/>
        </w:rPr>
        <w:t xml:space="preserve">Quadro 1 — Termos do domínio e siglas</w:t>
      </w:r>
    </w:p>
    <w:tbl>
      <w:tblPr>
        <w:tblW w:type="dxa" w:w="9071"/>
        <w:tblBorders>
          <w:top w:val="single" w:color="C9D3DA" w:sz="4"/>
          <w:left w:val="single" w:color="C9D3DA" w:sz="4"/>
          <w:bottom w:val="single" w:color="C9D3DA" w:sz="4"/>
          <w:right w:val="single" w:color="C9D3DA" w:sz="4"/>
          <w:insideH w:val="single" w:color="C9D3DA" w:sz="4"/>
          <w:insideV w:val="single" w:color="C9D3DA" w:sz="4"/>
        </w:tblBorders>
        <w:tblLayout w:type="fixed"/>
      </w:tblPr>
      <w:tblGrid>
        <w:gridCol w:w="2300"/>
        <w:gridCol w:w="6771"/>
      </w:tblGrid>
      <w:tr>
        <w:trPr>
          <w:cantSplit/>
          <w:tblHeader/>
        </w:trPr>
        <w:tc>
          <w:tcPr>
            <w:tcW w:type="dxa" w:w="23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Termo</w:t>
            </w:r>
          </w:p>
        </w:tc>
        <w:tc>
          <w:tcPr>
            <w:tcW w:type="dxa" w:w="6771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Definição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Box</w:t>
            </w:r>
          </w:p>
        </w:tc>
        <w:tc>
          <w:tcPr>
            <w:tcW w:type="dxa" w:w="67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Kit mensal do paciente: sachês separados por horário, cada um com a dose daquele momento do dia.</w:t>
            </w:r>
          </w:p>
        </w:tc>
      </w:tr>
      <w:tr>
        <w:trPr>
          <w:cantSplit/>
        </w:trPr>
        <w:tc>
          <w:tcPr>
            <w:tcW w:type="dxa" w:w="2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Sachê</w:t>
            </w:r>
          </w:p>
        </w:tc>
        <w:tc>
          <w:tcPr>
            <w:tcW w:type="dxa" w:w="67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Embalagem individual com os medicamentos de um horário; recebe etiqueta com lote e validade.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Ciclo</w:t>
            </w:r>
          </w:p>
        </w:tc>
        <w:tc>
          <w:tcPr>
            <w:tcW w:type="dxa" w:w="67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Período coberto por uma Box: 30 dias.</w:t>
            </w:r>
          </w:p>
        </w:tc>
      </w:tr>
      <w:tr>
        <w:trPr>
          <w:cantSplit/>
        </w:trPr>
        <w:tc>
          <w:tcPr>
            <w:tcW w:type="dxa" w:w="2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Reserva (empenho)</w:t>
            </w:r>
          </w:p>
        </w:tc>
        <w:tc>
          <w:tcPr>
            <w:tcW w:type="dxa" w:w="67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Quantidade de um lote comprometida com um pedido confirmado e ainda não separado.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Disponível</w:t>
            </w:r>
          </w:p>
        </w:tc>
        <w:tc>
          <w:tcPr>
            <w:tcW w:type="dxa" w:w="67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Saldo que pode ser reservado: quantidade física − quantidade reservada, somando apenas lotes válidos até o fim do ciclo.</w:t>
            </w:r>
          </w:p>
        </w:tc>
      </w:tr>
      <w:tr>
        <w:trPr>
          <w:cantSplit/>
        </w:trPr>
        <w:tc>
          <w:tcPr>
            <w:tcW w:type="dxa" w:w="2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Baixa</w:t>
            </w:r>
          </w:p>
        </w:tc>
        <w:tc>
          <w:tcPr>
            <w:tcW w:type="dxa" w:w="67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Saída definitiva do estoque, feita quando a Box é finalizada (separação física concluída).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FEFO</w:t>
            </w:r>
          </w:p>
        </w:tc>
        <w:tc>
          <w:tcPr>
            <w:tcW w:type="dxa" w:w="67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First Expired, First Out: sai primeiro o lote que vence primeiro.</w:t>
            </w:r>
          </w:p>
        </w:tc>
      </w:tr>
      <w:tr>
        <w:trPr>
          <w:cantSplit/>
        </w:trPr>
        <w:tc>
          <w:tcPr>
            <w:tcW w:type="dxa" w:w="2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RT</w:t>
            </w:r>
          </w:p>
        </w:tc>
        <w:tc>
          <w:tcPr>
            <w:tcW w:type="dxa" w:w="67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Responsável técnico: farmacêutico que responde pela farmácia perante a vigilância sanitária.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Controle especial</w:t>
            </w:r>
          </w:p>
        </w:tc>
        <w:tc>
          <w:tcPr>
            <w:tcW w:type="dxa" w:w="67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Substâncias e medicamentos da Portaria SVS/MS nº 344/1998 (ex.: psicotrópicos de tarja preta).</w:t>
            </w:r>
          </w:p>
        </w:tc>
      </w:tr>
      <w:tr>
        <w:trPr>
          <w:cantSplit/>
        </w:trPr>
        <w:tc>
          <w:tcPr>
            <w:tcW w:type="dxa" w:w="2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JWT</w:t>
            </w:r>
          </w:p>
        </w:tc>
        <w:tc>
          <w:tcPr>
            <w:tcW w:type="dxa" w:w="67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JSON Web Token (RFC 7519): credencial assinada que identifica o usuário e o perfil a cada requisição.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PBKDF2</w:t>
            </w:r>
          </w:p>
        </w:tc>
        <w:tc>
          <w:tcPr>
            <w:tcW w:type="dxa" w:w="67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Função de derivação de chave usada para gerar o hash das senhas com salt e muitas iterações.</w:t>
            </w:r>
          </w:p>
        </w:tc>
      </w:tr>
      <w:tr>
        <w:trPr>
          <w:cantSplit/>
        </w:trPr>
        <w:tc>
          <w:tcPr>
            <w:tcW w:type="dxa" w:w="2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ProblemDetails</w:t>
            </w:r>
          </w:p>
        </w:tc>
        <w:tc>
          <w:tcPr>
            <w:tcW w:type="dxa" w:w="67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Formato padrão de erro HTTP em JSON (RFC 7807): status, título e detalhe.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LGPD</w:t>
            </w:r>
          </w:p>
        </w:tc>
        <w:tc>
          <w:tcPr>
            <w:tcW w:type="dxa" w:w="67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Lei Geral de Proteção de Dados Pessoais (Lei nº 13.709/2018).</w:t>
            </w:r>
          </w:p>
        </w:tc>
      </w:tr>
      <w:tr>
        <w:trPr>
          <w:cantSplit/>
        </w:trPr>
        <w:tc>
          <w:tcPr>
            <w:tcW w:type="dxa" w:w="2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SRS</w:t>
            </w:r>
          </w:p>
        </w:tc>
        <w:tc>
          <w:tcPr>
            <w:tcW w:type="dxa" w:w="67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Software Requirements Specification — especificação de requisitos de software.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RF, RN, RNF</w:t>
            </w:r>
          </w:p>
        </w:tc>
        <w:tc>
          <w:tcPr>
            <w:tcW w:type="dxa" w:w="67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Requisito funcional, regra de negócio, requisito não funcional.</w:t>
            </w:r>
          </w:p>
        </w:tc>
      </w:tr>
      <w:tr>
        <w:trPr>
          <w:cantSplit/>
        </w:trPr>
        <w:tc>
          <w:tcPr>
            <w:tcW w:type="dxa" w:w="2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UC, CT</w:t>
            </w:r>
          </w:p>
        </w:tc>
        <w:tc>
          <w:tcPr>
            <w:tcW w:type="dxa" w:w="67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Caso de uso, caso de teste.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P90</w:t>
            </w:r>
          </w:p>
        </w:tc>
        <w:tc>
          <w:tcPr>
            <w:tcW w:type="dxa" w:w="67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Percentil 90: 90% dos pedidos levaram até esse tempo.</w:t>
            </w:r>
          </w:p>
        </w:tc>
      </w:tr>
    </w:tbl>
    <w:p>
      <w:pPr>
        <w:spacing w:after="240" w:before="80" w:line="240" w:lineRule="auto"/>
        <w:jc w:val="center"/>
      </w:pPr>
      <w:r>
        <w:rPr>
          <w:color w:val="455867"/>
          <w:sz w:val="18"/>
          <w:szCs w:val="18"/>
        </w:rPr>
        <w:t xml:space="preserve">Fonte: elaborado pelo grupo (2026).</w:t>
      </w:r>
    </w:p>
    <w:p>
      <w:pPr>
        <w:pStyle w:val="Heading2"/>
        <w:keepNext/>
      </w:pPr>
      <w:bookmarkStart w:name="sec_005" w:id="5"/>
      <w:r>
        <w:t xml:space="preserve">1.4 Referências</w:t>
      </w:r>
      <w:bookmarkEnd w:id="5"/>
    </w:p>
    <w:p>
      <w:pPr>
        <w:spacing w:after="120" w:before="0" w:line="360" w:lineRule="auto"/>
        <w:ind w:firstLine="709"/>
        <w:jc w:val="both"/>
      </w:pPr>
      <w:r>
        <w:t xml:space="preserve">As normas, leis e materiais usados estão listados ao final do documento. As principais são a ISO/IEC/IEEE 29148:2018 (estrutura e qualidade dos requisitos), a Lei nº 13.709/2018 (LGPD), a Portaria SVS/MS nº 344/1998 (medicamentos sujeitos a controle especial) e a RDC ANVISA nº 80/2006 (fracionamento de medicamentos), cuja vigência e eventuais atualizações devem ser confirmadas com o farmacêutico RT antes da operação real.</w:t>
      </w:r>
    </w:p>
    <w:p>
      <w:pPr>
        <w:pStyle w:val="Heading2"/>
        <w:keepNext/>
      </w:pPr>
      <w:bookmarkStart w:name="sec_006" w:id="6"/>
      <w:r>
        <w:t xml:space="preserve">1.5 Organização do documento</w:t>
      </w:r>
      <w:bookmarkEnd w:id="6"/>
    </w:p>
    <w:p>
      <w:pPr>
        <w:spacing w:after="120" w:before="0" w:line="360" w:lineRule="auto"/>
        <w:ind w:firstLine="709"/>
        <w:jc w:val="both"/>
      </w:pPr>
      <w:r>
        <w:t xml:space="preserve">O documento segue as etapas pedidas na atividade. A revisão da especificação original (Prompt 01) vem primeiro, porque as decisões tomadas nela mudam os requisitos. O Quadro 2 mostra onde cada etapa está respondida.</w:t>
      </w:r>
    </w:p>
    <w:p>
      <w:pPr>
        <w:keepNext/>
        <w:spacing w:after="100" w:before="200" w:line="276" w:lineRule="auto"/>
        <w:jc w:val="center"/>
      </w:pPr>
      <w:r>
        <w:rPr>
          <w:b/>
          <w:bCs/>
          <w:color w:val="0E1F33"/>
          <w:sz w:val="20"/>
          <w:szCs w:val="20"/>
        </w:rPr>
        <w:t xml:space="preserve">Quadro 2 — Etapas da atividade e onde estão neste documento</w:t>
      </w:r>
    </w:p>
    <w:tbl>
      <w:tblPr>
        <w:tblW w:type="dxa" w:w="9071"/>
        <w:tblBorders>
          <w:top w:val="single" w:color="C9D3DA" w:sz="4"/>
          <w:left w:val="single" w:color="C9D3DA" w:sz="4"/>
          <w:bottom w:val="single" w:color="C9D3DA" w:sz="4"/>
          <w:right w:val="single" w:color="C9D3DA" w:sz="4"/>
          <w:insideH w:val="single" w:color="C9D3DA" w:sz="4"/>
          <w:insideV w:val="single" w:color="C9D3DA" w:sz="4"/>
        </w:tblBorders>
        <w:tblLayout w:type="fixed"/>
      </w:tblPr>
      <w:tblGrid>
        <w:gridCol w:w="3200"/>
        <w:gridCol w:w="1400"/>
        <w:gridCol w:w="4471"/>
      </w:tblGrid>
      <w:tr>
        <w:trPr>
          <w:cantSplit/>
          <w:tblHeader/>
        </w:trPr>
        <w:tc>
          <w:tcPr>
            <w:tcW w:type="dxa" w:w="32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Etapa da atividade</w:t>
            </w:r>
          </w:p>
        </w:tc>
        <w:tc>
          <w:tcPr>
            <w:tcW w:type="dxa" w:w="14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Capítulo</w:t>
            </w:r>
          </w:p>
        </w:tc>
        <w:tc>
          <w:tcPr>
            <w:tcW w:type="dxa" w:w="4471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O que foi entregue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Prompt 01 — Revisar a especificação funcional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4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Resumo do objetivo, escopo, atores, fronteiras e funcionalidades; avaliação por critério; 17 problemas; 8 decisões</w:t>
            </w:r>
          </w:p>
        </w:tc>
      </w:tr>
      <w:tr>
        <w:trPr>
          <w:cantSplit/>
        </w:trPr>
        <w:tc>
          <w:tcPr>
            <w:tcW w:type="dxa" w:w="32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 — Especificação de requisitos (norma IEEE)</w:t>
            </w:r>
          </w:p>
        </w:tc>
        <w:tc>
          <w:tcPr>
            <w:tcW w:type="dxa" w:w="14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1, 3 e 4</w:t>
            </w:r>
          </w:p>
        </w:tc>
        <w:tc>
          <w:tcPr>
            <w:tcW w:type="dxa" w:w="44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20 requisitos funcionais, 17 regras de negócio, 13 requisitos não funcionais, dados e LGPD, interface da API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2 — Casos de uso e diagrama de sequência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5 e 6</w:t>
            </w:r>
          </w:p>
        </w:tc>
        <w:tc>
          <w:tcPr>
            <w:tcW w:type="dxa" w:w="44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Diagrama de casos de uso, 15 casos de uso detalhados e 7 diagramas de sequência</w:t>
            </w:r>
          </w:p>
        </w:tc>
      </w:tr>
      <w:tr>
        <w:trPr>
          <w:cantSplit/>
        </w:trPr>
        <w:tc>
          <w:tcPr>
            <w:tcW w:type="dxa" w:w="32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3 — Casos de teste</w:t>
            </w:r>
          </w:p>
        </w:tc>
        <w:tc>
          <w:tcPr>
            <w:tcW w:type="dxa" w:w="14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44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Estratégia, 41 casos de teste e resultado da execução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4 — Implementação com design moderno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44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Código refeito no repositório de teste (ASP.NET Core 8 + Vue 3) e protótipo navegável</w:t>
            </w:r>
          </w:p>
        </w:tc>
      </w:tr>
      <w:tr>
        <w:trPr>
          <w:cantSplit/>
        </w:trPr>
        <w:tc>
          <w:tcPr>
            <w:tcW w:type="dxa" w:w="32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Rastreabilidade (ISO/IEC/IEEE 29148)</w:t>
            </w:r>
          </w:p>
        </w:tc>
        <w:tc>
          <w:tcPr>
            <w:tcW w:type="dxa" w:w="14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44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Matriz requisito → caso de uso → regra → teste → código → tela</w:t>
            </w:r>
          </w:p>
        </w:tc>
      </w:tr>
    </w:tbl>
    <w:p>
      <w:pPr>
        <w:spacing w:after="240" w:before="80" w:line="240" w:lineRule="auto"/>
        <w:jc w:val="center"/>
      </w:pPr>
      <w:r>
        <w:rPr>
          <w:color w:val="455867"/>
          <w:sz w:val="18"/>
          <w:szCs w:val="18"/>
        </w:rPr>
        <w:t xml:space="preserve">Fonte: elaborado pelo grupo (2026).</w:t>
      </w:r>
    </w:p>
    <w:p>
      <w:pPr>
        <w:pStyle w:val="Heading1"/>
        <w:keepNext/>
        <w:pageBreakBefore/>
      </w:pPr>
      <w:bookmarkStart w:name="sec_007" w:id="7"/>
      <w:r>
        <w:t xml:space="preserve">2 Revisão da especificação funcional original</w:t>
      </w:r>
      <w:bookmarkEnd w:id="7"/>
    </w:p>
    <w:p>
      <w:pPr>
        <w:spacing w:after="120" w:before="0" w:line="360" w:lineRule="auto"/>
        <w:ind w:firstLine="709"/>
        <w:jc w:val="both"/>
      </w:pPr>
      <w:r>
        <w:t xml:space="preserve">A especificação funcional do PIM III e o código do repositório do grupo (github.com/MatheusRenat0/pim-medication-management) foram revisados juntos, como pede o Prompt 01: primeiro o resumo do que está especificado; depois a avaliação por critério de qualidade; por fim, a lista de ambiguidades, duplicidades, conflitos e lacunas. Quando o documento e o código discordam, os dois lados são citados. O repositório original não foi alterado: a versão 2 foi construída num repositório de teste separado.</w:t>
      </w:r>
    </w:p>
    <w:p>
      <w:pPr>
        <w:pStyle w:val="Heading2"/>
        <w:keepNext/>
      </w:pPr>
      <w:bookmarkStart w:name="sec_008" w:id="8"/>
      <w:r>
        <w:t xml:space="preserve">2.1 Resumo da especificação original</w:t>
      </w:r>
      <w:bookmarkEnd w:id="8"/>
    </w:p>
    <w:p>
      <w:pPr>
        <w:keepNext/>
        <w:spacing w:after="100" w:before="200" w:line="276" w:lineRule="auto"/>
        <w:jc w:val="center"/>
      </w:pPr>
      <w:r>
        <w:rPr>
          <w:b/>
          <w:bCs/>
          <w:color w:val="0E1F33"/>
          <w:sz w:val="20"/>
          <w:szCs w:val="20"/>
        </w:rPr>
        <w:t xml:space="preserve">Quadro 3 — Resumo da especificação funcional do PIM III</w:t>
      </w:r>
    </w:p>
    <w:tbl>
      <w:tblPr>
        <w:tblW w:type="dxa" w:w="9071"/>
        <w:tblBorders>
          <w:top w:val="single" w:color="C9D3DA" w:sz="4"/>
          <w:left w:val="single" w:color="C9D3DA" w:sz="4"/>
          <w:bottom w:val="single" w:color="C9D3DA" w:sz="4"/>
          <w:right w:val="single" w:color="C9D3DA" w:sz="4"/>
          <w:insideH w:val="single" w:color="C9D3DA" w:sz="4"/>
          <w:insideV w:val="single" w:color="C9D3DA" w:sz="4"/>
        </w:tblBorders>
        <w:tblLayout w:type="fixed"/>
      </w:tblPr>
      <w:tblGrid>
        <w:gridCol w:w="1900"/>
        <w:gridCol w:w="7171"/>
      </w:tblGrid>
      <w:tr>
        <w:trPr>
          <w:cantSplit/>
          <w:tblHeader/>
        </w:trPr>
        <w:tc>
          <w:tcPr>
            <w:tcW w:type="dxa" w:w="19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Aspecto</w:t>
            </w:r>
          </w:p>
        </w:tc>
        <w:tc>
          <w:tcPr>
            <w:tcW w:type="dxa" w:w="7171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O que a especificação original define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Objetivo</w:t>
            </w:r>
          </w:p>
        </w:tc>
        <w:tc>
          <w:tcPr>
            <w:tcW w:type="dxa" w:w="71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Apoiar pacientes de uso contínuo com a entrega mensal de medicamentos fracionados em sachês por horário, reduzindo esquecimentos e interrupções do tratamento, e dar à farmácia controle de estoque e de validade.</w:t>
            </w:r>
          </w:p>
        </w:tc>
      </w:tr>
      <w:tr>
        <w:trPr>
          <w:cantSplit/>
        </w:trPr>
        <w:tc>
          <w:tcPr>
            <w:tcW w:type="dxa" w:w="19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Escopo</w:t>
            </w:r>
          </w:p>
        </w:tc>
        <w:tc>
          <w:tcPr>
            <w:tcW w:type="dxa" w:w="71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Aplicação web com front-end em Vue.js, API em ASP.NET Core e banco MySQL: cadastro, envio de receita, montagem da Box, análise pelo administrador, separação e baixa de estoque, entrega e painel gerencial, com uma seção dedicada a segurança e LGPD (§12).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Atores</w:t>
            </w:r>
          </w:p>
        </w:tc>
        <w:tc>
          <w:tcPr>
            <w:tcW w:type="dxa" w:w="71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Paciente, Administrador e Entregador nos fluxos (§8.1 a §8.3). "Funcionários" aparecem na seção de segurança (§12.1), e o código tem um quarto perfil, Funcionario, que o documento não descreve.</w:t>
            </w:r>
          </w:p>
        </w:tc>
      </w:tr>
      <w:tr>
        <w:trPr>
          <w:cantSplit/>
        </w:trPr>
        <w:tc>
          <w:tcPr>
            <w:tcW w:type="dxa" w:w="19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Fronteiras</w:t>
            </w:r>
          </w:p>
        </w:tc>
        <w:tc>
          <w:tcPr>
            <w:tcW w:type="dxa" w:w="71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Dentro: o portal do paciente, a operação interna da farmácia e a rota de entrega. Não tratados: integração com prescrição eletrônica, com sistemas da vigilância sanitária e com transportadoras. Indefinidos: o pagamento (há uma etapa na tela, sem requisito) e os medicamentos de controle especial.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Funcionalidades</w:t>
            </w:r>
          </w:p>
        </w:tc>
        <w:tc>
          <w:tcPr>
            <w:tcW w:type="dxa" w:w="71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52" w:lineRule="auto"/>
              <w:jc w:val="left"/>
            </w:pPr>
            <w:r>
              <w:rPr>
                <w:sz w:val="19"/>
                <w:szCs w:val="19"/>
              </w:rPr>
              <w:t xml:space="preserve">Paciente: cadastro e login, envio de receita, montagem da Box com horários, acompanhamento do pedido.</w:t>
            </w:r>
          </w:p>
          <w:p>
            <w:pPr>
              <w:spacing w:after="50" w:line="252" w:lineRule="auto"/>
              <w:jc w:val="left"/>
            </w:pPr>
            <w:r>
              <w:rPr>
                <w:sz w:val="19"/>
                <w:szCs w:val="19"/>
              </w:rPr>
              <w:t xml:space="preserve">Administrador: análise da receita, separação, cadastro de medicamentos, estoque com alertas, painel.</w:t>
            </w:r>
          </w:p>
          <w:p>
            <w:pPr>
              <w:spacing w:after="50" w:line="252" w:lineRule="auto"/>
              <w:jc w:val="left"/>
            </w:pPr>
            <w:r>
              <w:rPr>
                <w:sz w:val="19"/>
                <w:szCs w:val="19"/>
              </w:rPr>
              <w:t xml:space="preserve">Entregador: lista de entregas, saída para entrega e confirmação.</w:t>
            </w:r>
          </w:p>
          <w:p>
            <w:pPr>
              <w:spacing w:after="50" w:line="252" w:lineRule="auto"/>
              <w:jc w:val="left"/>
            </w:pPr>
            <w:r>
              <w:rPr>
                <w:sz w:val="19"/>
                <w:szCs w:val="19"/>
              </w:rPr>
              <w:t xml:space="preserve">Transversais: perfis de acesso, hash de senha, consentimento e direitos do titular (LGPD).</w:t>
            </w:r>
          </w:p>
        </w:tc>
      </w:tr>
    </w:tbl>
    <w:p>
      <w:pPr>
        <w:spacing w:after="240" w:before="80" w:line="240" w:lineRule="auto"/>
        <w:jc w:val="center"/>
      </w:pPr>
      <w:r>
        <w:rPr>
          <w:color w:val="455867"/>
          <w:sz w:val="18"/>
          <w:szCs w:val="18"/>
        </w:rPr>
        <w:t xml:space="preserve">Fonte: elaborado pelo grupo (2026).</w:t>
      </w:r>
    </w:p>
    <w:p>
      <w:pPr>
        <w:pStyle w:val="Heading2"/>
        <w:keepNext/>
      </w:pPr>
      <w:bookmarkStart w:name="sec_009" w:id="9"/>
      <w:r>
        <w:t xml:space="preserve">2.2 Avaliação por critério</w:t>
      </w:r>
      <w:bookmarkEnd w:id="9"/>
    </w:p>
    <w:p>
      <w:pPr>
        <w:spacing w:after="120" w:before="0" w:line="360" w:lineRule="auto"/>
        <w:ind w:firstLine="709"/>
        <w:jc w:val="both"/>
      </w:pPr>
      <w:r>
        <w:t xml:space="preserve">Cada critério pedido no Prompt 01 recebeu uma avaliação em três níveis (adequada, parcial ou insuficiente) com a justificativa. Os critérios de consistência, verificabilidade e rastreabilidade foram os mais fracos: o documento descreve bem o negócio, mas não permite provar que o sistema o cumpre.</w:t>
      </w:r>
    </w:p>
    <w:p>
      <w:pPr>
        <w:keepNext/>
        <w:spacing w:after="100" w:before="200" w:line="276" w:lineRule="auto"/>
        <w:jc w:val="center"/>
      </w:pPr>
      <w:r>
        <w:rPr>
          <w:b/>
          <w:bCs/>
          <w:color w:val="0E1F33"/>
          <w:sz w:val="20"/>
          <w:szCs w:val="20"/>
        </w:rPr>
        <w:t xml:space="preserve">Quadro 4 — Avaliação da especificação original por critério</w:t>
      </w:r>
    </w:p>
    <w:tbl>
      <w:tblPr>
        <w:tblW w:type="dxa" w:w="9071"/>
        <w:tblBorders>
          <w:top w:val="single" w:color="C9D3DA" w:sz="4"/>
          <w:left w:val="single" w:color="C9D3DA" w:sz="4"/>
          <w:bottom w:val="single" w:color="C9D3DA" w:sz="4"/>
          <w:right w:val="single" w:color="C9D3DA" w:sz="4"/>
          <w:insideH w:val="single" w:color="C9D3DA" w:sz="4"/>
          <w:insideV w:val="single" w:color="C9D3DA" w:sz="4"/>
        </w:tblBorders>
        <w:tblLayout w:type="fixed"/>
      </w:tblPr>
      <w:tblGrid>
        <w:gridCol w:w="1800"/>
        <w:gridCol w:w="1400"/>
        <w:gridCol w:w="5871"/>
      </w:tblGrid>
      <w:tr>
        <w:trPr>
          <w:cantSplit/>
          <w:tblHeader/>
        </w:trPr>
        <w:tc>
          <w:tcPr>
            <w:tcW w:type="dxa" w:w="18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Critério</w:t>
            </w:r>
          </w:p>
        </w:tc>
        <w:tc>
          <w:tcPr>
            <w:tcW w:type="dxa" w:w="14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Avaliação</w:t>
            </w:r>
          </w:p>
        </w:tc>
        <w:tc>
          <w:tcPr>
            <w:tcW w:type="dxa" w:w="5871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Justificativa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Clareza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8A5300"/>
                <w:sz w:val="19"/>
                <w:szCs w:val="19"/>
              </w:rPr>
              <w:t xml:space="preserve">Parcial</w:t>
            </w:r>
          </w:p>
        </w:tc>
        <w:tc>
          <w:tcPr>
            <w:tcW w:type="dxa" w:w="58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Os fluxos do paciente, do administrador e do entregador (PIM §8.1–8.3) são claros. Requisitos de qualidade usam termos vagos: "tempo real", "alta disponibilidade", "baixa latência".</w:t>
            </w:r>
          </w:p>
        </w:tc>
      </w:tr>
      <w:tr>
        <w:trPr>
          <w:cantSplit/>
        </w:trPr>
        <w:tc>
          <w:tcPr>
            <w:tcW w:type="dxa" w:w="18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Necessidade</w:t>
            </w:r>
          </w:p>
        </w:tc>
        <w:tc>
          <w:tcPr>
            <w:tcW w:type="dxa" w:w="14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13703F"/>
                <w:sz w:val="19"/>
                <w:szCs w:val="19"/>
              </w:rPr>
              <w:t xml:space="preserve">Adequada</w:t>
            </w:r>
          </w:p>
        </w:tc>
        <w:tc>
          <w:tcPr>
            <w:tcW w:type="dxa" w:w="58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As funções atacam o problema descrito (baixa adesão ao tratamento e perda por validade). Exceção: o passo "Pagamento" da tela de montagem não tem requisito nem regra.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Consistência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AD2318"/>
                <w:sz w:val="19"/>
                <w:szCs w:val="19"/>
              </w:rPr>
              <w:t xml:space="preserve">Insuficiente</w:t>
            </w:r>
          </w:p>
        </w:tc>
        <w:tc>
          <w:tcPr>
            <w:tcW w:type="dxa" w:w="58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O documento e o código divergem em pontos centrais: hash de senha, momento da baixa de estoque, quantidade de perfis e nomes de status (P01, P03, P06, P07).</w:t>
            </w:r>
          </w:p>
        </w:tc>
      </w:tr>
      <w:tr>
        <w:trPr>
          <w:cantSplit/>
        </w:trPr>
        <w:tc>
          <w:tcPr>
            <w:tcW w:type="dxa" w:w="18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Viabilidade</w:t>
            </w:r>
          </w:p>
        </w:tc>
        <w:tc>
          <w:tcPr>
            <w:tcW w:type="dxa" w:w="14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13703F"/>
                <w:sz w:val="19"/>
                <w:szCs w:val="19"/>
              </w:rPr>
              <w:t xml:space="preserve">Adequada</w:t>
            </w:r>
          </w:p>
        </w:tc>
        <w:tc>
          <w:tcPr>
            <w:tcW w:type="dxa" w:w="58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A tecnologia escolhida é conhecida pelo grupo. Os riscos estão no fracionamento (atividade regulada) e na concorrência pelo mesmo saldo de estoque.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Verificabilidade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AD2318"/>
                <w:sz w:val="19"/>
                <w:szCs w:val="19"/>
              </w:rPr>
              <w:t xml:space="preserve">Insuficiente</w:t>
            </w:r>
          </w:p>
        </w:tc>
        <w:tc>
          <w:tcPr>
            <w:tcW w:type="dxa" w:w="58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Não há critérios de aceitação nem casos de teste; requisitos não funcionais não têm métrica nem condição de medição.</w:t>
            </w:r>
          </w:p>
        </w:tc>
      </w:tr>
      <w:tr>
        <w:trPr>
          <w:cantSplit/>
        </w:trPr>
        <w:tc>
          <w:tcPr>
            <w:tcW w:type="dxa" w:w="18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Rastreabilidade</w:t>
            </w:r>
          </w:p>
        </w:tc>
        <w:tc>
          <w:tcPr>
            <w:tcW w:type="dxa" w:w="14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AD2318"/>
                <w:sz w:val="19"/>
                <w:szCs w:val="19"/>
              </w:rPr>
              <w:t xml:space="preserve">Insuficiente</w:t>
            </w:r>
          </w:p>
        </w:tc>
        <w:tc>
          <w:tcPr>
            <w:tcW w:type="dxa" w:w="58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Há comentários RF03, RF07 e RF10 no código, mas não existe matriz requisito → caso de uso → teste, e o backlog (US) não aponta para os RF.</w:t>
            </w:r>
          </w:p>
        </w:tc>
      </w:tr>
    </w:tbl>
    <w:p>
      <w:pPr>
        <w:spacing w:after="240" w:before="80" w:line="240" w:lineRule="auto"/>
        <w:jc w:val="center"/>
      </w:pPr>
      <w:r>
        <w:rPr>
          <w:color w:val="455867"/>
          <w:sz w:val="18"/>
          <w:szCs w:val="18"/>
        </w:rPr>
        <w:t xml:space="preserve">Fonte: elaborado pelo grupo (2026).</w:t>
      </w:r>
    </w:p>
    <w:p>
      <w:pPr>
        <w:sectPr>
          <w:headerReference w:type="default" r:id="rId13"/>
          <w:footerReference w:type="default" r:id="rId14"/>
          <w:type w:val="nextPage"/>
          <w:pgSz w:w="11906" w:h="16838" w:orient="portrait"/>
          <w:pgMar w:top="1701" w:right="1134" w:bottom="1134" w:left="1701" w:header="851" w:footer="567" w:gutter="0"/>
          <w:pgNumType/>
          <w:docGrid w:linePitch="360"/>
        </w:sectPr>
      </w:pPr>
    </w:p>
    <w:p>
      <w:pPr>
        <w:pStyle w:val="Heading2"/>
        <w:keepNext/>
      </w:pPr>
      <w:bookmarkStart w:name="sec_010" w:id="10"/>
      <w:r>
        <w:t xml:space="preserve">2.3 Ambiguidades, duplicidades, conflitos e lacunas</w:t>
      </w:r>
      <w:bookmarkEnd w:id="10"/>
    </w:p>
    <w:p>
      <w:pPr>
        <w:spacing w:after="120" w:before="0" w:line="360" w:lineRule="auto"/>
        <w:ind w:firstLine="709"/>
        <w:jc w:val="both"/>
      </w:pPr>
      <w:r>
        <w:t xml:space="preserve">Foram encontrados 17 problemas: 3 conflito, 8 lacuna, 2 ambiguidade, 1 duplicidade, 1 segurança, 1 escopo, 1 rastreabilidade. Os 3 críticos (P01, P02, P04) contradizem o que o próprio documento afirma ou permitem confirmar pedido sem medicamento e trocar de perfil pelo navegador; precisam ser corrigidos antes de qualquer uso com dados reais. A última coluna indica o requisito ou a decisão da versão 2 que resolve cada problema.</w:t>
      </w:r>
    </w:p>
    <w:p>
      <w:pPr>
        <w:keepNext/>
        <w:spacing w:after="100" w:before="200" w:line="276" w:lineRule="auto"/>
        <w:jc w:val="center"/>
      </w:pPr>
      <w:r>
        <w:rPr>
          <w:b/>
          <w:bCs/>
          <w:color w:val="0E1F33"/>
          <w:sz w:val="20"/>
          <w:szCs w:val="20"/>
        </w:rPr>
        <w:t xml:space="preserve">Quadro 5 — Problemas encontrados na especificação e no código original</w:t>
      </w:r>
    </w:p>
    <w:tbl>
      <w:tblPr>
        <w:tblW w:type="dxa" w:w="14003"/>
        <w:tblBorders>
          <w:top w:val="single" w:color="C9D3DA" w:sz="4"/>
          <w:left w:val="single" w:color="C9D3DA" w:sz="4"/>
          <w:bottom w:val="single" w:color="C9D3DA" w:sz="4"/>
          <w:right w:val="single" w:color="C9D3DA" w:sz="4"/>
          <w:insideH w:val="single" w:color="C9D3DA" w:sz="4"/>
          <w:insideV w:val="single" w:color="C9D3DA" w:sz="4"/>
        </w:tblBorders>
        <w:tblLayout w:type="fixed"/>
      </w:tblPr>
      <w:tblGrid>
        <w:gridCol w:w="700"/>
        <w:gridCol w:w="1350"/>
        <w:gridCol w:w="1050"/>
        <w:gridCol w:w="5000"/>
        <w:gridCol w:w="2700"/>
        <w:gridCol w:w="3203"/>
      </w:tblGrid>
      <w:tr>
        <w:trPr>
          <w:cantSplit/>
          <w:tblHeader/>
        </w:trPr>
        <w:tc>
          <w:tcPr>
            <w:tcW w:type="dxa" w:w="7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 xml:space="preserve">ID</w:t>
            </w:r>
          </w:p>
        </w:tc>
        <w:tc>
          <w:tcPr>
            <w:tcW w:type="dxa" w:w="135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 xml:space="preserve">Tipo</w:t>
            </w:r>
          </w:p>
        </w:tc>
        <w:tc>
          <w:tcPr>
            <w:tcW w:type="dxa" w:w="105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 xml:space="preserve">Gravidade</w:t>
            </w:r>
          </w:p>
        </w:tc>
        <w:tc>
          <w:tcPr>
            <w:tcW w:type="dxa" w:w="5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 xml:space="preserve">Problema encontrado</w:t>
            </w:r>
          </w:p>
        </w:tc>
        <w:tc>
          <w:tcPr>
            <w:tcW w:type="dxa" w:w="27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 xml:space="preserve">Onde (documento ou código)</w:t>
            </w:r>
          </w:p>
        </w:tc>
        <w:tc>
          <w:tcPr>
            <w:tcW w:type="dxa" w:w="3203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 xml:space="preserve">Tratamento na versão 2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P01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Conflito</w:t>
            </w:r>
          </w:p>
        </w:tc>
        <w:tc>
          <w:tcPr>
            <w:tcW w:type="dxa" w:w="10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AD2318"/>
                <w:sz w:val="18"/>
                <w:szCs w:val="18"/>
              </w:rPr>
              <w:t xml:space="preserve">Crítica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O PIM (§12.1) afirma hash com salt, mas o cadastro grava a senha recebida no campo SenhaHash e o login compara texto puro. O endpoint /seed cria contas com senhas fixas.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UsuarioController.Cadastrar, Login e Seed</w:t>
            </w:r>
          </w:p>
        </w:tc>
        <w:tc>
          <w:tcPr>
            <w:tcW w:type="dxa" w:w="32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RNF01 — PBKDF2-SHA256 com salt e 600 mil iterações</w:t>
            </w:r>
          </w:p>
        </w:tc>
      </w:tr>
      <w:tr>
        <w:trPr>
          <w:cantSplit/>
        </w:trPr>
        <w:tc>
          <w:tcPr>
            <w:tcW w:type="dxa" w:w="7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P02</w:t>
            </w:r>
          </w:p>
        </w:tc>
        <w:tc>
          <w:tcPr>
            <w:tcW w:type="dxa" w:w="135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Lacuna</w:t>
            </w:r>
          </w:p>
        </w:tc>
        <w:tc>
          <w:tcPr>
            <w:tcW w:type="dxa" w:w="105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AD2318"/>
                <w:sz w:val="18"/>
                <w:szCs w:val="18"/>
              </w:rPr>
              <w:t xml:space="preserve">Crítica</w:t>
            </w:r>
          </w:p>
        </w:tc>
        <w:tc>
          <w:tcPr>
            <w:tcW w:type="dxa" w:w="5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O perfil é informado pelo próprio navegador no cabeçalho X-User-Id (qualquer um pode trocar). Vários endpoints não verificam perfil algum (análise de receita, estoque, PUT/DELETE de pedidos).</w:t>
            </w:r>
          </w:p>
        </w:tc>
        <w:tc>
          <w:tcPr>
            <w:tcW w:type="dxa" w:w="27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useApi.js; ReceitaController, EstoqueController, PedidoController</w:t>
            </w:r>
          </w:p>
        </w:tc>
        <w:tc>
          <w:tcPr>
            <w:tcW w:type="dxa" w:w="32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RF02, RF03, RN01 — JWT assinado e políticas por perfil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P03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Conflito</w:t>
            </w:r>
          </w:p>
        </w:tc>
        <w:tc>
          <w:tcPr>
            <w:tcW w:type="dxa" w:w="10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 w:val="false"/>
                <w:bCs w:val="false"/>
                <w:color w:val="8A5300"/>
                <w:sz w:val="18"/>
                <w:szCs w:val="18"/>
              </w:rPr>
              <w:t xml:space="preserve">Alta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O PIM (§8.2) diz que a baixa ocorre na finalização da Box; o código baixa o estoque na criação do tratamento, antes até da análise da receita.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TratamentoController.PostTratamento</w:t>
            </w:r>
          </w:p>
        </w:tc>
        <w:tc>
          <w:tcPr>
            <w:tcW w:type="dxa" w:w="32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RN03 (reserva) e RN06 (baixa na finalização)</w:t>
            </w:r>
          </w:p>
        </w:tc>
      </w:tr>
      <w:tr>
        <w:trPr>
          <w:cantSplit/>
        </w:trPr>
        <w:tc>
          <w:tcPr>
            <w:tcW w:type="dxa" w:w="7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P04</w:t>
            </w:r>
          </w:p>
        </w:tc>
        <w:tc>
          <w:tcPr>
            <w:tcW w:type="dxa" w:w="135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Lacuna</w:t>
            </w:r>
          </w:p>
        </w:tc>
        <w:tc>
          <w:tcPr>
            <w:tcW w:type="dxa" w:w="105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AD2318"/>
                <w:sz w:val="18"/>
                <w:szCs w:val="18"/>
              </w:rPr>
              <w:t xml:space="preserve">Crítica</w:t>
            </w:r>
          </w:p>
        </w:tc>
        <w:tc>
          <w:tcPr>
            <w:tcW w:type="dxa" w:w="5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Se o saldo não basta, a baixa é simplesmente pulada, sem erro e sem transação: o pedido é confirmado sem medicamento. É exatamente o incidente analisado no pitch de ITIL.</w:t>
            </w:r>
          </w:p>
        </w:tc>
        <w:tc>
          <w:tcPr>
            <w:tcW w:type="dxa" w:w="27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TratamentoController (if saldo &gt;= quantidade)</w:t>
            </w:r>
          </w:p>
        </w:tc>
        <w:tc>
          <w:tcPr>
            <w:tcW w:type="dxa" w:w="32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RN03 — reserva "tudo ou nada" com concorrência otimista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P05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Lacuna</w:t>
            </w:r>
          </w:p>
        </w:tc>
        <w:tc>
          <w:tcPr>
            <w:tcW w:type="dxa" w:w="10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 w:val="false"/>
                <w:bCs w:val="false"/>
                <w:color w:val="8A5300"/>
                <w:sz w:val="18"/>
                <w:szCs w:val="18"/>
              </w:rPr>
              <w:t xml:space="preserve">Alta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O tratamento é aceito com receita pendente, recusada ou de outro paciente; não há verificação de dono nem de validade.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TratamentoController, ReceitaController</w:t>
            </w:r>
          </w:p>
        </w:tc>
        <w:tc>
          <w:tcPr>
            <w:tcW w:type="dxa" w:w="32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RN02 — receita obrigatória e válida</w:t>
            </w:r>
          </w:p>
        </w:tc>
      </w:tr>
      <w:tr>
        <w:trPr>
          <w:cantSplit/>
        </w:trPr>
        <w:tc>
          <w:tcPr>
            <w:tcW w:type="dxa" w:w="7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P06</w:t>
            </w:r>
          </w:p>
        </w:tc>
        <w:tc>
          <w:tcPr>
            <w:tcW w:type="dxa" w:w="135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Ambiguidade</w:t>
            </w:r>
          </w:p>
        </w:tc>
        <w:tc>
          <w:tcPr>
            <w:tcW w:type="dxa" w:w="105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 w:val="false"/>
                <w:bCs w:val="false"/>
                <w:color w:val="0E1F33"/>
                <w:sz w:val="18"/>
                <w:szCs w:val="18"/>
              </w:rPr>
              <w:t xml:space="preserve">Média</w:t>
            </w:r>
          </w:p>
        </w:tc>
        <w:tc>
          <w:tcPr>
            <w:tcW w:type="dxa" w:w="5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O PIM descreve três perfis (Paciente, Administrador, Entregador), cita "Funcionários" em §12.1, e o código tem quatro (Funcionario no seed e nas rotas).</w:t>
            </w:r>
          </w:p>
        </w:tc>
        <w:tc>
          <w:tcPr>
            <w:tcW w:type="dxa" w:w="27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PIM §8 e §12.1; UsuarioController.Seed; router</w:t>
            </w:r>
          </w:p>
        </w:tc>
        <w:tc>
          <w:tcPr>
            <w:tcW w:type="dxa" w:w="32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Decisão D01 — quatro perfis com segregação de funções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P07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Lacuna</w:t>
            </w:r>
          </w:p>
        </w:tc>
        <w:tc>
          <w:tcPr>
            <w:tcW w:type="dxa" w:w="10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 w:val="false"/>
                <w:bCs w:val="false"/>
                <w:color w:val="8A5300"/>
                <w:sz w:val="18"/>
                <w:szCs w:val="18"/>
              </w:rPr>
              <w:t xml:space="preserve">Alta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Pedido não se liga a tratamento nem a receita; o status é texto livre e pode ser trocado por PUT. A entrega usa outros nomes ("Saiu para Entrega" × "Em Rota").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Models/Pedido.cs; EntregadorView.vue</w:t>
            </w:r>
          </w:p>
        </w:tc>
        <w:tc>
          <w:tcPr>
            <w:tcW w:type="dxa" w:w="32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RN08 — máquina de estados única com histórico</w:t>
            </w:r>
          </w:p>
        </w:tc>
      </w:tr>
      <w:tr>
        <w:trPr>
          <w:cantSplit/>
        </w:trPr>
        <w:tc>
          <w:tcPr>
            <w:tcW w:type="dxa" w:w="7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P08</w:t>
            </w:r>
          </w:p>
        </w:tc>
        <w:tc>
          <w:tcPr>
            <w:tcW w:type="dxa" w:w="135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Duplicidade</w:t>
            </w:r>
          </w:p>
        </w:tc>
        <w:tc>
          <w:tcPr>
            <w:tcW w:type="dxa" w:w="105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 w:val="false"/>
                <w:bCs w:val="false"/>
                <w:color w:val="0E1F33"/>
                <w:sz w:val="18"/>
                <w:szCs w:val="18"/>
              </w:rPr>
              <w:t xml:space="preserve">Média</w:t>
            </w:r>
          </w:p>
        </w:tc>
        <w:tc>
          <w:tcPr>
            <w:tcW w:type="dxa" w:w="5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Lote e validade ficam dentro do medicamento e o saldo em outra tabela: cada lote vira um "medicamento" e o FEFO fica impossível. Há duas formas de baixa (movimentação manual e tratamento).</w:t>
            </w:r>
          </w:p>
        </w:tc>
        <w:tc>
          <w:tcPr>
            <w:tcW w:type="dxa" w:w="27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Models/Medicamento.cs, Estoque.cs</w:t>
            </w:r>
          </w:p>
        </w:tc>
        <w:tc>
          <w:tcPr>
            <w:tcW w:type="dxa" w:w="32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Entidade Lote; RN04 (FEFO); baixa só pela RN06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P09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Lacuna (LGPD)</w:t>
            </w:r>
          </w:p>
        </w:tc>
        <w:tc>
          <w:tcPr>
            <w:tcW w:type="dxa" w:w="10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 w:val="false"/>
                <w:bCs w:val="false"/>
                <w:color w:val="8A5300"/>
                <w:sz w:val="18"/>
                <w:szCs w:val="18"/>
              </w:rPr>
              <w:t xml:space="preserve">Alta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Correção e exclusão só pelo Administrador: o titular não exerce o art. 18. GET /api/Usuario/{id} não exige autenticação e devolve CPF e SenhaHash.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UsuarioController</w:t>
            </w:r>
          </w:p>
        </w:tc>
        <w:tc>
          <w:tcPr>
            <w:tcW w:type="dxa" w:w="32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RF19 e RNF12</w:t>
            </w:r>
          </w:p>
        </w:tc>
      </w:tr>
      <w:tr>
        <w:trPr>
          <w:cantSplit/>
        </w:trPr>
        <w:tc>
          <w:tcPr>
            <w:tcW w:type="dxa" w:w="7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P10</w:t>
            </w:r>
          </w:p>
        </w:tc>
        <w:tc>
          <w:tcPr>
            <w:tcW w:type="dxa" w:w="135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Lacuna (LGPD)</w:t>
            </w:r>
          </w:p>
        </w:tc>
        <w:tc>
          <w:tcPr>
            <w:tcW w:type="dxa" w:w="105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 w:val="false"/>
                <w:bCs w:val="false"/>
                <w:color w:val="0E1F33"/>
                <w:sz w:val="18"/>
                <w:szCs w:val="18"/>
              </w:rPr>
              <w:t xml:space="preserve">Média</w:t>
            </w:r>
          </w:p>
        </w:tc>
        <w:tc>
          <w:tcPr>
            <w:tcW w:type="dxa" w:w="5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O PIM (§12.7) descreve o consentimento, mas o sistema não guarda prova dele (data, versão, finalidade).</w:t>
            </w:r>
          </w:p>
        </w:tc>
        <w:tc>
          <w:tcPr>
            <w:tcW w:type="dxa" w:w="27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Models/Usuario.cs</w:t>
            </w:r>
          </w:p>
        </w:tc>
        <w:tc>
          <w:tcPr>
            <w:tcW w:type="dxa" w:w="32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RN15 — registro conforme art. 8º, §2º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P11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Segurança</w:t>
            </w:r>
          </w:p>
        </w:tc>
        <w:tc>
          <w:tcPr>
            <w:tcW w:type="dxa" w:w="10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 w:val="false"/>
                <w:bCs w:val="false"/>
                <w:color w:val="8A5300"/>
                <w:sz w:val="18"/>
                <w:szCs w:val="18"/>
              </w:rPr>
              <w:t xml:space="preserve">Alta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Senha do banco versionada no appsettings.json; CORS liberado para qualquer origem.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appsettings.json; Program.cs</w:t>
            </w:r>
          </w:p>
        </w:tc>
        <w:tc>
          <w:tcPr>
            <w:tcW w:type="dxa" w:w="32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RNF04 e RNF13 — segredos por variável de ambiente, CORS restrito</w:t>
            </w:r>
          </w:p>
        </w:tc>
      </w:tr>
      <w:tr>
        <w:trPr>
          <w:cantSplit/>
        </w:trPr>
        <w:tc>
          <w:tcPr>
            <w:tcW w:type="dxa" w:w="7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P12</w:t>
            </w:r>
          </w:p>
        </w:tc>
        <w:tc>
          <w:tcPr>
            <w:tcW w:type="dxa" w:w="135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Ambiguidade</w:t>
            </w:r>
          </w:p>
        </w:tc>
        <w:tc>
          <w:tcPr>
            <w:tcW w:type="dxa" w:w="105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 w:val="false"/>
                <w:bCs w:val="false"/>
                <w:color w:val="0E1F33"/>
                <w:sz w:val="18"/>
                <w:szCs w:val="18"/>
              </w:rPr>
              <w:t xml:space="preserve">Média</w:t>
            </w:r>
          </w:p>
        </w:tc>
        <w:tc>
          <w:tcPr>
            <w:tcW w:type="dxa" w:w="5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Metas de qualidade sem condição de medição: "latência &lt; 200 ms" e "99,9%" (README), "tempo real" (PIM).</w:t>
            </w:r>
          </w:p>
        </w:tc>
        <w:tc>
          <w:tcPr>
            <w:tcW w:type="dxa" w:w="27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README; PIM</w:t>
            </w:r>
          </w:p>
        </w:tc>
        <w:tc>
          <w:tcPr>
            <w:tcW w:type="dxa" w:w="32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RNF05 e RNF08 com carga, percentil e janela definidos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P13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Conflito</w:t>
            </w:r>
          </w:p>
        </w:tc>
        <w:tc>
          <w:tcPr>
            <w:tcW w:type="dxa" w:w="10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 w:val="false"/>
                <w:bCs w:val="false"/>
                <w:color w:val="8A5300"/>
                <w:sz w:val="18"/>
                <w:szCs w:val="18"/>
              </w:rPr>
              <w:t xml:space="preserve">Alta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A tela informa "JPG, PNG ou PDF, até 10 MB", mas a API aceita qualquer arquivo de qualquer tamanho e o grava em wwwroot (pasta pública).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SetupBoxView.vue; ReceitaController.Upload</w:t>
            </w:r>
          </w:p>
        </w:tc>
        <w:tc>
          <w:tcPr>
            <w:tcW w:type="dxa" w:w="32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RF05 e RNF04 — tipo, assinatura, tamanho e pasta privada</w:t>
            </w:r>
          </w:p>
        </w:tc>
      </w:tr>
      <w:tr>
        <w:trPr>
          <w:cantSplit/>
        </w:trPr>
        <w:tc>
          <w:tcPr>
            <w:tcW w:type="dxa" w:w="7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P14</w:t>
            </w:r>
          </w:p>
        </w:tc>
        <w:tc>
          <w:tcPr>
            <w:tcW w:type="dxa" w:w="135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Lacuna</w:t>
            </w:r>
          </w:p>
        </w:tc>
        <w:tc>
          <w:tcPr>
            <w:tcW w:type="dxa" w:w="105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 w:val="false"/>
                <w:bCs w:val="false"/>
                <w:color w:val="0E1F33"/>
                <w:sz w:val="18"/>
                <w:szCs w:val="18"/>
              </w:rPr>
              <w:t xml:space="preserve">Média</w:t>
            </w:r>
          </w:p>
        </w:tc>
        <w:tc>
          <w:tcPr>
            <w:tcW w:type="dxa" w:w="5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JWT (US22) e o painel em tempo real aparecem como prioridade alta no backlog, mas ficaram como débito técnico, sem critério de pronto.</w:t>
            </w:r>
          </w:p>
        </w:tc>
        <w:tc>
          <w:tcPr>
            <w:tcW w:type="dxa" w:w="27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PIM — backlog e conclusão</w:t>
            </w:r>
          </w:p>
        </w:tc>
        <w:tc>
          <w:tcPr>
            <w:tcW w:type="dxa" w:w="32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RF02 e RF18 com métricas definidas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P15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Lacuna (saúde)</w:t>
            </w:r>
          </w:p>
        </w:tc>
        <w:tc>
          <w:tcPr>
            <w:tcW w:type="dxa" w:w="10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 w:val="false"/>
                <w:bCs w:val="false"/>
                <w:color w:val="8A5300"/>
                <w:sz w:val="18"/>
                <w:szCs w:val="18"/>
              </w:rPr>
              <w:t xml:space="preserve">Alta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Nada impede incluir medicamento de controle especial (tarja preta) na Box fracionada.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Catálogo e montagem da Box</w:t>
            </w:r>
          </w:p>
        </w:tc>
        <w:tc>
          <w:tcPr>
            <w:tcW w:type="dxa" w:w="32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RN09</w:t>
            </w:r>
          </w:p>
        </w:tc>
      </w:tr>
      <w:tr>
        <w:trPr>
          <w:cantSplit/>
        </w:trPr>
        <w:tc>
          <w:tcPr>
            <w:tcW w:type="dxa" w:w="7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P16</w:t>
            </w:r>
          </w:p>
        </w:tc>
        <w:tc>
          <w:tcPr>
            <w:tcW w:type="dxa" w:w="135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Escopo</w:t>
            </w:r>
          </w:p>
        </w:tc>
        <w:tc>
          <w:tcPr>
            <w:tcW w:type="dxa" w:w="105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 w:val="false"/>
                <w:bCs w:val="false"/>
                <w:color w:val="455867"/>
                <w:sz w:val="18"/>
                <w:szCs w:val="18"/>
              </w:rPr>
              <w:t xml:space="preserve">Baixa</w:t>
            </w:r>
          </w:p>
        </w:tc>
        <w:tc>
          <w:tcPr>
            <w:tcW w:type="dxa" w:w="5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Passo "Pagamento" na montagem da Box e campo ValorTotal no pedido sem requisito ou regra.</w:t>
            </w:r>
          </w:p>
        </w:tc>
        <w:tc>
          <w:tcPr>
            <w:tcW w:type="dxa" w:w="27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SetupBoxView.vue; Pedido.ValorTotal</w:t>
            </w:r>
          </w:p>
        </w:tc>
        <w:tc>
          <w:tcPr>
            <w:tcW w:type="dxa" w:w="32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Fora do escopo da v2 (§3.6)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P17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Rastreabilidade</w:t>
            </w:r>
          </w:p>
        </w:tc>
        <w:tc>
          <w:tcPr>
            <w:tcW w:type="dxa" w:w="10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 w:val="false"/>
                <w:bCs w:val="false"/>
                <w:color w:val="0E1F33"/>
                <w:sz w:val="18"/>
                <w:szCs w:val="18"/>
              </w:rPr>
              <w:t xml:space="preserve">Média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Sem testes automatizados e sem matriz de rastreabilidade.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Repositório</w:t>
            </w:r>
          </w:p>
        </w:tc>
        <w:tc>
          <w:tcPr>
            <w:tcW w:type="dxa" w:w="32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Capítulo 7 (55 testes) e capítulo 9 (matriz)</w:t>
            </w:r>
          </w:p>
        </w:tc>
      </w:tr>
    </w:tbl>
    <w:p>
      <w:pPr>
        <w:spacing w:after="240" w:before="80" w:line="240" w:lineRule="auto"/>
        <w:jc w:val="center"/>
      </w:pPr>
      <w:r>
        <w:rPr>
          <w:color w:val="455867"/>
          <w:sz w:val="18"/>
          <w:szCs w:val="18"/>
        </w:rPr>
        <w:t xml:space="preserve">Fonte: elaborado pelo grupo (2026).</w:t>
      </w:r>
    </w:p>
    <w:p>
      <w:pPr>
        <w:sectPr>
          <w:headerReference w:type="default" r:id="rId15"/>
          <w:footerReference w:type="default" r:id="rId16"/>
          <w:type w:val="nextPage"/>
          <w:pgSz w:w="16838" w:h="11906" w:orient="landscape"/>
          <w:pgMar w:top="1418" w:right="1134" w:bottom="1134" w:left="1701" w:header="680" w:footer="510" w:gutter="0"/>
          <w:pgNumType/>
          <w:docGrid w:linePitch="360"/>
        </w:sectPr>
      </w:pPr>
    </w:p>
    <w:p>
      <w:pPr>
        <w:pStyle w:val="Heading2"/>
        <w:keepNext/>
      </w:pPr>
      <w:bookmarkStart w:name="sec_011" w:id="11"/>
      <w:r>
        <w:t xml:space="preserve">2.4 Decisões de revisão</w:t>
      </w:r>
      <w:bookmarkEnd w:id="11"/>
    </w:p>
    <w:p>
      <w:pPr>
        <w:spacing w:after="120" w:before="0" w:line="360" w:lineRule="auto"/>
        <w:ind w:firstLine="709"/>
        <w:jc w:val="both"/>
      </w:pPr>
      <w:r>
        <w:t xml:space="preserve">As decisões abaixo resolvem as ambiguidades que não tinham resposta no documento original. Elas foram tomadas pensando primeiro na segurança do paciente e na rastreabilidade sanitária, e depois na simplicidade de implementação.</w:t>
      </w:r>
    </w:p>
    <w:p>
      <w:pPr>
        <w:keepNext/>
        <w:spacing w:after="100" w:before="200" w:line="276" w:lineRule="auto"/>
        <w:jc w:val="center"/>
      </w:pPr>
      <w:r>
        <w:rPr>
          <w:b/>
          <w:bCs/>
          <w:color w:val="0E1F33"/>
          <w:sz w:val="20"/>
          <w:szCs w:val="20"/>
        </w:rPr>
        <w:t xml:space="preserve">Quadro 6 — Decisões tomadas na revisão</w:t>
      </w:r>
    </w:p>
    <w:tbl>
      <w:tblPr>
        <w:tblW w:type="dxa" w:w="9071"/>
        <w:tblBorders>
          <w:top w:val="single" w:color="C9D3DA" w:sz="4"/>
          <w:left w:val="single" w:color="C9D3DA" w:sz="4"/>
          <w:bottom w:val="single" w:color="C9D3DA" w:sz="4"/>
          <w:right w:val="single" w:color="C9D3DA" w:sz="4"/>
          <w:insideH w:val="single" w:color="C9D3DA" w:sz="4"/>
          <w:insideV w:val="single" w:color="C9D3DA" w:sz="4"/>
        </w:tblBorders>
        <w:tblLayout w:type="fixed"/>
      </w:tblPr>
      <w:tblGrid>
        <w:gridCol w:w="800"/>
        <w:gridCol w:w="2600"/>
        <w:gridCol w:w="5671"/>
      </w:tblGrid>
      <w:tr>
        <w:trPr>
          <w:cantSplit/>
          <w:tblHeader/>
        </w:trPr>
        <w:tc>
          <w:tcPr>
            <w:tcW w:type="dxa" w:w="8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Decisão</w:t>
            </w:r>
          </w:p>
        </w:tc>
        <w:tc>
          <w:tcPr>
            <w:tcW w:type="dxa" w:w="5671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Justificativa e efeito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9"/>
                <w:szCs w:val="19"/>
              </w:rPr>
              <w:t xml:space="preserve">D01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Quatro perfis com segregação de funções</w:t>
            </w:r>
          </w:p>
        </w:tc>
        <w:tc>
          <w:tcPr>
            <w:tcW w:type="dxa" w:w="56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Administrador é o farmacêutico responsável técnico: o único que analisa receitas e gerencia usuários. Funcionário é o operador que separa as Boxes e movimenta o estoque. Paciente e Entregador seguem o PIM. Resolve P06.</w:t>
            </w:r>
          </w:p>
        </w:tc>
      </w:tr>
      <w:tr>
        <w:trPr>
          <w:cantSplit/>
        </w:trPr>
        <w:tc>
          <w:tcPr>
            <w:tcW w:type="dxa" w:w="8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9"/>
                <w:szCs w:val="19"/>
              </w:rPr>
              <w:t xml:space="preserve">D02</w:t>
            </w:r>
          </w:p>
        </w:tc>
        <w:tc>
          <w:tcPr>
            <w:tcW w:type="dxa" w:w="26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Reservar na confirmação, baixar na finalização</w:t>
            </w:r>
          </w:p>
        </w:tc>
        <w:tc>
          <w:tcPr>
            <w:tcW w:type="dxa" w:w="56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Ao confirmar, o saldo fica empenhado para o paciente; na finalização da Box sai do físico. Fecha a janela do incidente do pitch (P03, P04).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9"/>
                <w:szCs w:val="19"/>
              </w:rPr>
              <w:t xml:space="preserve">D03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Lote como entidade própria</w:t>
            </w:r>
          </w:p>
        </w:tc>
        <w:tc>
          <w:tcPr>
            <w:tcW w:type="dxa" w:w="56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Cada lote tem número, fabricação, validade, saldo físico e reservado. Permite FEFO, alertas por lote e etiqueta de rastreio em cada sachê (P08).</w:t>
            </w:r>
          </w:p>
        </w:tc>
      </w:tr>
      <w:tr>
        <w:trPr>
          <w:cantSplit/>
        </w:trPr>
        <w:tc>
          <w:tcPr>
            <w:tcW w:type="dxa" w:w="8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9"/>
                <w:szCs w:val="19"/>
              </w:rPr>
              <w:t xml:space="preserve">D04</w:t>
            </w:r>
          </w:p>
        </w:tc>
        <w:tc>
          <w:tcPr>
            <w:tcW w:type="dxa" w:w="26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Renovação direta com receita válida</w:t>
            </w:r>
          </w:p>
        </w:tc>
        <w:tc>
          <w:tcPr>
            <w:tcW w:type="dxa" w:w="56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O farmacêutico define a validade da receita ao aprová-la. Enquanto válida, a renovação mensal vai direto para separação (fluxo de renovação do pitch).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9"/>
                <w:szCs w:val="19"/>
              </w:rPr>
              <w:t xml:space="preserve">D05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Pagamento fora do escopo</w:t>
            </w:r>
          </w:p>
        </w:tc>
        <w:tc>
          <w:tcPr>
            <w:tcW w:type="dxa" w:w="56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A v2 não trata cobrança. O campo ValorTotal foi removido (P16).</w:t>
            </w:r>
          </w:p>
        </w:tc>
      </w:tr>
      <w:tr>
        <w:trPr>
          <w:cantSplit/>
        </w:trPr>
        <w:tc>
          <w:tcPr>
            <w:tcW w:type="dxa" w:w="8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9"/>
                <w:szCs w:val="19"/>
              </w:rPr>
              <w:t xml:space="preserve">D06</w:t>
            </w:r>
          </w:p>
        </w:tc>
        <w:tc>
          <w:tcPr>
            <w:tcW w:type="dxa" w:w="26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Exclusão como anonimização</w:t>
            </w:r>
          </w:p>
        </w:tc>
        <w:tc>
          <w:tcPr>
            <w:tcW w:type="dxa" w:w="56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Excluir a conta apaga os dados pessoais e os arquivos de receita; pedidos e movimentações ficam sem identificar o titular, para cumprir a rastreabilidade sanitária (LGPD art. 16, I).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9"/>
                <w:szCs w:val="19"/>
              </w:rPr>
              <w:t xml:space="preserve">D07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Clean Architecture</w:t>
            </w:r>
          </w:p>
        </w:tc>
        <w:tc>
          <w:tcPr>
            <w:tcW w:type="dxa" w:w="56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Quatro projetos (Domain, Application, Infrastructure, Api). As regras ficam no domínio, sem banco nem framework, e são testadas isoladamente.</w:t>
            </w:r>
          </w:p>
        </w:tc>
      </w:tr>
      <w:tr>
        <w:trPr>
          <w:cantSplit/>
        </w:trPr>
        <w:tc>
          <w:tcPr>
            <w:tcW w:type="dxa" w:w="8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9"/>
                <w:szCs w:val="19"/>
              </w:rPr>
              <w:t xml:space="preserve">D08</w:t>
            </w:r>
          </w:p>
        </w:tc>
        <w:tc>
          <w:tcPr>
            <w:tcW w:type="dxa" w:w="26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Controlados fora da Box</w:t>
            </w:r>
          </w:p>
        </w:tc>
        <w:tc>
          <w:tcPr>
            <w:tcW w:type="dxa" w:w="56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Medicamentos de controle especial não são fracionados pela plataforma e não aparecem para o paciente (P15).</w:t>
            </w:r>
          </w:p>
        </w:tc>
      </w:tr>
    </w:tbl>
    <w:p>
      <w:pPr>
        <w:spacing w:after="240" w:before="80" w:line="240" w:lineRule="auto"/>
        <w:jc w:val="center"/>
      </w:pPr>
      <w:r>
        <w:rPr>
          <w:color w:val="455867"/>
          <w:sz w:val="18"/>
          <w:szCs w:val="18"/>
        </w:rPr>
        <w:t xml:space="preserve">Fonte: elaborado pelo grupo (2026).</w:t>
      </w:r>
    </w:p>
    <w:p>
      <w:pPr>
        <w:pStyle w:val="Heading1"/>
        <w:keepNext/>
        <w:pageBreakBefore/>
      </w:pPr>
      <w:bookmarkStart w:name="sec_012" w:id="12"/>
      <w:r>
        <w:t xml:space="preserve">3 Descrição geral</w:t>
      </w:r>
      <w:bookmarkEnd w:id="12"/>
    </w:p>
    <w:p>
      <w:pPr>
        <w:pStyle w:val="Heading2"/>
        <w:keepNext/>
      </w:pPr>
      <w:bookmarkStart w:name="sec_013" w:id="13"/>
      <w:r>
        <w:t xml:space="preserve">3.1 Perspectiva do produto</w:t>
      </w:r>
      <w:bookmarkEnd w:id="13"/>
    </w:p>
    <w:p>
      <w:pPr>
        <w:spacing w:after="120" w:before="0" w:line="360" w:lineRule="auto"/>
        <w:ind w:firstLine="709"/>
        <w:jc w:val="both"/>
      </w:pPr>
      <w:r>
        <w:t xml:space="preserve">O MedFlow v2 é um sistema independente composto por uma aplicação de página única (SPA) em Vue.js, uma API REST em ASP.NET Core 8 e um banco MySQL 8. A API é a única porta de acesso aos dados: a interface nunca lê o banco diretamente e nunca decide sozinha o que o usuário pode fazer, porque o perfil vem do token assinado pela API. Os arquivos de receita ficam numa pasta privada do servidor, fora da pasta pública, e só são entregues ao titular e ao farmacêutico.</w:t>
      </w:r>
    </w:p>
    <w:p>
      <w:pPr>
        <w:spacing w:after="120" w:before="0" w:line="360" w:lineRule="auto"/>
        <w:ind w:firstLine="709"/>
        <w:jc w:val="both"/>
      </w:pPr>
      <w:r>
        <w:t xml:space="preserve">Internamente, a API segue a Clean Architecture: as regras de negócio ficam no projeto Domain, sem dependência de banco ou de framework; os casos de uso ficam em Application; banco, criptografia e arquivos ficam em Infrastructure; e a camada Api só traduz HTTP. A Figura 1 mostra as camadas e o sentido das dependências.</w:t>
      </w:r>
    </w:p>
    <w:p>
      <w:pPr>
        <w:keepNext/>
        <w:spacing w:after="100" w:before="200" w:line="276" w:lineRule="auto"/>
        <w:jc w:val="center"/>
      </w:pPr>
      <w:r>
        <w:rPr>
          <w:b/>
          <w:bCs/>
          <w:color w:val="0E1F33"/>
          <w:sz w:val="20"/>
          <w:szCs w:val="20"/>
        </w:rPr>
        <w:t xml:space="preserve">Figura 1 — Arquitetura da solução e sentido das dependências</w:t>
      </w:r>
    </w:p>
    <w:p>
      <w:pPr>
        <w:keepNext/>
        <w:spacing w:after="0"/>
        <w:jc w:val="center"/>
      </w:pPr>
      <w:r>
        <w:drawing>
          <wp:inline distT="0" distB="0" distL="0" distR="0">
            <wp:extent cx="2371725" cy="4267200"/>
            <wp:effectExtent t="0" r="0" b="0" l="0"/>
            <wp:docPr id="1" name="arquitetura.png" descr="Arquitetura da solução e sentido das dependências" title="Arquitetura da solução e sentido das dependênc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40" w:lineRule="auto"/>
        <w:jc w:val="center"/>
      </w:pPr>
      <w:r>
        <w:rPr>
          <w:color w:val="455867"/>
          <w:sz w:val="18"/>
          <w:szCs w:val="18"/>
        </w:rPr>
        <w:t xml:space="preserve">Fonte: elaborado pelo grupo (2026).</w:t>
      </w:r>
    </w:p>
    <w:p>
      <w:pPr>
        <w:pStyle w:val="Heading2"/>
        <w:keepNext/>
      </w:pPr>
      <w:bookmarkStart w:name="sec_014" w:id="14"/>
      <w:r>
        <w:t xml:space="preserve">3.2 Funções do produto</w:t>
      </w:r>
      <w:bookmarkEnd w:id="14"/>
    </w:p>
    <w:p>
      <w:pPr>
        <w:keepNext/>
        <w:spacing w:after="120" w:before="0" w:line="360" w:lineRule="auto"/>
        <w:ind w:firstLine="709"/>
        <w:jc w:val="both"/>
      </w:pPr>
      <w:r>
        <w:t xml:space="preserve">As funções estão agrupadas pelo perfil que as usa. O detalhamento está nos requisitos funcionais (4.1) e nos casos de uso (capítulo 5).</w:t>
      </w:r>
    </w:p>
    <w:p>
      <w:pPr>
        <w:pStyle w:val="ListParagraph"/>
        <w:numPr>
          <w:ilvl w:val="0"/>
          <w:numId w:val="2"/>
        </w:numPr>
        <w:spacing w:after="80" w:line="320" w:lineRule="auto"/>
        <w:jc w:val="left"/>
      </w:pPr>
      <w:r>
        <w:rPr>
          <w:b/>
          <w:bCs/>
        </w:rPr>
        <w:t xml:space="preserve">Paciente:</w:t>
      </w:r>
      <w:r>
        <w:t xml:space="preserve"> criar conta com consentimento; enviar receita; montar e renovar a Box com simulação de disponibilidade; acompanhar o pedido pela linha do tempo; cancelar enquanto pendente; consultar o organizador de horários; consultar, corrigir, exportar e excluir os próprios dados.</w:t>
      </w:r>
    </w:p>
    <w:p>
      <w:pPr>
        <w:pStyle w:val="ListParagraph"/>
        <w:numPr>
          <w:ilvl w:val="0"/>
          <w:numId w:val="2"/>
        </w:numPr>
        <w:spacing w:after="80" w:line="320" w:lineRule="auto"/>
        <w:jc w:val="left"/>
      </w:pPr>
      <w:r>
        <w:rPr>
          <w:b/>
          <w:bCs/>
        </w:rPr>
        <w:t xml:space="preserve">Farmacêutico RT (Administrador):</w:t>
      </w:r>
      <w:r>
        <w:t xml:space="preserve"> analisar receitas (aprovar com validade ou recusar com motivo); cadastrar e desativar usuários internos; e todas as funções do operador.</w:t>
      </w:r>
    </w:p>
    <w:p>
      <w:pPr>
        <w:pStyle w:val="ListParagraph"/>
        <w:numPr>
          <w:ilvl w:val="0"/>
          <w:numId w:val="2"/>
        </w:numPr>
        <w:spacing w:after="80" w:line="320" w:lineRule="auto"/>
        <w:jc w:val="left"/>
      </w:pPr>
      <w:r>
        <w:rPr>
          <w:b/>
          <w:bCs/>
        </w:rPr>
        <w:t xml:space="preserve">Operador (Funcionário):</w:t>
      </w:r>
      <w:r>
        <w:t xml:space="preserve"> acompanhar a fila de pedidos por status; separar a Box com etiqueta por sachê; finalizar com baixa de estoque; manter catálogo e lotes; acompanhar alertas e indicadores.</w:t>
      </w:r>
    </w:p>
    <w:p>
      <w:pPr>
        <w:pStyle w:val="ListParagraph"/>
        <w:numPr>
          <w:ilvl w:val="0"/>
          <w:numId w:val="2"/>
        </w:numPr>
        <w:spacing w:after="80" w:line="320" w:lineRule="auto"/>
        <w:jc w:val="left"/>
      </w:pPr>
      <w:r>
        <w:rPr>
          <w:b/>
          <w:bCs/>
        </w:rPr>
        <w:t xml:space="preserve">Entregador:</w:t>
      </w:r>
      <w:r>
        <w:t xml:space="preserve"> ver as Boxes prontas; iniciar a rota; confirmar a entrega com o nome de quem recebeu ou registrar ocorrência.</w:t>
      </w:r>
    </w:p>
    <w:p>
      <w:pPr>
        <w:pStyle w:val="Heading2"/>
        <w:keepNext/>
      </w:pPr>
      <w:bookmarkStart w:name="sec_015" w:id="15"/>
      <w:r>
        <w:t xml:space="preserve">3.3 Características dos usuários</w:t>
      </w:r>
      <w:bookmarkEnd w:id="15"/>
    </w:p>
    <w:p>
      <w:pPr>
        <w:spacing w:after="120" w:before="0" w:line="360" w:lineRule="auto"/>
        <w:ind w:firstLine="709"/>
        <w:jc w:val="both"/>
      </w:pPr>
      <w:r>
        <w:t xml:space="preserve">As quatro personas abaixo representam os perfis do sistema. São as mesmas da base de exemplo e do protótipo, o que mantém coerentes os requisitos, os testes e a demonstração.</w:t>
      </w:r>
    </w:p>
    <w:p>
      <w:pPr>
        <w:keepNext/>
        <w:spacing w:after="100" w:before="200" w:line="276" w:lineRule="auto"/>
        <w:jc w:val="center"/>
      </w:pPr>
      <w:r>
        <w:rPr>
          <w:b/>
          <w:bCs/>
          <w:color w:val="0E1F33"/>
          <w:sz w:val="20"/>
          <w:szCs w:val="20"/>
        </w:rPr>
        <w:t xml:space="preserve">Quadro 7 — Personas</w:t>
      </w:r>
    </w:p>
    <w:tbl>
      <w:tblPr>
        <w:tblW w:type="dxa" w:w="9071"/>
        <w:tblBorders>
          <w:top w:val="single" w:color="C9D3DA" w:sz="4"/>
          <w:left w:val="single" w:color="C9D3DA" w:sz="4"/>
          <w:bottom w:val="single" w:color="C9D3DA" w:sz="4"/>
          <w:right w:val="single" w:color="C9D3DA" w:sz="4"/>
          <w:insideH w:val="single" w:color="C9D3DA" w:sz="4"/>
          <w:insideV w:val="single" w:color="C9D3DA" w:sz="4"/>
        </w:tblBorders>
        <w:tblLayout w:type="fixed"/>
      </w:tblPr>
      <w:tblGrid>
        <w:gridCol w:w="1700"/>
        <w:gridCol w:w="1800"/>
        <w:gridCol w:w="3300"/>
        <w:gridCol w:w="2271"/>
      </w:tblGrid>
      <w:tr>
        <w:trPr>
          <w:cantSplit/>
          <w:tblHeader/>
        </w:trPr>
        <w:tc>
          <w:tcPr>
            <w:tcW w:type="dxa" w:w="17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Persona</w:t>
            </w:r>
          </w:p>
        </w:tc>
        <w:tc>
          <w:tcPr>
            <w:tcW w:type="dxa" w:w="18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Perfil</w:t>
            </w:r>
          </w:p>
        </w:tc>
        <w:tc>
          <w:tcPr>
            <w:tcW w:type="dxa" w:w="33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Quem é</w:t>
            </w:r>
          </w:p>
        </w:tc>
        <w:tc>
          <w:tcPr>
            <w:tcW w:type="dxa" w:w="2271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O que precisa do sistema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Carlos Mendes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Paciente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58 anos, quatro medicamentos de uso contínuo, usa o celular para quase tudo e tem pouca paciência com telas complicadas.</w:t>
            </w:r>
          </w:p>
        </w:tc>
        <w:tc>
          <w:tcPr>
            <w:tcW w:type="dxa" w:w="22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Não ficar sem remédio e não se confundir com horários.</w:t>
            </w:r>
          </w:p>
        </w:tc>
      </w:tr>
      <w:tr>
        <w:trPr>
          <w:cantSplit/>
        </w:trPr>
        <w:tc>
          <w:tcPr>
            <w:tcW w:type="dxa" w:w="17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Juliana Prado</w:t>
            </w:r>
          </w:p>
        </w:tc>
        <w:tc>
          <w:tcPr>
            <w:tcW w:type="dxa" w:w="18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Farmacêutica RT (Administrador)</w:t>
            </w:r>
          </w:p>
        </w:tc>
        <w:tc>
          <w:tcPr>
            <w:tcW w:type="dxa" w:w="3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34 anos, responsável técnica pela operação. Analisa receitas e responde pela farmácia.</w:t>
            </w:r>
          </w:p>
        </w:tc>
        <w:tc>
          <w:tcPr>
            <w:tcW w:type="dxa" w:w="22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Validar com segurança e sem fila; não perder medicamento por validade.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Bruno Lima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Operador (Funcionário)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Separa e etiqueta os sachês, registra entradas de lote.</w:t>
            </w:r>
          </w:p>
        </w:tc>
        <w:tc>
          <w:tcPr>
            <w:tcW w:type="dxa" w:w="22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Saber exatamente quais lotes separar e não errar a baixa.</w:t>
            </w:r>
          </w:p>
        </w:tc>
      </w:tr>
      <w:tr>
        <w:trPr>
          <w:cantSplit/>
        </w:trPr>
        <w:tc>
          <w:tcPr>
            <w:tcW w:type="dxa" w:w="17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Rafael Souza</w:t>
            </w:r>
          </w:p>
        </w:tc>
        <w:tc>
          <w:tcPr>
            <w:tcW w:type="dxa" w:w="18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Entregador</w:t>
            </w:r>
          </w:p>
        </w:tc>
        <w:tc>
          <w:tcPr>
            <w:tcW w:type="dxa" w:w="3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Faz as rotas de moto, com o celular no suporte.</w:t>
            </w:r>
          </w:p>
        </w:tc>
        <w:tc>
          <w:tcPr>
            <w:tcW w:type="dxa" w:w="22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Ver o endereço, iniciar a rota e confirmar a entrega com poucos toques.</w:t>
            </w:r>
          </w:p>
        </w:tc>
      </w:tr>
    </w:tbl>
    <w:p>
      <w:pPr>
        <w:spacing w:after="240" w:before="80" w:line="240" w:lineRule="auto"/>
        <w:jc w:val="center"/>
      </w:pPr>
      <w:r>
        <w:rPr>
          <w:color w:val="455867"/>
          <w:sz w:val="18"/>
          <w:szCs w:val="18"/>
        </w:rPr>
        <w:t xml:space="preserve">Fonte: elaborado pelo grupo (2026).</w:t>
      </w:r>
    </w:p>
    <w:p>
      <w:pPr>
        <w:pStyle w:val="Heading2"/>
        <w:keepNext/>
      </w:pPr>
      <w:bookmarkStart w:name="sec_016" w:id="16"/>
      <w:r>
        <w:t xml:space="preserve">3.4 Restrições</w:t>
      </w:r>
      <w:bookmarkEnd w:id="16"/>
    </w:p>
    <w:p>
      <w:pPr>
        <w:keepNext/>
        <w:spacing w:after="100" w:before="200" w:line="276" w:lineRule="auto"/>
        <w:jc w:val="center"/>
      </w:pPr>
      <w:r>
        <w:rPr>
          <w:b/>
          <w:bCs/>
          <w:color w:val="0E1F33"/>
          <w:sz w:val="20"/>
          <w:szCs w:val="20"/>
        </w:rPr>
        <w:t xml:space="preserve">Quadro 8 — Restrições de projeto</w:t>
      </w:r>
    </w:p>
    <w:tbl>
      <w:tblPr>
        <w:tblW w:type="dxa" w:w="9071"/>
        <w:tblBorders>
          <w:top w:val="single" w:color="C9D3DA" w:sz="4"/>
          <w:left w:val="single" w:color="C9D3DA" w:sz="4"/>
          <w:bottom w:val="single" w:color="C9D3DA" w:sz="4"/>
          <w:right w:val="single" w:color="C9D3DA" w:sz="4"/>
          <w:insideH w:val="single" w:color="C9D3DA" w:sz="4"/>
          <w:insideV w:val="single" w:color="C9D3DA" w:sz="4"/>
        </w:tblBorders>
        <w:tblLayout w:type="fixed"/>
      </w:tblPr>
      <w:tblGrid>
        <w:gridCol w:w="800"/>
        <w:gridCol w:w="1500"/>
        <w:gridCol w:w="6771"/>
      </w:tblGrid>
      <w:tr>
        <w:trPr>
          <w:cantSplit/>
          <w:tblHeader/>
        </w:trPr>
        <w:tc>
          <w:tcPr>
            <w:tcW w:type="dxa" w:w="8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Tipo</w:t>
            </w:r>
          </w:p>
        </w:tc>
        <w:tc>
          <w:tcPr>
            <w:tcW w:type="dxa" w:w="6771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Restrição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9"/>
                <w:szCs w:val="19"/>
              </w:rPr>
              <w:t xml:space="preserve">R01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Tecnológica</w:t>
            </w:r>
          </w:p>
        </w:tc>
        <w:tc>
          <w:tcPr>
            <w:tcW w:type="dxa" w:w="67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Front-end em Vue.js 3 (SPA); API REST em C# com ASP.NET Core 8; banco MySQL 8 via Entity Framework Core (continuidade do PIM).</w:t>
            </w:r>
          </w:p>
        </w:tc>
      </w:tr>
      <w:tr>
        <w:trPr>
          <w:cantSplit/>
        </w:trPr>
        <w:tc>
          <w:tcPr>
            <w:tcW w:type="dxa" w:w="8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9"/>
                <w:szCs w:val="19"/>
              </w:rPr>
              <w:t xml:space="preserve">R02</w:t>
            </w:r>
          </w:p>
        </w:tc>
        <w:tc>
          <w:tcPr>
            <w:tcW w:type="dxa" w:w="15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Regulatória</w:t>
            </w:r>
          </w:p>
        </w:tc>
        <w:tc>
          <w:tcPr>
            <w:tcW w:type="dxa" w:w="67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O fracionamento só pode ser feito por farmácia habilitada, sob responsabilidade de farmacêutico (RDC ANVISA nº 80/2006 — a vigência e as exigências de rotulagem devem ser confirmadas com o RT).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9"/>
                <w:szCs w:val="19"/>
              </w:rPr>
              <w:t xml:space="preserve">R03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Regulatória</w:t>
            </w:r>
          </w:p>
        </w:tc>
        <w:tc>
          <w:tcPr>
            <w:tcW w:type="dxa" w:w="67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Medicamentos sujeitos a controle especial (Portaria SVS/MS nº 344/1998) exigem retenção de receita e escrituração próprias e ficam fora da Box (RN09).</w:t>
            </w:r>
          </w:p>
        </w:tc>
      </w:tr>
      <w:tr>
        <w:trPr>
          <w:cantSplit/>
        </w:trPr>
        <w:tc>
          <w:tcPr>
            <w:tcW w:type="dxa" w:w="8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9"/>
                <w:szCs w:val="19"/>
              </w:rPr>
              <w:t xml:space="preserve">R04</w:t>
            </w:r>
          </w:p>
        </w:tc>
        <w:tc>
          <w:tcPr>
            <w:tcW w:type="dxa" w:w="15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Legal</w:t>
            </w:r>
          </w:p>
        </w:tc>
        <w:tc>
          <w:tcPr>
            <w:tcW w:type="dxa" w:w="67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Tratamento de dados pessoais e de dados sensíveis de saúde conforme a LGPD (arts. 7º, 8º, 11, 16, 18 e 46).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9"/>
                <w:szCs w:val="19"/>
              </w:rPr>
              <w:t xml:space="preserve">R05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Clínica</w:t>
            </w:r>
          </w:p>
        </w:tc>
        <w:tc>
          <w:tcPr>
            <w:tcW w:type="dxa" w:w="67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O sistema não faz validação clínica automática (interações, doses máximas): a análise da receita é sempre humana, por farmacêutico.</w:t>
            </w:r>
          </w:p>
        </w:tc>
      </w:tr>
      <w:tr>
        <w:trPr>
          <w:cantSplit/>
        </w:trPr>
        <w:tc>
          <w:tcPr>
            <w:tcW w:type="dxa" w:w="8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9"/>
                <w:szCs w:val="19"/>
              </w:rPr>
              <w:t xml:space="preserve">R06</w:t>
            </w:r>
          </w:p>
        </w:tc>
        <w:tc>
          <w:tcPr>
            <w:tcW w:type="dxa" w:w="15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Prazo</w:t>
            </w:r>
          </w:p>
        </w:tc>
        <w:tc>
          <w:tcPr>
            <w:tcW w:type="dxa" w:w="67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Projeto acadêmico do PIM III, com entrega semestral e equipe de cinco pessoas.</w:t>
            </w:r>
          </w:p>
        </w:tc>
      </w:tr>
    </w:tbl>
    <w:p>
      <w:pPr>
        <w:spacing w:after="240" w:before="80" w:line="240" w:lineRule="auto"/>
        <w:jc w:val="center"/>
      </w:pPr>
      <w:r>
        <w:rPr>
          <w:color w:val="455867"/>
          <w:sz w:val="18"/>
          <w:szCs w:val="18"/>
        </w:rPr>
        <w:t xml:space="preserve">Fonte: elaborado pelo grupo (2026).</w:t>
      </w:r>
    </w:p>
    <w:p>
      <w:pPr>
        <w:pStyle w:val="Heading2"/>
        <w:keepNext/>
      </w:pPr>
      <w:bookmarkStart w:name="sec_017" w:id="17"/>
      <w:r>
        <w:t xml:space="preserve">3.5 Suposições e dependências</w:t>
      </w:r>
      <w:bookmarkEnd w:id="17"/>
    </w:p>
    <w:p>
      <w:pPr>
        <w:pStyle w:val="ListParagraph"/>
        <w:numPr>
          <w:ilvl w:val="0"/>
          <w:numId w:val="2"/>
        </w:numPr>
        <w:spacing w:after="80" w:line="320" w:lineRule="auto"/>
        <w:jc w:val="left"/>
      </w:pPr>
      <w:r>
        <w:rPr>
          <w:b/>
          <w:bCs/>
        </w:rPr>
        <w:t xml:space="preserve">S01</w:t>
      </w:r>
      <w:r>
        <w:t xml:space="preserve"> — A farmácia parceira tem farmacêutico RT disponível no horário comercial para analisar receitas.</w:t>
      </w:r>
    </w:p>
    <w:p>
      <w:pPr>
        <w:pStyle w:val="ListParagraph"/>
        <w:numPr>
          <w:ilvl w:val="0"/>
          <w:numId w:val="2"/>
        </w:numPr>
        <w:spacing w:after="80" w:line="320" w:lineRule="auto"/>
        <w:jc w:val="left"/>
      </w:pPr>
      <w:r>
        <w:rPr>
          <w:b/>
          <w:bCs/>
        </w:rPr>
        <w:t xml:space="preserve">S02</w:t>
      </w:r>
      <w:r>
        <w:t xml:space="preserve"> — O paciente tem acesso a um celular ou computador com navegador atual e consegue fotografar ou digitalizar a receita.</w:t>
      </w:r>
    </w:p>
    <w:p>
      <w:pPr>
        <w:pStyle w:val="ListParagraph"/>
        <w:numPr>
          <w:ilvl w:val="0"/>
          <w:numId w:val="2"/>
        </w:numPr>
        <w:spacing w:after="80" w:line="320" w:lineRule="auto"/>
        <w:jc w:val="left"/>
      </w:pPr>
      <w:r>
        <w:rPr>
          <w:b/>
          <w:bCs/>
        </w:rPr>
        <w:t xml:space="preserve">S03</w:t>
      </w:r>
      <w:r>
        <w:t xml:space="preserve"> — A rotina de comunicação de incidentes de segurança à ANPD e aos titulares (LGPD art. 48) é um processo da organização, apoiado pelos registros do sistema.</w:t>
      </w:r>
    </w:p>
    <w:p>
      <w:pPr>
        <w:pStyle w:val="ListParagraph"/>
        <w:numPr>
          <w:ilvl w:val="0"/>
          <w:numId w:val="2"/>
        </w:numPr>
        <w:spacing w:after="80" w:line="320" w:lineRule="auto"/>
        <w:jc w:val="left"/>
      </w:pPr>
      <w:r>
        <w:rPr>
          <w:b/>
          <w:bCs/>
        </w:rPr>
        <w:t xml:space="preserve">S04</w:t>
      </w:r>
      <w:r>
        <w:t xml:space="preserve"> — A hospedagem oferece HTTPS com certificado válido e MySQL 8 gerenciado com backup diário.</w:t>
      </w:r>
    </w:p>
    <w:p>
      <w:pPr>
        <w:pStyle w:val="Heading2"/>
        <w:keepNext/>
      </w:pPr>
      <w:bookmarkStart w:name="sec_018" w:id="18"/>
      <w:r>
        <w:t xml:space="preserve">3.6 Fora do escopo desta versão</w:t>
      </w:r>
      <w:bookmarkEnd w:id="18"/>
    </w:p>
    <w:p>
      <w:pPr>
        <w:pStyle w:val="ListParagraph"/>
        <w:numPr>
          <w:ilvl w:val="0"/>
          <w:numId w:val="2"/>
        </w:numPr>
        <w:spacing w:after="80" w:line="320" w:lineRule="auto"/>
        <w:jc w:val="left"/>
      </w:pPr>
      <w:r>
        <w:t xml:space="preserve">Pagamento e emissão de nota fiscal.</w:t>
      </w:r>
    </w:p>
    <w:p>
      <w:pPr>
        <w:pStyle w:val="ListParagraph"/>
        <w:numPr>
          <w:ilvl w:val="0"/>
          <w:numId w:val="2"/>
        </w:numPr>
        <w:spacing w:after="80" w:line="320" w:lineRule="auto"/>
        <w:jc w:val="left"/>
      </w:pPr>
      <w:r>
        <w:t xml:space="preserve">Integração com o Sistema Nacional de Controle de Medicamentos (SNCM) e leitura de código Datamatrix.</w:t>
      </w:r>
    </w:p>
    <w:p>
      <w:pPr>
        <w:pStyle w:val="ListParagraph"/>
        <w:numPr>
          <w:ilvl w:val="0"/>
          <w:numId w:val="2"/>
        </w:numPr>
        <w:spacing w:after="80" w:line="320" w:lineRule="auto"/>
        <w:jc w:val="left"/>
      </w:pPr>
      <w:r>
        <w:t xml:space="preserve">Validação clínica automática (interações medicamentosas e doses máximas).</w:t>
      </w:r>
    </w:p>
    <w:p>
      <w:pPr>
        <w:pStyle w:val="ListParagraph"/>
        <w:numPr>
          <w:ilvl w:val="0"/>
          <w:numId w:val="2"/>
        </w:numPr>
        <w:spacing w:after="80" w:line="320" w:lineRule="auto"/>
        <w:jc w:val="left"/>
      </w:pPr>
      <w:r>
        <w:t xml:space="preserve">Rastreio do entregador por GPS em tempo real e roteirização automática.</w:t>
      </w:r>
    </w:p>
    <w:p>
      <w:pPr>
        <w:pStyle w:val="ListParagraph"/>
        <w:numPr>
          <w:ilvl w:val="0"/>
          <w:numId w:val="2"/>
        </w:numPr>
        <w:spacing w:after="80" w:line="320" w:lineRule="auto"/>
        <w:jc w:val="left"/>
      </w:pPr>
      <w:r>
        <w:t xml:space="preserve">Aplicativo nativo; o acesso é pelo navegador, com layout responsivo.</w:t>
      </w:r>
    </w:p>
    <w:p>
      <w:pPr>
        <w:sectPr>
          <w:headerReference w:type="default" r:id="rId17"/>
          <w:footerReference w:type="default" r:id="rId18"/>
          <w:type w:val="nextPage"/>
          <w:pgSz w:w="11906" w:h="16838" w:orient="portrait"/>
          <w:pgMar w:top="1701" w:right="1134" w:bottom="1134" w:left="1701" w:header="851" w:footer="567" w:gutter="0"/>
          <w:pgNumType/>
          <w:docGrid w:linePitch="360"/>
        </w:sectPr>
      </w:pPr>
    </w:p>
    <w:p>
      <w:pPr>
        <w:pStyle w:val="Heading1"/>
        <w:keepNext/>
      </w:pPr>
      <w:bookmarkStart w:name="sec_019" w:id="19"/>
      <w:r>
        <w:t xml:space="preserve">4 Requisitos específicos</w:t>
      </w:r>
      <w:bookmarkEnd w:id="19"/>
    </w:p>
    <w:p>
      <w:pPr>
        <w:spacing w:after="120" w:before="0" w:line="360" w:lineRule="auto"/>
        <w:ind w:firstLine="709"/>
        <w:jc w:val="both"/>
      </w:pPr>
      <w:r>
        <w:t xml:space="preserve">Cada requisito tem identificador único, descreve uma única capacidade e traz critério de aceitação e forma de verificação, atendendo às características de requisitos individuais da ISO/IEC/IEEE 29148 (necessário, apropriado, inequívoco, completo, singular, viável, verificável, correto e conforme). </w:t>
      </w:r>
      <w:r>
        <w:rPr>
          <w:b/>
          <w:bCs/>
        </w:rPr>
        <w:t xml:space="preserve">Prioridade:</w:t>
      </w:r>
      <w:r>
        <w:t xml:space="preserve"> Essencial (sem ele o produto não cumpre o objetivo) ou Importante (faz parte da versão, mas pode ser entregue depois dos essenciais). </w:t>
      </w:r>
      <w:r>
        <w:rPr>
          <w:b/>
          <w:bCs/>
        </w:rPr>
        <w:t xml:space="preserve">Origem:</w:t>
      </w:r>
      <w:r>
        <w:t xml:space="preserve"> a seção do PIM de onde o requisito veio, ou "Revisão" quando é novo.</w:t>
      </w:r>
    </w:p>
    <w:p>
      <w:pPr>
        <w:pStyle w:val="Heading2"/>
        <w:keepNext/>
      </w:pPr>
      <w:bookmarkStart w:name="sec_020" w:id="20"/>
      <w:r>
        <w:t xml:space="preserve">4.1 Requisitos funcionais</w:t>
      </w:r>
      <w:bookmarkEnd w:id="20"/>
    </w:p>
    <w:p>
      <w:pPr>
        <w:keepNext/>
        <w:spacing w:after="100" w:before="200" w:line="276" w:lineRule="auto"/>
        <w:jc w:val="center"/>
      </w:pPr>
      <w:r>
        <w:rPr>
          <w:b/>
          <w:bCs/>
          <w:color w:val="0E1F33"/>
          <w:sz w:val="20"/>
          <w:szCs w:val="20"/>
        </w:rPr>
        <w:t xml:space="preserve">Quadro 9 — Requisitos funcionais</w:t>
      </w:r>
    </w:p>
    <w:tbl>
      <w:tblPr>
        <w:tblW w:type="dxa" w:w="14003"/>
        <w:tblBorders>
          <w:top w:val="single" w:color="C9D3DA" w:sz="4"/>
          <w:left w:val="single" w:color="C9D3DA" w:sz="4"/>
          <w:bottom w:val="single" w:color="C9D3DA" w:sz="4"/>
          <w:right w:val="single" w:color="C9D3DA" w:sz="4"/>
          <w:insideH w:val="single" w:color="C9D3DA" w:sz="4"/>
          <w:insideV w:val="single" w:color="C9D3DA" w:sz="4"/>
        </w:tblBorders>
        <w:tblLayout w:type="fixed"/>
      </w:tblPr>
      <w:tblGrid>
        <w:gridCol w:w="750"/>
        <w:gridCol w:w="4300"/>
        <w:gridCol w:w="4300"/>
        <w:gridCol w:w="1150"/>
        <w:gridCol w:w="1700"/>
        <w:gridCol w:w="1803"/>
      </w:tblGrid>
      <w:tr>
        <w:trPr>
          <w:cantSplit/>
          <w:tblHeader/>
        </w:trPr>
        <w:tc>
          <w:tcPr>
            <w:tcW w:type="dxa" w:w="75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 xml:space="preserve">ID</w:t>
            </w:r>
          </w:p>
        </w:tc>
        <w:tc>
          <w:tcPr>
            <w:tcW w:type="dxa" w:w="43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 xml:space="preserve">Requisito</w:t>
            </w:r>
          </w:p>
        </w:tc>
        <w:tc>
          <w:tcPr>
            <w:tcW w:type="dxa" w:w="43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115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 xml:space="preserve">Prioridade</w:t>
            </w:r>
          </w:p>
        </w:tc>
        <w:tc>
          <w:tcPr>
            <w:tcW w:type="dxa" w:w="17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 xml:space="preserve">Origem</w:t>
            </w:r>
          </w:p>
        </w:tc>
        <w:tc>
          <w:tcPr>
            <w:tcW w:type="dxa" w:w="1803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 xml:space="preserve">Verificação</w:t>
            </w:r>
          </w:p>
        </w:tc>
      </w:tr>
      <w:tr>
        <w:trPr>
          <w:cantSplit/>
        </w:trPr>
        <w:tc>
          <w:tcPr>
            <w:tcW w:type="dxa" w:w="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RF01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Cadastrar conta de paciente com nome completo, CPF, e-mail, senha, endereço de entrega e telefone opcional, mediante aceite dos Termos de Uso e da Política de Privacidade.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CPF com dígitos válidos; e-mail e CPF únicos (409 se repetidos); senha conforme RNF01; sem aceite, 400 com mensagem no campo.</w:t>
            </w:r>
          </w:p>
        </w:tc>
        <w:tc>
          <w:tcPr>
            <w:tcW w:type="dxa" w:w="11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Essencial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PIM §8.1, §12.7</w:t>
            </w:r>
          </w:p>
        </w:tc>
        <w:tc>
          <w:tcPr>
            <w:tcW w:type="dxa" w:w="18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Teste CT01–CT04</w:t>
            </w:r>
          </w:p>
        </w:tc>
      </w:tr>
      <w:tr>
        <w:trPr>
          <w:cantSplit/>
        </w:trPr>
        <w:tc>
          <w:tcPr>
            <w:tcW w:type="dxa" w:w="75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RF02</w:t>
            </w:r>
          </w:p>
        </w:tc>
        <w:tc>
          <w:tcPr>
            <w:tcW w:type="dxa" w:w="4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Autenticar o usuário por e-mail e senha e emitir token JWT com o perfil.</w:t>
            </w:r>
          </w:p>
        </w:tc>
        <w:tc>
          <w:tcPr>
            <w:tcW w:type="dxa" w:w="4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Token válido por 60 min; credencial errada responde 401 com mensagem genérica; bloqueio conforme RN17.</w:t>
            </w:r>
          </w:p>
        </w:tc>
        <w:tc>
          <w:tcPr>
            <w:tcW w:type="dxa" w:w="115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Essencial</w:t>
            </w:r>
          </w:p>
        </w:tc>
        <w:tc>
          <w:tcPr>
            <w:tcW w:type="dxa" w:w="17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PIM US22 (débito técnico)</w:t>
            </w:r>
          </w:p>
        </w:tc>
        <w:tc>
          <w:tcPr>
            <w:tcW w:type="dxa" w:w="18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Teste CT06–CT08</w:t>
            </w:r>
          </w:p>
        </w:tc>
      </w:tr>
      <w:tr>
        <w:trPr>
          <w:cantSplit/>
        </w:trPr>
        <w:tc>
          <w:tcPr>
            <w:tcW w:type="dxa" w:w="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RF03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Controlar o acesso de cada tela e endpoint pelo perfil: Paciente, Administrador (farmacêutico RT), Funcionário (operador) e Entregador.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Sem token, 401; perfil sem permissão, 403; menus mostram só o que o perfil pode usar.</w:t>
            </w:r>
          </w:p>
        </w:tc>
        <w:tc>
          <w:tcPr>
            <w:tcW w:type="dxa" w:w="11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Essencial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PIM RF03, §12.4</w:t>
            </w:r>
          </w:p>
        </w:tc>
        <w:tc>
          <w:tcPr>
            <w:tcW w:type="dxa" w:w="18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Teste CT09, CT10, CT24</w:t>
            </w:r>
          </w:p>
        </w:tc>
      </w:tr>
      <w:tr>
        <w:trPr>
          <w:cantSplit/>
        </w:trPr>
        <w:tc>
          <w:tcPr>
            <w:tcW w:type="dxa" w:w="75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RF04</w:t>
            </w:r>
          </w:p>
        </w:tc>
        <w:tc>
          <w:tcPr>
            <w:tcW w:type="dxa" w:w="4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Permitir ao Administrador cadastrar usuários internos e ativar ou desativar contas.</w:t>
            </w:r>
          </w:p>
        </w:tc>
        <w:tc>
          <w:tcPr>
            <w:tcW w:type="dxa" w:w="4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Perfil Paciente não pode ser criado por aqui; o administrador não desativa a própria conta.</w:t>
            </w:r>
          </w:p>
        </w:tc>
        <w:tc>
          <w:tcPr>
            <w:tcW w:type="dxa" w:w="115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Importante</w:t>
            </w:r>
          </w:p>
        </w:tc>
        <w:tc>
          <w:tcPr>
            <w:tcW w:type="dxa" w:w="17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PIM RF03</w:t>
            </w:r>
          </w:p>
        </w:tc>
        <w:tc>
          <w:tcPr>
            <w:tcW w:type="dxa" w:w="18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Teste CT36</w:t>
            </w:r>
          </w:p>
        </w:tc>
      </w:tr>
      <w:tr>
        <w:trPr>
          <w:cantSplit/>
        </w:trPr>
        <w:tc>
          <w:tcPr>
            <w:tcW w:type="dxa" w:w="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RF05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Permitir ao paciente enviar a receita médica em PDF, PNG ou JPG, com até 10 MB, com consentimento específico para dados de saúde.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Arquivo validado por extensão, assinatura binária e tamanho; receita criada como Pendente; sem consentimento, 400.</w:t>
            </w:r>
          </w:p>
        </w:tc>
        <w:tc>
          <w:tcPr>
            <w:tcW w:type="dxa" w:w="11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Essencial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PIM §8.1, §12.7</w:t>
            </w:r>
          </w:p>
        </w:tc>
        <w:tc>
          <w:tcPr>
            <w:tcW w:type="dxa" w:w="18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Teste CT11–CT13</w:t>
            </w:r>
          </w:p>
        </w:tc>
      </w:tr>
      <w:tr>
        <w:trPr>
          <w:cantSplit/>
        </w:trPr>
        <w:tc>
          <w:tcPr>
            <w:tcW w:type="dxa" w:w="75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RF06</w:t>
            </w:r>
          </w:p>
        </w:tc>
        <w:tc>
          <w:tcPr>
            <w:tcW w:type="dxa" w:w="4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Permitir ao farmacêutico analisar a receita: aprovar definindo a validade ou recusar informando o motivo.</w:t>
            </w:r>
          </w:p>
        </w:tc>
        <w:tc>
          <w:tcPr>
            <w:tcW w:type="dxa" w:w="4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Aprovação leva os pedidos pendentes da receita para Em separação; recusa exige motivo com 5+ caracteres e libera a reserva.</w:t>
            </w:r>
          </w:p>
        </w:tc>
        <w:tc>
          <w:tcPr>
            <w:tcW w:type="dxa" w:w="115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Essencial</w:t>
            </w:r>
          </w:p>
        </w:tc>
        <w:tc>
          <w:tcPr>
            <w:tcW w:type="dxa" w:w="17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PIM §8.2</w:t>
            </w:r>
          </w:p>
        </w:tc>
        <w:tc>
          <w:tcPr>
            <w:tcW w:type="dxa" w:w="18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Teste CT22–CT24</w:t>
            </w:r>
          </w:p>
        </w:tc>
      </w:tr>
      <w:tr>
        <w:trPr>
          <w:cantSplit/>
        </w:trPr>
        <w:tc>
          <w:tcPr>
            <w:tcW w:type="dxa" w:w="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RF07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Manter o catálogo de medicamentos: nome, princípio ativo, concentração, forma farmacêutica, tarja, controle especial e nível mínimo.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Duplicidade (nome + concentração) recusada com 409.</w:t>
            </w:r>
          </w:p>
        </w:tc>
        <w:tc>
          <w:tcPr>
            <w:tcW w:type="dxa" w:w="11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Essencial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PIM §4.2 (modelo Medicamento)</w:t>
            </w:r>
          </w:p>
        </w:tc>
        <w:tc>
          <w:tcPr>
            <w:tcW w:type="dxa" w:w="18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Inspeção + CT33</w:t>
            </w:r>
          </w:p>
        </w:tc>
      </w:tr>
      <w:tr>
        <w:trPr>
          <w:cantSplit/>
        </w:trPr>
        <w:tc>
          <w:tcPr>
            <w:tcW w:type="dxa" w:w="75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RF08</w:t>
            </w:r>
          </w:p>
        </w:tc>
        <w:tc>
          <w:tcPr>
            <w:tcW w:type="dxa" w:w="4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Registrar a entrada de lote (número, fabricação, validade e quantidade) e manter o histórico de movimentações de estoque.</w:t>
            </w:r>
          </w:p>
        </w:tc>
        <w:tc>
          <w:tcPr>
            <w:tcW w:type="dxa" w:w="4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Lote vencido, duplicado ou com quantidade ≤ 0 é recusado; toda entrada, reserva, liberação e baixa gera movimentação.</w:t>
            </w:r>
          </w:p>
        </w:tc>
        <w:tc>
          <w:tcPr>
            <w:tcW w:type="dxa" w:w="115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Essencial</w:t>
            </w:r>
          </w:p>
        </w:tc>
        <w:tc>
          <w:tcPr>
            <w:tcW w:type="dxa" w:w="17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PIM RF07</w:t>
            </w:r>
          </w:p>
        </w:tc>
        <w:tc>
          <w:tcPr>
            <w:tcW w:type="dxa" w:w="18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Teste CT25, CT33</w:t>
            </w:r>
          </w:p>
        </w:tc>
      </w:tr>
      <w:tr>
        <w:trPr>
          <w:cantSplit/>
        </w:trPr>
        <w:tc>
          <w:tcPr>
            <w:tcW w:type="dxa" w:w="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RF09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Permitir ao paciente montar a Box escolhendo medicamentos, horários e unidades por dose, com simulação de disponibilidade a cada alteração.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Simulação mostra, por item, necessário × disponível no ciclo, sem reservar nada.</w:t>
            </w:r>
          </w:p>
        </w:tc>
        <w:tc>
          <w:tcPr>
            <w:tcW w:type="dxa" w:w="11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Essencial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PIM §8.1 (SetupBoxView)</w:t>
            </w:r>
          </w:p>
        </w:tc>
        <w:tc>
          <w:tcPr>
            <w:tcW w:type="dxa" w:w="18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Teste CT15, CT16, CT18</w:t>
            </w:r>
          </w:p>
        </w:tc>
      </w:tr>
      <w:tr>
        <w:trPr>
          <w:cantSplit/>
        </w:trPr>
        <w:tc>
          <w:tcPr>
            <w:tcW w:type="dxa" w:w="75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RF10</w:t>
            </w:r>
          </w:p>
        </w:tc>
        <w:tc>
          <w:tcPr>
            <w:tcW w:type="dxa" w:w="4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Confirmar o pedido reservando o estoque de todos os itens na mesma transação.</w:t>
            </w:r>
          </w:p>
        </w:tc>
        <w:tc>
          <w:tcPr>
            <w:tcW w:type="dxa" w:w="4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Conforme RN03 e RN04; resposta 201 com o pedido e o histórico; 409 com a lista de faltas quando não houver saldo.</w:t>
            </w:r>
          </w:p>
        </w:tc>
        <w:tc>
          <w:tcPr>
            <w:tcW w:type="dxa" w:w="115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Essencial</w:t>
            </w:r>
          </w:p>
        </w:tc>
        <w:tc>
          <w:tcPr>
            <w:tcW w:type="dxa" w:w="17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PIM RF10 (revisado)</w:t>
            </w:r>
          </w:p>
        </w:tc>
        <w:tc>
          <w:tcPr>
            <w:tcW w:type="dxa" w:w="18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Teste CT17–CT21</w:t>
            </w:r>
          </w:p>
        </w:tc>
      </w:tr>
      <w:tr>
        <w:trPr>
          <w:cantSplit/>
        </w:trPr>
        <w:tc>
          <w:tcPr>
            <w:tcW w:type="dxa" w:w="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RF11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Permitir ao paciente cancelar o próprio pedido enquanto estiver Pendente.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A reserva volta ao disponível; em outro status, 409.</w:t>
            </w:r>
          </w:p>
        </w:tc>
        <w:tc>
          <w:tcPr>
            <w:tcW w:type="dxa" w:w="11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Importante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Revisão (novo)</w:t>
            </w:r>
          </w:p>
        </w:tc>
        <w:tc>
          <w:tcPr>
            <w:tcW w:type="dxa" w:w="18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Teste CT27</w:t>
            </w:r>
          </w:p>
        </w:tc>
      </w:tr>
      <w:tr>
        <w:trPr>
          <w:cantSplit/>
        </w:trPr>
        <w:tc>
          <w:tcPr>
            <w:tcW w:type="dxa" w:w="75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RF12</w:t>
            </w:r>
          </w:p>
        </w:tc>
        <w:tc>
          <w:tcPr>
            <w:tcW w:type="dxa" w:w="4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Exibir à equipe a fila de pedidos por status, com detalhes do pedido.</w:t>
            </w:r>
          </w:p>
        </w:tc>
        <w:tc>
          <w:tcPr>
            <w:tcW w:type="dxa" w:w="4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Abas por status com contagem; detalhe com itens, horários, lotes e histórico.</w:t>
            </w:r>
          </w:p>
        </w:tc>
        <w:tc>
          <w:tcPr>
            <w:tcW w:type="dxa" w:w="115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Essencial</w:t>
            </w:r>
          </w:p>
        </w:tc>
        <w:tc>
          <w:tcPr>
            <w:tcW w:type="dxa" w:w="17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PIM §8.2 (AdminView)</w:t>
            </w:r>
          </w:p>
        </w:tc>
        <w:tc>
          <w:tcPr>
            <w:tcW w:type="dxa" w:w="18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Demonstração</w:t>
            </w:r>
          </w:p>
        </w:tc>
      </w:tr>
      <w:tr>
        <w:trPr>
          <w:cantSplit/>
        </w:trPr>
        <w:tc>
          <w:tcPr>
            <w:tcW w:type="dxa" w:w="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RF13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Separar e finalizar a Box, com etiqueta por sachê (horário, medicamento, dose, lote e validade) e baixa definitiva.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Conforme RN06; status vai para Aguardando entregador.</w:t>
            </w:r>
          </w:p>
        </w:tc>
        <w:tc>
          <w:tcPr>
            <w:tcW w:type="dxa" w:w="11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Essencial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PIM §8.2</w:t>
            </w:r>
          </w:p>
        </w:tc>
        <w:tc>
          <w:tcPr>
            <w:tcW w:type="dxa" w:w="18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Teste CT25</w:t>
            </w:r>
          </w:p>
        </w:tc>
      </w:tr>
      <w:tr>
        <w:trPr>
          <w:cantSplit/>
        </w:trPr>
        <w:tc>
          <w:tcPr>
            <w:tcW w:type="dxa" w:w="75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RF14</w:t>
            </w:r>
          </w:p>
        </w:tc>
        <w:tc>
          <w:tcPr>
            <w:tcW w:type="dxa" w:w="4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Emitir alertas de estoque abaixo do mínimo, de lote a vencer em até 30 dias e de lote vencido com saldo.</w:t>
            </w:r>
          </w:p>
        </w:tc>
        <w:tc>
          <w:tcPr>
            <w:tcW w:type="dxa" w:w="4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Conforme RN05 e RN10; alertas ordenados por gravidade.</w:t>
            </w:r>
          </w:p>
        </w:tc>
        <w:tc>
          <w:tcPr>
            <w:tcW w:type="dxa" w:w="115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Importante</w:t>
            </w:r>
          </w:p>
        </w:tc>
        <w:tc>
          <w:tcPr>
            <w:tcW w:type="dxa" w:w="17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PIM §8.2 item 4</w:t>
            </w:r>
          </w:p>
        </w:tc>
        <w:tc>
          <w:tcPr>
            <w:tcW w:type="dxa" w:w="18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Teste CT33</w:t>
            </w:r>
          </w:p>
        </w:tc>
      </w:tr>
      <w:tr>
        <w:trPr>
          <w:cantSplit/>
        </w:trPr>
        <w:tc>
          <w:tcPr>
            <w:tcW w:type="dxa" w:w="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RF15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Listar ao entregador as Boxes prontas e permitir iniciar a rota.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Status vai para Em rota e a tentativa é registrada com data e hora.</w:t>
            </w:r>
          </w:p>
        </w:tc>
        <w:tc>
          <w:tcPr>
            <w:tcW w:type="dxa" w:w="11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Essencial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PIM §8.3</w:t>
            </w:r>
          </w:p>
        </w:tc>
        <w:tc>
          <w:tcPr>
            <w:tcW w:type="dxa" w:w="18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Teste CT28</w:t>
            </w:r>
          </w:p>
        </w:tc>
      </w:tr>
      <w:tr>
        <w:trPr>
          <w:cantSplit/>
        </w:trPr>
        <w:tc>
          <w:tcPr>
            <w:tcW w:type="dxa" w:w="75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RF16</w:t>
            </w:r>
          </w:p>
        </w:tc>
        <w:tc>
          <w:tcPr>
            <w:tcW w:type="dxa" w:w="4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Confirmar a entrega com o nome de quem recebeu, ou registrar ocorrência.</w:t>
            </w:r>
          </w:p>
        </w:tc>
        <w:tc>
          <w:tcPr>
            <w:tcW w:type="dxa" w:w="4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Conforme RN14; ocorrência devolve o pedido à fila.</w:t>
            </w:r>
          </w:p>
        </w:tc>
        <w:tc>
          <w:tcPr>
            <w:tcW w:type="dxa" w:w="115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Essencial</w:t>
            </w:r>
          </w:p>
        </w:tc>
        <w:tc>
          <w:tcPr>
            <w:tcW w:type="dxa" w:w="17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PIM §8.3</w:t>
            </w:r>
          </w:p>
        </w:tc>
        <w:tc>
          <w:tcPr>
            <w:tcW w:type="dxa" w:w="18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Teste CT29–CT31</w:t>
            </w:r>
          </w:p>
        </w:tc>
      </w:tr>
      <w:tr>
        <w:trPr>
          <w:cantSplit/>
        </w:trPr>
        <w:tc>
          <w:tcPr>
            <w:tcW w:type="dxa" w:w="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RF17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Permitir ao paciente acompanhar o pedido por linha do tempo, com mensagem de status e histórico.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Conforme RN13.</w:t>
            </w:r>
          </w:p>
        </w:tc>
        <w:tc>
          <w:tcPr>
            <w:tcW w:type="dxa" w:w="11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Essencial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PIM §8.1 item 4 (Dashboard)</w:t>
            </w:r>
          </w:p>
        </w:tc>
        <w:tc>
          <w:tcPr>
            <w:tcW w:type="dxa" w:w="18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Teste CT32</w:t>
            </w:r>
          </w:p>
        </w:tc>
      </w:tr>
      <w:tr>
        <w:trPr>
          <w:cantSplit/>
        </w:trPr>
        <w:tc>
          <w:tcPr>
            <w:tcW w:type="dxa" w:w="75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RF18</w:t>
            </w:r>
          </w:p>
        </w:tc>
        <w:tc>
          <w:tcPr>
            <w:tcW w:type="dxa" w:w="4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Exibir à equipe indicadores de resultado: tempo de ciclo P90, % entregue na 1ª tentativa, pedidos parados em separação há mais de 24 h, receitas pendentes, itens abaixo do mínimo e lotes vencidos ou a vencer.</w:t>
            </w:r>
          </w:p>
        </w:tc>
        <w:tc>
          <w:tcPr>
            <w:tcW w:type="dxa" w:w="4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Valores calculados sobre os últimos 30 dias; coerentes com a base de exemplo.</w:t>
            </w:r>
          </w:p>
        </w:tc>
        <w:tc>
          <w:tcPr>
            <w:tcW w:type="dxa" w:w="115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Importante</w:t>
            </w:r>
          </w:p>
        </w:tc>
        <w:tc>
          <w:tcPr>
            <w:tcW w:type="dxa" w:w="17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PIM (dashboard gerencial) e pitch ITIL 4</w:t>
            </w:r>
          </w:p>
        </w:tc>
        <w:tc>
          <w:tcPr>
            <w:tcW w:type="dxa" w:w="18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Teste CT37</w:t>
            </w:r>
          </w:p>
        </w:tc>
      </w:tr>
      <w:tr>
        <w:trPr>
          <w:cantSplit/>
        </w:trPr>
        <w:tc>
          <w:tcPr>
            <w:tcW w:type="dxa" w:w="7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RF19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Permitir ao titular consultar, exportar (JSON), corrigir e excluir os próprios dados.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Exportação nunca contém hash de senha; exclusão conforme RN16.</w:t>
            </w:r>
          </w:p>
        </w:tc>
        <w:tc>
          <w:tcPr>
            <w:tcW w:type="dxa" w:w="11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Essencial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PIM §12.8 (art. 18)</w:t>
            </w:r>
          </w:p>
        </w:tc>
        <w:tc>
          <w:tcPr>
            <w:tcW w:type="dxa" w:w="18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Teste CT34, CT35</w:t>
            </w:r>
          </w:p>
        </w:tc>
      </w:tr>
      <w:tr>
        <w:trPr>
          <w:cantSplit/>
        </w:trPr>
        <w:tc>
          <w:tcPr>
            <w:tcW w:type="dxa" w:w="75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RF20</w:t>
            </w:r>
          </w:p>
        </w:tc>
        <w:tc>
          <w:tcPr>
            <w:tcW w:type="dxa" w:w="4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Registrar trilha de auditoria: cada mudança de status com data, autor e motivo, e cada movimentação de estoque com usuário e pedido.</w:t>
            </w:r>
          </w:p>
        </w:tc>
        <w:tc>
          <w:tcPr>
            <w:tcW w:type="dxa" w:w="4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Histórico imutável pela interface.</w:t>
            </w:r>
          </w:p>
        </w:tc>
        <w:tc>
          <w:tcPr>
            <w:tcW w:type="dxa" w:w="115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Importante</w:t>
            </w:r>
          </w:p>
        </w:tc>
        <w:tc>
          <w:tcPr>
            <w:tcW w:type="dxa" w:w="17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Revisão (novo)</w:t>
            </w:r>
          </w:p>
        </w:tc>
        <w:tc>
          <w:tcPr>
            <w:tcW w:type="dxa" w:w="18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Teste CT32</w:t>
            </w:r>
          </w:p>
        </w:tc>
      </w:tr>
    </w:tbl>
    <w:p>
      <w:pPr>
        <w:spacing w:after="240" w:before="80" w:line="240" w:lineRule="auto"/>
        <w:jc w:val="center"/>
      </w:pPr>
      <w:r>
        <w:rPr>
          <w:color w:val="455867"/>
          <w:sz w:val="18"/>
          <w:szCs w:val="18"/>
        </w:rPr>
        <w:t xml:space="preserve">Fonte: elaborado pelo grupo (2026).</w:t>
      </w:r>
    </w:p>
    <w:p>
      <w:pPr>
        <w:sectPr>
          <w:headerReference w:type="default" r:id="rId19"/>
          <w:footerReference w:type="default" r:id="rId20"/>
          <w:type w:val="nextPage"/>
          <w:pgSz w:w="16838" w:h="11906" w:orient="landscape"/>
          <w:pgMar w:top="1418" w:right="1134" w:bottom="1134" w:left="1701" w:header="680" w:footer="510" w:gutter="0"/>
          <w:pgNumType/>
          <w:docGrid w:linePitch="360"/>
        </w:sectPr>
      </w:pPr>
    </w:p>
    <w:p>
      <w:pPr>
        <w:pStyle w:val="Heading2"/>
        <w:keepNext/>
      </w:pPr>
      <w:bookmarkStart w:name="sec_021" w:id="21"/>
      <w:r>
        <w:t xml:space="preserve">4.2 Regras de negócio</w:t>
      </w:r>
      <w:bookmarkEnd w:id="21"/>
    </w:p>
    <w:p>
      <w:pPr>
        <w:spacing w:after="120" w:before="0" w:line="360" w:lineRule="auto"/>
        <w:ind w:firstLine="709"/>
        <w:jc w:val="both"/>
      </w:pPr>
      <w:r>
        <w:t xml:space="preserve">As regras de negócio concentram as decisões do domínio farmacêutico. Cada regra é implementada num único lugar do código (entidade ou serviço de domínio) e tem pelo menos um caso de teste automatizado, como mostra a matriz do capítulo 9.</w:t>
      </w:r>
    </w:p>
    <w:p>
      <w:pPr>
        <w:keepNext/>
        <w:spacing w:after="100" w:before="200" w:line="276" w:lineRule="auto"/>
        <w:jc w:val="center"/>
      </w:pPr>
      <w:r>
        <w:rPr>
          <w:b/>
          <w:bCs/>
          <w:color w:val="0E1F33"/>
          <w:sz w:val="20"/>
          <w:szCs w:val="20"/>
        </w:rPr>
        <w:t xml:space="preserve">Quadro 10 — Regras de negócio</w:t>
      </w:r>
    </w:p>
    <w:tbl>
      <w:tblPr>
        <w:tblW w:type="dxa" w:w="9071"/>
        <w:tblBorders>
          <w:top w:val="single" w:color="C9D3DA" w:sz="4"/>
          <w:left w:val="single" w:color="C9D3DA" w:sz="4"/>
          <w:bottom w:val="single" w:color="C9D3DA" w:sz="4"/>
          <w:right w:val="single" w:color="C9D3DA" w:sz="4"/>
          <w:insideH w:val="single" w:color="C9D3DA" w:sz="4"/>
          <w:insideV w:val="single" w:color="C9D3DA" w:sz="4"/>
        </w:tblBorders>
        <w:tblLayout w:type="fixed"/>
      </w:tblPr>
      <w:tblGrid>
        <w:gridCol w:w="800"/>
        <w:gridCol w:w="1900"/>
        <w:gridCol w:w="6371"/>
      </w:tblGrid>
      <w:tr>
        <w:trPr>
          <w:cantSplit/>
          <w:tblHeader/>
        </w:trPr>
        <w:tc>
          <w:tcPr>
            <w:tcW w:type="dxa" w:w="8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Regra</w:t>
            </w:r>
          </w:p>
        </w:tc>
        <w:tc>
          <w:tcPr>
            <w:tcW w:type="dxa" w:w="6371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9"/>
                <w:szCs w:val="19"/>
              </w:rPr>
              <w:t xml:space="preserve">RN01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Acesso por perfil</w:t>
            </w:r>
          </w:p>
        </w:tc>
        <w:tc>
          <w:tcPr>
            <w:tcW w:type="dxa" w:w="63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Cada operação exige um perfil autorizado. O perfil vem do token JWT assinado pela API, nunca de dado enviado pelo navegador.</w:t>
            </w:r>
          </w:p>
        </w:tc>
      </w:tr>
      <w:tr>
        <w:trPr>
          <w:cantSplit/>
        </w:trPr>
        <w:tc>
          <w:tcPr>
            <w:tcW w:type="dxa" w:w="8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9"/>
                <w:szCs w:val="19"/>
              </w:rPr>
              <w:t xml:space="preserve">RN02</w:t>
            </w:r>
          </w:p>
        </w:tc>
        <w:tc>
          <w:tcPr>
            <w:tcW w:type="dxa" w:w="19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Receita obrigatória</w:t>
            </w:r>
          </w:p>
        </w:tc>
        <w:tc>
          <w:tcPr>
            <w:tcW w:type="dxa" w:w="63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Só é possível confirmar pedido com receita do próprio paciente, em análise ou aprovada e dentro da validade. A separação só começa depois da aprovação por farmacêutico (perfil Administrador). Nenhuma aprovação é automática.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9"/>
                <w:szCs w:val="19"/>
              </w:rPr>
              <w:t xml:space="preserve">RN03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Reserva na confirmação</w:t>
            </w:r>
          </w:p>
        </w:tc>
        <w:tc>
          <w:tcPr>
            <w:tcW w:type="dxa" w:w="63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Ao confirmar, o sistema reserva as quantidades de todos os itens numa única transação. Disponível = físico − reservado. Se algum item não tiver saldo, nada é reservado. Duas confirmações simultâneas sobre o mesmo saldo não podem ter sucesso ao mesmo tempo.</w:t>
            </w:r>
          </w:p>
        </w:tc>
      </w:tr>
      <w:tr>
        <w:trPr>
          <w:cantSplit/>
        </w:trPr>
        <w:tc>
          <w:tcPr>
            <w:tcW w:type="dxa" w:w="8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9"/>
                <w:szCs w:val="19"/>
              </w:rPr>
              <w:t xml:space="preserve">RN04</w:t>
            </w:r>
          </w:p>
        </w:tc>
        <w:tc>
          <w:tcPr>
            <w:tcW w:type="dxa" w:w="19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FEFO e validade do ciclo</w:t>
            </w:r>
          </w:p>
        </w:tc>
        <w:tc>
          <w:tcPr>
            <w:tcW w:type="dxa" w:w="63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A reserva consome primeiro os lotes de validade mais próxima, desde que válidos até o último dia do ciclo de 30 dias.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9"/>
                <w:szCs w:val="19"/>
              </w:rPr>
              <w:t xml:space="preserve">RN05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Lote vencido</w:t>
            </w:r>
          </w:p>
        </w:tc>
        <w:tc>
          <w:tcPr>
            <w:tcW w:type="dxa" w:w="63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Lote vencido não pode dar entrada nem ser reservado. Lote vencido com saldo gera alerta de segregação para descarte.</w:t>
            </w:r>
          </w:p>
        </w:tc>
      </w:tr>
      <w:tr>
        <w:trPr>
          <w:cantSplit/>
        </w:trPr>
        <w:tc>
          <w:tcPr>
            <w:tcW w:type="dxa" w:w="8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9"/>
                <w:szCs w:val="19"/>
              </w:rPr>
              <w:t xml:space="preserve">RN06</w:t>
            </w:r>
          </w:p>
        </w:tc>
        <w:tc>
          <w:tcPr>
            <w:tcW w:type="dxa" w:w="19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Baixa na finalização</w:t>
            </w:r>
          </w:p>
        </w:tc>
        <w:tc>
          <w:tcPr>
            <w:tcW w:type="dxa" w:w="63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Ao finalizar a Box, cada quantidade sai do físico e da reserva do lote em que estava reservada, gerando movimentação do tipo Baixa.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9"/>
                <w:szCs w:val="19"/>
              </w:rPr>
              <w:t xml:space="preserve">RN07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Liberação da reserva</w:t>
            </w:r>
          </w:p>
        </w:tc>
        <w:tc>
          <w:tcPr>
            <w:tcW w:type="dxa" w:w="63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Recusa da receita ou cancelamento pelo paciente devolvem a reserva ao disponível. O paciente só cancela enquanto o pedido está Pendente.</w:t>
            </w:r>
          </w:p>
        </w:tc>
      </w:tr>
      <w:tr>
        <w:trPr>
          <w:cantSplit/>
        </w:trPr>
        <w:tc>
          <w:tcPr>
            <w:tcW w:type="dxa" w:w="8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9"/>
                <w:szCs w:val="19"/>
              </w:rPr>
              <w:t xml:space="preserve">RN08</w:t>
            </w:r>
          </w:p>
        </w:tc>
        <w:tc>
          <w:tcPr>
            <w:tcW w:type="dxa" w:w="19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Máquina de estados</w:t>
            </w:r>
          </w:p>
        </w:tc>
        <w:tc>
          <w:tcPr>
            <w:tcW w:type="dxa" w:w="63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Pendente → Em separação, Recusado ou Cancelado. Em separação → Aguardando entregador. Aguardando entregador → Em rota. Em rota → Entregue ou, em caso de ocorrência, de volta a Aguardando entregador. Qualquer outra transição é recusada (409).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9"/>
                <w:szCs w:val="19"/>
              </w:rPr>
              <w:t xml:space="preserve">RN09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Controle especial</w:t>
            </w:r>
          </w:p>
        </w:tc>
        <w:tc>
          <w:tcPr>
            <w:tcW w:type="dxa" w:w="63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Medicamentos sujeitos à Portaria SVS/MS nº 344/1998 não entram na Box fracionada e não aparecem no catálogo do paciente.</w:t>
            </w:r>
          </w:p>
        </w:tc>
      </w:tr>
      <w:tr>
        <w:trPr>
          <w:cantSplit/>
        </w:trPr>
        <w:tc>
          <w:tcPr>
            <w:tcW w:type="dxa" w:w="8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9"/>
                <w:szCs w:val="19"/>
              </w:rPr>
              <w:t xml:space="preserve">RN10</w:t>
            </w:r>
          </w:p>
        </w:tc>
        <w:tc>
          <w:tcPr>
            <w:tcW w:type="dxa" w:w="19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Mínimo e validade próxima</w:t>
            </w:r>
          </w:p>
        </w:tc>
        <w:tc>
          <w:tcPr>
            <w:tcW w:type="dxa" w:w="63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Alerta quando o disponível (lotes não vencidos) fica igual ou abaixo do nível mínimo, e para lotes que vencem em até 30 dias.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9"/>
                <w:szCs w:val="19"/>
              </w:rPr>
              <w:t xml:space="preserve">RN11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Composição da Box</w:t>
            </w:r>
          </w:p>
        </w:tc>
        <w:tc>
          <w:tcPr>
            <w:tcW w:type="dxa" w:w="63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Ao menos um medicamento; cada medicamento uma única vez; de 1 a 6 horários distintos por medicamento (HH:mm); de 1 a 4 unidades por dose. Total do ciclo = doses diárias × 30.</w:t>
            </w:r>
          </w:p>
        </w:tc>
      </w:tr>
      <w:tr>
        <w:trPr>
          <w:cantSplit/>
        </w:trPr>
        <w:tc>
          <w:tcPr>
            <w:tcW w:type="dxa" w:w="8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9"/>
                <w:szCs w:val="19"/>
              </w:rPr>
              <w:t xml:space="preserve">RN12</w:t>
            </w:r>
          </w:p>
        </w:tc>
        <w:tc>
          <w:tcPr>
            <w:tcW w:type="dxa" w:w="19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Uma Box por vez</w:t>
            </w:r>
          </w:p>
        </w:tc>
        <w:tc>
          <w:tcPr>
            <w:tcW w:type="dxa" w:w="63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Não é possível confirmar novo pedido enquanto houver outro do mesmo paciente Pendente ou Em separação.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9"/>
                <w:szCs w:val="19"/>
              </w:rPr>
              <w:t xml:space="preserve">RN13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Status honesto</w:t>
            </w:r>
          </w:p>
        </w:tc>
        <w:tc>
          <w:tcPr>
            <w:tcW w:type="dxa" w:w="63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O paciente vê o status real e o histórico completo, com data, hora e motivo de cada transição, inclusive ocorrências de entrega.</w:t>
            </w:r>
          </w:p>
        </w:tc>
      </w:tr>
      <w:tr>
        <w:trPr>
          <w:cantSplit/>
        </w:trPr>
        <w:tc>
          <w:tcPr>
            <w:tcW w:type="dxa" w:w="8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9"/>
                <w:szCs w:val="19"/>
              </w:rPr>
              <w:t xml:space="preserve">RN14</w:t>
            </w:r>
          </w:p>
        </w:tc>
        <w:tc>
          <w:tcPr>
            <w:tcW w:type="dxa" w:w="19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Entrega</w:t>
            </w:r>
          </w:p>
        </w:tc>
        <w:tc>
          <w:tcPr>
            <w:tcW w:type="dxa" w:w="63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Só o entregador que iniciou a rota confirma a entrega, e a confirmação exige o nome de quem recebeu. A ocorrência devolve o pedido à fila e a próxima saída conta como nova tentativa.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9"/>
                <w:szCs w:val="19"/>
              </w:rPr>
              <w:t xml:space="preserve">RN15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Consentimento</w:t>
            </w:r>
          </w:p>
        </w:tc>
        <w:tc>
          <w:tcPr>
            <w:tcW w:type="dxa" w:w="63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O cadastro exige aceite dos termos (LGPD art. 7º, I). O envio de receita exige consentimento específico e destacado para dados de saúde (art. 11, I). Cada aceite guarda tipo, versão do termo, data e hora (art. 8º, §2º).</w:t>
            </w:r>
          </w:p>
        </w:tc>
      </w:tr>
      <w:tr>
        <w:trPr>
          <w:cantSplit/>
        </w:trPr>
        <w:tc>
          <w:tcPr>
            <w:tcW w:type="dxa" w:w="8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9"/>
                <w:szCs w:val="19"/>
              </w:rPr>
              <w:t xml:space="preserve">RN16</w:t>
            </w:r>
          </w:p>
        </w:tc>
        <w:tc>
          <w:tcPr>
            <w:tcW w:type="dxa" w:w="19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Eliminação de dados</w:t>
            </w:r>
          </w:p>
        </w:tc>
        <w:tc>
          <w:tcPr>
            <w:tcW w:type="dxa" w:w="63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O titular pode excluir a conta, exceto com Box em separação, pronta ou em rota. Pedidos pendentes são cancelados, arquivos de receita apagados e dados pessoais anonimizados; pedidos e movimentações ficam sem identificar o titular (art. 16, I).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9"/>
                <w:szCs w:val="19"/>
              </w:rPr>
              <w:t xml:space="preserve">RN17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Tentativas de login</w:t>
            </w:r>
          </w:p>
        </w:tc>
        <w:tc>
          <w:tcPr>
            <w:tcW w:type="dxa" w:w="63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Cinco falhas consecutivas bloqueiam a conta por 15 minutos. A mensagem de erro é genérica. Cada IP faz no máximo 10 tentativas de login por minuto.</w:t>
            </w:r>
          </w:p>
        </w:tc>
      </w:tr>
    </w:tbl>
    <w:p>
      <w:pPr>
        <w:spacing w:after="240" w:before="80" w:line="240" w:lineRule="auto"/>
        <w:jc w:val="center"/>
      </w:pPr>
      <w:r>
        <w:rPr>
          <w:color w:val="455867"/>
          <w:sz w:val="18"/>
          <w:szCs w:val="18"/>
        </w:rPr>
        <w:t xml:space="preserve">Fonte: elaborado pelo grupo (2026).</w:t>
      </w:r>
    </w:p>
    <w:p>
      <w:pPr>
        <w:pStyle w:val="Heading2"/>
        <w:keepNext/>
      </w:pPr>
      <w:bookmarkStart w:name="sec_022" w:id="22"/>
      <w:r>
        <w:t xml:space="preserve">4.3 Requisitos não funcionais</w:t>
      </w:r>
      <w:bookmarkEnd w:id="22"/>
    </w:p>
    <w:p>
      <w:pPr>
        <w:spacing w:after="120" w:before="0" w:line="360" w:lineRule="auto"/>
        <w:ind w:firstLine="709"/>
        <w:jc w:val="both"/>
      </w:pPr>
      <w:r>
        <w:t xml:space="preserve">Os requisitos não funcionais da versão original usavam termos sem medida ("tempo real", "alta disponibilidade", "baixa latência"). Na versão 2 cada um tem métrica ou condição objetiva e o método de verificação.</w:t>
      </w:r>
    </w:p>
    <w:p>
      <w:pPr>
        <w:keepNext/>
        <w:spacing w:after="100" w:before="200" w:line="276" w:lineRule="auto"/>
        <w:jc w:val="center"/>
      </w:pPr>
      <w:r>
        <w:rPr>
          <w:b/>
          <w:bCs/>
          <w:color w:val="0E1F33"/>
          <w:sz w:val="20"/>
          <w:szCs w:val="20"/>
        </w:rPr>
        <w:t xml:space="preserve">Quadro 11 — Requisitos não funcionais</w:t>
      </w:r>
    </w:p>
    <w:tbl>
      <w:tblPr>
        <w:tblW w:type="dxa" w:w="9071"/>
        <w:tblBorders>
          <w:top w:val="single" w:color="C9D3DA" w:sz="4"/>
          <w:left w:val="single" w:color="C9D3DA" w:sz="4"/>
          <w:bottom w:val="single" w:color="C9D3DA" w:sz="4"/>
          <w:right w:val="single" w:color="C9D3DA" w:sz="4"/>
          <w:insideH w:val="single" w:color="C9D3DA" w:sz="4"/>
          <w:insideV w:val="single" w:color="C9D3DA" w:sz="4"/>
        </w:tblBorders>
        <w:tblLayout w:type="fixed"/>
      </w:tblPr>
      <w:tblGrid>
        <w:gridCol w:w="850"/>
        <w:gridCol w:w="1500"/>
        <w:gridCol w:w="4521"/>
        <w:gridCol w:w="2200"/>
      </w:tblGrid>
      <w:tr>
        <w:trPr>
          <w:cantSplit/>
          <w:tblHeader/>
        </w:trPr>
        <w:tc>
          <w:tcPr>
            <w:tcW w:type="dxa" w:w="85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Categoria</w:t>
            </w:r>
          </w:p>
        </w:tc>
        <w:tc>
          <w:tcPr>
            <w:tcW w:type="dxa" w:w="4521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Requisito</w:t>
            </w:r>
          </w:p>
        </w:tc>
        <w:tc>
          <w:tcPr>
            <w:tcW w:type="dxa" w:w="22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Métrica ou verificação</w:t>
            </w:r>
          </w:p>
        </w:tc>
      </w:tr>
      <w:tr>
        <w:trPr>
          <w:cantSplit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9"/>
                <w:szCs w:val="19"/>
              </w:rPr>
              <w:t xml:space="preserve">RNF01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Segurança</w:t>
            </w:r>
          </w:p>
        </w:tc>
        <w:tc>
          <w:tcPr>
            <w:tcW w:type="dxa" w:w="452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Senhas armazenadas com PBKDF2-HMAC-SHA256, salt aleatório de 16 bytes por senha e 600.000 iterações, comparadas em tempo constante. Senha mínima de 8 caracteres, com letras e números.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Teste CT05 · inspeção do PasswordHasherPbkdf2</w:t>
            </w:r>
          </w:p>
        </w:tc>
      </w:tr>
      <w:tr>
        <w:trPr>
          <w:cantSplit/>
        </w:trPr>
        <w:tc>
          <w:tcPr>
            <w:tcW w:type="dxa" w:w="85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9"/>
                <w:szCs w:val="19"/>
              </w:rPr>
              <w:t xml:space="preserve">RNF02</w:t>
            </w:r>
          </w:p>
        </w:tc>
        <w:tc>
          <w:tcPr>
            <w:tcW w:type="dxa" w:w="15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Segurança</w:t>
            </w:r>
          </w:p>
        </w:tc>
        <w:tc>
          <w:tcPr>
            <w:tcW w:type="dxa" w:w="452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Todo tráfego por HTTPS (TLS 1.2 ou superior), com redirecionamento de HTTP e HSTS em produção.</w:t>
            </w:r>
          </w:p>
        </w:tc>
        <w:tc>
          <w:tcPr>
            <w:tcW w:type="dxa" w:w="22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Inspeção da configuração · teste com navegador</w:t>
            </w:r>
          </w:p>
        </w:tc>
      </w:tr>
      <w:tr>
        <w:trPr>
          <w:cantSplit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9"/>
                <w:szCs w:val="19"/>
              </w:rPr>
              <w:t xml:space="preserve">RNF03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Segurança</w:t>
            </w:r>
          </w:p>
        </w:tc>
        <w:tc>
          <w:tcPr>
            <w:tcW w:type="dxa" w:w="452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JWT assinado com HMAC-SHA256 e chave de no mínimo 256 bits fornecida por variável de ambiente; emissor, audiência e expiração (60 min) validados.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Teste CT06, CT09 · inspeção</w:t>
            </w:r>
          </w:p>
        </w:tc>
      </w:tr>
      <w:tr>
        <w:trPr>
          <w:cantSplit/>
        </w:trPr>
        <w:tc>
          <w:tcPr>
            <w:tcW w:type="dxa" w:w="85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9"/>
                <w:szCs w:val="19"/>
              </w:rPr>
              <w:t xml:space="preserve">RNF04</w:t>
            </w:r>
          </w:p>
        </w:tc>
        <w:tc>
          <w:tcPr>
            <w:tcW w:type="dxa" w:w="15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Segurança</w:t>
            </w:r>
          </w:p>
        </w:tc>
        <w:tc>
          <w:tcPr>
            <w:tcW w:type="dxa" w:w="452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Proteções OWASP: consultas parametrizadas (EF Core), validação de entrada no servidor, CORS restrito às origens configuradas, upload validado e guardado fora de pasta pública com nome gerado pelo sistema, segredos fora do repositório.</w:t>
            </w:r>
          </w:p>
        </w:tc>
        <w:tc>
          <w:tcPr>
            <w:tcW w:type="dxa" w:w="22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Teste CT12 · inspeção · varredura OWASP ZAP (planejada)</w:t>
            </w:r>
          </w:p>
        </w:tc>
      </w:tr>
      <w:tr>
        <w:trPr>
          <w:cantSplit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9"/>
                <w:szCs w:val="19"/>
              </w:rPr>
              <w:t xml:space="preserve">RNF05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Desempenho</w:t>
            </w:r>
          </w:p>
        </w:tc>
        <w:tc>
          <w:tcPr>
            <w:tcW w:type="dxa" w:w="452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Com 200 usuários simultâneos, p95 ≤ 500 ms nas consultas e ≤ 1 s na confirmação de pedido.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Teste de carga CT40 (k6) em homologação</w:t>
            </w:r>
          </w:p>
        </w:tc>
      </w:tr>
      <w:tr>
        <w:trPr>
          <w:cantSplit/>
        </w:trPr>
        <w:tc>
          <w:tcPr>
            <w:tcW w:type="dxa" w:w="85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9"/>
                <w:szCs w:val="19"/>
              </w:rPr>
              <w:t xml:space="preserve">RNF06</w:t>
            </w:r>
          </w:p>
        </w:tc>
        <w:tc>
          <w:tcPr>
            <w:tcW w:type="dxa" w:w="15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Responsividade</w:t>
            </w:r>
          </w:p>
        </w:tc>
        <w:tc>
          <w:tcPr>
            <w:tcW w:type="dxa" w:w="452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Telas utilizáveis de 360 a 1920 px sem rolagem horizontal; tela do entregador pensada primeiro para celular.</w:t>
            </w:r>
          </w:p>
        </w:tc>
        <w:tc>
          <w:tcPr>
            <w:tcW w:type="dxa" w:w="22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Teste CT38 (navegador automatizado)</w:t>
            </w:r>
          </w:p>
        </w:tc>
      </w:tr>
      <w:tr>
        <w:trPr>
          <w:cantSplit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9"/>
                <w:szCs w:val="19"/>
              </w:rPr>
              <w:t xml:space="preserve">RNF07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Acessibilidade</w:t>
            </w:r>
          </w:p>
        </w:tc>
        <w:tc>
          <w:tcPr>
            <w:tcW w:type="dxa" w:w="452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WCAG 2.1 nível AA: contraste mínimo 4,5:1, navegação por teclado, foco visível e rótulo em todo campo; modo de alto contraste, ajuste do tamanho do texto e VLibras.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Teste CT39 · revisão manual</w:t>
            </w:r>
          </w:p>
        </w:tc>
      </w:tr>
      <w:tr>
        <w:trPr>
          <w:cantSplit/>
        </w:trPr>
        <w:tc>
          <w:tcPr>
            <w:tcW w:type="dxa" w:w="85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9"/>
                <w:szCs w:val="19"/>
              </w:rPr>
              <w:t xml:space="preserve">RNF08</w:t>
            </w:r>
          </w:p>
        </w:tc>
        <w:tc>
          <w:tcPr>
            <w:tcW w:type="dxa" w:w="15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Disponibilidade</w:t>
            </w:r>
          </w:p>
        </w:tc>
        <w:tc>
          <w:tcPr>
            <w:tcW w:type="dxa" w:w="452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No mínimo 99,5% ao mês; nenhuma manutenção programada no pico de renovação (dias 1 a 5, das 7h às 12h).</w:t>
            </w:r>
          </w:p>
        </w:tc>
        <w:tc>
          <w:tcPr>
            <w:tcW w:type="dxa" w:w="22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Monitoramento (análise)</w:t>
            </w:r>
          </w:p>
        </w:tc>
      </w:tr>
      <w:tr>
        <w:trPr>
          <w:cantSplit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9"/>
                <w:szCs w:val="19"/>
              </w:rPr>
              <w:t xml:space="preserve">RNF09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Manutenibilidade</w:t>
            </w:r>
          </w:p>
        </w:tc>
        <w:tc>
          <w:tcPr>
            <w:tcW w:type="dxa" w:w="452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Clean Architecture com domínio sem dependências externas; toda regra RN02–RN17 coberta por teste automatizado.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Inspeção · relatório de testes</w:t>
            </w:r>
          </w:p>
        </w:tc>
      </w:tr>
      <w:tr>
        <w:trPr>
          <w:cantSplit/>
        </w:trPr>
        <w:tc>
          <w:tcPr>
            <w:tcW w:type="dxa" w:w="85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9"/>
                <w:szCs w:val="19"/>
              </w:rPr>
              <w:t xml:space="preserve">RNF10</w:t>
            </w:r>
          </w:p>
        </w:tc>
        <w:tc>
          <w:tcPr>
            <w:tcW w:type="dxa" w:w="15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Usabilidade</w:t>
            </w:r>
          </w:p>
        </w:tc>
        <w:tc>
          <w:tcPr>
            <w:tcW w:type="dxa" w:w="452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Paciente novo monta uma Box com quatro medicamentos em até 5 minutos, sem ajuda.</w:t>
            </w:r>
          </w:p>
        </w:tc>
        <w:tc>
          <w:tcPr>
            <w:tcW w:type="dxa" w:w="22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Teste com 5 usuários (planejado)</w:t>
            </w:r>
          </w:p>
        </w:tc>
      </w:tr>
      <w:tr>
        <w:trPr>
          <w:cantSplit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9"/>
                <w:szCs w:val="19"/>
              </w:rPr>
              <w:t xml:space="preserve">RNF11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Compatibilidade</w:t>
            </w:r>
          </w:p>
        </w:tc>
        <w:tc>
          <w:tcPr>
            <w:tcW w:type="dxa" w:w="452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Duas últimas versões de Chrome, Edge e Firefox; Safari iOS 16+ e Chrome Android.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Teste manual</w:t>
            </w:r>
          </w:p>
        </w:tc>
      </w:tr>
      <w:tr>
        <w:trPr>
          <w:cantSplit/>
        </w:trPr>
        <w:tc>
          <w:tcPr>
            <w:tcW w:type="dxa" w:w="85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9"/>
                <w:szCs w:val="19"/>
              </w:rPr>
              <w:t xml:space="preserve">RNF12</w:t>
            </w:r>
          </w:p>
        </w:tc>
        <w:tc>
          <w:tcPr>
            <w:tcW w:type="dxa" w:w="15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Privacidade</w:t>
            </w:r>
          </w:p>
        </w:tc>
        <w:tc>
          <w:tcPr>
            <w:tcW w:type="dxa" w:w="452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A API nunca devolve hash de senha; CPF mascarado em listagens (*</w:t>
            </w:r>
            <w:r>
              <w:rPr>
                <w:b/>
                <w:bCs/>
                <w:sz w:val="19"/>
                <w:szCs w:val="19"/>
              </w:rPr>
              <w:t xml:space="preserve">.</w:t>
            </w:r>
            <w:r>
              <w:rPr>
                <w:sz w:val="19"/>
                <w:szCs w:val="19"/>
              </w:rPr>
              <w:t xml:space="preserve">*.000-00); mensagens de erro e logs sem dados pessoais nem detalhes técnicos.</w:t>
            </w:r>
          </w:p>
        </w:tc>
        <w:tc>
          <w:tcPr>
            <w:tcW w:type="dxa" w:w="22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Teste CT34, CT36</w:t>
            </w:r>
          </w:p>
        </w:tc>
      </w:tr>
      <w:tr>
        <w:trPr>
          <w:cantSplit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9"/>
                <w:szCs w:val="19"/>
              </w:rPr>
              <w:t xml:space="preserve">RNF13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Implantação</w:t>
            </w:r>
          </w:p>
        </w:tc>
        <w:tc>
          <w:tcPr>
            <w:tcW w:type="dxa" w:w="452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Configuração por variáveis de ambiente; imagem Docker da API; banco criado automaticamente em desenvolvimento.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Inspeção · execução do docker compose</w:t>
            </w:r>
          </w:p>
        </w:tc>
      </w:tr>
    </w:tbl>
    <w:p>
      <w:pPr>
        <w:spacing w:after="240" w:before="80" w:line="240" w:lineRule="auto"/>
        <w:jc w:val="center"/>
      </w:pPr>
      <w:r>
        <w:rPr>
          <w:color w:val="455867"/>
          <w:sz w:val="18"/>
          <w:szCs w:val="18"/>
        </w:rPr>
        <w:t xml:space="preserve">Fonte: elaborado pelo grupo (2026).</w:t>
      </w:r>
    </w:p>
    <w:p>
      <w:pPr>
        <w:pStyle w:val="Heading2"/>
        <w:keepNext/>
      </w:pPr>
      <w:bookmarkStart w:name="sec_023" w:id="23"/>
      <w:r>
        <w:t xml:space="preserve">4.4 Requisitos de dados e privacidade (LGPD)</w:t>
      </w:r>
      <w:bookmarkEnd w:id="23"/>
    </w:p>
    <w:p>
      <w:pPr>
        <w:spacing w:after="120" w:before="0" w:line="360" w:lineRule="auto"/>
        <w:ind w:firstLine="709"/>
        <w:jc w:val="both"/>
      </w:pPr>
      <w:r>
        <w:t xml:space="preserve">O MedFlow trata dados pessoais comuns (cadastro e entrega) e dados pessoais sensíveis de saúde (receita e tratamento). O Quadro abaixo classifica cada grupo de dados; o seguinte mostra como cada dispositivo da LGPD aplicável é atendido.</w:t>
      </w:r>
    </w:p>
    <w:p>
      <w:pPr>
        <w:keepNext/>
        <w:spacing w:after="100" w:before="200" w:line="276" w:lineRule="auto"/>
        <w:jc w:val="center"/>
      </w:pPr>
      <w:r>
        <w:rPr>
          <w:b/>
          <w:bCs/>
          <w:color w:val="0E1F33"/>
          <w:sz w:val="20"/>
          <w:szCs w:val="20"/>
        </w:rPr>
        <w:t xml:space="preserve">Quadro 12 — Dados tratados e classificação</w:t>
      </w:r>
    </w:p>
    <w:tbl>
      <w:tblPr>
        <w:tblW w:type="dxa" w:w="9071"/>
        <w:tblBorders>
          <w:top w:val="single" w:color="C9D3DA" w:sz="4"/>
          <w:left w:val="single" w:color="C9D3DA" w:sz="4"/>
          <w:bottom w:val="single" w:color="C9D3DA" w:sz="4"/>
          <w:right w:val="single" w:color="C9D3DA" w:sz="4"/>
          <w:insideH w:val="single" w:color="C9D3DA" w:sz="4"/>
          <w:insideV w:val="single" w:color="C9D3DA" w:sz="4"/>
        </w:tblBorders>
        <w:tblLayout w:type="fixed"/>
      </w:tblPr>
      <w:tblGrid>
        <w:gridCol w:w="2400"/>
        <w:gridCol w:w="4271"/>
        <w:gridCol w:w="2400"/>
      </w:tblGrid>
      <w:tr>
        <w:trPr>
          <w:cantSplit/>
          <w:tblHeader/>
        </w:trPr>
        <w:tc>
          <w:tcPr>
            <w:tcW w:type="dxa" w:w="24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Entidade</w:t>
            </w:r>
          </w:p>
        </w:tc>
        <w:tc>
          <w:tcPr>
            <w:tcW w:type="dxa" w:w="4271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Dados</w:t>
            </w:r>
          </w:p>
        </w:tc>
        <w:tc>
          <w:tcPr>
            <w:tcW w:type="dxa" w:w="24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Classificação (LGPD)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Usuário</w:t>
            </w:r>
          </w:p>
        </w:tc>
        <w:tc>
          <w:tcPr>
            <w:tcW w:type="dxa" w:w="42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Nome, e-mail, CPF, hash da senha, perfil, endereço, telefone, falhas de login, bloqueio, anonimização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Pessoal comum (art. 5º, I)</w:t>
            </w:r>
          </w:p>
        </w:tc>
      </w:tr>
      <w:tr>
        <w:trPr>
          <w:cantSplit/>
        </w:trPr>
        <w:tc>
          <w:tcPr>
            <w:tcW w:type="dxa" w:w="24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Consentimento</w:t>
            </w:r>
          </w:p>
        </w:tc>
        <w:tc>
          <w:tcPr>
            <w:tcW w:type="dxa" w:w="42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Tipo, versão do termo, data de concessão e de revogação</w:t>
            </w:r>
          </w:p>
        </w:tc>
        <w:tc>
          <w:tcPr>
            <w:tcW w:type="dxa" w:w="24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Prova de consentimento (art. 8º, §2º)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Receita</w:t>
            </w:r>
          </w:p>
        </w:tc>
        <w:tc>
          <w:tcPr>
            <w:tcW w:type="dxa" w:w="42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Arquivo (pasta privada), tipo, tamanho, status, validade, motivo da recusa, quem analisou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Sensível — saúde (art. 5º, II)</w:t>
            </w:r>
          </w:p>
        </w:tc>
      </w:tr>
      <w:tr>
        <w:trPr>
          <w:cantSplit/>
        </w:trPr>
        <w:tc>
          <w:tcPr>
            <w:tcW w:type="dxa" w:w="24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Tratamento e Sachê</w:t>
            </w:r>
          </w:p>
        </w:tc>
        <w:tc>
          <w:tcPr>
            <w:tcW w:type="dxa" w:w="42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Medicamentos, horários e unidades por dose do paciente</w:t>
            </w:r>
          </w:p>
        </w:tc>
        <w:tc>
          <w:tcPr>
            <w:tcW w:type="dxa" w:w="24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Sensível — saúde (art. 5º, II)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Pedido, Item, Alocação e Histórico</w:t>
            </w:r>
          </w:p>
        </w:tc>
        <w:tc>
          <w:tcPr>
            <w:tcW w:type="dxa" w:w="42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Status, endereço, lotes reservados, transições com autor e data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Vinculado ao titular; anonimizado após exclusão</w:t>
            </w:r>
          </w:p>
        </w:tc>
      </w:tr>
      <w:tr>
        <w:trPr>
          <w:cantSplit/>
        </w:trPr>
        <w:tc>
          <w:tcPr>
            <w:tcW w:type="dxa" w:w="24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Entrega</w:t>
            </w:r>
          </w:p>
        </w:tc>
        <w:tc>
          <w:tcPr>
            <w:tcW w:type="dxa" w:w="42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Tentativa, entregador, horários, resultado, recebedor, ocorrência</w:t>
            </w:r>
          </w:p>
        </w:tc>
        <w:tc>
          <w:tcPr>
            <w:tcW w:type="dxa" w:w="24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Pessoal (nome de quem recebeu)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Medicamento, Lote e Movimentação</w:t>
            </w:r>
          </w:p>
        </w:tc>
        <w:tc>
          <w:tcPr>
            <w:tcW w:type="dxa" w:w="42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Catálogo, validade, saldos físico e reservado, entradas, reservas, liberações e baixas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Não pessoal (rastreabilidade sanitária)</w:t>
            </w:r>
          </w:p>
        </w:tc>
      </w:tr>
    </w:tbl>
    <w:p>
      <w:pPr>
        <w:spacing w:after="240" w:before="80" w:line="240" w:lineRule="auto"/>
        <w:jc w:val="center"/>
      </w:pPr>
      <w:r>
        <w:rPr>
          <w:color w:val="455867"/>
          <w:sz w:val="18"/>
          <w:szCs w:val="18"/>
        </w:rPr>
        <w:t xml:space="preserve">Fonte: elaborado pelo grupo (2026).</w:t>
      </w:r>
    </w:p>
    <w:p>
      <w:pPr>
        <w:keepNext/>
        <w:spacing w:after="100" w:before="200" w:line="276" w:lineRule="auto"/>
        <w:jc w:val="center"/>
      </w:pPr>
      <w:r>
        <w:rPr>
          <w:b/>
          <w:bCs/>
          <w:color w:val="0E1F33"/>
          <w:sz w:val="20"/>
          <w:szCs w:val="20"/>
        </w:rPr>
        <w:t xml:space="preserve">Quadro 13 — Atendimento à LGPD</w:t>
      </w:r>
    </w:p>
    <w:tbl>
      <w:tblPr>
        <w:tblW w:type="dxa" w:w="9071"/>
        <w:tblBorders>
          <w:top w:val="single" w:color="C9D3DA" w:sz="4"/>
          <w:left w:val="single" w:color="C9D3DA" w:sz="4"/>
          <w:bottom w:val="single" w:color="C9D3DA" w:sz="4"/>
          <w:right w:val="single" w:color="C9D3DA" w:sz="4"/>
          <w:insideH w:val="single" w:color="C9D3DA" w:sz="4"/>
          <w:insideV w:val="single" w:color="C9D3DA" w:sz="4"/>
        </w:tblBorders>
        <w:tblLayout w:type="fixed"/>
      </w:tblPr>
      <w:tblGrid>
        <w:gridCol w:w="1800"/>
        <w:gridCol w:w="3000"/>
        <w:gridCol w:w="4271"/>
      </w:tblGrid>
      <w:tr>
        <w:trPr>
          <w:cantSplit/>
          <w:tblHeader/>
        </w:trPr>
        <w:tc>
          <w:tcPr>
            <w:tcW w:type="dxa" w:w="18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Dispositivo</w:t>
            </w:r>
          </w:p>
        </w:tc>
        <w:tc>
          <w:tcPr>
            <w:tcW w:type="dxa" w:w="3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Exigência</w:t>
            </w:r>
          </w:p>
        </w:tc>
        <w:tc>
          <w:tcPr>
            <w:tcW w:type="dxa" w:w="4271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Como o MedFlow atende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Art. 5º, I e II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Classifica dado pessoal e dado pessoal sensível (saúde).</w:t>
            </w:r>
          </w:p>
        </w:tc>
        <w:tc>
          <w:tcPr>
            <w:tcW w:type="dxa" w:w="42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Tabela de dados acima; receita e tratamento tratados como sensíveis.</w:t>
            </w:r>
          </w:p>
        </w:tc>
      </w:tr>
      <w:tr>
        <w:trPr>
          <w:cantSplit/>
        </w:trPr>
        <w:tc>
          <w:tcPr>
            <w:tcW w:type="dxa" w:w="18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Art. 6º</w:t>
            </w:r>
          </w:p>
        </w:tc>
        <w:tc>
          <w:tcPr>
            <w:tcW w:type="dxa" w:w="3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Princípios de finalidade, necessidade, transparência e segurança.</w:t>
            </w:r>
          </w:p>
        </w:tc>
        <w:tc>
          <w:tcPr>
            <w:tcW w:type="dxa" w:w="42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Coleta mínima; status transparente (RN13); RNF12.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Art. 7º, I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Consentimento como base legal para dados comuns.</w:t>
            </w:r>
          </w:p>
        </w:tc>
        <w:tc>
          <w:tcPr>
            <w:tcW w:type="dxa" w:w="42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Aceite no cadastro (RN15).</w:t>
            </w:r>
          </w:p>
        </w:tc>
      </w:tr>
      <w:tr>
        <w:trPr>
          <w:cantSplit/>
        </w:trPr>
        <w:tc>
          <w:tcPr>
            <w:tcW w:type="dxa" w:w="18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Art. 8º, §2º</w:t>
            </w:r>
          </w:p>
        </w:tc>
        <w:tc>
          <w:tcPr>
            <w:tcW w:type="dxa" w:w="3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Cabe ao controlador provar o consentimento.</w:t>
            </w:r>
          </w:p>
        </w:tc>
        <w:tc>
          <w:tcPr>
            <w:tcW w:type="dxa" w:w="42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Entidade Consentimento com versão e data (RN15).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Art. 11, I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Dado sensível exige consentimento específico e destacado.</w:t>
            </w:r>
          </w:p>
        </w:tc>
        <w:tc>
          <w:tcPr>
            <w:tcW w:type="dxa" w:w="42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Caixa própria no envio da receita (RF05, RN15).</w:t>
            </w:r>
          </w:p>
        </w:tc>
      </w:tr>
      <w:tr>
        <w:trPr>
          <w:cantSplit/>
        </w:trPr>
        <w:tc>
          <w:tcPr>
            <w:tcW w:type="dxa" w:w="18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Art. 16, I</w:t>
            </w:r>
          </w:p>
        </w:tc>
        <w:tc>
          <w:tcPr>
            <w:tcW w:type="dxa" w:w="3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Conservação autorizada para obrigação legal ou regulatória.</w:t>
            </w:r>
          </w:p>
        </w:tc>
        <w:tc>
          <w:tcPr>
            <w:tcW w:type="dxa" w:w="42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Pedidos e movimentações mantidos anonimizados (RN16).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Art. 18, I, II, III, V e VI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Confirmação, acesso, correção, portabilidade e eliminação.</w:t>
            </w:r>
          </w:p>
        </w:tc>
        <w:tc>
          <w:tcPr>
            <w:tcW w:type="dxa" w:w="42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Tela Meus dados e endpoints /api/privacidade (RF19).</w:t>
            </w:r>
          </w:p>
        </w:tc>
      </w:tr>
      <w:tr>
        <w:trPr>
          <w:cantSplit/>
        </w:trPr>
        <w:tc>
          <w:tcPr>
            <w:tcW w:type="dxa" w:w="18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Art. 46</w:t>
            </w:r>
          </w:p>
        </w:tc>
        <w:tc>
          <w:tcPr>
            <w:tcW w:type="dxa" w:w="3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Medidas de segurança técnicas e administrativas.</w:t>
            </w:r>
          </w:p>
        </w:tc>
        <w:tc>
          <w:tcPr>
            <w:tcW w:type="dxa" w:w="42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RNF01 a RNF04 (hash, HTTPS, JWT, OWASP).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Art. 48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Comunicação de incidente de segurança à ANPD e ao titular.</w:t>
            </w:r>
          </w:p>
        </w:tc>
        <w:tc>
          <w:tcPr>
            <w:tcW w:type="dxa" w:w="42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Processo da organização, apoiado pela trilha de auditoria (suposição S03).</w:t>
            </w:r>
          </w:p>
        </w:tc>
      </w:tr>
    </w:tbl>
    <w:p>
      <w:pPr>
        <w:spacing w:after="240" w:before="80" w:line="240" w:lineRule="auto"/>
        <w:jc w:val="center"/>
      </w:pPr>
      <w:r>
        <w:rPr>
          <w:color w:val="455867"/>
          <w:sz w:val="18"/>
          <w:szCs w:val="18"/>
        </w:rPr>
        <w:t xml:space="preserve">Fonte: elaborado pelo grupo (2026).</w:t>
      </w:r>
    </w:p>
    <w:p>
      <w:pPr>
        <w:pStyle w:val="Heading2"/>
        <w:keepNext/>
      </w:pPr>
      <w:bookmarkStart w:name="sec_024" w:id="24"/>
      <w:r>
        <w:t xml:space="preserve">4.5 Interfaces externas</w:t>
      </w:r>
      <w:bookmarkEnd w:id="24"/>
    </w:p>
    <w:p>
      <w:pPr>
        <w:pStyle w:val="Heading3"/>
        <w:keepNext/>
      </w:pPr>
      <w:bookmarkStart w:name="sec_025" w:id="25"/>
      <w:r>
        <w:t xml:space="preserve">4.5.1 Interface com o usuário</w:t>
      </w:r>
      <w:bookmarkEnd w:id="25"/>
    </w:p>
    <w:p>
      <w:pPr>
        <w:spacing w:after="120" w:before="0" w:line="360" w:lineRule="auto"/>
        <w:ind w:firstLine="709"/>
        <w:jc w:val="both"/>
      </w:pPr>
      <w:r>
        <w:t xml:space="preserve">Aplicação web responsiva, com uma área por perfil e menu que mostra só o que o perfil pode usar. Toda tela tem estado de carregamento, de vazio e de erro com mensagem em linguagem simples, e nenhum erro técnico é mostrado ao usuário. O tema claro, o escuro, o alto contraste, o ajuste do tamanho do texto e o VLibras atendem ao RNF07. O design está detalhado na seção 8.5.</w:t>
      </w:r>
    </w:p>
    <w:p>
      <w:pPr>
        <w:pStyle w:val="Heading3"/>
        <w:keepNext/>
      </w:pPr>
      <w:bookmarkStart w:name="sec_026" w:id="26"/>
      <w:r>
        <w:t xml:space="preserve">4.5.2 Interface de software (API REST)</w:t>
      </w:r>
      <w:bookmarkEnd w:id="26"/>
    </w:p>
    <w:p>
      <w:pPr>
        <w:spacing w:after="120" w:before="0" w:line="360" w:lineRule="auto"/>
        <w:ind w:firstLine="709"/>
        <w:jc w:val="both"/>
      </w:pPr>
      <w:r>
        <w:t xml:space="preserve">A API recebe e devolve JSON, exige o cabeçalho </w:t>
      </w:r>
      <w:r>
        <w:rPr>
          <w:rFonts w:ascii="Courier New" w:cs="Courier New" w:eastAsia="Courier New" w:hAnsi="Courier New"/>
          <w:sz w:val="22"/>
          <w:szCs w:val="22"/>
        </w:rPr>
        <w:t xml:space="preserve">Authorization: Bearer &lt;token&gt;</w:t>
      </w:r>
      <w:r>
        <w:t xml:space="preserve"> em toda rota que não é pública e responde erros no formato ProblemDetails (RFC 7807). O Quadro abaixo lista as rotas, o perfil exigido e o caso de uso atendido.</w:t>
      </w:r>
    </w:p>
    <w:p>
      <w:pPr>
        <w:keepNext/>
        <w:spacing w:after="100" w:before="200" w:line="276" w:lineRule="auto"/>
        <w:jc w:val="center"/>
      </w:pPr>
      <w:r>
        <w:rPr>
          <w:b/>
          <w:bCs/>
          <w:color w:val="0E1F33"/>
          <w:sz w:val="20"/>
          <w:szCs w:val="20"/>
        </w:rPr>
        <w:t xml:space="preserve">Quadro 14 — Rotas da API</w:t>
      </w:r>
    </w:p>
    <w:tbl>
      <w:tblPr>
        <w:tblW w:type="dxa" w:w="9071"/>
        <w:tblBorders>
          <w:top w:val="single" w:color="C9D3DA" w:sz="4"/>
          <w:left w:val="single" w:color="C9D3DA" w:sz="4"/>
          <w:bottom w:val="single" w:color="C9D3DA" w:sz="4"/>
          <w:right w:val="single" w:color="C9D3DA" w:sz="4"/>
          <w:insideH w:val="single" w:color="C9D3DA" w:sz="4"/>
          <w:insideV w:val="single" w:color="C9D3DA" w:sz="4"/>
        </w:tblBorders>
        <w:tblLayout w:type="fixed"/>
      </w:tblPr>
      <w:tblGrid>
        <w:gridCol w:w="1300"/>
        <w:gridCol w:w="4100"/>
        <w:gridCol w:w="2671"/>
        <w:gridCol w:w="1000"/>
      </w:tblGrid>
      <w:tr>
        <w:trPr>
          <w:cantSplit/>
          <w:tblHeader/>
        </w:trPr>
        <w:tc>
          <w:tcPr>
            <w:tcW w:type="dxa" w:w="13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 xml:space="preserve">Método</w:t>
            </w:r>
          </w:p>
        </w:tc>
        <w:tc>
          <w:tcPr>
            <w:tcW w:type="dxa" w:w="41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 xml:space="preserve">Rota</w:t>
            </w:r>
          </w:p>
        </w:tc>
        <w:tc>
          <w:tcPr>
            <w:tcW w:type="dxa" w:w="2671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 xml:space="preserve">Perfil exigido</w:t>
            </w:r>
          </w:p>
        </w:tc>
        <w:tc>
          <w:tcPr>
            <w:tcW w:type="dxa" w:w="1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 xml:space="preserve">UC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POST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/api/auth/cadastro</w:t>
            </w:r>
          </w:p>
        </w:tc>
        <w:tc>
          <w:tcPr>
            <w:tcW w:type="dxa" w:w="26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Público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UC01</w:t>
            </w:r>
          </w:p>
        </w:tc>
      </w:tr>
      <w:tr>
        <w:trPr>
          <w:cantSplit/>
        </w:trPr>
        <w:tc>
          <w:tcPr>
            <w:tcW w:type="dxa" w:w="1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POST</w:t>
            </w:r>
          </w:p>
        </w:tc>
        <w:tc>
          <w:tcPr>
            <w:tcW w:type="dxa" w:w="41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/api/auth/login</w:t>
            </w:r>
          </w:p>
        </w:tc>
        <w:tc>
          <w:tcPr>
            <w:tcW w:type="dxa" w:w="26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Público (10/min por IP)</w:t>
            </w:r>
          </w:p>
        </w:tc>
        <w:tc>
          <w:tcPr>
            <w:tcW w:type="dxa" w:w="1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UC02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GET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/api/auth/eu</w:t>
            </w:r>
          </w:p>
        </w:tc>
        <w:tc>
          <w:tcPr>
            <w:tcW w:type="dxa" w:w="26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Autenticado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UC02</w:t>
            </w:r>
          </w:p>
        </w:tc>
      </w:tr>
      <w:tr>
        <w:trPr>
          <w:cantSplit/>
        </w:trPr>
        <w:tc>
          <w:tcPr>
            <w:tcW w:type="dxa" w:w="1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POST</w:t>
            </w:r>
          </w:p>
        </w:tc>
        <w:tc>
          <w:tcPr>
            <w:tcW w:type="dxa" w:w="41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/api/receitas</w:t>
            </w:r>
          </w:p>
        </w:tc>
        <w:tc>
          <w:tcPr>
            <w:tcW w:type="dxa" w:w="26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Paciente</w:t>
            </w:r>
          </w:p>
        </w:tc>
        <w:tc>
          <w:tcPr>
            <w:tcW w:type="dxa" w:w="1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UC03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GET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/api/receitas/minhas</w:t>
            </w:r>
          </w:p>
        </w:tc>
        <w:tc>
          <w:tcPr>
            <w:tcW w:type="dxa" w:w="26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Paciente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UC03</w:t>
            </w:r>
          </w:p>
        </w:tc>
      </w:tr>
      <w:tr>
        <w:trPr>
          <w:cantSplit/>
        </w:trPr>
        <w:tc>
          <w:tcPr>
            <w:tcW w:type="dxa" w:w="1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GET</w:t>
            </w:r>
          </w:p>
        </w:tc>
        <w:tc>
          <w:tcPr>
            <w:tcW w:type="dxa" w:w="41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/api/receitas/pendentes</w:t>
            </w:r>
          </w:p>
        </w:tc>
        <w:tc>
          <w:tcPr>
            <w:tcW w:type="dxa" w:w="26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1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UC06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GET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/api/receitas/{id}/arquivo</w:t>
            </w:r>
          </w:p>
        </w:tc>
        <w:tc>
          <w:tcPr>
            <w:tcW w:type="dxa" w:w="26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Titular ou Administrador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UC06</w:t>
            </w:r>
          </w:p>
        </w:tc>
      </w:tr>
      <w:tr>
        <w:trPr>
          <w:cantSplit/>
        </w:trPr>
        <w:tc>
          <w:tcPr>
            <w:tcW w:type="dxa" w:w="1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POST</w:t>
            </w:r>
          </w:p>
        </w:tc>
        <w:tc>
          <w:tcPr>
            <w:tcW w:type="dxa" w:w="41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/api/receitas/{id}/aprovar · /recusar</w:t>
            </w:r>
          </w:p>
        </w:tc>
        <w:tc>
          <w:tcPr>
            <w:tcW w:type="dxa" w:w="26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1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UC06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GET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/api/medicamentos</w:t>
            </w:r>
          </w:p>
        </w:tc>
        <w:tc>
          <w:tcPr>
            <w:tcW w:type="dxa" w:w="26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Autenticado (paciente não vê controlados)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UC04, UC08</w:t>
            </w:r>
          </w:p>
        </w:tc>
      </w:tr>
      <w:tr>
        <w:trPr>
          <w:cantSplit/>
        </w:trPr>
        <w:tc>
          <w:tcPr>
            <w:tcW w:type="dxa" w:w="1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POST · PUT</w:t>
            </w:r>
          </w:p>
        </w:tc>
        <w:tc>
          <w:tcPr>
            <w:tcW w:type="dxa" w:w="41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/api/medicamentos · /api/medicamentos/{id}</w:t>
            </w:r>
          </w:p>
        </w:tc>
        <w:tc>
          <w:tcPr>
            <w:tcW w:type="dxa" w:w="26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Equipe</w:t>
            </w:r>
          </w:p>
        </w:tc>
        <w:tc>
          <w:tcPr>
            <w:tcW w:type="dxa" w:w="1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UC08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POST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/api/medicamentos/{id}/lotes</w:t>
            </w:r>
          </w:p>
        </w:tc>
        <w:tc>
          <w:tcPr>
            <w:tcW w:type="dxa" w:w="26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Equipe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UC08</w:t>
            </w:r>
          </w:p>
        </w:tc>
      </w:tr>
      <w:tr>
        <w:trPr>
          <w:cantSplit/>
        </w:trPr>
        <w:tc>
          <w:tcPr>
            <w:tcW w:type="dxa" w:w="1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GET</w:t>
            </w:r>
          </w:p>
        </w:tc>
        <w:tc>
          <w:tcPr>
            <w:tcW w:type="dxa" w:w="41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/api/medicamentos/movimentacoes · /alertas</w:t>
            </w:r>
          </w:p>
        </w:tc>
        <w:tc>
          <w:tcPr>
            <w:tcW w:type="dxa" w:w="26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Equipe</w:t>
            </w:r>
          </w:p>
        </w:tc>
        <w:tc>
          <w:tcPr>
            <w:tcW w:type="dxa" w:w="1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UC08, UC09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POST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/api/pedidos/simular</w:t>
            </w:r>
          </w:p>
        </w:tc>
        <w:tc>
          <w:tcPr>
            <w:tcW w:type="dxa" w:w="26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Paciente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UC04</w:t>
            </w:r>
          </w:p>
        </w:tc>
      </w:tr>
      <w:tr>
        <w:trPr>
          <w:cantSplit/>
        </w:trPr>
        <w:tc>
          <w:tcPr>
            <w:tcW w:type="dxa" w:w="1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POST</w:t>
            </w:r>
          </w:p>
        </w:tc>
        <w:tc>
          <w:tcPr>
            <w:tcW w:type="dxa" w:w="41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/api/pedidos</w:t>
            </w:r>
          </w:p>
        </w:tc>
        <w:tc>
          <w:tcPr>
            <w:tcW w:type="dxa" w:w="26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Paciente</w:t>
            </w:r>
          </w:p>
        </w:tc>
        <w:tc>
          <w:tcPr>
            <w:tcW w:type="dxa" w:w="1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UC04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GET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/api/pedidos/meus</w:t>
            </w:r>
          </w:p>
        </w:tc>
        <w:tc>
          <w:tcPr>
            <w:tcW w:type="dxa" w:w="26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Paciente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UC05</w:t>
            </w:r>
          </w:p>
        </w:tc>
      </w:tr>
      <w:tr>
        <w:trPr>
          <w:cantSplit/>
        </w:trPr>
        <w:tc>
          <w:tcPr>
            <w:tcW w:type="dxa" w:w="1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GET</w:t>
            </w:r>
          </w:p>
        </w:tc>
        <w:tc>
          <w:tcPr>
            <w:tcW w:type="dxa" w:w="41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/api/pedidos?status=</w:t>
            </w:r>
          </w:p>
        </w:tc>
        <w:tc>
          <w:tcPr>
            <w:tcW w:type="dxa" w:w="26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Equipe</w:t>
            </w:r>
          </w:p>
        </w:tc>
        <w:tc>
          <w:tcPr>
            <w:tcW w:type="dxa" w:w="1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UC07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GET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/api/pedidos/{id}</w:t>
            </w:r>
          </w:p>
        </w:tc>
        <w:tc>
          <w:tcPr>
            <w:tcW w:type="dxa" w:w="26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Titular, equipe ou entregador da rota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UC05, UC07</w:t>
            </w:r>
          </w:p>
        </w:tc>
      </w:tr>
      <w:tr>
        <w:trPr>
          <w:cantSplit/>
        </w:trPr>
        <w:tc>
          <w:tcPr>
            <w:tcW w:type="dxa" w:w="1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POST</w:t>
            </w:r>
          </w:p>
        </w:tc>
        <w:tc>
          <w:tcPr>
            <w:tcW w:type="dxa" w:w="41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/api/pedidos/{id}/cancelar</w:t>
            </w:r>
          </w:p>
        </w:tc>
        <w:tc>
          <w:tcPr>
            <w:tcW w:type="dxa" w:w="26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Paciente (titular)</w:t>
            </w:r>
          </w:p>
        </w:tc>
        <w:tc>
          <w:tcPr>
            <w:tcW w:type="dxa" w:w="1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UC15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POST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/api/pedidos/{id}/finalizar-box</w:t>
            </w:r>
          </w:p>
        </w:tc>
        <w:tc>
          <w:tcPr>
            <w:tcW w:type="dxa" w:w="26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Equipe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UC07</w:t>
            </w:r>
          </w:p>
        </w:tc>
      </w:tr>
      <w:tr>
        <w:trPr>
          <w:cantSplit/>
        </w:trPr>
        <w:tc>
          <w:tcPr>
            <w:tcW w:type="dxa" w:w="1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GET</w:t>
            </w:r>
          </w:p>
        </w:tc>
        <w:tc>
          <w:tcPr>
            <w:tcW w:type="dxa" w:w="41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/api/entregas/disponiveis · /minhas</w:t>
            </w:r>
          </w:p>
        </w:tc>
        <w:tc>
          <w:tcPr>
            <w:tcW w:type="dxa" w:w="26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Entregador</w:t>
            </w:r>
          </w:p>
        </w:tc>
        <w:tc>
          <w:tcPr>
            <w:tcW w:type="dxa" w:w="1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UC10, UC11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POST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/api/entregas/{id}/iniciar · /confirmar · /ocorrencia</w:t>
            </w:r>
          </w:p>
        </w:tc>
        <w:tc>
          <w:tcPr>
            <w:tcW w:type="dxa" w:w="26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Entregador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UC10, UC11</w:t>
            </w:r>
          </w:p>
        </w:tc>
      </w:tr>
      <w:tr>
        <w:trPr>
          <w:cantSplit/>
        </w:trPr>
        <w:tc>
          <w:tcPr>
            <w:tcW w:type="dxa" w:w="1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GET</w:t>
            </w:r>
          </w:p>
        </w:tc>
        <w:tc>
          <w:tcPr>
            <w:tcW w:type="dxa" w:w="41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/api/painel</w:t>
            </w:r>
          </w:p>
        </w:tc>
        <w:tc>
          <w:tcPr>
            <w:tcW w:type="dxa" w:w="26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Equipe</w:t>
            </w:r>
          </w:p>
        </w:tc>
        <w:tc>
          <w:tcPr>
            <w:tcW w:type="dxa" w:w="1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UC14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GET · POST · PATCH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/api/usuarios · /api/usuarios/{id}/ativo</w:t>
            </w:r>
          </w:p>
        </w:tc>
        <w:tc>
          <w:tcPr>
            <w:tcW w:type="dxa" w:w="26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UC13</w:t>
            </w:r>
          </w:p>
        </w:tc>
      </w:tr>
      <w:tr>
        <w:trPr>
          <w:cantSplit/>
        </w:trPr>
        <w:tc>
          <w:tcPr>
            <w:tcW w:type="dxa" w:w="1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GET · PUT</w:t>
            </w:r>
          </w:p>
        </w:tc>
        <w:tc>
          <w:tcPr>
            <w:tcW w:type="dxa" w:w="41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/api/privacidade/meus-dados (· /exportar)</w:t>
            </w:r>
          </w:p>
        </w:tc>
        <w:tc>
          <w:tcPr>
            <w:tcW w:type="dxa" w:w="26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Autenticado</w:t>
            </w:r>
          </w:p>
        </w:tc>
        <w:tc>
          <w:tcPr>
            <w:tcW w:type="dxa" w:w="1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UC12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DELETE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/api/privacidade/minha-conta</w:t>
            </w:r>
          </w:p>
        </w:tc>
        <w:tc>
          <w:tcPr>
            <w:tcW w:type="dxa" w:w="26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Paciente (titular)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UC12</w:t>
            </w:r>
          </w:p>
        </w:tc>
      </w:tr>
    </w:tbl>
    <w:p>
      <w:pPr>
        <w:spacing w:after="240" w:before="80" w:line="240" w:lineRule="auto"/>
        <w:jc w:val="center"/>
      </w:pPr>
      <w:r>
        <w:rPr>
          <w:color w:val="455867"/>
          <w:sz w:val="18"/>
          <w:szCs w:val="18"/>
        </w:rPr>
        <w:t xml:space="preserve">Fonte: elaborado pelo grupo (2026).</w:t>
      </w:r>
    </w:p>
    <w:p>
      <w:pPr>
        <w:keepNext/>
        <w:spacing w:after="100" w:before="200" w:line="276" w:lineRule="auto"/>
        <w:jc w:val="center"/>
      </w:pPr>
      <w:r>
        <w:rPr>
          <w:b/>
          <w:bCs/>
          <w:color w:val="0E1F33"/>
          <w:sz w:val="20"/>
          <w:szCs w:val="20"/>
        </w:rPr>
        <w:t xml:space="preserve">Quadro 15 — Códigos de resposta de erro</w:t>
      </w:r>
    </w:p>
    <w:tbl>
      <w:tblPr>
        <w:tblW w:type="dxa" w:w="9071"/>
        <w:tblBorders>
          <w:top w:val="single" w:color="C9D3DA" w:sz="4"/>
          <w:left w:val="single" w:color="C9D3DA" w:sz="4"/>
          <w:bottom w:val="single" w:color="C9D3DA" w:sz="4"/>
          <w:right w:val="single" w:color="C9D3DA" w:sz="4"/>
          <w:insideH w:val="single" w:color="C9D3DA" w:sz="4"/>
          <w:insideV w:val="single" w:color="C9D3DA" w:sz="4"/>
        </w:tblBorders>
        <w:tblLayout w:type="fixed"/>
      </w:tblPr>
      <w:tblGrid>
        <w:gridCol w:w="1000"/>
        <w:gridCol w:w="8071"/>
      </w:tblGrid>
      <w:tr>
        <w:trPr>
          <w:cantSplit/>
          <w:tblHeader/>
        </w:trPr>
        <w:tc>
          <w:tcPr>
            <w:tcW w:type="dxa" w:w="1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Código</w:t>
            </w:r>
          </w:p>
        </w:tc>
        <w:tc>
          <w:tcPr>
            <w:tcW w:type="dxa" w:w="8071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Quando é usado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400</w:t>
            </w:r>
          </w:p>
        </w:tc>
        <w:tc>
          <w:tcPr>
            <w:tcW w:type="dxa" w:w="8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Dados inválidos (lista de erros por campo)</w:t>
            </w:r>
          </w:p>
        </w:tc>
      </w:tr>
      <w:tr>
        <w:trPr>
          <w:cantSplit/>
        </w:trPr>
        <w:tc>
          <w:tcPr>
            <w:tcW w:type="dxa" w:w="1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401</w:t>
            </w:r>
          </w:p>
        </w:tc>
        <w:tc>
          <w:tcPr>
            <w:tcW w:type="dxa" w:w="80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Sem token, token expirado ou credencial incorreta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403</w:t>
            </w:r>
          </w:p>
        </w:tc>
        <w:tc>
          <w:tcPr>
            <w:tcW w:type="dxa" w:w="8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Perfil sem permissão ou recurso de outro usuário</w:t>
            </w:r>
          </w:p>
        </w:tc>
      </w:tr>
      <w:tr>
        <w:trPr>
          <w:cantSplit/>
        </w:trPr>
        <w:tc>
          <w:tcPr>
            <w:tcW w:type="dxa" w:w="1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404</w:t>
            </w:r>
          </w:p>
        </w:tc>
        <w:tc>
          <w:tcPr>
            <w:tcW w:type="dxa" w:w="80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Recurso não encontrado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409</w:t>
            </w:r>
          </w:p>
        </w:tc>
        <w:tc>
          <w:tcPr>
            <w:tcW w:type="dxa" w:w="8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Conflito: estoque insuficiente (com lista de faltas), transição inválida, duplicidade, concorrência</w:t>
            </w:r>
          </w:p>
        </w:tc>
      </w:tr>
      <w:tr>
        <w:trPr>
          <w:cantSplit/>
        </w:trPr>
        <w:tc>
          <w:tcPr>
            <w:tcW w:type="dxa" w:w="1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422</w:t>
            </w:r>
          </w:p>
        </w:tc>
        <w:tc>
          <w:tcPr>
            <w:tcW w:type="dxa" w:w="80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Regra de negócio violada (ex.: medicamento controlado, receita vencida)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423</w:t>
            </w:r>
          </w:p>
        </w:tc>
        <w:tc>
          <w:tcPr>
            <w:tcW w:type="dxa" w:w="8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Conta bloqueada por tentativas (RN17)</w:t>
            </w:r>
          </w:p>
        </w:tc>
      </w:tr>
      <w:tr>
        <w:trPr>
          <w:cantSplit/>
        </w:trPr>
        <w:tc>
          <w:tcPr>
            <w:tcW w:type="dxa" w:w="1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429</w:t>
            </w:r>
          </w:p>
        </w:tc>
        <w:tc>
          <w:tcPr>
            <w:tcW w:type="dxa" w:w="80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Excesso de tentativas de login por IP</w:t>
            </w:r>
          </w:p>
        </w:tc>
      </w:tr>
    </w:tbl>
    <w:p>
      <w:pPr>
        <w:spacing w:after="240" w:before="80" w:line="240" w:lineRule="auto"/>
        <w:jc w:val="center"/>
      </w:pPr>
      <w:r>
        <w:rPr>
          <w:color w:val="455867"/>
          <w:sz w:val="18"/>
          <w:szCs w:val="18"/>
        </w:rPr>
        <w:t xml:space="preserve">Fonte: elaborado pelo grupo (2026).</w:t>
      </w:r>
    </w:p>
    <w:p>
      <w:pPr>
        <w:pStyle w:val="Heading3"/>
        <w:keepNext/>
      </w:pPr>
      <w:bookmarkStart w:name="sec_027" w:id="27"/>
      <w:r>
        <w:t xml:space="preserve">4.5.3 Interface de comunicação</w:t>
      </w:r>
      <w:bookmarkEnd w:id="27"/>
    </w:p>
    <w:p>
      <w:pPr>
        <w:spacing w:after="120" w:before="0" w:line="360" w:lineRule="auto"/>
        <w:ind w:firstLine="709"/>
        <w:jc w:val="both"/>
      </w:pPr>
      <w:r>
        <w:t xml:space="preserve">Toda comunicação usa HTTPS com TLS 1.2 ou superior (RNF02). O front-end só chama a API pelas origens configuradas no CORS (RNF04). Não há integração com sistemas externos nesta versão; o widget VLibras é carregado do serviço oficial do governo federal.</w:t>
      </w:r>
    </w:p>
    <w:p>
      <w:pPr>
        <w:pStyle w:val="Heading2"/>
        <w:keepNext/>
      </w:pPr>
      <w:bookmarkStart w:name="sec_028" w:id="28"/>
      <w:r>
        <w:t xml:space="preserve">4.6 Estados do pedido</w:t>
      </w:r>
      <w:bookmarkEnd w:id="28"/>
    </w:p>
    <w:p>
      <w:pPr>
        <w:spacing w:after="120" w:before="0" w:line="360" w:lineRule="auto"/>
        <w:ind w:firstLine="709"/>
        <w:jc w:val="both"/>
      </w:pPr>
      <w:r>
        <w:t xml:space="preserve">O pedido percorre uma máquina de estados única (RN08). Qualquer transição fora da Figura 2 é recusada com 409 e não altera o estoque. Cada transição gera um registro de histórico com data, hora, autor e motivo (RF20), e o paciente vê o status real em linguagem simples (RN13).</w:t>
      </w:r>
    </w:p>
    <w:p>
      <w:pPr>
        <w:keepNext/>
        <w:spacing w:after="100" w:before="200" w:line="276" w:lineRule="auto"/>
        <w:jc w:val="center"/>
      </w:pPr>
      <w:r>
        <w:rPr>
          <w:b/>
          <w:bCs/>
          <w:color w:val="0E1F33"/>
          <w:sz w:val="20"/>
          <w:szCs w:val="20"/>
        </w:rPr>
        <w:t xml:space="preserve">Figura 2 — Máquina de estados do pedido</w:t>
      </w:r>
    </w:p>
    <w:p>
      <w:pPr>
        <w:keepNext/>
        <w:spacing w:after="0"/>
        <w:jc w:val="center"/>
      </w:pPr>
      <w:r>
        <w:drawing>
          <wp:inline distT="0" distB="0" distL="0" distR="0">
            <wp:extent cx="5400675" cy="3457575"/>
            <wp:effectExtent t="0" r="0" b="0" l="0"/>
            <wp:docPr id="1" name="estados_pedido.png" descr="Máquina de estados do pedido" title="Máquina de estados do ped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40" w:lineRule="auto"/>
        <w:jc w:val="center"/>
      </w:pPr>
      <w:r>
        <w:rPr>
          <w:color w:val="455867"/>
          <w:sz w:val="18"/>
          <w:szCs w:val="18"/>
        </w:rPr>
        <w:t xml:space="preserve">Fonte: elaborado pelo grupo (2026).</w:t>
      </w:r>
    </w:p>
    <w:p>
      <w:pPr>
        <w:keepNext/>
        <w:spacing w:after="100" w:before="200" w:line="276" w:lineRule="auto"/>
        <w:jc w:val="center"/>
      </w:pPr>
      <w:r>
        <w:rPr>
          <w:b/>
          <w:bCs/>
          <w:color w:val="0E1F33"/>
          <w:sz w:val="20"/>
          <w:szCs w:val="20"/>
        </w:rPr>
        <w:t xml:space="preserve">Quadro 16 — Status do pedido e o que o paciente vê</w:t>
      </w:r>
    </w:p>
    <w:tbl>
      <w:tblPr>
        <w:tblW w:type="dxa" w:w="9071"/>
        <w:tblBorders>
          <w:top w:val="single" w:color="C9D3DA" w:sz="4"/>
          <w:left w:val="single" w:color="C9D3DA" w:sz="4"/>
          <w:bottom w:val="single" w:color="C9D3DA" w:sz="4"/>
          <w:right w:val="single" w:color="C9D3DA" w:sz="4"/>
          <w:insideH w:val="single" w:color="C9D3DA" w:sz="4"/>
          <w:insideV w:val="single" w:color="C9D3DA" w:sz="4"/>
        </w:tblBorders>
        <w:tblLayout w:type="fixed"/>
      </w:tblPr>
      <w:tblGrid>
        <w:gridCol w:w="2100"/>
        <w:gridCol w:w="1900"/>
        <w:gridCol w:w="5071"/>
      </w:tblGrid>
      <w:tr>
        <w:trPr>
          <w:cantSplit/>
          <w:tblHeader/>
        </w:trPr>
        <w:tc>
          <w:tcPr>
            <w:tcW w:type="dxa" w:w="21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Status (sistema)</w:t>
            </w:r>
          </w:p>
        </w:tc>
        <w:tc>
          <w:tcPr>
            <w:tcW w:type="dxa" w:w="19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Rótulo ao paciente</w:t>
            </w:r>
          </w:p>
        </w:tc>
        <w:tc>
          <w:tcPr>
            <w:tcW w:type="dxa" w:w="5071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Mensagem ao paciente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Pendente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Receita em análise</w:t>
            </w:r>
          </w:p>
        </w:tc>
        <w:tc>
          <w:tcPr>
            <w:tcW w:type="dxa" w:w="5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Recebemos seu pedido e já reservamos os medicamentos no estoque. A farmacêutica responsável vai analisar sua receita.</w:t>
            </w:r>
          </w:p>
        </w:tc>
      </w:tr>
      <w:tr>
        <w:trPr>
          <w:cantSplit/>
        </w:trPr>
        <w:tc>
          <w:tcPr>
            <w:tcW w:type="dxa" w:w="21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EmSeparacao</w:t>
            </w:r>
          </w:p>
        </w:tc>
        <w:tc>
          <w:tcPr>
            <w:tcW w:type="dxa" w:w="19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Em separação</w:t>
            </w:r>
          </w:p>
        </w:tc>
        <w:tc>
          <w:tcPr>
            <w:tcW w:type="dxa" w:w="50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Receita aprovada. A equipe da farmácia está separando e fracionando os sachês da sua Box.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AguardandoEntregador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Pronta para entrega</w:t>
            </w:r>
          </w:p>
        </w:tc>
        <w:tc>
          <w:tcPr>
            <w:tcW w:type="dxa" w:w="5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Sua Box está pronta, com etiqueta de lote e validade em cada sachê, e aguarda o entregador. Depois de uma ocorrência, informa o motivo da tentativa não concluída.</w:t>
            </w:r>
          </w:p>
        </w:tc>
      </w:tr>
      <w:tr>
        <w:trPr>
          <w:cantSplit/>
        </w:trPr>
        <w:tc>
          <w:tcPr>
            <w:tcW w:type="dxa" w:w="21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EmRota</w:t>
            </w:r>
          </w:p>
        </w:tc>
        <w:tc>
          <w:tcPr>
            <w:tcW w:type="dxa" w:w="19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Saiu para entrega</w:t>
            </w:r>
          </w:p>
        </w:tc>
        <w:tc>
          <w:tcPr>
            <w:tcW w:type="dxa" w:w="50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Sua Box saiu para entrega às hh:mm. Deixe alguém no endereço para receber.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Entregue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Entregue</w:t>
            </w:r>
          </w:p>
        </w:tc>
        <w:tc>
          <w:tcPr>
            <w:tcW w:type="dxa" w:w="5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Entregue para (nome de quem recebeu) em dd/mm/aaaa hh:mm.</w:t>
            </w:r>
          </w:p>
        </w:tc>
      </w:tr>
      <w:tr>
        <w:trPr>
          <w:cantSplit/>
        </w:trPr>
        <w:tc>
          <w:tcPr>
            <w:tcW w:type="dxa" w:w="21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Recusado</w:t>
            </w:r>
          </w:p>
        </w:tc>
        <w:tc>
          <w:tcPr>
            <w:tcW w:type="dxa" w:w="19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Receita recusada</w:t>
            </w:r>
          </w:p>
        </w:tc>
        <w:tc>
          <w:tcPr>
            <w:tcW w:type="dxa" w:w="50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A receita não foi aceita: (motivo). A reserva foi desfeita; envie uma nova receita para continuar.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Cancelado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Cancelado</w:t>
            </w:r>
          </w:p>
        </w:tc>
        <w:tc>
          <w:tcPr>
            <w:tcW w:type="dxa" w:w="5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Pedido cancelado. Os medicamentos reservados voltaram ao estoque.</w:t>
            </w:r>
          </w:p>
        </w:tc>
      </w:tr>
    </w:tbl>
    <w:p>
      <w:pPr>
        <w:spacing w:after="240" w:before="80" w:line="240" w:lineRule="auto"/>
        <w:jc w:val="center"/>
      </w:pPr>
      <w:r>
        <w:rPr>
          <w:color w:val="455867"/>
          <w:sz w:val="18"/>
          <w:szCs w:val="18"/>
        </w:rPr>
        <w:t xml:space="preserve">Fonte: elaborado pelo grupo (2026).</w:t>
      </w:r>
    </w:p>
    <w:p>
      <w:pPr>
        <w:pStyle w:val="Heading2"/>
        <w:keepNext/>
        <w:pageBreakBefore/>
      </w:pPr>
      <w:bookmarkStart w:name="sec_029" w:id="29"/>
      <w:r>
        <w:t xml:space="preserve">4.7 Modelo de dados</w:t>
      </w:r>
      <w:bookmarkEnd w:id="29"/>
    </w:p>
    <w:p>
      <w:pPr>
        <w:spacing w:after="120" w:before="0" w:line="360" w:lineRule="auto"/>
        <w:ind w:firstLine="709"/>
        <w:jc w:val="both"/>
      </w:pPr>
      <w:r>
        <w:t xml:space="preserve">O modelo separa o medicamento (catálogo) do lote (número, fabricação, validade, saldo físico e reservado), o que torna possível o FEFO e a etiqueta de rastreio por sachê. A alocação liga cada item do pedido aos lotes de onde sairá, e a movimentação registra toda entrada, reserva, liberação e baixa.</w:t>
      </w:r>
    </w:p>
    <w:p>
      <w:pPr>
        <w:keepNext/>
        <w:spacing w:after="100" w:before="200" w:line="276" w:lineRule="auto"/>
        <w:jc w:val="center"/>
      </w:pPr>
      <w:r>
        <w:rPr>
          <w:b/>
          <w:bCs/>
          <w:color w:val="0E1F33"/>
          <w:sz w:val="20"/>
          <w:szCs w:val="20"/>
        </w:rPr>
        <w:t xml:space="preserve">Figura 3 — Modelo de dados (entidades e relacionamentos)</w:t>
      </w:r>
    </w:p>
    <w:p>
      <w:pPr>
        <w:keepNext/>
        <w:spacing w:after="0"/>
        <w:jc w:val="center"/>
      </w:pPr>
      <w:r>
        <w:drawing>
          <wp:inline distT="0" distB="0" distL="0" distR="0">
            <wp:extent cx="5581650" cy="5848350"/>
            <wp:effectExtent t="0" r="0" b="0" l="0"/>
            <wp:docPr id="1" name="modelo_dados.png" descr="Modelo de dados (entidades e relacionamentos)" title="Modelo de dados (entidades e relacionamento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40" w:lineRule="auto"/>
        <w:jc w:val="center"/>
      </w:pPr>
      <w:r>
        <w:rPr>
          <w:color w:val="455867"/>
          <w:sz w:val="18"/>
          <w:szCs w:val="18"/>
        </w:rPr>
        <w:t xml:space="preserve">Fonte: elaborado pelo grupo (2026).</w:t>
      </w:r>
    </w:p>
    <w:p>
      <w:pPr>
        <w:pStyle w:val="Heading1"/>
        <w:keepNext/>
        <w:pageBreakBefore/>
      </w:pPr>
      <w:bookmarkStart w:name="sec_030" w:id="30"/>
      <w:r>
        <w:t xml:space="preserve">5 Casos de uso</w:t>
      </w:r>
      <w:bookmarkEnd w:id="30"/>
    </w:p>
    <w:p>
      <w:pPr>
        <w:pStyle w:val="Heading2"/>
        <w:keepNext/>
      </w:pPr>
      <w:bookmarkStart w:name="sec_031" w:id="31"/>
      <w:r>
        <w:t xml:space="preserve">5.1 Atores</w:t>
      </w:r>
      <w:bookmarkEnd w:id="31"/>
    </w:p>
    <w:p>
      <w:pPr>
        <w:keepNext/>
        <w:spacing w:after="100" w:before="200" w:line="276" w:lineRule="auto"/>
        <w:jc w:val="center"/>
      </w:pPr>
      <w:r>
        <w:rPr>
          <w:b/>
          <w:bCs/>
          <w:color w:val="0E1F33"/>
          <w:sz w:val="20"/>
          <w:szCs w:val="20"/>
        </w:rPr>
        <w:t xml:space="preserve">Quadro 17 — Atores</w:t>
      </w:r>
    </w:p>
    <w:tbl>
      <w:tblPr>
        <w:tblW w:type="dxa" w:w="9071"/>
        <w:tblBorders>
          <w:top w:val="single" w:color="C9D3DA" w:sz="4"/>
          <w:left w:val="single" w:color="C9D3DA" w:sz="4"/>
          <w:bottom w:val="single" w:color="C9D3DA" w:sz="4"/>
          <w:right w:val="single" w:color="C9D3DA" w:sz="4"/>
          <w:insideH w:val="single" w:color="C9D3DA" w:sz="4"/>
          <w:insideV w:val="single" w:color="C9D3DA" w:sz="4"/>
        </w:tblBorders>
        <w:tblLayout w:type="fixed"/>
      </w:tblPr>
      <w:tblGrid>
        <w:gridCol w:w="2100"/>
        <w:gridCol w:w="2300"/>
        <w:gridCol w:w="4671"/>
      </w:tblGrid>
      <w:tr>
        <w:trPr>
          <w:cantSplit/>
          <w:tblHeader/>
        </w:trPr>
        <w:tc>
          <w:tcPr>
            <w:tcW w:type="dxa" w:w="21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Ator</w:t>
            </w:r>
          </w:p>
        </w:tc>
        <w:tc>
          <w:tcPr>
            <w:tcW w:type="dxa" w:w="23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Perfil no sistema</w:t>
            </w:r>
          </w:p>
        </w:tc>
        <w:tc>
          <w:tcPr>
            <w:tcW w:type="dxa" w:w="4671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Responsabilidade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Paciente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Paciente</w:t>
            </w:r>
          </w:p>
        </w:tc>
        <w:tc>
          <w:tcPr>
            <w:tcW w:type="dxa" w:w="46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Titular dos dados. Cria a conta, envia receitas, monta e acompanha a Box e exerce os direitos da LGPD.</w:t>
            </w:r>
          </w:p>
        </w:tc>
      </w:tr>
      <w:tr>
        <w:trPr>
          <w:cantSplit/>
        </w:trPr>
        <w:tc>
          <w:tcPr>
            <w:tcW w:type="dxa" w:w="21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Farmacêutico RT</w:t>
            </w:r>
          </w:p>
        </w:tc>
        <w:tc>
          <w:tcPr>
            <w:tcW w:type="dxa" w:w="2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46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Responsável técnico. Único que analisa receitas e gerencia usuários; também executa as funções do operador.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Operador da farmácia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Funcionário</w:t>
            </w:r>
          </w:p>
        </w:tc>
        <w:tc>
          <w:tcPr>
            <w:tcW w:type="dxa" w:w="46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Separa e etiqueta os sachês, finaliza a Box com baixa e mantém catálogo e lotes.</w:t>
            </w:r>
          </w:p>
        </w:tc>
      </w:tr>
      <w:tr>
        <w:trPr>
          <w:cantSplit/>
        </w:trPr>
        <w:tc>
          <w:tcPr>
            <w:tcW w:type="dxa" w:w="21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Equipe da farmácia</w:t>
            </w:r>
          </w:p>
        </w:tc>
        <w:tc>
          <w:tcPr>
            <w:tcW w:type="dxa" w:w="2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Administrador ou Funcionário</w:t>
            </w:r>
          </w:p>
        </w:tc>
        <w:tc>
          <w:tcPr>
            <w:tcW w:type="dxa" w:w="46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Ator abstrato que generaliza os dois anteriores nos casos de uso que ambos executam (UC07, UC08, UC09, UC14).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Entregador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Entregador</w:t>
            </w:r>
          </w:p>
        </w:tc>
        <w:tc>
          <w:tcPr>
            <w:tcW w:type="dxa" w:w="46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Retira a Box pronta, inicia a rota e confirma a entrega ou registra ocorrência.</w:t>
            </w:r>
          </w:p>
        </w:tc>
      </w:tr>
    </w:tbl>
    <w:p>
      <w:pPr>
        <w:spacing w:after="240" w:before="80" w:line="240" w:lineRule="auto"/>
        <w:jc w:val="center"/>
      </w:pPr>
      <w:r>
        <w:rPr>
          <w:color w:val="455867"/>
          <w:sz w:val="18"/>
          <w:szCs w:val="18"/>
        </w:rPr>
        <w:t xml:space="preserve">Fonte: elaborado pelo grupo (2026).</w:t>
      </w:r>
    </w:p>
    <w:p>
      <w:pPr>
        <w:pStyle w:val="Heading2"/>
        <w:keepNext/>
      </w:pPr>
      <w:bookmarkStart w:name="sec_032" w:id="32"/>
      <w:r>
        <w:t xml:space="preserve">5.2 Diagrama de casos de uso</w:t>
      </w:r>
      <w:bookmarkEnd w:id="32"/>
    </w:p>
    <w:p>
      <w:pPr>
        <w:spacing w:after="120" w:before="0" w:line="360" w:lineRule="auto"/>
        <w:ind w:firstLine="709"/>
        <w:jc w:val="both"/>
      </w:pPr>
      <w:r>
        <w:t xml:space="preserve">A Figura 4 mostra os quinze casos de uso, os atores e a fronteira do sistema. "Reservar estoque (FEFO)" é incluído (include) pela confirmação do pedido, e "Equipe da farmácia" é a generalização do farmacêutico e do operador.</w:t>
      </w:r>
    </w:p>
    <w:p>
      <w:pPr>
        <w:keepNext/>
        <w:spacing w:after="100" w:before="200" w:line="276" w:lineRule="auto"/>
        <w:jc w:val="center"/>
      </w:pPr>
      <w:r>
        <w:rPr>
          <w:b/>
          <w:bCs/>
          <w:color w:val="0E1F33"/>
          <w:sz w:val="20"/>
          <w:szCs w:val="20"/>
        </w:rPr>
        <w:t xml:space="preserve">Figura 4 — Diagrama de casos de uso do MedFlow v2</w:t>
      </w:r>
    </w:p>
    <w:p>
      <w:pPr>
        <w:keepNext/>
        <w:spacing w:after="0"/>
        <w:jc w:val="center"/>
      </w:pPr>
      <w:r>
        <w:drawing>
          <wp:inline distT="0" distB="0" distL="0" distR="0">
            <wp:extent cx="5762625" cy="3762375"/>
            <wp:effectExtent t="0" r="0" b="0" l="0"/>
            <wp:docPr id="1" name="casos_de_uso.png" descr="Diagrama de casos de uso do MedFlow v2" title="Diagrama de casos de uso do MedFlow 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40" w:lineRule="auto"/>
        <w:jc w:val="center"/>
      </w:pPr>
      <w:r>
        <w:rPr>
          <w:color w:val="455867"/>
          <w:sz w:val="18"/>
          <w:szCs w:val="18"/>
        </w:rPr>
        <w:t xml:space="preserve">Fonte: elaborado pelo grupo (2026).</w:t>
      </w:r>
    </w:p>
    <w:p>
      <w:pPr>
        <w:pStyle w:val="Heading2"/>
        <w:keepNext/>
      </w:pPr>
      <w:bookmarkStart w:name="sec_033" w:id="33"/>
      <w:r>
        <w:t xml:space="preserve">5.3 Especificação dos casos de uso</w:t>
      </w:r>
      <w:bookmarkEnd w:id="33"/>
    </w:p>
    <w:p>
      <w:pPr>
        <w:spacing w:after="120" w:before="0" w:line="360" w:lineRule="auto"/>
        <w:ind w:firstLine="709"/>
        <w:jc w:val="both"/>
      </w:pPr>
      <w:r>
        <w:t xml:space="preserve">Cada caso de uso traz atores, objetivo, pré-condições, fluxo principal, fluxos alternativos e de exceção, pós-condições e os requisitos relacionados. A numeração dos fluxos alternativos indica o passo do fluxo principal em que eles começam (por exemplo, 4a desvia no passo 4); "E" indica exceção.</w:t>
      </w:r>
    </w:p>
    <w:p>
      <w:pPr>
        <w:keepNext/>
        <w:spacing w:after="0" w:before="200"/>
      </w:pPr>
    </w:p>
    <w:tbl>
      <w:tblPr>
        <w:tblW w:type="dxa" w:w="9071"/>
        <w:tblBorders>
          <w:top w:val="single" w:color="C9D3DA" w:sz="4"/>
          <w:left w:val="single" w:color="C9D3DA" w:sz="4"/>
          <w:bottom w:val="single" w:color="C9D3DA" w:sz="4"/>
          <w:right w:val="single" w:color="C9D3DA" w:sz="4"/>
          <w:insideH w:val="single" w:color="C9D3DA" w:sz="4"/>
          <w:insideV w:val="single" w:color="C9D3DA" w:sz="4"/>
        </w:tblBorders>
        <w:tblLayout w:type="fixed"/>
      </w:tblPr>
      <w:tblGrid>
        <w:gridCol w:w="2000"/>
        <w:gridCol w:w="7071"/>
      </w:tblGrid>
      <w:tr>
        <w:trPr>
          <w:cantSplit/>
          <w:tblHeader/>
        </w:trPr>
        <w:tc>
          <w:tcPr>
            <w:tcW w:type="dxa" w:w="9071"/>
            <w:gridSpan w:val="2"/>
            <w:shd w:fill="0B1F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UC01 — Cadastrar conta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Atores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Paciente (visitante)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Objetivo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Criar a conta para enviar receitas e montar a Box.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Pré-condições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Não possuir conta com o mesmo e-mail ou CPF.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1. Acessa "Criar conta de paciente".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2. Informa nome, CPF, e-mail, senha, endereço e, se quiser, telefone.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3. Marca o aceite dos Termos de Uso e da Política de Privacidade.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4. O sistema valida os campos (dígitos do CPF, formato do e-mail, força da senha).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5. O sistema grava o usuário com o hash da senha e registra o consentimento.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6. O sistema emite o token e abre a tela Início.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Fluxos alternativos e exceções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4a. Campo inválido ou aceite ausente: mensagem junto ao campo (400) e nada é gravado.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4b. E-mail ou CPF já cadastrado: 409 com mensagem.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Pós-condições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Conta de paciente ativa e consentimento registrado.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Requisitos relacionados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RF01, RN15, RNF01</w:t>
            </w:r>
          </w:p>
        </w:tc>
      </w:tr>
    </w:tbl>
    <w:p>
      <w:pPr>
        <w:keepNext/>
        <w:spacing w:after="0" w:before="200"/>
      </w:pPr>
    </w:p>
    <w:tbl>
      <w:tblPr>
        <w:tblW w:type="dxa" w:w="9071"/>
        <w:tblBorders>
          <w:top w:val="single" w:color="C9D3DA" w:sz="4"/>
          <w:left w:val="single" w:color="C9D3DA" w:sz="4"/>
          <w:bottom w:val="single" w:color="C9D3DA" w:sz="4"/>
          <w:right w:val="single" w:color="C9D3DA" w:sz="4"/>
          <w:insideH w:val="single" w:color="C9D3DA" w:sz="4"/>
          <w:insideV w:val="single" w:color="C9D3DA" w:sz="4"/>
        </w:tblBorders>
        <w:tblLayout w:type="fixed"/>
      </w:tblPr>
      <w:tblGrid>
        <w:gridCol w:w="2000"/>
        <w:gridCol w:w="7071"/>
      </w:tblGrid>
      <w:tr>
        <w:trPr>
          <w:cantSplit/>
          <w:tblHeader/>
        </w:trPr>
        <w:tc>
          <w:tcPr>
            <w:tcW w:type="dxa" w:w="9071"/>
            <w:gridSpan w:val="2"/>
            <w:shd w:fill="0B1F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UC02 — Autenticar-se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Atores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Objetivo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Entrar no sistema com o perfil correto.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Pré-condições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Conta ativa.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1. Informa e-mail e senha.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2. O sistema confere o hash da senha.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3. O sistema zera o contador de falhas e emite o JWT com o perfil (60 min).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4. A interface abre a tela inicial do perfil.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Fluxos alternativos e exceções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2a. Senha incorreta ou e-mail inexistente: 401 com mensagem genérica; soma uma falha.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2b. Quinta falha seguida: conta bloqueada por 15 minutos (423).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2c. Mais de 10 tentativas por minuto do mesmo IP: 429.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4a. Token expirado em uso: 401 e retorno ao login com aviso.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Pós-condições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Sessão aberta com o perfil do usuário.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Requisitos relacionados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RF02, RF03, RN01, RN17, RNF03</w:t>
            </w:r>
          </w:p>
        </w:tc>
      </w:tr>
    </w:tbl>
    <w:p>
      <w:pPr>
        <w:keepNext/>
        <w:spacing w:after="0" w:before="200"/>
      </w:pPr>
    </w:p>
    <w:tbl>
      <w:tblPr>
        <w:tblW w:type="dxa" w:w="9071"/>
        <w:tblBorders>
          <w:top w:val="single" w:color="C9D3DA" w:sz="4"/>
          <w:left w:val="single" w:color="C9D3DA" w:sz="4"/>
          <w:bottom w:val="single" w:color="C9D3DA" w:sz="4"/>
          <w:right w:val="single" w:color="C9D3DA" w:sz="4"/>
          <w:insideH w:val="single" w:color="C9D3DA" w:sz="4"/>
          <w:insideV w:val="single" w:color="C9D3DA" w:sz="4"/>
        </w:tblBorders>
        <w:tblLayout w:type="fixed"/>
      </w:tblPr>
      <w:tblGrid>
        <w:gridCol w:w="2000"/>
        <w:gridCol w:w="7071"/>
      </w:tblGrid>
      <w:tr>
        <w:trPr>
          <w:cantSplit/>
          <w:tblHeader/>
        </w:trPr>
        <w:tc>
          <w:tcPr>
            <w:tcW w:type="dxa" w:w="9071"/>
            <w:gridSpan w:val="2"/>
            <w:shd w:fill="0B1F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UC03 — Enviar receita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Atores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Paciente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Objetivo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Disponibilizar a receita para análise farmacêutica.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Pré-condições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Paciente autenticado.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1. Escolhe o arquivo da receita.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2. Marca o consentimento específico para dados de saúde.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3. Envia.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4. O sistema valida extensão, assinatura binária e tamanho.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5. O sistema registra o consentimento, guarda o arquivo em pasta privada com nome gerado e cria a receita Pendente.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Fluxos alternativos e exceções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4a. Sem consentimento, formato inválido ou maior que 10 MB: 400 e nada é gravado.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Pós-condições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Receita Pendente visível ao paciente e na fila do farmacêutico.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Requisitos relacionados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RF05, RN15, RNF04</w:t>
            </w:r>
          </w:p>
        </w:tc>
      </w:tr>
    </w:tbl>
    <w:p>
      <w:pPr>
        <w:keepNext/>
        <w:spacing w:after="0" w:before="200"/>
      </w:pPr>
    </w:p>
    <w:tbl>
      <w:tblPr>
        <w:tblW w:type="dxa" w:w="9071"/>
        <w:tblBorders>
          <w:top w:val="single" w:color="C9D3DA" w:sz="4"/>
          <w:left w:val="single" w:color="C9D3DA" w:sz="4"/>
          <w:bottom w:val="single" w:color="C9D3DA" w:sz="4"/>
          <w:right w:val="single" w:color="C9D3DA" w:sz="4"/>
          <w:insideH w:val="single" w:color="C9D3DA" w:sz="4"/>
          <w:insideV w:val="single" w:color="C9D3DA" w:sz="4"/>
        </w:tblBorders>
        <w:tblLayout w:type="fixed"/>
      </w:tblPr>
      <w:tblGrid>
        <w:gridCol w:w="2000"/>
        <w:gridCol w:w="7071"/>
      </w:tblGrid>
      <w:tr>
        <w:trPr>
          <w:cantSplit/>
          <w:tblHeader/>
        </w:trPr>
        <w:tc>
          <w:tcPr>
            <w:tcW w:type="dxa" w:w="9071"/>
            <w:gridSpan w:val="2"/>
            <w:shd w:fill="0B1F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UC04 — Montar Box e confirmar pedido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Atores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Paciente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Objetivo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Garantir os medicamentos do próximo ciclo de 30 dias.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Pré-condições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Receita em análise ou aprovada e válida; nenhuma outra Box em preparação.</w:t>
            </w:r>
          </w:p>
        </w:tc>
      </w:tr>
      <w:tr>
        <w:trPr>
          <w:cantSplit w:val="false"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1. Escolhe a receita que sustenta o pedido.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2. Seleciona os medicamentos no catálogo.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3. Define os horários e as unidades por dose de cada um.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4. O sistema simula a disponibilidade a cada alteração (sem reservar).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5. Revisa os itens e o endereço de entrega e confirma.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6. O sistema valida a Box (RN09, RN11) e calcula a necessidade do ciclo.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7. O sistema reserva o estoque por FEFO numa única transação («include» Reservar estoque).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8. O sistema cria o tratamento e o pedido Pendente e mostra a confirmação.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Fluxos alternativos e exceções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1a. Renovação: "Repetir minha última Box" preenche itens e horários.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7a. Falta de saldo em qualquer item: 409 com a lista de faltas; nada é reservado; o paciente ajusta.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7b. Outro pedido alterou o mesmo lote ao mesmo tempo: 409 "tente novamente"; nada é gravado.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8a. Receita já aprovada e válida: o pedido vai direto para Em separação.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E1. Receita recusada ou vencida: 422. Box já em preparação: 409.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Pós-condições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Pedido Pendente (ou Em separação) com estoque reservado lote a lote.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Requisitos relacionados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RF09, RF10, RN02–RN04, RN09, RN11, RN12</w:t>
            </w:r>
          </w:p>
        </w:tc>
      </w:tr>
    </w:tbl>
    <w:p>
      <w:pPr>
        <w:keepNext/>
        <w:spacing w:after="0" w:before="200"/>
      </w:pPr>
    </w:p>
    <w:tbl>
      <w:tblPr>
        <w:tblW w:type="dxa" w:w="9071"/>
        <w:tblBorders>
          <w:top w:val="single" w:color="C9D3DA" w:sz="4"/>
          <w:left w:val="single" w:color="C9D3DA" w:sz="4"/>
          <w:bottom w:val="single" w:color="C9D3DA" w:sz="4"/>
          <w:right w:val="single" w:color="C9D3DA" w:sz="4"/>
          <w:insideH w:val="single" w:color="C9D3DA" w:sz="4"/>
          <w:insideV w:val="single" w:color="C9D3DA" w:sz="4"/>
        </w:tblBorders>
        <w:tblLayout w:type="fixed"/>
      </w:tblPr>
      <w:tblGrid>
        <w:gridCol w:w="2000"/>
        <w:gridCol w:w="7071"/>
      </w:tblGrid>
      <w:tr>
        <w:trPr>
          <w:cantSplit/>
          <w:tblHeader/>
        </w:trPr>
        <w:tc>
          <w:tcPr>
            <w:tcW w:type="dxa" w:w="9071"/>
            <w:gridSpan w:val="2"/>
            <w:shd w:fill="0B1F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UC05 — Acompanhar pedido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Atores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Paciente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Objetivo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Saber em que etapa está a Box.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Pré-condições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Pedido do próprio paciente.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1. Abre "Meus pedidos".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2. Seleciona um pedido.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3. O sistema mostra a linha do tempo, a mensagem de status, os itens com horários e lotes e o histórico completo.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Fluxos alternativos e exceções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3a. Pedido recusado: mostra o motivo informado pela farmacêutica e orienta o envio de nova receita.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Pós-condições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Nenhuma alteração.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Requisitos relacionados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RF17, RF20, RN13</w:t>
            </w:r>
          </w:p>
        </w:tc>
      </w:tr>
    </w:tbl>
    <w:p>
      <w:pPr>
        <w:keepNext/>
        <w:spacing w:after="0" w:before="200"/>
      </w:pPr>
    </w:p>
    <w:tbl>
      <w:tblPr>
        <w:tblW w:type="dxa" w:w="9071"/>
        <w:tblBorders>
          <w:top w:val="single" w:color="C9D3DA" w:sz="4"/>
          <w:left w:val="single" w:color="C9D3DA" w:sz="4"/>
          <w:bottom w:val="single" w:color="C9D3DA" w:sz="4"/>
          <w:right w:val="single" w:color="C9D3DA" w:sz="4"/>
          <w:insideH w:val="single" w:color="C9D3DA" w:sz="4"/>
          <w:insideV w:val="single" w:color="C9D3DA" w:sz="4"/>
        </w:tblBorders>
        <w:tblLayout w:type="fixed"/>
      </w:tblPr>
      <w:tblGrid>
        <w:gridCol w:w="2000"/>
        <w:gridCol w:w="7071"/>
      </w:tblGrid>
      <w:tr>
        <w:trPr>
          <w:cantSplit/>
          <w:tblHeader/>
        </w:trPr>
        <w:tc>
          <w:tcPr>
            <w:tcW w:type="dxa" w:w="9071"/>
            <w:gridSpan w:val="2"/>
            <w:shd w:fill="0B1F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UC06 — Analisar receita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Atores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Farmacêutico RT (Administrador)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Objetivo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Garantir que só se separe o que foi prescrito.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Pré-condições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Receita Pendente.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1. Abre a fila de análise.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2. Compara a receita com os itens e horários pedidos na Box.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3. Aprova, definindo a validade da receita.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4. O sistema aprova a receita e leva os pedidos pendentes dela para Em separação, registrando o histórico.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Fluxos alternativos e exceções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3a. Recusa informando o motivo (5+ caracteres): receita Recusada, pedidos Recusados e reserva liberada lote a lote.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E1. Operador tenta analisar: 403.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E2. Receita já analisada: 409.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Pós-condições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Receita Aprovada (ou Recusada) e pedidos atualizados.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Requisitos relacionados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RF06, RN02, RN07, RN08</w:t>
            </w:r>
          </w:p>
        </w:tc>
      </w:tr>
    </w:tbl>
    <w:p>
      <w:pPr>
        <w:keepNext/>
        <w:spacing w:after="0" w:before="200"/>
      </w:pPr>
    </w:p>
    <w:tbl>
      <w:tblPr>
        <w:tblW w:type="dxa" w:w="9071"/>
        <w:tblBorders>
          <w:top w:val="single" w:color="C9D3DA" w:sz="4"/>
          <w:left w:val="single" w:color="C9D3DA" w:sz="4"/>
          <w:bottom w:val="single" w:color="C9D3DA" w:sz="4"/>
          <w:right w:val="single" w:color="C9D3DA" w:sz="4"/>
          <w:insideH w:val="single" w:color="C9D3DA" w:sz="4"/>
          <w:insideV w:val="single" w:color="C9D3DA" w:sz="4"/>
        </w:tblBorders>
        <w:tblLayout w:type="fixed"/>
      </w:tblPr>
      <w:tblGrid>
        <w:gridCol w:w="2000"/>
        <w:gridCol w:w="7071"/>
      </w:tblGrid>
      <w:tr>
        <w:trPr>
          <w:cantSplit/>
          <w:tblHeader/>
        </w:trPr>
        <w:tc>
          <w:tcPr>
            <w:tcW w:type="dxa" w:w="9071"/>
            <w:gridSpan w:val="2"/>
            <w:shd w:fill="0B1F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UC07 — Separar e finalizar Box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Atores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Operador (Funcionário) ou Farmacêutico RT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Objetivo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Montar fisicamente a Box e baixar o estoque.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Pré-condições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Pedido Em separação.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1. Abre o pedido na aba Em separação.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2. O sistema mostra as etiquetas dos sachês com lote e validade reservados.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3. Separa e etiqueta os sachês.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4. Confirma "Finalizar Box e dar baixa".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5. O sistema baixa físico e reserva de cada lote, registra as movimentações e muda o status para Aguardando entregador.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Fluxos alternativos e exceções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5a. Pedido em outro status: 409 e nada muda.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Pós-condições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Box pronta para entrega; estoque físico atualizado.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Requisitos relacionados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RF12, RF13, RN06, RN08</w:t>
            </w:r>
          </w:p>
        </w:tc>
      </w:tr>
    </w:tbl>
    <w:p>
      <w:pPr>
        <w:keepNext/>
        <w:spacing w:after="0" w:before="200"/>
      </w:pPr>
    </w:p>
    <w:tbl>
      <w:tblPr>
        <w:tblW w:type="dxa" w:w="9071"/>
        <w:tblBorders>
          <w:top w:val="single" w:color="C9D3DA" w:sz="4"/>
          <w:left w:val="single" w:color="C9D3DA" w:sz="4"/>
          <w:bottom w:val="single" w:color="C9D3DA" w:sz="4"/>
          <w:right w:val="single" w:color="C9D3DA" w:sz="4"/>
          <w:insideH w:val="single" w:color="C9D3DA" w:sz="4"/>
          <w:insideV w:val="single" w:color="C9D3DA" w:sz="4"/>
        </w:tblBorders>
        <w:tblLayout w:type="fixed"/>
      </w:tblPr>
      <w:tblGrid>
        <w:gridCol w:w="2000"/>
        <w:gridCol w:w="7071"/>
      </w:tblGrid>
      <w:tr>
        <w:trPr>
          <w:cantSplit/>
          <w:tblHeader/>
        </w:trPr>
        <w:tc>
          <w:tcPr>
            <w:tcW w:type="dxa" w:w="9071"/>
            <w:gridSpan w:val="2"/>
            <w:shd w:fill="0B1F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UC08 — Gerenciar medicamentos e lotes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Atores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Equipe da farmácia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Objetivo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Manter o catálogo e o saldo por lote.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Pré-condições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Usuário da equipe autenticado.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1. Cadastra o medicamento (nome, princípio ativo, concentração, forma, tarja, controle especial, mínimo).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2. Registra a entrada de lote (número, fabricação, validade, quantidade).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3. O sistema cria o lote e a movimentação de Entrada.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4. Consulta saldos (físico, reservado, disponível) e movimentações.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Fluxos alternativos e exceções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2a. Lote vencido, número repetido ou quantidade ≤ 0: 422.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1a. Medicamento já cadastrado: 409.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Pós-condições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Catálogo e saldo atualizados.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Requisitos relacionados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RF07, RF08, RN05</w:t>
            </w:r>
          </w:p>
        </w:tc>
      </w:tr>
    </w:tbl>
    <w:p>
      <w:pPr>
        <w:keepNext/>
        <w:spacing w:after="0" w:before="200"/>
      </w:pPr>
    </w:p>
    <w:tbl>
      <w:tblPr>
        <w:tblW w:type="dxa" w:w="9071"/>
        <w:tblBorders>
          <w:top w:val="single" w:color="C9D3DA" w:sz="4"/>
          <w:left w:val="single" w:color="C9D3DA" w:sz="4"/>
          <w:bottom w:val="single" w:color="C9D3DA" w:sz="4"/>
          <w:right w:val="single" w:color="C9D3DA" w:sz="4"/>
          <w:insideH w:val="single" w:color="C9D3DA" w:sz="4"/>
          <w:insideV w:val="single" w:color="C9D3DA" w:sz="4"/>
        </w:tblBorders>
        <w:tblLayout w:type="fixed"/>
      </w:tblPr>
      <w:tblGrid>
        <w:gridCol w:w="2000"/>
        <w:gridCol w:w="7071"/>
      </w:tblGrid>
      <w:tr>
        <w:trPr>
          <w:cantSplit/>
          <w:tblHeader/>
        </w:trPr>
        <w:tc>
          <w:tcPr>
            <w:tcW w:type="dxa" w:w="9071"/>
            <w:gridSpan w:val="2"/>
            <w:shd w:fill="0B1F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UC09 — Monitorar alertas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Atores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Equipe da farmácia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Objetivo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Repor antes de faltar e evitar perda por validade.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Pré-condições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Usuário da equipe autenticado.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1. Abre o Painel ou o Estoque.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2. O sistema lista os alertas: abaixo do mínimo, vencendo em até 30 dias e vencidos com saldo.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3. A equipe programa reposição ou segrega o lote vencido.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Fluxos alternativos e exceções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2a. Sem alertas: mensagem "Nenhum alerta".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Pós-condições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Nenhuma alteração automática.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Requisitos relacionados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RF14, RN05, RN10</w:t>
            </w:r>
          </w:p>
        </w:tc>
      </w:tr>
    </w:tbl>
    <w:p>
      <w:pPr>
        <w:keepNext/>
        <w:spacing w:after="0" w:before="200"/>
      </w:pPr>
    </w:p>
    <w:tbl>
      <w:tblPr>
        <w:tblW w:type="dxa" w:w="9071"/>
        <w:tblBorders>
          <w:top w:val="single" w:color="C9D3DA" w:sz="4"/>
          <w:left w:val="single" w:color="C9D3DA" w:sz="4"/>
          <w:bottom w:val="single" w:color="C9D3DA" w:sz="4"/>
          <w:right w:val="single" w:color="C9D3DA" w:sz="4"/>
          <w:insideH w:val="single" w:color="C9D3DA" w:sz="4"/>
          <w:insideV w:val="single" w:color="C9D3DA" w:sz="4"/>
        </w:tblBorders>
        <w:tblLayout w:type="fixed"/>
      </w:tblPr>
      <w:tblGrid>
        <w:gridCol w:w="2000"/>
        <w:gridCol w:w="7071"/>
      </w:tblGrid>
      <w:tr>
        <w:trPr>
          <w:cantSplit/>
          <w:tblHeader/>
        </w:trPr>
        <w:tc>
          <w:tcPr>
            <w:tcW w:type="dxa" w:w="9071"/>
            <w:gridSpan w:val="2"/>
            <w:shd w:fill="0B1F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UC10 — Iniciar rota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Atores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Entregador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Objetivo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Levar a Box ao paciente.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Pré-condições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Pedido Aguardando entregador.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1. Abre "Prontas para sair".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2. Escolhe a Box e toca "Iniciar rota".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3. O sistema registra a tentativa e muda o status para Em rota; o paciente passa a ver "Saiu para entrega".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Fluxos alternativos e exceções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3a. Pedido já em rota ou em outro status: 409.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Pós-condições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Pedido Em rota com o entregador registrado.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Requisitos relacionados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RF15, RN08</w:t>
            </w:r>
          </w:p>
        </w:tc>
      </w:tr>
    </w:tbl>
    <w:p>
      <w:pPr>
        <w:keepNext/>
        <w:spacing w:after="0" w:before="200"/>
      </w:pPr>
    </w:p>
    <w:tbl>
      <w:tblPr>
        <w:tblW w:type="dxa" w:w="9071"/>
        <w:tblBorders>
          <w:top w:val="single" w:color="C9D3DA" w:sz="4"/>
          <w:left w:val="single" w:color="C9D3DA" w:sz="4"/>
          <w:bottom w:val="single" w:color="C9D3DA" w:sz="4"/>
          <w:right w:val="single" w:color="C9D3DA" w:sz="4"/>
          <w:insideH w:val="single" w:color="C9D3DA" w:sz="4"/>
          <w:insideV w:val="single" w:color="C9D3DA" w:sz="4"/>
        </w:tblBorders>
        <w:tblLayout w:type="fixed"/>
      </w:tblPr>
      <w:tblGrid>
        <w:gridCol w:w="2000"/>
        <w:gridCol w:w="7071"/>
      </w:tblGrid>
      <w:tr>
        <w:trPr>
          <w:cantSplit/>
          <w:tblHeader/>
        </w:trPr>
        <w:tc>
          <w:tcPr>
            <w:tcW w:type="dxa" w:w="9071"/>
            <w:gridSpan w:val="2"/>
            <w:shd w:fill="0B1F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UC11 — Confirmar entrega ou registrar ocorrência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Atores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Entregador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Objetivo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Comprovar a entrega ou explicar por que não aconteceu.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Pré-condições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Pedido Em rota iniciado pelo mesmo entregador.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1. Informa o nome de quem recebeu.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2. Confirma a entrega.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3. O sistema muda o status para Entregue e registra data, hora e recebedor.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Fluxos alternativos e exceções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1a. Não foi possível entregar: registra a ocorrência; o pedido volta para Aguardando entregador e a próxima saída é nova tentativa.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E1. Recebedor em branco: 422. Outro entregador: 403.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Pós-condições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Pedido Entregue (ou de volta à fila).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Requisitos relacionados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RF16, RN14</w:t>
            </w:r>
          </w:p>
        </w:tc>
      </w:tr>
    </w:tbl>
    <w:p>
      <w:pPr>
        <w:keepNext/>
        <w:spacing w:after="0" w:before="200"/>
      </w:pPr>
    </w:p>
    <w:tbl>
      <w:tblPr>
        <w:tblW w:type="dxa" w:w="9071"/>
        <w:tblBorders>
          <w:top w:val="single" w:color="C9D3DA" w:sz="4"/>
          <w:left w:val="single" w:color="C9D3DA" w:sz="4"/>
          <w:bottom w:val="single" w:color="C9D3DA" w:sz="4"/>
          <w:right w:val="single" w:color="C9D3DA" w:sz="4"/>
          <w:insideH w:val="single" w:color="C9D3DA" w:sz="4"/>
          <w:insideV w:val="single" w:color="C9D3DA" w:sz="4"/>
        </w:tblBorders>
        <w:tblLayout w:type="fixed"/>
      </w:tblPr>
      <w:tblGrid>
        <w:gridCol w:w="2000"/>
        <w:gridCol w:w="7071"/>
      </w:tblGrid>
      <w:tr>
        <w:trPr>
          <w:cantSplit/>
          <w:tblHeader/>
        </w:trPr>
        <w:tc>
          <w:tcPr>
            <w:tcW w:type="dxa" w:w="9071"/>
            <w:gridSpan w:val="2"/>
            <w:shd w:fill="0B1F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UC12 — Gerenciar meus dados (LGPD)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Atores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Paciente (titular)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Objetivo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Exercer os direitos do art. 18 da LGPD.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Pré-condições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Titular autenticado.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1. Abre "Meus dados" e vê cadastro e consentimentos.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2. Corrige dados e salva (art. 18, III).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3. Exporta os dados em JSON (art. 18, II e V).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4. Solicita a exclusão e confirma digitando EXCLUIR (art. 18, VI).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5. O sistema cancela pedidos pendentes, apaga as receitas, anonimiza os dados e encerra a sessão.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Fluxos alternativos e exceções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4a. Box em separação, pronta ou em rota: 409; a exclusão fica disponível após a entrega.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Pós-condições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Dados corrigidos, exportados ou anonimizados.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Requisitos relacionados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RF19, RN16, RNF12</w:t>
            </w:r>
          </w:p>
        </w:tc>
      </w:tr>
    </w:tbl>
    <w:p>
      <w:pPr>
        <w:keepNext/>
        <w:spacing w:after="0" w:before="200"/>
      </w:pPr>
    </w:p>
    <w:tbl>
      <w:tblPr>
        <w:tblW w:type="dxa" w:w="9071"/>
        <w:tblBorders>
          <w:top w:val="single" w:color="C9D3DA" w:sz="4"/>
          <w:left w:val="single" w:color="C9D3DA" w:sz="4"/>
          <w:bottom w:val="single" w:color="C9D3DA" w:sz="4"/>
          <w:right w:val="single" w:color="C9D3DA" w:sz="4"/>
          <w:insideH w:val="single" w:color="C9D3DA" w:sz="4"/>
          <w:insideV w:val="single" w:color="C9D3DA" w:sz="4"/>
        </w:tblBorders>
        <w:tblLayout w:type="fixed"/>
      </w:tblPr>
      <w:tblGrid>
        <w:gridCol w:w="2000"/>
        <w:gridCol w:w="7071"/>
      </w:tblGrid>
      <w:tr>
        <w:trPr>
          <w:cantSplit/>
          <w:tblHeader/>
        </w:trPr>
        <w:tc>
          <w:tcPr>
            <w:tcW w:type="dxa" w:w="9071"/>
            <w:gridSpan w:val="2"/>
            <w:shd w:fill="0B1F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UC13 — Gerenciar usuários internos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Atores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Farmacêutico RT (Administrador)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Objetivo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Dar e retirar acesso à equipe.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Pré-condições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Administrador autenticado.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1. Abre "Usuários" (CPF mascarado).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2. Cadastra operador, entregador ou outro farmacêutico.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3. Ativa ou desativa contas.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Fluxos alternativos e exceções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2a. E-mail ou CPF existente: 409. Perfil Paciente: 400.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3a. Desativar a própria conta: 409.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Pós-condições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Equipe atualizada.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Requisitos relacionados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RF04, RNF12</w:t>
            </w:r>
          </w:p>
        </w:tc>
      </w:tr>
    </w:tbl>
    <w:p>
      <w:pPr>
        <w:keepNext/>
        <w:spacing w:after="0" w:before="200"/>
      </w:pPr>
    </w:p>
    <w:tbl>
      <w:tblPr>
        <w:tblW w:type="dxa" w:w="9071"/>
        <w:tblBorders>
          <w:top w:val="single" w:color="C9D3DA" w:sz="4"/>
          <w:left w:val="single" w:color="C9D3DA" w:sz="4"/>
          <w:bottom w:val="single" w:color="C9D3DA" w:sz="4"/>
          <w:right w:val="single" w:color="C9D3DA" w:sz="4"/>
          <w:insideH w:val="single" w:color="C9D3DA" w:sz="4"/>
          <w:insideV w:val="single" w:color="C9D3DA" w:sz="4"/>
        </w:tblBorders>
        <w:tblLayout w:type="fixed"/>
      </w:tblPr>
      <w:tblGrid>
        <w:gridCol w:w="2000"/>
        <w:gridCol w:w="7071"/>
      </w:tblGrid>
      <w:tr>
        <w:trPr>
          <w:cantSplit/>
          <w:tblHeader/>
        </w:trPr>
        <w:tc>
          <w:tcPr>
            <w:tcW w:type="dxa" w:w="9071"/>
            <w:gridSpan w:val="2"/>
            <w:shd w:fill="0B1F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UC14 — Consultar indicadores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Atores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Equipe da farmácia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Objetivo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Acompanhar o resultado entregue ao paciente.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Pré-condições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Usuário da equipe autenticado.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1. Abre o Painel.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2. O sistema mostra tempo de ciclo P90, % entregue na 1ª tentativa, pedidos parados há mais de 24 h, receitas pendentes, itens abaixo do mínimo, lotes vencidos ou a vencer e Boxes por etapa.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Fluxos alternativos e exceções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2a. Sem entregas nos últimos 30 dias: indicadores de ciclo exibidos como "—".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Pós-condições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Nenhuma alteração.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Requisitos relacionados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RF18</w:t>
            </w:r>
          </w:p>
        </w:tc>
      </w:tr>
    </w:tbl>
    <w:p>
      <w:pPr>
        <w:keepNext/>
        <w:spacing w:after="0" w:before="200"/>
      </w:pPr>
    </w:p>
    <w:tbl>
      <w:tblPr>
        <w:tblW w:type="dxa" w:w="9071"/>
        <w:tblBorders>
          <w:top w:val="single" w:color="C9D3DA" w:sz="4"/>
          <w:left w:val="single" w:color="C9D3DA" w:sz="4"/>
          <w:bottom w:val="single" w:color="C9D3DA" w:sz="4"/>
          <w:right w:val="single" w:color="C9D3DA" w:sz="4"/>
          <w:insideH w:val="single" w:color="C9D3DA" w:sz="4"/>
          <w:insideV w:val="single" w:color="C9D3DA" w:sz="4"/>
        </w:tblBorders>
        <w:tblLayout w:type="fixed"/>
      </w:tblPr>
      <w:tblGrid>
        <w:gridCol w:w="2000"/>
        <w:gridCol w:w="7071"/>
      </w:tblGrid>
      <w:tr>
        <w:trPr>
          <w:cantSplit/>
          <w:tblHeader/>
        </w:trPr>
        <w:tc>
          <w:tcPr>
            <w:tcW w:type="dxa" w:w="9071"/>
            <w:gridSpan w:val="2"/>
            <w:shd w:fill="0B1F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UC15 — Cancelar pedido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Atores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Paciente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Objetivo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Desistir de uma Box ainda não separada.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Pré-condições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Pedido Pendente do próprio paciente.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Fluxo principal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1. Abre o pedido e toca "Cancelar pedido".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2. Confirma no diálogo.</w:t>
            </w:r>
          </w:p>
          <w:p>
            <w:pPr>
              <w:spacing w:after="50" w:line="252" w:lineRule="auto"/>
              <w:ind w:left="400" w:hanging="400"/>
              <w:jc w:val="left"/>
            </w:pPr>
            <w:r>
              <w:rPr>
                <w:sz w:val="19"/>
                <w:szCs w:val="19"/>
              </w:rPr>
              <w:t xml:space="preserve">3. O sistema libera a reserva lote a lote e muda o status para Cancelado.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Fluxos alternativos e exceções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3a. Pedido já em separação ou adiante: 409. Pedido de outro paciente: 403.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Pós-condições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Pedido Cancelado e saldo devolvido.</w:t>
            </w:r>
          </w:p>
        </w:tc>
      </w:tr>
      <w:tr>
        <w:trPr>
          <w:cantSplit/>
        </w:trPr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Requisitos relacionados</w:t>
            </w:r>
          </w:p>
        </w:tc>
        <w:tc>
          <w:tcPr>
            <w:tcW w:type="dxa" w:w="70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RF11, RN07, RN08</w:t>
            </w:r>
          </w:p>
        </w:tc>
      </w:tr>
    </w:tbl>
    <w:p>
      <w:pPr>
        <w:sectPr>
          <w:headerReference w:type="default" r:id="rId21"/>
          <w:footerReference w:type="default" r:id="rId22"/>
          <w:type w:val="nextPage"/>
          <w:pgSz w:w="11906" w:h="16838" w:orient="portrait"/>
          <w:pgMar w:top="1701" w:right="1134" w:bottom="1134" w:left="1701" w:header="851" w:footer="567" w:gutter="0"/>
          <w:pgNumType/>
          <w:docGrid w:linePitch="360"/>
        </w:sectPr>
      </w:pPr>
    </w:p>
    <w:p>
      <w:pPr>
        <w:pStyle w:val="Heading1"/>
        <w:keepNext/>
      </w:pPr>
      <w:bookmarkStart w:name="sec_034" w:id="34"/>
      <w:r>
        <w:t xml:space="preserve">6 Diagramas de sequência</w:t>
      </w:r>
      <w:bookmarkEnd w:id="34"/>
    </w:p>
    <w:p>
      <w:pPr>
        <w:spacing w:after="120" w:before="0" w:line="360" w:lineRule="auto"/>
        <w:ind w:firstLine="709"/>
        <w:jc w:val="both"/>
      </w:pPr>
      <w:r>
        <w:t xml:space="preserve">Os diagramas de sequência mostram, para os casos de uso de maior risco, a troca de mensagens entre a interface (Vue), a API (controller), o serviço de aplicação, o domínio e o banco. Eles foram escritos a partir do código da versão 2, de modo que cada mensagem corresponde a um método real.</w:t>
      </w:r>
    </w:p>
    <w:p>
      <w:pPr>
        <w:spacing w:after="120" w:before="0" w:line="360" w:lineRule="auto"/>
        <w:ind w:firstLine="709"/>
        <w:jc w:val="both"/>
      </w:pPr>
      <w:r>
        <w:t xml:space="preserve">Notação: seta cheia é chamada; seta tracejada é retorno; os blocos "alt" mostram alternativas (por exemplo, saldo suficiente ou falta) e as notas indicam a regra de negócio aplicada naquele ponto.</w:t>
      </w:r>
    </w:p>
    <w:p>
      <w:pPr>
        <w:keepNext/>
        <w:spacing w:after="100" w:before="200" w:line="276" w:lineRule="auto"/>
        <w:jc w:val="center"/>
      </w:pPr>
      <w:r>
        <w:rPr>
          <w:b/>
          <w:bCs/>
          <w:color w:val="0E1F33"/>
          <w:sz w:val="20"/>
          <w:szCs w:val="20"/>
        </w:rPr>
        <w:t xml:space="preserve">Quadro 18 — Diagramas de sequência e o que cada um demonstra</w:t>
      </w:r>
    </w:p>
    <w:tbl>
      <w:tblPr>
        <w:tblW w:type="dxa" w:w="14003"/>
        <w:tblBorders>
          <w:top w:val="single" w:color="C9D3DA" w:sz="4"/>
          <w:left w:val="single" w:color="C9D3DA" w:sz="4"/>
          <w:bottom w:val="single" w:color="C9D3DA" w:sz="4"/>
          <w:right w:val="single" w:color="C9D3DA" w:sz="4"/>
          <w:insideH w:val="single" w:color="C9D3DA" w:sz="4"/>
          <w:insideV w:val="single" w:color="C9D3DA" w:sz="4"/>
        </w:tblBorders>
        <w:tblLayout w:type="fixed"/>
      </w:tblPr>
      <w:tblGrid>
        <w:gridCol w:w="900"/>
        <w:gridCol w:w="3000"/>
        <w:gridCol w:w="7103"/>
        <w:gridCol w:w="3000"/>
      </w:tblGrid>
      <w:tr>
        <w:trPr>
          <w:cantSplit/>
          <w:tblHeader/>
        </w:trPr>
        <w:tc>
          <w:tcPr>
            <w:tcW w:type="dxa" w:w="9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Seção</w:t>
            </w:r>
          </w:p>
        </w:tc>
        <w:tc>
          <w:tcPr>
            <w:tcW w:type="dxa" w:w="3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Caso de uso</w:t>
            </w:r>
          </w:p>
        </w:tc>
        <w:tc>
          <w:tcPr>
            <w:tcW w:type="dxa" w:w="7103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O que o diagrama demonstra</w:t>
            </w:r>
          </w:p>
        </w:tc>
        <w:tc>
          <w:tcPr>
            <w:tcW w:type="dxa" w:w="3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Requisitos e regras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9"/>
                <w:szCs w:val="19"/>
              </w:rPr>
              <w:t xml:space="preserve">6.1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UC02 Autenticar-se</w:t>
            </w:r>
          </w:p>
        </w:tc>
        <w:tc>
          <w:tcPr>
            <w:tcW w:type="dxa" w:w="71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Conferência do hash PBKDF2 com o salt guardado, bloqueio após cinco falhas e emissão do JWT com o perfil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RF02, RN01, RN17, RNF01, RNF03</w:t>
            </w:r>
          </w:p>
        </w:tc>
      </w:tr>
      <w:tr>
        <w:trPr>
          <w:cantSplit/>
        </w:trPr>
        <w:tc>
          <w:tcPr>
            <w:tcW w:type="dxa" w:w="9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9"/>
                <w:szCs w:val="19"/>
              </w:rPr>
              <w:t xml:space="preserve">6.2</w:t>
            </w:r>
          </w:p>
        </w:tc>
        <w:tc>
          <w:tcPr>
            <w:tcW w:type="dxa" w:w="3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UC03 Enviar receita</w:t>
            </w:r>
          </w:p>
        </w:tc>
        <w:tc>
          <w:tcPr>
            <w:tcW w:type="dxa" w:w="71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Consentimento de dados de saúde registrado antes de gravar; validação de tipo, assinatura binária e tamanho; pasta privada</w:t>
            </w:r>
          </w:p>
        </w:tc>
        <w:tc>
          <w:tcPr>
            <w:tcW w:type="dxa" w:w="3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RF05, RN15, RNF04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9"/>
                <w:szCs w:val="19"/>
              </w:rPr>
              <w:t xml:space="preserve">6.3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UC04 Montar Box e confirmar pedido</w:t>
            </w:r>
          </w:p>
        </w:tc>
        <w:tc>
          <w:tcPr>
            <w:tcW w:type="dxa" w:w="71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Reserva por FEFO de todos os itens numa transação, falta devolvida como 409 e concorrência otimista no lote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RF10, RN02–RN04, RN12</w:t>
            </w:r>
          </w:p>
        </w:tc>
      </w:tr>
      <w:tr>
        <w:trPr>
          <w:cantSplit/>
        </w:trPr>
        <w:tc>
          <w:tcPr>
            <w:tcW w:type="dxa" w:w="9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9"/>
                <w:szCs w:val="19"/>
              </w:rPr>
              <w:t xml:space="preserve">6.4</w:t>
            </w:r>
          </w:p>
        </w:tc>
        <w:tc>
          <w:tcPr>
            <w:tcW w:type="dxa" w:w="3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UC06 Analisar receita</w:t>
            </w:r>
          </w:p>
        </w:tc>
        <w:tc>
          <w:tcPr>
            <w:tcW w:type="dxa" w:w="71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Aprovação leva os pedidos à separação; recusa libera a reserva lote a lote; operador recebe 403</w:t>
            </w:r>
          </w:p>
        </w:tc>
        <w:tc>
          <w:tcPr>
            <w:tcW w:type="dxa" w:w="3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RF06, RN02, RN07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9"/>
                <w:szCs w:val="19"/>
              </w:rPr>
              <w:t xml:space="preserve">6.5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UC07 Separar e finalizar Box</w:t>
            </w:r>
          </w:p>
        </w:tc>
        <w:tc>
          <w:tcPr>
            <w:tcW w:type="dxa" w:w="71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Baixa exatamente dos lotes reservados, movimentação Baixa e mudança para Aguardando entregador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RF13, RN06</w:t>
            </w:r>
          </w:p>
        </w:tc>
      </w:tr>
      <w:tr>
        <w:trPr>
          <w:cantSplit/>
        </w:trPr>
        <w:tc>
          <w:tcPr>
            <w:tcW w:type="dxa" w:w="9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9"/>
                <w:szCs w:val="19"/>
              </w:rPr>
              <w:t xml:space="preserve">6.6</w:t>
            </w:r>
          </w:p>
        </w:tc>
        <w:tc>
          <w:tcPr>
            <w:tcW w:type="dxa" w:w="3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UC10 e UC11 Entrega e ocorrência</w:t>
            </w:r>
          </w:p>
        </w:tc>
        <w:tc>
          <w:tcPr>
            <w:tcW w:type="dxa" w:w="71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Tentativa registrada, recebedor obrigatório, só o entregador da rota confirma, ocorrência devolve à fila</w:t>
            </w:r>
          </w:p>
        </w:tc>
        <w:tc>
          <w:tcPr>
            <w:tcW w:type="dxa" w:w="3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RF15, RF16, RN14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9"/>
                <w:szCs w:val="19"/>
              </w:rPr>
              <w:t xml:space="preserve">6.7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UC12 Excluir conta</w:t>
            </w:r>
          </w:p>
        </w:tc>
        <w:tc>
          <w:tcPr>
            <w:tcW w:type="dxa" w:w="71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Cancelamento dos pendentes, exclusão dos arquivos, anonimização e encerramento da sessão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RF19, RN16</w:t>
            </w:r>
          </w:p>
        </w:tc>
      </w:tr>
    </w:tbl>
    <w:p>
      <w:pPr>
        <w:spacing w:after="240" w:before="80" w:line="240" w:lineRule="auto"/>
        <w:jc w:val="center"/>
      </w:pPr>
      <w:r>
        <w:rPr>
          <w:color w:val="455867"/>
          <w:sz w:val="18"/>
          <w:szCs w:val="18"/>
        </w:rPr>
        <w:t xml:space="preserve">Fonte: elaborado pelo grupo (2026).</w:t>
      </w:r>
    </w:p>
    <w:p>
      <w:pPr>
        <w:pStyle w:val="Heading2"/>
        <w:keepNext/>
        <w:pageBreakBefore/>
      </w:pPr>
      <w:bookmarkStart w:name="sec_035" w:id="35"/>
      <w:r>
        <w:t xml:space="preserve">6.1 UC02 Autenticar-se</w:t>
      </w:r>
      <w:bookmarkEnd w:id="35"/>
    </w:p>
    <w:p>
      <w:pPr>
        <w:keepNext/>
        <w:spacing w:after="120" w:before="0" w:line="360" w:lineRule="auto"/>
        <w:ind w:firstLine="709"/>
        <w:jc w:val="both"/>
      </w:pPr>
      <w:r>
        <w:t xml:space="preserve">A senha é conferida recalculando o PBKDF2 com o salt guardado; o perfil vai dentro do token assinado, e não em um cabeçalho que o navegador possa alterar.</w:t>
      </w:r>
    </w:p>
    <w:p>
      <w:pPr>
        <w:keepNext/>
        <w:spacing w:after="100" w:before="200" w:line="276" w:lineRule="auto"/>
        <w:jc w:val="center"/>
      </w:pPr>
      <w:r>
        <w:rPr>
          <w:b/>
          <w:bCs/>
          <w:color w:val="0E1F33"/>
          <w:sz w:val="20"/>
          <w:szCs w:val="20"/>
        </w:rPr>
        <w:t xml:space="preserve">Figura 5 — Diagrama de sequência — UC02 Autenticar-se (JWT, hash com salt e bloqueio por tentativas)</w:t>
      </w:r>
    </w:p>
    <w:p>
      <w:pPr>
        <w:keepNext/>
        <w:spacing w:after="0"/>
        <w:jc w:val="center"/>
      </w:pPr>
      <w:r>
        <w:drawing>
          <wp:inline distT="0" distB="0" distL="0" distR="0">
            <wp:extent cx="7686675" cy="4248150"/>
            <wp:effectExtent t="0" r="0" b="0" l="0"/>
            <wp:docPr id="1" name="sd01_login.png" descr="Diagrama de sequência — UC02 Autenticar-se (JWT, hash com salt e bloqueio por tentativas)" title="Diagrama de sequência — UC02 Autenticar-se (JWT, hash com salt e bloqueio por tentativa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667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40" w:lineRule="auto"/>
        <w:jc w:val="center"/>
      </w:pPr>
      <w:r>
        <w:rPr>
          <w:color w:val="455867"/>
          <w:sz w:val="18"/>
          <w:szCs w:val="18"/>
        </w:rPr>
        <w:t xml:space="preserve">Fonte: elaborado pelo grupo (2026).</w:t>
      </w:r>
    </w:p>
    <w:p>
      <w:pPr>
        <w:pStyle w:val="Heading2"/>
        <w:keepNext/>
        <w:pageBreakBefore/>
      </w:pPr>
      <w:bookmarkStart w:name="sec_036" w:id="36"/>
      <w:r>
        <w:t xml:space="preserve">6.2 UC03 Enviar receita</w:t>
      </w:r>
      <w:bookmarkEnd w:id="36"/>
    </w:p>
    <w:p>
      <w:pPr>
        <w:keepNext/>
        <w:spacing w:after="120" w:before="0" w:line="360" w:lineRule="auto"/>
        <w:ind w:firstLine="709"/>
        <w:jc w:val="both"/>
      </w:pPr>
      <w:r>
        <w:t xml:space="preserve">O consentimento de dados de saúde é registrado antes de o arquivo ser guardado; o nome do arquivo no disco é gerado pelo sistema.</w:t>
      </w:r>
    </w:p>
    <w:p>
      <w:pPr>
        <w:keepNext/>
        <w:spacing w:after="100" w:before="200" w:line="276" w:lineRule="auto"/>
        <w:jc w:val="center"/>
      </w:pPr>
      <w:r>
        <w:rPr>
          <w:b/>
          <w:bCs/>
          <w:color w:val="0E1F33"/>
          <w:sz w:val="20"/>
          <w:szCs w:val="20"/>
        </w:rPr>
        <w:t xml:space="preserve">Figura 6 — Diagrama de sequência — UC03 Enviar receita</w:t>
      </w:r>
    </w:p>
    <w:p>
      <w:pPr>
        <w:keepNext/>
        <w:spacing w:after="0"/>
        <w:jc w:val="center"/>
      </w:pPr>
      <w:r>
        <w:drawing>
          <wp:inline distT="0" distB="0" distL="0" distR="0">
            <wp:extent cx="8639175" cy="3352800"/>
            <wp:effectExtent t="0" r="0" b="0" l="0"/>
            <wp:docPr id="1" name="sd02_receita.png" descr="Diagrama de sequência — UC03 Enviar receita" title="Diagrama de sequência — UC03 Enviar rece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917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40" w:lineRule="auto"/>
        <w:jc w:val="center"/>
      </w:pPr>
      <w:r>
        <w:rPr>
          <w:color w:val="455867"/>
          <w:sz w:val="18"/>
          <w:szCs w:val="18"/>
        </w:rPr>
        <w:t xml:space="preserve">Fonte: elaborado pelo grupo (2026).</w:t>
      </w:r>
    </w:p>
    <w:p>
      <w:pPr>
        <w:pStyle w:val="Heading2"/>
        <w:keepNext/>
        <w:pageBreakBefore/>
      </w:pPr>
      <w:bookmarkStart w:name="sec_037" w:id="37"/>
      <w:r>
        <w:t xml:space="preserve">6.3 UC04 Montar Box e confirmar pedido</w:t>
      </w:r>
      <w:bookmarkEnd w:id="37"/>
    </w:p>
    <w:p>
      <w:pPr>
        <w:keepNext/>
        <w:spacing w:after="120" w:before="0" w:line="360" w:lineRule="auto"/>
        <w:ind w:firstLine="709"/>
        <w:jc w:val="both"/>
      </w:pPr>
      <w:r>
        <w:t xml:space="preserve">É aqui que o incidente do pitch deixa de existir: a reserva acontece na confirmação, para todos os itens de uma vez, e o token de concorrência do lote impede que dois pedidos reservem o mesmo saldo.</w:t>
      </w:r>
    </w:p>
    <w:p>
      <w:pPr>
        <w:keepNext/>
        <w:spacing w:after="100" w:before="200" w:line="276" w:lineRule="auto"/>
        <w:jc w:val="center"/>
      </w:pPr>
      <w:r>
        <w:rPr>
          <w:b/>
          <w:bCs/>
          <w:color w:val="0E1F33"/>
          <w:sz w:val="20"/>
          <w:szCs w:val="20"/>
        </w:rPr>
        <w:t xml:space="preserve">Figura 7 — Diagrama de sequência — UC04 Montar Box e confirmar pedido (reserva por FEFO)</w:t>
      </w:r>
    </w:p>
    <w:p>
      <w:pPr>
        <w:keepNext/>
        <w:spacing w:after="0"/>
        <w:jc w:val="center"/>
      </w:pPr>
      <w:r>
        <w:drawing>
          <wp:inline distT="0" distB="0" distL="0" distR="0">
            <wp:extent cx="5286375" cy="4248150"/>
            <wp:effectExtent t="0" r="0" b="0" l="0"/>
            <wp:docPr id="1" name="sd03_confirmar.png" descr="Diagrama de sequência — UC04 Montar Box e confirmar pedido (reserva por FEFO)" title="Diagrama de sequência — UC04 Montar Box e confirmar pedido (reserva por FEF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40" w:lineRule="auto"/>
        <w:jc w:val="center"/>
      </w:pPr>
      <w:r>
        <w:rPr>
          <w:color w:val="455867"/>
          <w:sz w:val="18"/>
          <w:szCs w:val="18"/>
        </w:rPr>
        <w:t xml:space="preserve">Fonte: elaborado pelo grupo (2026).</w:t>
      </w:r>
    </w:p>
    <w:p>
      <w:pPr>
        <w:pStyle w:val="Heading2"/>
        <w:keepNext/>
        <w:pageBreakBefore/>
      </w:pPr>
      <w:bookmarkStart w:name="sec_038" w:id="38"/>
      <w:r>
        <w:t xml:space="preserve">6.4 UC06 Analisar receita</w:t>
      </w:r>
      <w:bookmarkEnd w:id="38"/>
    </w:p>
    <w:p>
      <w:pPr>
        <w:keepNext/>
        <w:spacing w:after="120" w:before="0" w:line="360" w:lineRule="auto"/>
        <w:ind w:firstLine="709"/>
        <w:jc w:val="both"/>
      </w:pPr>
      <w:r>
        <w:t xml:space="preserve">A aprovação move os pedidos pendentes para separação; a recusa devolve a reserva ao estoque lote a lote.</w:t>
      </w:r>
    </w:p>
    <w:p>
      <w:pPr>
        <w:keepNext/>
        <w:spacing w:after="100" w:before="200" w:line="276" w:lineRule="auto"/>
        <w:jc w:val="center"/>
      </w:pPr>
      <w:r>
        <w:rPr>
          <w:b/>
          <w:bCs/>
          <w:color w:val="0E1F33"/>
          <w:sz w:val="20"/>
          <w:szCs w:val="20"/>
        </w:rPr>
        <w:t xml:space="preserve">Figura 8 — Diagrama de sequência — UC06 Analisar receita (aprovar ou recusar)</w:t>
      </w:r>
    </w:p>
    <w:p>
      <w:pPr>
        <w:keepNext/>
        <w:spacing w:after="0"/>
        <w:jc w:val="center"/>
      </w:pPr>
      <w:r>
        <w:drawing>
          <wp:inline distT="0" distB="0" distL="0" distR="0">
            <wp:extent cx="8610600" cy="4248150"/>
            <wp:effectExtent t="0" r="0" b="0" l="0"/>
            <wp:docPr id="1" name="sd04_analise.png" descr="Diagrama de sequência — UC06 Analisar receita (aprovar ou recusar)" title="Diagrama de sequência — UC06 Analisar receita (aprovar ou recusa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06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40" w:lineRule="auto"/>
        <w:jc w:val="center"/>
      </w:pPr>
      <w:r>
        <w:rPr>
          <w:color w:val="455867"/>
          <w:sz w:val="18"/>
          <w:szCs w:val="18"/>
        </w:rPr>
        <w:t xml:space="preserve">Fonte: elaborado pelo grupo (2026).</w:t>
      </w:r>
    </w:p>
    <w:p>
      <w:pPr>
        <w:pStyle w:val="Heading2"/>
        <w:keepNext/>
        <w:pageBreakBefore/>
      </w:pPr>
      <w:bookmarkStart w:name="sec_039" w:id="39"/>
      <w:r>
        <w:t xml:space="preserve">6.5 UC07 Separar e finalizar Box</w:t>
      </w:r>
      <w:bookmarkEnd w:id="39"/>
    </w:p>
    <w:p>
      <w:pPr>
        <w:keepNext/>
        <w:spacing w:after="120" w:before="0" w:line="360" w:lineRule="auto"/>
        <w:ind w:firstLine="709"/>
        <w:jc w:val="both"/>
      </w:pPr>
      <w:r>
        <w:t xml:space="preserve">A baixa sai exatamente dos lotes reservados, garantindo que a etiqueta do sachê corresponda ao lote físico.</w:t>
      </w:r>
    </w:p>
    <w:p>
      <w:pPr>
        <w:keepNext/>
        <w:spacing w:after="100" w:before="200" w:line="276" w:lineRule="auto"/>
        <w:jc w:val="center"/>
      </w:pPr>
      <w:r>
        <w:rPr>
          <w:b/>
          <w:bCs/>
          <w:color w:val="0E1F33"/>
          <w:sz w:val="20"/>
          <w:szCs w:val="20"/>
        </w:rPr>
        <w:t xml:space="preserve">Figura 9 — Diagrama de sequência — UC07 Separar e finalizar Box (baixa definitiva)</w:t>
      </w:r>
    </w:p>
    <w:p>
      <w:pPr>
        <w:keepNext/>
        <w:spacing w:after="0"/>
        <w:jc w:val="center"/>
      </w:pPr>
      <w:r>
        <w:drawing>
          <wp:inline distT="0" distB="0" distL="0" distR="0">
            <wp:extent cx="8639175" cy="3771900"/>
            <wp:effectExtent t="0" r="0" b="0" l="0"/>
            <wp:docPr id="1" name="sd05_finalizar.png" descr="Diagrama de sequência — UC07 Separar e finalizar Box (baixa definitiva)" title="Diagrama de sequência — UC07 Separar e finalizar Box (baixa definitiv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917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40" w:lineRule="auto"/>
        <w:jc w:val="center"/>
      </w:pPr>
      <w:r>
        <w:rPr>
          <w:color w:val="455867"/>
          <w:sz w:val="18"/>
          <w:szCs w:val="18"/>
        </w:rPr>
        <w:t xml:space="preserve">Fonte: elaborado pelo grupo (2026).</w:t>
      </w:r>
    </w:p>
    <w:p>
      <w:pPr>
        <w:pStyle w:val="Heading2"/>
        <w:keepNext/>
        <w:pageBreakBefore/>
      </w:pPr>
      <w:bookmarkStart w:name="sec_040" w:id="40"/>
      <w:r>
        <w:t xml:space="preserve">6.6 UC10 e UC11 Entrega e ocorrência</w:t>
      </w:r>
      <w:bookmarkEnd w:id="40"/>
    </w:p>
    <w:p>
      <w:pPr>
        <w:keepNext/>
        <w:spacing w:after="120" w:before="0" w:line="360" w:lineRule="auto"/>
        <w:ind w:firstLine="709"/>
        <w:jc w:val="both"/>
      </w:pPr>
      <w:r>
        <w:t xml:space="preserve">Cada saída é uma tentativa registrada; o paciente acompanha o status real em cada etapa.</w:t>
      </w:r>
    </w:p>
    <w:p>
      <w:pPr>
        <w:keepNext/>
        <w:spacing w:after="100" w:before="200" w:line="276" w:lineRule="auto"/>
        <w:jc w:val="center"/>
      </w:pPr>
      <w:r>
        <w:rPr>
          <w:b/>
          <w:bCs/>
          <w:color w:val="0E1F33"/>
          <w:sz w:val="20"/>
          <w:szCs w:val="20"/>
        </w:rPr>
        <w:t xml:space="preserve">Figura 10 — Diagrama de sequência — UC10 e UC11 Entrega e ocorrência</w:t>
      </w:r>
    </w:p>
    <w:p>
      <w:pPr>
        <w:keepNext/>
        <w:spacing w:after="0"/>
        <w:jc w:val="center"/>
      </w:pPr>
      <w:r>
        <w:drawing>
          <wp:inline distT="0" distB="0" distL="0" distR="0">
            <wp:extent cx="8639175" cy="3695700"/>
            <wp:effectExtent t="0" r="0" b="0" l="0"/>
            <wp:docPr id="1" name="sd06_entrega.png" descr="Diagrama de sequência — UC10 e UC11 Entrega e ocorrência" title="Diagrama de sequência — UC10 e UC11 Entrega e ocorrê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917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40" w:lineRule="auto"/>
        <w:jc w:val="center"/>
      </w:pPr>
      <w:r>
        <w:rPr>
          <w:color w:val="455867"/>
          <w:sz w:val="18"/>
          <w:szCs w:val="18"/>
        </w:rPr>
        <w:t xml:space="preserve">Fonte: elaborado pelo grupo (2026).</w:t>
      </w:r>
    </w:p>
    <w:p>
      <w:pPr>
        <w:pStyle w:val="Heading2"/>
        <w:keepNext/>
        <w:pageBreakBefore/>
      </w:pPr>
      <w:bookmarkStart w:name="sec_041" w:id="41"/>
      <w:r>
        <w:t xml:space="preserve">6.7 UC12 Excluir conta</w:t>
      </w:r>
      <w:bookmarkEnd w:id="41"/>
    </w:p>
    <w:p>
      <w:pPr>
        <w:keepNext/>
        <w:spacing w:after="120" w:before="0" w:line="360" w:lineRule="auto"/>
        <w:ind w:firstLine="709"/>
        <w:jc w:val="both"/>
      </w:pPr>
      <w:r>
        <w:t xml:space="preserve">A exclusão anonimiza o titular e preserva os registros exigidos para rastreabilidade sanitária.</w:t>
      </w:r>
    </w:p>
    <w:p>
      <w:pPr>
        <w:keepNext/>
        <w:spacing w:after="100" w:before="200" w:line="276" w:lineRule="auto"/>
        <w:jc w:val="center"/>
      </w:pPr>
      <w:r>
        <w:rPr>
          <w:b/>
          <w:bCs/>
          <w:color w:val="0E1F33"/>
          <w:sz w:val="20"/>
          <w:szCs w:val="20"/>
        </w:rPr>
        <w:t xml:space="preserve">Figura 11 — Diagrama de sequência — UC12 Excluir conta (LGPD art. 18, VI)</w:t>
      </w:r>
    </w:p>
    <w:p>
      <w:pPr>
        <w:keepNext/>
        <w:spacing w:after="0"/>
        <w:jc w:val="center"/>
      </w:pPr>
      <w:r>
        <w:drawing>
          <wp:inline distT="0" distB="0" distL="0" distR="0">
            <wp:extent cx="8639175" cy="3514725"/>
            <wp:effectExtent t="0" r="0" b="0" l="0"/>
            <wp:docPr id="1" name="sd07_exclusao.png" descr="Diagrama de sequência — UC12 Excluir conta (LGPD art. 18, VI)" title="Diagrama de sequência — UC12 Excluir conta (LGPD art. 18, VI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917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40" w:lineRule="auto"/>
        <w:jc w:val="center"/>
      </w:pPr>
      <w:r>
        <w:rPr>
          <w:color w:val="455867"/>
          <w:sz w:val="18"/>
          <w:szCs w:val="18"/>
        </w:rPr>
        <w:t xml:space="preserve">Fonte: elaborado pelo grupo (2026).</w:t>
      </w:r>
    </w:p>
    <w:p>
      <w:pPr>
        <w:sectPr>
          <w:headerReference w:type="default" r:id="rId23"/>
          <w:footerReference w:type="default" r:id="rId24"/>
          <w:type w:val="nextPage"/>
          <w:pgSz w:w="16838" w:h="11906" w:orient="landscape"/>
          <w:pgMar w:top="1418" w:right="1134" w:bottom="1134" w:left="1701" w:header="680" w:footer="510" w:gutter="0"/>
          <w:pgNumType/>
          <w:docGrid w:linePitch="360"/>
        </w:sectPr>
      </w:pPr>
    </w:p>
    <w:p>
      <w:pPr>
        <w:pStyle w:val="Heading1"/>
        <w:keepNext/>
      </w:pPr>
      <w:bookmarkStart w:name="sec_042" w:id="42"/>
      <w:r>
        <w:t xml:space="preserve">7 Casos de teste</w:t>
      </w:r>
      <w:bookmarkEnd w:id="42"/>
    </w:p>
    <w:p>
      <w:pPr>
        <w:pStyle w:val="Heading2"/>
        <w:keepNext/>
      </w:pPr>
      <w:bookmarkStart w:name="sec_043" w:id="43"/>
      <w:r>
        <w:t xml:space="preserve">7.1 Estratégia de teste</w:t>
      </w:r>
      <w:bookmarkEnd w:id="43"/>
    </w:p>
    <w:p>
      <w:pPr>
        <w:spacing w:after="120" w:before="0" w:line="360" w:lineRule="auto"/>
        <w:ind w:firstLine="709"/>
        <w:jc w:val="both"/>
      </w:pPr>
      <w:r>
        <w:t xml:space="preserve">Os testes seguem a pirâmide: muitos testes rápidos nas regras de domínio, testes de integração nos casos de uso e poucos testes ponta a ponta na interface. As mesmas regras existem em C# (API) e em JavaScript (servidor de demonstração do protótipo), e os dois lados são testados com os mesmos casos de teste.</w:t>
      </w:r>
    </w:p>
    <w:p>
      <w:pPr>
        <w:keepNext/>
        <w:spacing w:after="100" w:before="200" w:line="276" w:lineRule="auto"/>
        <w:jc w:val="center"/>
      </w:pPr>
      <w:r>
        <w:rPr>
          <w:b/>
          <w:bCs/>
          <w:color w:val="0E1F33"/>
          <w:sz w:val="20"/>
          <w:szCs w:val="20"/>
        </w:rPr>
        <w:t xml:space="preserve">Quadro 19 — Níveis de teste</w:t>
      </w:r>
    </w:p>
    <w:tbl>
      <w:tblPr>
        <w:tblW w:type="dxa" w:w="9071"/>
        <w:tblBorders>
          <w:top w:val="single" w:color="C9D3DA" w:sz="4"/>
          <w:left w:val="single" w:color="C9D3DA" w:sz="4"/>
          <w:bottom w:val="single" w:color="C9D3DA" w:sz="4"/>
          <w:right w:val="single" w:color="C9D3DA" w:sz="4"/>
          <w:insideH w:val="single" w:color="C9D3DA" w:sz="4"/>
          <w:insideV w:val="single" w:color="C9D3DA" w:sz="4"/>
        </w:tblBorders>
        <w:tblLayout w:type="fixed"/>
      </w:tblPr>
      <w:tblGrid>
        <w:gridCol w:w="1700"/>
        <w:gridCol w:w="3200"/>
        <w:gridCol w:w="1900"/>
        <w:gridCol w:w="2271"/>
      </w:tblGrid>
      <w:tr>
        <w:trPr>
          <w:cantSplit/>
          <w:tblHeader/>
        </w:trPr>
        <w:tc>
          <w:tcPr>
            <w:tcW w:type="dxa" w:w="17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Nível</w:t>
            </w:r>
          </w:p>
        </w:tc>
        <w:tc>
          <w:tcPr>
            <w:tcW w:type="dxa" w:w="32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O que verifica</w:t>
            </w:r>
          </w:p>
        </w:tc>
        <w:tc>
          <w:tcPr>
            <w:tcW w:type="dxa" w:w="19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Ferramenta</w:t>
            </w:r>
          </w:p>
        </w:tc>
        <w:tc>
          <w:tcPr>
            <w:tcW w:type="dxa" w:w="2271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Onde está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Unidade (domínio)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Regras RN03 a RN17 nas entidades e no serviço FEFO, sem banco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xUnit</w:t>
            </w:r>
          </w:p>
        </w:tc>
        <w:tc>
          <w:tcPr>
            <w:tcW w:type="dxa" w:w="22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backend/tests/MedFlow.Domain.Tests</w:t>
            </w:r>
          </w:p>
        </w:tc>
      </w:tr>
      <w:tr>
        <w:trPr>
          <w:cantSplit/>
        </w:trPr>
        <w:tc>
          <w:tcPr>
            <w:tcW w:type="dxa" w:w="17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Integração (aplicação)</w:t>
            </w:r>
          </w:p>
        </w:tc>
        <w:tc>
          <w:tcPr>
            <w:tcW w:type="dxa" w:w="32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Casos de uso completos com banco em memória: permissões, consentimento, reserva e anonimização</w:t>
            </w:r>
          </w:p>
        </w:tc>
        <w:tc>
          <w:tcPr>
            <w:tcW w:type="dxa" w:w="19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xUnit + EF Core InMemory</w:t>
            </w:r>
          </w:p>
        </w:tc>
        <w:tc>
          <w:tcPr>
            <w:tcW w:type="dxa" w:w="22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backend/tests/MedFlow.Application.Tests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Regras e fluxos (JavaScript)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As mesmas regras e os fluxos completos no servidor de demonstração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node --test</w:t>
            </w:r>
          </w:p>
        </w:tc>
        <w:tc>
          <w:tcPr>
            <w:tcW w:type="dxa" w:w="22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frontend/tests</w:t>
            </w:r>
          </w:p>
        </w:tc>
      </w:tr>
      <w:tr>
        <w:trPr>
          <w:cantSplit/>
        </w:trPr>
        <w:tc>
          <w:tcPr>
            <w:tcW w:type="dxa" w:w="17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Ponta a ponta (interface)</w:t>
            </w:r>
          </w:p>
        </w:tc>
        <w:tc>
          <w:tcPr>
            <w:tcW w:type="dxa" w:w="32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Roteiros dos quatro perfis no protótipo, em computador e celular</w:t>
            </w:r>
          </w:p>
        </w:tc>
        <w:tc>
          <w:tcPr>
            <w:tcW w:type="dxa" w:w="19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Playwright + Chromium</w:t>
            </w:r>
          </w:p>
        </w:tc>
        <w:tc>
          <w:tcPr>
            <w:tcW w:type="dxa" w:w="22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Roteiro de QA do protótipo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Manual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Acessibilidade com teclado e alto contraste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Navegador</w:t>
            </w:r>
          </w:p>
        </w:tc>
        <w:tc>
          <w:tcPr>
            <w:tcW w:type="dxa" w:w="22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Desempenho</w:t>
            </w:r>
          </w:p>
        </w:tc>
        <w:tc>
          <w:tcPr>
            <w:tcW w:type="dxa" w:w="32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Carga do pico de renovação (dias 1 a 5)</w:t>
            </w:r>
          </w:p>
        </w:tc>
        <w:tc>
          <w:tcPr>
            <w:tcW w:type="dxa" w:w="19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k6 (planejado)</w:t>
            </w:r>
          </w:p>
        </w:tc>
        <w:tc>
          <w:tcPr>
            <w:tcW w:type="dxa" w:w="22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Ambiente de homologação</w:t>
            </w:r>
          </w:p>
        </w:tc>
      </w:tr>
    </w:tbl>
    <w:p>
      <w:pPr>
        <w:spacing w:after="240" w:before="80" w:line="240" w:lineRule="auto"/>
        <w:jc w:val="center"/>
      </w:pPr>
      <w:r>
        <w:rPr>
          <w:color w:val="455867"/>
          <w:sz w:val="18"/>
          <w:szCs w:val="18"/>
        </w:rPr>
        <w:t xml:space="preserve">Fonte: elaborado pelo grupo (2026).</w:t>
      </w:r>
    </w:p>
    <w:p>
      <w:pPr>
        <w:spacing w:after="120" w:before="0" w:line="360" w:lineRule="auto"/>
        <w:ind w:firstLine="709"/>
        <w:jc w:val="both"/>
      </w:pPr>
      <w:r>
        <w:rPr>
          <w:b/>
          <w:bCs/>
        </w:rPr>
        <w:t xml:space="preserve">Dados de teste.</w:t>
      </w:r>
      <w:r>
        <w:t xml:space="preserve"> A base de exemplo tem as quatro personas, cinco pacientes, dez medicamentos com lotes de validades diferentes (incluindo um lote que vence em 20 dias e um lote vencido com saldo), e pedidos em todos os status. Os valores esperados nos casos de teste usam essa base.</w:t>
      </w:r>
    </w:p>
    <w:p>
      <w:pPr>
        <w:spacing w:after="120" w:before="0" w:line="360" w:lineRule="auto"/>
        <w:ind w:firstLine="709"/>
        <w:jc w:val="both"/>
      </w:pPr>
      <w:r>
        <w:rPr>
          <w:b/>
          <w:bCs/>
        </w:rPr>
        <w:t xml:space="preserve">Critério de aprovação.</w:t>
      </w:r>
      <w:r>
        <w:t xml:space="preserve"> Um caso de teste passa quando o resultado obtido é igual ao esperado em três pontos: código e mensagem da resposta, estado do pedido e saldos do estoque (físico, reservado e movimentações). Uma falha em qualquer caso de teste de regra crítica (RN02 a RN06) bloqueia a entrega da versão.</w:t>
      </w:r>
    </w:p>
    <w:p>
      <w:pPr>
        <w:sectPr>
          <w:headerReference w:type="default" r:id="rId25"/>
          <w:footerReference w:type="default" r:id="rId26"/>
          <w:type w:val="nextPage"/>
          <w:pgSz w:w="11906" w:h="16838" w:orient="portrait"/>
          <w:pgMar w:top="1701" w:right="1134" w:bottom="1134" w:left="1701" w:header="851" w:footer="567" w:gutter="0"/>
          <w:pgNumType/>
          <w:docGrid w:linePitch="360"/>
        </w:sectPr>
      </w:pPr>
    </w:p>
    <w:p>
      <w:pPr>
        <w:pStyle w:val="Heading2"/>
        <w:keepNext/>
      </w:pPr>
      <w:bookmarkStart w:name="sec_044" w:id="44"/>
      <w:r>
        <w:t xml:space="preserve">7.2 Casos de teste</w:t>
      </w:r>
      <w:bookmarkEnd w:id="44"/>
    </w:p>
    <w:p>
      <w:pPr>
        <w:keepNext/>
        <w:spacing w:after="100" w:before="200" w:line="276" w:lineRule="auto"/>
        <w:jc w:val="center"/>
      </w:pPr>
      <w:r>
        <w:rPr>
          <w:b/>
          <w:bCs/>
          <w:color w:val="0E1F33"/>
          <w:sz w:val="20"/>
          <w:szCs w:val="20"/>
        </w:rPr>
        <w:t xml:space="preserve">Quadro 20 — Casos de teste</w:t>
      </w:r>
    </w:p>
    <w:tbl>
      <w:tblPr>
        <w:tblW w:type="dxa" w:w="14003"/>
        <w:tblBorders>
          <w:top w:val="single" w:color="C9D3DA" w:sz="4"/>
          <w:left w:val="single" w:color="C9D3DA" w:sz="4"/>
          <w:bottom w:val="single" w:color="C9D3DA" w:sz="4"/>
          <w:right w:val="single" w:color="C9D3DA" w:sz="4"/>
          <w:insideH w:val="single" w:color="C9D3DA" w:sz="4"/>
          <w:insideV w:val="single" w:color="C9D3DA" w:sz="4"/>
        </w:tblBorders>
        <w:tblLayout w:type="fixed"/>
      </w:tblPr>
      <w:tblGrid>
        <w:gridCol w:w="700"/>
        <w:gridCol w:w="1500"/>
        <w:gridCol w:w="2300"/>
        <w:gridCol w:w="3300"/>
        <w:gridCol w:w="4003"/>
        <w:gridCol w:w="2200"/>
      </w:tblGrid>
      <w:tr>
        <w:trPr>
          <w:cantSplit/>
          <w:tblHeader/>
        </w:trPr>
        <w:tc>
          <w:tcPr>
            <w:tcW w:type="dxa" w:w="7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 xml:space="preserve">Requisitos</w:t>
            </w:r>
          </w:p>
        </w:tc>
        <w:tc>
          <w:tcPr>
            <w:tcW w:type="dxa" w:w="23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 xml:space="preserve">Pré-condição</w:t>
            </w:r>
          </w:p>
        </w:tc>
        <w:tc>
          <w:tcPr>
            <w:tcW w:type="dxa" w:w="33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 xml:space="preserve">Entrada / passos</w:t>
            </w:r>
          </w:p>
        </w:tc>
        <w:tc>
          <w:tcPr>
            <w:tcW w:type="dxa" w:w="4003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 xml:space="preserve">Resultado esperado</w:t>
            </w:r>
          </w:p>
        </w:tc>
        <w:tc>
          <w:tcPr>
            <w:tcW w:type="dxa" w:w="22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7"/>
                <w:szCs w:val="17"/>
              </w:rPr>
              <w:t xml:space="preserve">Tipo · automação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7"/>
                <w:szCs w:val="17"/>
              </w:rPr>
              <w:t xml:space="preserve">CT01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RF01, RN15, RNF01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Nenhuma conta com o e-mail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Cadastro com dados válidos e aceite</w:t>
            </w:r>
          </w:p>
        </w:tc>
        <w:tc>
          <w:tcPr>
            <w:tcW w:type="dxa" w:w="40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201; senha gravada como PBKDF2; consentimento TermosDeUso registrado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Integração · xUnit</w:t>
            </w:r>
          </w:p>
        </w:tc>
      </w:tr>
      <w:tr>
        <w:trPr>
          <w:cantSplit/>
        </w:trPr>
        <w:tc>
          <w:tcPr>
            <w:tcW w:type="dxa" w:w="7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7"/>
                <w:szCs w:val="17"/>
              </w:rPr>
              <w:t xml:space="preserve">CT02</w:t>
            </w:r>
          </w:p>
        </w:tc>
        <w:tc>
          <w:tcPr>
            <w:tcW w:type="dxa" w:w="15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RF01</w:t>
            </w:r>
          </w:p>
        </w:tc>
        <w:tc>
          <w:tcPr>
            <w:tcW w:type="dxa" w:w="2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Conta carlos@email.com existe</w:t>
            </w:r>
          </w:p>
        </w:tc>
        <w:tc>
          <w:tcPr>
            <w:tcW w:type="dxa" w:w="3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Novo cadastro com o mesmo e-mail</w:t>
            </w:r>
          </w:p>
        </w:tc>
        <w:tc>
          <w:tcPr>
            <w:tcW w:type="dxa" w:w="40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409 "Este e-mail já está cadastrado."</w:t>
            </w:r>
          </w:p>
        </w:tc>
        <w:tc>
          <w:tcPr>
            <w:tcW w:type="dxa" w:w="22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Integração · xUnit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7"/>
                <w:szCs w:val="17"/>
              </w:rPr>
              <w:t xml:space="preserve">CT03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RF01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CPF 123.456.789-00 (dígitos inválidos)</w:t>
            </w:r>
          </w:p>
        </w:tc>
        <w:tc>
          <w:tcPr>
            <w:tcW w:type="dxa" w:w="40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400 com erro no campo cpf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Unidade · xUnit e node</w:t>
            </w:r>
          </w:p>
        </w:tc>
      </w:tr>
      <w:tr>
        <w:trPr>
          <w:cantSplit/>
        </w:trPr>
        <w:tc>
          <w:tcPr>
            <w:tcW w:type="dxa" w:w="7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7"/>
                <w:szCs w:val="17"/>
              </w:rPr>
              <w:t xml:space="preserve">CT04</w:t>
            </w:r>
          </w:p>
        </w:tc>
        <w:tc>
          <w:tcPr>
            <w:tcW w:type="dxa" w:w="15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RF01, RN15</w:t>
            </w:r>
          </w:p>
        </w:tc>
        <w:tc>
          <w:tcPr>
            <w:tcW w:type="dxa" w:w="2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Cadastro sem marcar o aceite</w:t>
            </w:r>
          </w:p>
        </w:tc>
        <w:tc>
          <w:tcPr>
            <w:tcW w:type="dxa" w:w="40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400 com erro no campo aceiteTermos</w:t>
            </w:r>
          </w:p>
        </w:tc>
        <w:tc>
          <w:tcPr>
            <w:tcW w:type="dxa" w:w="22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Integração · xUnit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7"/>
                <w:szCs w:val="17"/>
              </w:rPr>
              <w:t xml:space="preserve">CT05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RNF01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Duas contas com a mesma senha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Inspecionar o banco</w:t>
            </w:r>
          </w:p>
        </w:tc>
        <w:tc>
          <w:tcPr>
            <w:tcW w:type="dxa" w:w="40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Senha nunca em texto puro; hashes diferentes (salt por senha)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Integração · xUnit e node</w:t>
            </w:r>
          </w:p>
        </w:tc>
      </w:tr>
      <w:tr>
        <w:trPr>
          <w:cantSplit/>
        </w:trPr>
        <w:tc>
          <w:tcPr>
            <w:tcW w:type="dxa" w:w="7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7"/>
                <w:szCs w:val="17"/>
              </w:rPr>
              <w:t xml:space="preserve">CT06</w:t>
            </w:r>
          </w:p>
        </w:tc>
        <w:tc>
          <w:tcPr>
            <w:tcW w:type="dxa" w:w="15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RF02, RNF03</w:t>
            </w:r>
          </w:p>
        </w:tc>
        <w:tc>
          <w:tcPr>
            <w:tcW w:type="dxa" w:w="2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Conta ativa</w:t>
            </w:r>
          </w:p>
        </w:tc>
        <w:tc>
          <w:tcPr>
            <w:tcW w:type="dxa" w:w="3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Login com credenciais corretas (e-mail em maiúsculas)</w:t>
            </w:r>
          </w:p>
        </w:tc>
        <w:tc>
          <w:tcPr>
            <w:tcW w:type="dxa" w:w="40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200 com token e perfil Paciente</w:t>
            </w:r>
          </w:p>
        </w:tc>
        <w:tc>
          <w:tcPr>
            <w:tcW w:type="dxa" w:w="22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Integração · xUnit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7"/>
                <w:szCs w:val="17"/>
              </w:rPr>
              <w:t xml:space="preserve">CT07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RF02, RN17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Conta ativa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Senha errada; depois e-mail inexistente</w:t>
            </w:r>
          </w:p>
        </w:tc>
        <w:tc>
          <w:tcPr>
            <w:tcW w:type="dxa" w:w="40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401 "E-mail ou senha incorretos." nos dois casos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Integração · xUnit e node</w:t>
            </w:r>
          </w:p>
        </w:tc>
      </w:tr>
      <w:tr>
        <w:trPr>
          <w:cantSplit/>
        </w:trPr>
        <w:tc>
          <w:tcPr>
            <w:tcW w:type="dxa" w:w="7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7"/>
                <w:szCs w:val="17"/>
              </w:rPr>
              <w:t xml:space="preserve">CT08</w:t>
            </w:r>
          </w:p>
        </w:tc>
        <w:tc>
          <w:tcPr>
            <w:tcW w:type="dxa" w:w="15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RN17</w:t>
            </w:r>
          </w:p>
        </w:tc>
        <w:tc>
          <w:tcPr>
            <w:tcW w:type="dxa" w:w="2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Conta ativa</w:t>
            </w:r>
          </w:p>
        </w:tc>
        <w:tc>
          <w:tcPr>
            <w:tcW w:type="dxa" w:w="3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5 logins com senha errada; depois a senha certa</w:t>
            </w:r>
          </w:p>
        </w:tc>
        <w:tc>
          <w:tcPr>
            <w:tcW w:type="dxa" w:w="40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5ª tentativa e seguinte: 423 por 15 minutos</w:t>
            </w:r>
          </w:p>
        </w:tc>
        <w:tc>
          <w:tcPr>
            <w:tcW w:type="dxa" w:w="22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Unidade e integração · xUnit e node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7"/>
                <w:szCs w:val="17"/>
              </w:rPr>
              <w:t xml:space="preserve">CT09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RF03, RNF03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Sem sessão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Chamar /api/pedidos/meus</w:t>
            </w:r>
          </w:p>
        </w:tc>
        <w:tc>
          <w:tcPr>
            <w:tcW w:type="dxa" w:w="40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401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Ponta a ponta · node</w:t>
            </w:r>
          </w:p>
        </w:tc>
      </w:tr>
      <w:tr>
        <w:trPr>
          <w:cantSplit/>
        </w:trPr>
        <w:tc>
          <w:tcPr>
            <w:tcW w:type="dxa" w:w="7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7"/>
                <w:szCs w:val="17"/>
              </w:rPr>
              <w:t xml:space="preserve">CT10</w:t>
            </w:r>
          </w:p>
        </w:tc>
        <w:tc>
          <w:tcPr>
            <w:tcW w:type="dxa" w:w="15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RF03, RN01</w:t>
            </w:r>
          </w:p>
        </w:tc>
        <w:tc>
          <w:tcPr>
            <w:tcW w:type="dxa" w:w="2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Logado como paciente</w:t>
            </w:r>
          </w:p>
        </w:tc>
        <w:tc>
          <w:tcPr>
            <w:tcW w:type="dxa" w:w="3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Chamar /api/painel e /api/receitas/pendentes</w:t>
            </w:r>
          </w:p>
        </w:tc>
        <w:tc>
          <w:tcPr>
            <w:tcW w:type="dxa" w:w="40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403</w:t>
            </w:r>
          </w:p>
        </w:tc>
        <w:tc>
          <w:tcPr>
            <w:tcW w:type="dxa" w:w="22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Ponta a ponta · node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7"/>
                <w:szCs w:val="17"/>
              </w:rPr>
              <w:t xml:space="preserve">CT11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RF05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Paciente logado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Enviar PDF válido com consentimento</w:t>
            </w:r>
          </w:p>
        </w:tc>
        <w:tc>
          <w:tcPr>
            <w:tcW w:type="dxa" w:w="40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201; receita Pendente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Integração · xUnit e node</w:t>
            </w:r>
          </w:p>
        </w:tc>
      </w:tr>
      <w:tr>
        <w:trPr>
          <w:cantSplit/>
        </w:trPr>
        <w:tc>
          <w:tcPr>
            <w:tcW w:type="dxa" w:w="7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7"/>
                <w:szCs w:val="17"/>
              </w:rPr>
              <w:t xml:space="preserve">CT12</w:t>
            </w:r>
          </w:p>
        </w:tc>
        <w:tc>
          <w:tcPr>
            <w:tcW w:type="dxa" w:w="15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RF05, RNF04</w:t>
            </w:r>
          </w:p>
        </w:tc>
        <w:tc>
          <w:tcPr>
            <w:tcW w:type="dxa" w:w="2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Paciente logado</w:t>
            </w:r>
          </w:p>
        </w:tc>
        <w:tc>
          <w:tcPr>
            <w:tcW w:type="dxa" w:w="3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Enviar "receita.pdf" com bytes de executável; enviar arquivo de 11 MB</w:t>
            </w:r>
          </w:p>
        </w:tc>
        <w:tc>
          <w:tcPr>
            <w:tcW w:type="dxa" w:w="40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400 "Formato não aceito" / "no máximo 10 MB"</w:t>
            </w:r>
          </w:p>
        </w:tc>
        <w:tc>
          <w:tcPr>
            <w:tcW w:type="dxa" w:w="22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Integração · xUnit e node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7"/>
                <w:szCs w:val="17"/>
              </w:rPr>
              <w:t xml:space="preserve">CT13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RF05, RN15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Paciente logado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Enviar PDF sem marcar o consentimento de saúde</w:t>
            </w:r>
          </w:p>
        </w:tc>
        <w:tc>
          <w:tcPr>
            <w:tcW w:type="dxa" w:w="40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400 com erro em consentimentoSaude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Integração · xUnit e node</w:t>
            </w:r>
          </w:p>
        </w:tc>
      </w:tr>
      <w:tr>
        <w:trPr>
          <w:cantSplit/>
        </w:trPr>
        <w:tc>
          <w:tcPr>
            <w:tcW w:type="dxa" w:w="7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7"/>
                <w:szCs w:val="17"/>
              </w:rPr>
              <w:t xml:space="preserve">CT14</w:t>
            </w:r>
          </w:p>
        </w:tc>
        <w:tc>
          <w:tcPr>
            <w:tcW w:type="dxa" w:w="15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RN02</w:t>
            </w:r>
          </w:p>
        </w:tc>
        <w:tc>
          <w:tcPr>
            <w:tcW w:type="dxa" w:w="2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Receita do Carlos</w:t>
            </w:r>
          </w:p>
        </w:tc>
        <w:tc>
          <w:tcPr>
            <w:tcW w:type="dxa" w:w="3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Maria confirma pedido usando a receita do Carlos</w:t>
            </w:r>
          </w:p>
        </w:tc>
        <w:tc>
          <w:tcPr>
            <w:tcW w:type="dxa" w:w="40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403</w:t>
            </w:r>
          </w:p>
        </w:tc>
        <w:tc>
          <w:tcPr>
            <w:tcW w:type="dxa" w:w="22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Integração · xUnit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7"/>
                <w:szCs w:val="17"/>
              </w:rPr>
              <w:t xml:space="preserve">CT15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RN09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Clonazepam (controle especial) em estoque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Incluir Clonazepam na Box; listar catálogo como paciente</w:t>
            </w:r>
          </w:p>
        </w:tc>
        <w:tc>
          <w:tcPr>
            <w:tcW w:type="dxa" w:w="40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422; o item não aparece para o paciente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Unidade e integração · xUnit e node</w:t>
            </w:r>
          </w:p>
        </w:tc>
      </w:tr>
      <w:tr>
        <w:trPr>
          <w:cantSplit/>
        </w:trPr>
        <w:tc>
          <w:tcPr>
            <w:tcW w:type="dxa" w:w="7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7"/>
                <w:szCs w:val="17"/>
              </w:rPr>
              <w:t xml:space="preserve">CT16</w:t>
            </w:r>
          </w:p>
        </w:tc>
        <w:tc>
          <w:tcPr>
            <w:tcW w:type="dxa" w:w="15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RN11</w:t>
            </w:r>
          </w:p>
        </w:tc>
        <w:tc>
          <w:tcPr>
            <w:tcW w:type="dxa" w:w="2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Dose 0 ou 5; horário "08:00" repetido; horário "8h"</w:t>
            </w:r>
          </w:p>
        </w:tc>
        <w:tc>
          <w:tcPr>
            <w:tcW w:type="dxa" w:w="40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422 com a mensagem da regra</w:t>
            </w:r>
          </w:p>
        </w:tc>
        <w:tc>
          <w:tcPr>
            <w:tcW w:type="dxa" w:w="22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Unidade · xUnit e node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7"/>
                <w:szCs w:val="17"/>
              </w:rPr>
              <w:t xml:space="preserve">CT17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RF10, RN03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Losartana com 100 un.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Confirmar Box com 1 un. às 08:00 e 20:00</w:t>
            </w:r>
          </w:p>
        </w:tc>
        <w:tc>
          <w:tcPr>
            <w:tcW w:type="dxa" w:w="40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201; reservado +60; físico inalterado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Unidade e integração · xUnit e node</w:t>
            </w:r>
          </w:p>
        </w:tc>
      </w:tr>
      <w:tr>
        <w:trPr>
          <w:cantSplit/>
        </w:trPr>
        <w:tc>
          <w:tcPr>
            <w:tcW w:type="dxa" w:w="7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7"/>
                <w:szCs w:val="17"/>
              </w:rPr>
              <w:t xml:space="preserve">CT18</w:t>
            </w:r>
          </w:p>
        </w:tc>
        <w:tc>
          <w:tcPr>
            <w:tcW w:type="dxa" w:w="15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RN03</w:t>
            </w:r>
          </w:p>
        </w:tc>
        <w:tc>
          <w:tcPr>
            <w:tcW w:type="dxa" w:w="2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Atenolol com 40 un.</w:t>
            </w:r>
          </w:p>
        </w:tc>
        <w:tc>
          <w:tcPr>
            <w:tcW w:type="dxa" w:w="3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Box com Losartana (60) e Atenolol 2×/dia (60)</w:t>
            </w:r>
          </w:p>
        </w:tc>
        <w:tc>
          <w:tcPr>
            <w:tcW w:type="dxa" w:w="40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409 com a falta de Atenolol; nenhuma reserva, nem da Losartana</w:t>
            </w:r>
          </w:p>
        </w:tc>
        <w:tc>
          <w:tcPr>
            <w:tcW w:type="dxa" w:w="22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Unidade e integração · xUnit e node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7"/>
                <w:szCs w:val="17"/>
              </w:rPr>
              <w:t xml:space="preserve">CT19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RN03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Losartana com 60 un. disponíveis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Pedido A reserva 60; pedido B pede 60 em seguida</w:t>
            </w:r>
          </w:p>
        </w:tc>
        <w:tc>
          <w:tcPr>
            <w:tcW w:type="dxa" w:w="40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A aceito; B recusado com 409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Unidade · xUnit e node; MySQL real: manual</w:t>
            </w:r>
          </w:p>
        </w:tc>
      </w:tr>
      <w:tr>
        <w:trPr>
          <w:cantSplit/>
        </w:trPr>
        <w:tc>
          <w:tcPr>
            <w:tcW w:type="dxa" w:w="7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7"/>
                <w:szCs w:val="17"/>
              </w:rPr>
              <w:t xml:space="preserve">CT20</w:t>
            </w:r>
          </w:p>
        </w:tc>
        <w:tc>
          <w:tcPr>
            <w:tcW w:type="dxa" w:w="15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RN04</w:t>
            </w:r>
          </w:p>
        </w:tc>
        <w:tc>
          <w:tcPr>
            <w:tcW w:type="dxa" w:w="2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Lotes CEDO (val. 120 dias, 50 un.) e TARDE (400 dias)</w:t>
            </w:r>
          </w:p>
        </w:tc>
        <w:tc>
          <w:tcPr>
            <w:tcW w:type="dxa" w:w="3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Reservar 80 un.</w:t>
            </w:r>
          </w:p>
        </w:tc>
        <w:tc>
          <w:tcPr>
            <w:tcW w:type="dxa" w:w="40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50 do lote CEDO e 30 do lote TARDE</w:t>
            </w:r>
          </w:p>
        </w:tc>
        <w:tc>
          <w:tcPr>
            <w:tcW w:type="dxa" w:w="22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Unidade · xUnit e node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7"/>
                <w:szCs w:val="17"/>
              </w:rPr>
              <w:t xml:space="preserve">CT21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RN04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Lote que vence em 20 dias (500 un.) e outro com 30 un.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Reservar 60 un.</w:t>
            </w:r>
          </w:p>
        </w:tc>
        <w:tc>
          <w:tcPr>
            <w:tcW w:type="dxa" w:w="40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409; disponível considerado = 30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Unidade · xUnit e node</w:t>
            </w:r>
          </w:p>
        </w:tc>
      </w:tr>
      <w:tr>
        <w:trPr>
          <w:cantSplit/>
        </w:trPr>
        <w:tc>
          <w:tcPr>
            <w:tcW w:type="dxa" w:w="7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7"/>
                <w:szCs w:val="17"/>
              </w:rPr>
              <w:t xml:space="preserve">CT22</w:t>
            </w:r>
          </w:p>
        </w:tc>
        <w:tc>
          <w:tcPr>
            <w:tcW w:type="dxa" w:w="15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RF06, RN02</w:t>
            </w:r>
          </w:p>
        </w:tc>
        <w:tc>
          <w:tcPr>
            <w:tcW w:type="dxa" w:w="2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Pedido Pendente</w:t>
            </w:r>
          </w:p>
        </w:tc>
        <w:tc>
          <w:tcPr>
            <w:tcW w:type="dxa" w:w="3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Farmacêutica aprova a receita; Carlos renova com receita já aprovada</w:t>
            </w:r>
          </w:p>
        </w:tc>
        <w:tc>
          <w:tcPr>
            <w:tcW w:type="dxa" w:w="40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Pedido vai para Em separação; renovação nasce Em separação</w:t>
            </w:r>
          </w:p>
        </w:tc>
        <w:tc>
          <w:tcPr>
            <w:tcW w:type="dxa" w:w="22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Unidade e integração · xUnit e node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7"/>
                <w:szCs w:val="17"/>
              </w:rPr>
              <w:t xml:space="preserve">CT23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RF06, RN07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Pedido Pendente com 90 un. reservadas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Recusar sem motivo; depois com motivo</w:t>
            </w:r>
          </w:p>
        </w:tc>
        <w:tc>
          <w:tcPr>
            <w:tcW w:type="dxa" w:w="40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422; depois Recusado e reserva −90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Unidade e integração · xUnit e node</w:t>
            </w:r>
          </w:p>
        </w:tc>
      </w:tr>
      <w:tr>
        <w:trPr>
          <w:cantSplit/>
        </w:trPr>
        <w:tc>
          <w:tcPr>
            <w:tcW w:type="dxa" w:w="7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7"/>
                <w:szCs w:val="17"/>
              </w:rPr>
              <w:t xml:space="preserve">CT24</w:t>
            </w:r>
          </w:p>
        </w:tc>
        <w:tc>
          <w:tcPr>
            <w:tcW w:type="dxa" w:w="15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RN01, RN02</w:t>
            </w:r>
          </w:p>
        </w:tc>
        <w:tc>
          <w:tcPr>
            <w:tcW w:type="dxa" w:w="2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Logado como operador</w:t>
            </w:r>
          </w:p>
        </w:tc>
        <w:tc>
          <w:tcPr>
            <w:tcW w:type="dxa" w:w="3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Aprovar receita</w:t>
            </w:r>
          </w:p>
        </w:tc>
        <w:tc>
          <w:tcPr>
            <w:tcW w:type="dxa" w:w="40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403</w:t>
            </w:r>
          </w:p>
        </w:tc>
        <w:tc>
          <w:tcPr>
            <w:tcW w:type="dxa" w:w="22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Integração · xUnit e node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7"/>
                <w:szCs w:val="17"/>
              </w:rPr>
              <w:t xml:space="preserve">CT25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RF13, RN06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Pedido Em separação com 60 un. reservadas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Finalizar Box</w:t>
            </w:r>
          </w:p>
        </w:tc>
        <w:tc>
          <w:tcPr>
            <w:tcW w:type="dxa" w:w="40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Físico −60, reservado −60, movimentação Baixa, status Aguardando entregador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Unidade · xUnit e node</w:t>
            </w:r>
          </w:p>
        </w:tc>
      </w:tr>
      <w:tr>
        <w:trPr>
          <w:cantSplit/>
        </w:trPr>
        <w:tc>
          <w:tcPr>
            <w:tcW w:type="dxa" w:w="7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7"/>
                <w:szCs w:val="17"/>
              </w:rPr>
              <w:t xml:space="preserve">CT26</w:t>
            </w:r>
          </w:p>
        </w:tc>
        <w:tc>
          <w:tcPr>
            <w:tcW w:type="dxa" w:w="15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RN08</w:t>
            </w:r>
          </w:p>
        </w:tc>
        <w:tc>
          <w:tcPr>
            <w:tcW w:type="dxa" w:w="2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Pedido Pendente</w:t>
            </w:r>
          </w:p>
        </w:tc>
        <w:tc>
          <w:tcPr>
            <w:tcW w:type="dxa" w:w="3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Iniciar rota ou finalizar Box</w:t>
            </w:r>
          </w:p>
        </w:tc>
        <w:tc>
          <w:tcPr>
            <w:tcW w:type="dxa" w:w="40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409; estoque inalterado</w:t>
            </w:r>
          </w:p>
        </w:tc>
        <w:tc>
          <w:tcPr>
            <w:tcW w:type="dxa" w:w="22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Unidade · xUnit e node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7"/>
                <w:szCs w:val="17"/>
              </w:rPr>
              <w:t xml:space="preserve">CT27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RF11, RN07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Pedido Pendente; outro Em separação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Titular cancela o pendente; tenta cancelar o outro; terceiro tenta cancelar</w:t>
            </w:r>
          </w:p>
        </w:tc>
        <w:tc>
          <w:tcPr>
            <w:tcW w:type="dxa" w:w="40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Cancelado e reserva liberada; 409; 403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Unidade · xUnit</w:t>
            </w:r>
          </w:p>
        </w:tc>
      </w:tr>
      <w:tr>
        <w:trPr>
          <w:cantSplit/>
        </w:trPr>
        <w:tc>
          <w:tcPr>
            <w:tcW w:type="dxa" w:w="7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7"/>
                <w:szCs w:val="17"/>
              </w:rPr>
              <w:t xml:space="preserve">CT28</w:t>
            </w:r>
          </w:p>
        </w:tc>
        <w:tc>
          <w:tcPr>
            <w:tcW w:type="dxa" w:w="15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RF15</w:t>
            </w:r>
          </w:p>
        </w:tc>
        <w:tc>
          <w:tcPr>
            <w:tcW w:type="dxa" w:w="2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Pedido Aguardando entregador</w:t>
            </w:r>
          </w:p>
        </w:tc>
        <w:tc>
          <w:tcPr>
            <w:tcW w:type="dxa" w:w="3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Entregador inicia a rota</w:t>
            </w:r>
          </w:p>
        </w:tc>
        <w:tc>
          <w:tcPr>
            <w:tcW w:type="dxa" w:w="40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Em rota; tentativa 1 registrada</w:t>
            </w:r>
          </w:p>
        </w:tc>
        <w:tc>
          <w:tcPr>
            <w:tcW w:type="dxa" w:w="22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Unidade · xUnit e node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7"/>
                <w:szCs w:val="17"/>
              </w:rPr>
              <w:t xml:space="preserve">CT29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RF16, RN14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Pedido Em rota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Confirmar com recebedor vazio; depois "Carlos Mendes"</w:t>
            </w:r>
          </w:p>
        </w:tc>
        <w:tc>
          <w:tcPr>
            <w:tcW w:type="dxa" w:w="40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422; depois Entregue com o recebedor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Unidade · xUnit e node</w:t>
            </w:r>
          </w:p>
        </w:tc>
      </w:tr>
      <w:tr>
        <w:trPr>
          <w:cantSplit/>
        </w:trPr>
        <w:tc>
          <w:tcPr>
            <w:tcW w:type="dxa" w:w="7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7"/>
                <w:szCs w:val="17"/>
              </w:rPr>
              <w:t xml:space="preserve">CT30</w:t>
            </w:r>
          </w:p>
        </w:tc>
        <w:tc>
          <w:tcPr>
            <w:tcW w:type="dxa" w:w="15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RN14</w:t>
            </w:r>
          </w:p>
        </w:tc>
        <w:tc>
          <w:tcPr>
            <w:tcW w:type="dxa" w:w="2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Rota iniciada por Rafael</w:t>
            </w:r>
          </w:p>
        </w:tc>
        <w:tc>
          <w:tcPr>
            <w:tcW w:type="dxa" w:w="3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Outro entregador confirma</w:t>
            </w:r>
          </w:p>
        </w:tc>
        <w:tc>
          <w:tcPr>
            <w:tcW w:type="dxa" w:w="40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403</w:t>
            </w:r>
          </w:p>
        </w:tc>
        <w:tc>
          <w:tcPr>
            <w:tcW w:type="dxa" w:w="22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Unidade · xUnit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7"/>
                <w:szCs w:val="17"/>
              </w:rPr>
              <w:t xml:space="preserve">CT31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RF16, RN14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Pedido Em rota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Registrar "Destinatário ausente"; iniciar nova rota</w:t>
            </w:r>
          </w:p>
        </w:tc>
        <w:tc>
          <w:tcPr>
            <w:tcW w:type="dxa" w:w="40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Volta a Aguardando entregador; tentativa 2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Unidade · xUnit</w:t>
            </w:r>
          </w:p>
        </w:tc>
      </w:tr>
      <w:tr>
        <w:trPr>
          <w:cantSplit/>
        </w:trPr>
        <w:tc>
          <w:tcPr>
            <w:tcW w:type="dxa" w:w="7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7"/>
                <w:szCs w:val="17"/>
              </w:rPr>
              <w:t xml:space="preserve">CT32</w:t>
            </w:r>
          </w:p>
        </w:tc>
        <w:tc>
          <w:tcPr>
            <w:tcW w:type="dxa" w:w="15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RF17, RF20, RN13</w:t>
            </w:r>
          </w:p>
        </w:tc>
        <w:tc>
          <w:tcPr>
            <w:tcW w:type="dxa" w:w="2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Pedido entregue</w:t>
            </w:r>
          </w:p>
        </w:tc>
        <w:tc>
          <w:tcPr>
            <w:tcW w:type="dxa" w:w="3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Consultar o histórico</w:t>
            </w:r>
          </w:p>
        </w:tc>
        <w:tc>
          <w:tcPr>
            <w:tcW w:type="dxa" w:w="40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Pendente → Em separação → Aguardando entregador → Em rota → Entregue, com data e motivo</w:t>
            </w:r>
          </w:p>
        </w:tc>
        <w:tc>
          <w:tcPr>
            <w:tcW w:type="dxa" w:w="22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Unidade · xUnit e node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7"/>
                <w:szCs w:val="17"/>
              </w:rPr>
              <w:t xml:space="preserve">CT33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RF14, RN05, RN10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Atenolol abaixo do mínimo; lote de Metformina a vencer; lote de AAS vencido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Consultar alertas</w:t>
            </w:r>
          </w:p>
        </w:tc>
        <w:tc>
          <w:tcPr>
            <w:tcW w:type="dxa" w:w="40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Três alertas, ordenados por gravidade; entrada de lote vencido recusada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Unidade · xUnit e node</w:t>
            </w:r>
          </w:p>
        </w:tc>
      </w:tr>
      <w:tr>
        <w:trPr>
          <w:cantSplit/>
        </w:trPr>
        <w:tc>
          <w:tcPr>
            <w:tcW w:type="dxa" w:w="7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7"/>
                <w:szCs w:val="17"/>
              </w:rPr>
              <w:t xml:space="preserve">CT34</w:t>
            </w:r>
          </w:p>
        </w:tc>
        <w:tc>
          <w:tcPr>
            <w:tcW w:type="dxa" w:w="15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RF19, RNF12</w:t>
            </w:r>
          </w:p>
        </w:tc>
        <w:tc>
          <w:tcPr>
            <w:tcW w:type="dxa" w:w="2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Paciente com pedido</w:t>
            </w:r>
          </w:p>
        </w:tc>
        <w:tc>
          <w:tcPr>
            <w:tcW w:type="dxa" w:w="3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Exportar meus dados</w:t>
            </w:r>
          </w:p>
        </w:tc>
        <w:tc>
          <w:tcPr>
            <w:tcW w:type="dxa" w:w="40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JSON com cadastro, consentimentos, receitas e pedidos, sem hash de senha</w:t>
            </w:r>
          </w:p>
        </w:tc>
        <w:tc>
          <w:tcPr>
            <w:tcW w:type="dxa" w:w="22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Integração · xUnit e node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7"/>
                <w:szCs w:val="17"/>
              </w:rPr>
              <w:t xml:space="preserve">CT35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RF19, RN16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Paciente com pedido pendente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Excluir a conta</w:t>
            </w:r>
          </w:p>
        </w:tc>
        <w:tc>
          <w:tcPr>
            <w:tcW w:type="dxa" w:w="40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Pedido cancelado, reserva liberada, arquivos apagados, dados anonimizados, login recusado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Integração · xUnit e node</w:t>
            </w:r>
          </w:p>
        </w:tc>
      </w:tr>
      <w:tr>
        <w:trPr>
          <w:cantSplit/>
        </w:trPr>
        <w:tc>
          <w:tcPr>
            <w:tcW w:type="dxa" w:w="7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7"/>
                <w:szCs w:val="17"/>
              </w:rPr>
              <w:t xml:space="preserve">CT36</w:t>
            </w:r>
          </w:p>
        </w:tc>
        <w:tc>
          <w:tcPr>
            <w:tcW w:type="dxa" w:w="15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RF04, RNF12</w:t>
            </w:r>
          </w:p>
        </w:tc>
        <w:tc>
          <w:tcPr>
            <w:tcW w:type="dxa" w:w="2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Logado como administrador</w:t>
            </w:r>
          </w:p>
        </w:tc>
        <w:tc>
          <w:tcPr>
            <w:tcW w:type="dxa" w:w="3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Listar usuários; operador tenta listar</w:t>
            </w:r>
          </w:p>
        </w:tc>
        <w:tc>
          <w:tcPr>
            <w:tcW w:type="dxa" w:w="40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CPF mascarado e sem hash; operador recebe 403</w:t>
            </w:r>
          </w:p>
        </w:tc>
        <w:tc>
          <w:tcPr>
            <w:tcW w:type="dxa" w:w="22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Ponta a ponta · node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7"/>
                <w:szCs w:val="17"/>
              </w:rPr>
              <w:t xml:space="preserve">CT37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RF18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Base de exemplo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Abrir o painel</w:t>
            </w:r>
          </w:p>
        </w:tc>
        <w:tc>
          <w:tcPr>
            <w:tcW w:type="dxa" w:w="40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P90 &gt; 24 h, 1ª tentativa &lt; 100%, 1 pedido parado há +24 h, 2 receitas pendentes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Ponta a ponta · node</w:t>
            </w:r>
          </w:p>
        </w:tc>
      </w:tr>
      <w:tr>
        <w:trPr>
          <w:cantSplit/>
        </w:trPr>
        <w:tc>
          <w:tcPr>
            <w:tcW w:type="dxa" w:w="7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7"/>
                <w:szCs w:val="17"/>
              </w:rPr>
              <w:t xml:space="preserve">CT38</w:t>
            </w:r>
          </w:p>
        </w:tc>
        <w:tc>
          <w:tcPr>
            <w:tcW w:type="dxa" w:w="15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RNF06</w:t>
            </w:r>
          </w:p>
        </w:tc>
        <w:tc>
          <w:tcPr>
            <w:tcW w:type="dxa" w:w="2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Protótipo</w:t>
            </w:r>
          </w:p>
        </w:tc>
        <w:tc>
          <w:tcPr>
            <w:tcW w:type="dxa" w:w="3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Abrir todas as telas a 390 px de largura</w:t>
            </w:r>
          </w:p>
        </w:tc>
        <w:tc>
          <w:tcPr>
            <w:tcW w:type="dxa" w:w="40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Sem rolagem horizontal</w:t>
            </w:r>
          </w:p>
        </w:tc>
        <w:tc>
          <w:tcPr>
            <w:tcW w:type="dxa" w:w="22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Ponta a ponta · navegador automatizado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7"/>
                <w:szCs w:val="17"/>
              </w:rPr>
              <w:t xml:space="preserve">CT39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RNF07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Protótipo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Ativar alto contraste e A++; navegar com Tab</w:t>
            </w:r>
          </w:p>
        </w:tc>
        <w:tc>
          <w:tcPr>
            <w:tcW w:type="dxa" w:w="40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Contraste preto/branco, foco amarelo visível, todos os controles alcançáveis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Manual · navegador</w:t>
            </w:r>
          </w:p>
        </w:tc>
      </w:tr>
      <w:tr>
        <w:trPr>
          <w:cantSplit/>
        </w:trPr>
        <w:tc>
          <w:tcPr>
            <w:tcW w:type="dxa" w:w="7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7"/>
                <w:szCs w:val="17"/>
              </w:rPr>
              <w:t xml:space="preserve">CT40</w:t>
            </w:r>
          </w:p>
        </w:tc>
        <w:tc>
          <w:tcPr>
            <w:tcW w:type="dxa" w:w="15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RNF05</w:t>
            </w:r>
          </w:p>
        </w:tc>
        <w:tc>
          <w:tcPr>
            <w:tcW w:type="dxa" w:w="2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Homologação com MySQL</w:t>
            </w:r>
          </w:p>
        </w:tc>
        <w:tc>
          <w:tcPr>
            <w:tcW w:type="dxa" w:w="3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200 usuários virtuais por 10 min (k6)</w:t>
            </w:r>
          </w:p>
        </w:tc>
        <w:tc>
          <w:tcPr>
            <w:tcW w:type="dxa" w:w="40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p95 ≤ 500 ms consultas; ≤ 1 s confirmação</w:t>
            </w:r>
          </w:p>
        </w:tc>
        <w:tc>
          <w:tcPr>
            <w:tcW w:type="dxa" w:w="22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Desempenho · planejado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7"/>
                <w:szCs w:val="17"/>
              </w:rPr>
              <w:t xml:space="preserve">CT41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RN12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Pedido do Carlos em preparação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Confirmar outro pedido</w:t>
            </w:r>
          </w:p>
        </w:tc>
        <w:tc>
          <w:tcPr>
            <w:tcW w:type="dxa" w:w="40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409 "Você já tem uma Box em preparação"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7"/>
                <w:szCs w:val="17"/>
              </w:rPr>
              <w:t xml:space="preserve">Ponta a ponta · node</w:t>
            </w:r>
          </w:p>
        </w:tc>
      </w:tr>
    </w:tbl>
    <w:p>
      <w:pPr>
        <w:spacing w:after="240" w:before="80" w:line="240" w:lineRule="auto"/>
        <w:jc w:val="center"/>
      </w:pPr>
      <w:r>
        <w:rPr>
          <w:color w:val="455867"/>
          <w:sz w:val="18"/>
          <w:szCs w:val="18"/>
        </w:rPr>
        <w:t xml:space="preserve">Fonte: elaborado pelo grupo (2026).</w:t>
      </w:r>
    </w:p>
    <w:p>
      <w:pPr>
        <w:sectPr>
          <w:headerReference w:type="default" r:id="rId27"/>
          <w:footerReference w:type="default" r:id="rId28"/>
          <w:type w:val="nextPage"/>
          <w:pgSz w:w="16838" w:h="11906" w:orient="landscape"/>
          <w:pgMar w:top="1418" w:right="1134" w:bottom="1134" w:left="1701" w:header="680" w:footer="510" w:gutter="0"/>
          <w:pgNumType/>
          <w:docGrid w:linePitch="360"/>
        </w:sectPr>
      </w:pPr>
    </w:p>
    <w:p>
      <w:pPr>
        <w:pStyle w:val="Heading2"/>
        <w:keepNext/>
      </w:pPr>
      <w:bookmarkStart w:name="sec_045" w:id="45"/>
      <w:r>
        <w:t xml:space="preserve">7.3 Resultado da execução</w:t>
      </w:r>
      <w:bookmarkEnd w:id="45"/>
    </w:p>
    <w:p>
      <w:pPr>
        <w:spacing w:after="120" w:before="0" w:line="360" w:lineRule="auto"/>
        <w:ind w:firstLine="709"/>
        <w:jc w:val="both"/>
      </w:pPr>
      <w:r>
        <w:t xml:space="preserve">A execução abaixo foi feita em 17/10/2026 no ambiente de desenvolvimento. O ambiente usado para preparar esta versão não tinha acesso ao repositório de pacotes NuGet, por isso os testes em C# foram escritos e revisados, mas não executados; eles devem ser rodados com </w:t>
      </w:r>
      <w:r>
        <w:rPr>
          <w:rFonts w:ascii="Courier New" w:cs="Courier New" w:eastAsia="Courier New" w:hAnsi="Courier New"/>
          <w:sz w:val="22"/>
          <w:szCs w:val="22"/>
        </w:rPr>
        <w:t xml:space="preserve">dotnet test</w:t>
      </w:r>
      <w:r>
        <w:t xml:space="preserve"> antes da entrega.</w:t>
      </w:r>
    </w:p>
    <w:p>
      <w:pPr>
        <w:keepNext/>
        <w:spacing w:after="100" w:before="200" w:line="276" w:lineRule="auto"/>
        <w:jc w:val="center"/>
      </w:pPr>
      <w:r>
        <w:rPr>
          <w:b/>
          <w:bCs/>
          <w:color w:val="0E1F33"/>
          <w:sz w:val="20"/>
          <w:szCs w:val="20"/>
        </w:rPr>
        <w:t xml:space="preserve">Quadro 21 — Resultado da execução dos testes</w:t>
      </w:r>
    </w:p>
    <w:tbl>
      <w:tblPr>
        <w:tblW w:type="dxa" w:w="9071"/>
        <w:tblBorders>
          <w:top w:val="single" w:color="C9D3DA" w:sz="4"/>
          <w:left w:val="single" w:color="C9D3DA" w:sz="4"/>
          <w:bottom w:val="single" w:color="C9D3DA" w:sz="4"/>
          <w:right w:val="single" w:color="C9D3DA" w:sz="4"/>
          <w:insideH w:val="single" w:color="C9D3DA" w:sz="4"/>
          <w:insideV w:val="single" w:color="C9D3DA" w:sz="4"/>
        </w:tblBorders>
        <w:tblLayout w:type="fixed"/>
      </w:tblPr>
      <w:tblGrid>
        <w:gridCol w:w="3000"/>
        <w:gridCol w:w="1900"/>
        <w:gridCol w:w="1300"/>
        <w:gridCol w:w="2871"/>
      </w:tblGrid>
      <w:tr>
        <w:trPr>
          <w:cantSplit/>
          <w:tblHeader/>
        </w:trPr>
        <w:tc>
          <w:tcPr>
            <w:tcW w:type="dxa" w:w="3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Suíte</w:t>
            </w:r>
          </w:p>
        </w:tc>
        <w:tc>
          <w:tcPr>
            <w:tcW w:type="dxa" w:w="19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Ferramenta</w:t>
            </w:r>
          </w:p>
        </w:tc>
        <w:tc>
          <w:tcPr>
            <w:tcW w:type="dxa" w:w="13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Quantidade</w:t>
            </w:r>
          </w:p>
        </w:tc>
        <w:tc>
          <w:tcPr>
            <w:tcW w:type="dxa" w:w="2871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Regras de negócio em JavaScript (</w:t>
            </w: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regras.test.js</w:t>
            </w:r>
            <w:r>
              <w:rPr>
                <w:b/>
                <w:bCs/>
                <w:sz w:val="19"/>
                <w:szCs w:val="19"/>
              </w:rPr>
              <w:t xml:space="preserve">)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node --test (Node 22)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9 testes</w:t>
            </w:r>
          </w:p>
        </w:tc>
        <w:tc>
          <w:tcPr>
            <w:tcW w:type="dxa" w:w="28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13703F"/>
                <w:sz w:val="19"/>
                <w:szCs w:val="19"/>
              </w:rPr>
              <w:t xml:space="preserve">9 aprovados</w:t>
            </w:r>
          </w:p>
        </w:tc>
      </w:tr>
      <w:tr>
        <w:trPr>
          <w:cantSplit/>
        </w:trPr>
        <w:tc>
          <w:tcPr>
            <w:tcW w:type="dxa" w:w="3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Fluxos no servidor de demonstração (</w:t>
            </w: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servidor.test.js</w:t>
            </w:r>
            <w:r>
              <w:rPr>
                <w:b/>
                <w:bCs/>
                <w:sz w:val="19"/>
                <w:szCs w:val="19"/>
              </w:rPr>
              <w:t xml:space="preserve">)</w:t>
            </w:r>
          </w:p>
        </w:tc>
        <w:tc>
          <w:tcPr>
            <w:tcW w:type="dxa" w:w="19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node --test (Node 22)</w:t>
            </w:r>
          </w:p>
        </w:tc>
        <w:tc>
          <w:tcPr>
            <w:tcW w:type="dxa" w:w="1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12 testes</w:t>
            </w:r>
          </w:p>
        </w:tc>
        <w:tc>
          <w:tcPr>
            <w:tcW w:type="dxa" w:w="28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13703F"/>
                <w:sz w:val="19"/>
                <w:szCs w:val="19"/>
              </w:rPr>
              <w:t xml:space="preserve">12 aprovados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Roteiros dos quatro perfis no protótipo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Playwright + Chromium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23 telas</w:t>
            </w:r>
          </w:p>
        </w:tc>
        <w:tc>
          <w:tcPr>
            <w:tcW w:type="dxa" w:w="28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13703F"/>
                <w:sz w:val="19"/>
                <w:szCs w:val="19"/>
              </w:rPr>
              <w:t xml:space="preserve">Fluxos concluídos, sem erro no console</w:t>
            </w:r>
          </w:p>
        </w:tc>
      </w:tr>
      <w:tr>
        <w:trPr>
          <w:cantSplit/>
        </w:trPr>
        <w:tc>
          <w:tcPr>
            <w:tcW w:type="dxa" w:w="3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CT38 — todas as telas a 390 px</w:t>
            </w:r>
          </w:p>
        </w:tc>
        <w:tc>
          <w:tcPr>
            <w:tcW w:type="dxa" w:w="19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Playwright + Chromium</w:t>
            </w:r>
          </w:p>
        </w:tc>
        <w:tc>
          <w:tcPr>
            <w:tcW w:type="dxa" w:w="1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Todas as telas</w:t>
            </w:r>
          </w:p>
        </w:tc>
        <w:tc>
          <w:tcPr>
            <w:tcW w:type="dxa" w:w="28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13703F"/>
                <w:sz w:val="19"/>
                <w:szCs w:val="19"/>
              </w:rPr>
              <w:t xml:space="preserve">Nenhuma rolagem horizontal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Domínio e aplicação em C#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xUnit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34 métodos (39 casos)</w:t>
            </w:r>
          </w:p>
        </w:tc>
        <w:tc>
          <w:tcPr>
            <w:tcW w:type="dxa" w:w="28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8A5300"/>
                <w:sz w:val="19"/>
                <w:szCs w:val="19"/>
              </w:rPr>
              <w:t xml:space="preserve">Escritos; executar com dotnet test</w:t>
            </w:r>
          </w:p>
        </w:tc>
      </w:tr>
      <w:tr>
        <w:trPr>
          <w:cantSplit/>
        </w:trPr>
        <w:tc>
          <w:tcPr>
            <w:tcW w:type="dxa" w:w="3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CT39 — acessibilidade</w:t>
            </w:r>
          </w:p>
        </w:tc>
        <w:tc>
          <w:tcPr>
            <w:tcW w:type="dxa" w:w="19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Manual</w:t>
            </w:r>
          </w:p>
        </w:tc>
        <w:tc>
          <w:tcPr>
            <w:tcW w:type="dxa" w:w="1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8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8A5300"/>
                <w:sz w:val="19"/>
                <w:szCs w:val="19"/>
              </w:rPr>
              <w:t xml:space="preserve">Alto contraste e tamanho do texto conferidos; teclado a executar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CT40 — desempenho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k6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8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color w:val="455867"/>
                <w:sz w:val="19"/>
                <w:szCs w:val="19"/>
              </w:rPr>
              <w:t xml:space="preserve">Planejado para homologação</w:t>
            </w:r>
          </w:p>
        </w:tc>
      </w:tr>
    </w:tbl>
    <w:p>
      <w:pPr>
        <w:spacing w:after="240" w:before="80" w:line="240" w:lineRule="auto"/>
        <w:jc w:val="center"/>
      </w:pPr>
      <w:r>
        <w:rPr>
          <w:color w:val="455867"/>
          <w:sz w:val="18"/>
          <w:szCs w:val="18"/>
        </w:rPr>
        <w:t xml:space="preserve">Fonte: elaborado pelo grupo (2026).</w:t>
      </w:r>
    </w:p>
    <w:p>
      <w:pPr>
        <w:pStyle w:val="Heading2"/>
        <w:keepNext/>
      </w:pPr>
      <w:bookmarkStart w:name="sec_046" w:id="46"/>
      <w:r>
        <w:t xml:space="preserve">7.4 O teste do pico de renovação</w:t>
      </w:r>
      <w:bookmarkEnd w:id="46"/>
    </w:p>
    <w:p>
      <w:pPr>
        <w:spacing w:after="120" w:before="0" w:line="360" w:lineRule="auto"/>
        <w:ind w:firstLine="709"/>
        <w:jc w:val="both"/>
      </w:pPr>
      <w:r>
        <w:t xml:space="preserve">O caso CT19 reproduz o incidente analisado no pitch de ITIL 4: no começo do mês, muitos pacientes renovam a Box ao mesmo tempo, e na versão original dois pedidos podiam ser confirmados sobre o mesmo saldo, porque a baixa era feita sem transação e simplesmente pulada quando faltava estoque.</w:t>
      </w:r>
    </w:p>
    <w:p>
      <w:pPr>
        <w:spacing w:after="120" w:before="0" w:line="360" w:lineRule="auto"/>
        <w:ind w:firstLine="709"/>
        <w:jc w:val="both"/>
      </w:pPr>
      <w:r>
        <w:t xml:space="preserve">Na versão 2, a reserva acontece na confirmação, para todos os itens de uma vez, e cada lote tem um token de concorrência (</w:t>
      </w:r>
      <w:r>
        <w:rPr>
          <w:rFonts w:ascii="Courier New" w:cs="Courier New" w:eastAsia="Courier New" w:hAnsi="Courier New"/>
          <w:sz w:val="22"/>
          <w:szCs w:val="22"/>
        </w:rPr>
        <w:t xml:space="preserve">Versao</w:t>
      </w:r>
      <w:r>
        <w:t xml:space="preserve">). Se dois pedidos tentam reservar o mesmo saldo, o primeiro grava e o segundo recebe 409 com a lista de faltas, sem gravar nada. O painel do protótipo tem o botão "Teste do pico de renovação", que executa exatamente esse cenário na frente da banca (Figura 20).</w:t>
      </w:r>
    </w:p>
    <w:p>
      <w:pPr>
        <w:pStyle w:val="Heading1"/>
        <w:keepNext/>
        <w:pageBreakBefore/>
      </w:pPr>
      <w:bookmarkStart w:name="sec_047" w:id="47"/>
      <w:r>
        <w:t xml:space="preserve">8 Implementação</w:t>
      </w:r>
      <w:bookmarkEnd w:id="47"/>
    </w:p>
    <w:p>
      <w:pPr>
        <w:spacing w:after="120" w:before="0" w:line="360" w:lineRule="auto"/>
        <w:ind w:firstLine="709"/>
        <w:jc w:val="both"/>
      </w:pPr>
      <w:r>
        <w:t xml:space="preserve">A implementação foi refeita do zero num </w:t>
      </w:r>
      <w:r>
        <w:rPr>
          <w:b/>
          <w:bCs/>
        </w:rPr>
        <w:t xml:space="preserve">repositório de teste separado</w:t>
      </w:r>
      <w:r>
        <w:t xml:space="preserve"> (medflow-v2-teste), mantendo as tecnologias do PIM para que o grupo continue no que conhece. O repositório original do grupo não foi alterado. Além do código, há um protótipo navegável em um único arquivo HTML, gerado a partir das mesmas regras, que funciona sem API e sem banco e serve para a apresentação.</w:t>
      </w:r>
    </w:p>
    <w:p>
      <w:pPr>
        <w:pStyle w:val="Heading2"/>
        <w:keepNext/>
      </w:pPr>
      <w:bookmarkStart w:name="sec_048" w:id="48"/>
      <w:r>
        <w:t xml:space="preserve">8.1 Tecnologias e padrões</w:t>
      </w:r>
      <w:bookmarkEnd w:id="48"/>
    </w:p>
    <w:p>
      <w:pPr>
        <w:keepNext/>
        <w:spacing w:after="100" w:before="200" w:line="276" w:lineRule="auto"/>
        <w:jc w:val="center"/>
      </w:pPr>
      <w:r>
        <w:rPr>
          <w:b/>
          <w:bCs/>
          <w:color w:val="0E1F33"/>
          <w:sz w:val="20"/>
          <w:szCs w:val="20"/>
        </w:rPr>
        <w:t xml:space="preserve">Quadro 22 — Tecnologias e padrões adotados</w:t>
      </w:r>
    </w:p>
    <w:tbl>
      <w:tblPr>
        <w:tblW w:type="dxa" w:w="9071"/>
        <w:tblBorders>
          <w:top w:val="single" w:color="C9D3DA" w:sz="4"/>
          <w:left w:val="single" w:color="C9D3DA" w:sz="4"/>
          <w:bottom w:val="single" w:color="C9D3DA" w:sz="4"/>
          <w:right w:val="single" w:color="C9D3DA" w:sz="4"/>
          <w:insideH w:val="single" w:color="C9D3DA" w:sz="4"/>
          <w:insideV w:val="single" w:color="C9D3DA" w:sz="4"/>
        </w:tblBorders>
        <w:tblLayout w:type="fixed"/>
      </w:tblPr>
      <w:tblGrid>
        <w:gridCol w:w="1500"/>
        <w:gridCol w:w="3600"/>
        <w:gridCol w:w="3971"/>
      </w:tblGrid>
      <w:tr>
        <w:trPr>
          <w:cantSplit/>
          <w:tblHeader/>
        </w:trPr>
        <w:tc>
          <w:tcPr>
            <w:tcW w:type="dxa" w:w="15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Camada</w:t>
            </w:r>
          </w:p>
        </w:tc>
        <w:tc>
          <w:tcPr>
            <w:tcW w:type="dxa" w:w="36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Tecnologia</w:t>
            </w:r>
          </w:p>
        </w:tc>
        <w:tc>
          <w:tcPr>
            <w:tcW w:type="dxa" w:w="3971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Uso no MedFlow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Front-end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Vue.js 3 (Composition API), Vite, Pinia, Vue Router, Axios</w:t>
            </w:r>
          </w:p>
        </w:tc>
        <w:tc>
          <w:tcPr>
            <w:tcW w:type="dxa" w:w="39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SPA responsiva; guardas de rota por perfil; token no cabeçalho Authorization</w:t>
            </w:r>
          </w:p>
        </w:tc>
      </w:tr>
      <w:tr>
        <w:trPr>
          <w:cantSplit/>
        </w:trPr>
        <w:tc>
          <w:tcPr>
            <w:tcW w:type="dxa" w:w="15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Back-end</w:t>
            </w:r>
          </w:p>
        </w:tc>
        <w:tc>
          <w:tcPr>
            <w:tcW w:type="dxa" w:w="36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C# 12, ASP.NET Core 8 (Web API)</w:t>
            </w:r>
          </w:p>
        </w:tc>
        <w:tc>
          <w:tcPr>
            <w:tcW w:type="dxa" w:w="39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Controllers finos; ProblemDetails; Swagger com autenticação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Persistência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Entity Framework Core 8 + Pomelo (MySQL 8)</w:t>
            </w:r>
          </w:p>
        </w:tc>
        <w:tc>
          <w:tcPr>
            <w:tcW w:type="dxa" w:w="39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Mapeamento com Fluent API; enums como texto; concorrência otimista no lote; datas em UTC</w:t>
            </w:r>
          </w:p>
        </w:tc>
      </w:tr>
      <w:tr>
        <w:trPr>
          <w:cantSplit/>
        </w:trPr>
        <w:tc>
          <w:tcPr>
            <w:tcW w:type="dxa" w:w="15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Segurança</w:t>
            </w:r>
          </w:p>
        </w:tc>
        <w:tc>
          <w:tcPr>
            <w:tcW w:type="dxa" w:w="36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PBKDF2 (System.Security.Cryptography), JWT Bearer, Rate Limiting, CORS</w:t>
            </w:r>
          </w:p>
        </w:tc>
        <w:tc>
          <w:tcPr>
            <w:tcW w:type="dxa" w:w="39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Sem biblioteca externa para hash; segredos por variável de ambiente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Arquitetura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Clean Architecture (Domain, Application, Infrastructure, Api)</w:t>
            </w:r>
          </w:p>
        </w:tc>
        <w:tc>
          <w:tcPr>
            <w:tcW w:type="dxa" w:w="39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Regras no domínio, testáveis sem banco; injeção de dependência</w:t>
            </w:r>
          </w:p>
        </w:tc>
      </w:tr>
      <w:tr>
        <w:trPr>
          <w:cantSplit/>
        </w:trPr>
        <w:tc>
          <w:tcPr>
            <w:tcW w:type="dxa" w:w="15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Padrões</w:t>
            </w:r>
          </w:p>
        </w:tc>
        <w:tc>
          <w:tcPr>
            <w:tcW w:type="dxa" w:w="36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Máquina de estados, Domain Service (FEFO), DTO, Unit of Work (DbContext), Strategy na API do front (HTTP × demonstração)</w:t>
            </w:r>
          </w:p>
        </w:tc>
        <w:tc>
          <w:tcPr>
            <w:tcW w:type="dxa" w:w="39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Transições centralizadas; regras com nome e número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Testes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xUnit + EF Core InMemory; executor de testes nativo do Node</w:t>
            </w:r>
          </w:p>
        </w:tc>
        <w:tc>
          <w:tcPr>
            <w:tcW w:type="dxa" w:w="39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34 testes C# e 21 testes JavaScript</w:t>
            </w:r>
          </w:p>
        </w:tc>
      </w:tr>
      <w:tr>
        <w:trPr>
          <w:cantSplit/>
        </w:trPr>
        <w:tc>
          <w:tcPr>
            <w:tcW w:type="dxa" w:w="15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Design</w:t>
            </w:r>
          </w:p>
        </w:tc>
        <w:tc>
          <w:tcPr>
            <w:tcW w:type="dxa" w:w="36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Lexend, Atkinson Hyperlegible e IBM Plex Mono; tokens de cor; tema claro, escuro e alto contraste</w:t>
            </w:r>
          </w:p>
        </w:tc>
        <w:tc>
          <w:tcPr>
            <w:tcW w:type="dxa" w:w="39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Fontes escolhidas por legibilidade (RNF07)</w:t>
            </w:r>
          </w:p>
        </w:tc>
      </w:tr>
    </w:tbl>
    <w:p>
      <w:pPr>
        <w:spacing w:after="240" w:before="80" w:line="240" w:lineRule="auto"/>
        <w:jc w:val="center"/>
      </w:pPr>
      <w:r>
        <w:rPr>
          <w:color w:val="455867"/>
          <w:sz w:val="18"/>
          <w:szCs w:val="18"/>
        </w:rPr>
        <w:t xml:space="preserve">Fonte: elaborado pelo grupo (2026).</w:t>
      </w:r>
    </w:p>
    <w:p>
      <w:pPr>
        <w:pStyle w:val="Heading2"/>
        <w:keepNext/>
      </w:pPr>
      <w:bookmarkStart w:name="sec_049" w:id="49"/>
      <w:r>
        <w:t xml:space="preserve">8.2 Arquitetura</w:t>
      </w:r>
      <w:bookmarkEnd w:id="49"/>
    </w:p>
    <w:p>
      <w:pPr>
        <w:spacing w:after="120" w:before="0" w:line="360" w:lineRule="auto"/>
        <w:ind w:firstLine="709"/>
        <w:jc w:val="both"/>
      </w:pPr>
      <w:r>
        <w:t xml:space="preserve">A Figura 1 (seção 3.1) mostra as camadas. A regra de dependência é única: o código só depende de camadas mais internas. O domínio não conhece banco nem HTTP; a aplicação define contratos que a infraestrutura implementa; a API só monta tudo pela injeção de dependência.</w:t>
      </w:r>
    </w:p>
    <w:p>
      <w:pPr>
        <w:pStyle w:val="ListParagraph"/>
        <w:numPr>
          <w:ilvl w:val="0"/>
          <w:numId w:val="2"/>
        </w:numPr>
        <w:spacing w:after="80" w:line="320" w:lineRule="auto"/>
        <w:jc w:val="left"/>
      </w:pPr>
      <w:r>
        <w:rPr>
          <w:b/>
          <w:bCs/>
        </w:rPr>
        <w:t xml:space="preserve">MedFlow.Domain:</w:t>
      </w:r>
      <w:r>
        <w:t xml:space="preserve"> entidades (Usuario, Receita, Medicamento, Lote, Tratamento, Pedido, Entrega), máquina de estados do pedido, serviço de reserva por FEFO e validação de CPF. Nenhuma dependência externa.</w:t>
      </w:r>
    </w:p>
    <w:p>
      <w:pPr>
        <w:pStyle w:val="ListParagraph"/>
        <w:numPr>
          <w:ilvl w:val="0"/>
          <w:numId w:val="2"/>
        </w:numPr>
        <w:spacing w:after="80" w:line="320" w:lineRule="auto"/>
        <w:jc w:val="left"/>
      </w:pPr>
      <w:r>
        <w:rPr>
          <w:b/>
          <w:bCs/>
        </w:rPr>
        <w:t xml:space="preserve">MedFlow.Application:</w:t>
      </w:r>
      <w:r>
        <w:t xml:space="preserve"> um serviço por grupo de casos de uso (Auth, Usuario, Receita, Catalogo, Pedido, Entrega, Painel, Privacidade), DTOs e contratos (</w:t>
      </w:r>
      <w:r>
        <w:rPr>
          <w:rFonts w:ascii="Courier New" w:cs="Courier New" w:eastAsia="Courier New" w:hAnsi="Courier New"/>
          <w:sz w:val="22"/>
          <w:szCs w:val="22"/>
        </w:rPr>
        <w:t xml:space="preserve">IAppDbContext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IPasswordHasher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ITokenService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IArquivoStorage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IRelogio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80" w:line="320" w:lineRule="auto"/>
        <w:jc w:val="left"/>
      </w:pPr>
      <w:r>
        <w:rPr>
          <w:b/>
          <w:bCs/>
        </w:rPr>
        <w:t xml:space="preserve">MedFlow.Infrastructure:</w:t>
      </w:r>
      <w:r>
        <w:t xml:space="preserve"> EF Core com MySQL (Pomelo), mapeamentos com Fluent API, datas em UTC, PBKDF2, emissão de JWT e armazenamento privado das receitas.</w:t>
      </w:r>
    </w:p>
    <w:p>
      <w:pPr>
        <w:pStyle w:val="ListParagraph"/>
        <w:numPr>
          <w:ilvl w:val="0"/>
          <w:numId w:val="2"/>
        </w:numPr>
        <w:spacing w:after="80" w:line="320" w:lineRule="auto"/>
        <w:jc w:val="left"/>
      </w:pPr>
      <w:r>
        <w:rPr>
          <w:b/>
          <w:bCs/>
        </w:rPr>
        <w:t xml:space="preserve">MedFlow.Api:</w:t>
      </w:r>
      <w:r>
        <w:t xml:space="preserve"> controllers finos com </w:t>
      </w:r>
      <w:r>
        <w:rPr>
          <w:rFonts w:ascii="Courier New" w:cs="Courier New" w:eastAsia="Courier New" w:hAnsi="Courier New"/>
          <w:sz w:val="22"/>
          <w:szCs w:val="22"/>
        </w:rPr>
        <w:t xml:space="preserve">[Authorize(Policy)]</w:t>
      </w:r>
      <w:r>
        <w:t xml:space="preserve">, tratamento global de exceções em ProblemDetails, limite de tentativas de login, CORS restrito e Swagger com autenticação.</w:t>
      </w:r>
    </w:p>
    <w:p>
      <w:pPr>
        <w:pStyle w:val="ListParagraph"/>
        <w:numPr>
          <w:ilvl w:val="0"/>
          <w:numId w:val="2"/>
        </w:numPr>
        <w:spacing w:after="80" w:line="320" w:lineRule="auto"/>
        <w:jc w:val="left"/>
      </w:pPr>
      <w:r>
        <w:rPr>
          <w:b/>
          <w:bCs/>
        </w:rPr>
        <w:t xml:space="preserve">Front-end Vue 3:</w:t>
      </w:r>
      <w:r>
        <w:t xml:space="preserve"> telas por perfil, stores Pinia (sessão e preferências), guardas de rota por perfil e uma camada de serviço que escolhe entre a API real (</w:t>
      </w:r>
      <w:r>
        <w:rPr>
          <w:rFonts w:ascii="Courier New" w:cs="Courier New" w:eastAsia="Courier New" w:hAnsi="Courier New"/>
          <w:sz w:val="22"/>
          <w:szCs w:val="22"/>
        </w:rPr>
        <w:t xml:space="preserve">http.js</w:t>
      </w:r>
      <w:r>
        <w:t xml:space="preserve">) e o servidor de demonstração em memória (padrão Strategy).</w:t>
      </w:r>
    </w:p>
    <w:p>
      <w:pPr>
        <w:pStyle w:val="Heading2"/>
        <w:keepNext/>
      </w:pPr>
      <w:bookmarkStart w:name="sec_050" w:id="50"/>
      <w:r>
        <w:t xml:space="preserve">8.3 Estrutura do repositório</w:t>
      </w:r>
      <w:bookmarkEnd w:id="50"/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12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medflow-v2-teste/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├── backend/                         ASP.NET Core 8 · Clean Architecture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│   ├── src/MedFlow.Domain/          entidades, regras, máquina de estados, FEFO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│   ├── src/MedFlow.Application/     casos de uso, DTOs e contratos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│   ├── src/MedFlow.Infrastructure/  EF Core + MySQL, PBKDF2, JWT, arquivos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│   ├── src/MedFlow.Api/             controllers, políticas, ProblemDetails, Swagger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│   ├── tests/MedFlow.Domain.Tests/        xUnit · regras de domínio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│   ├── tests/MedFlow.Application.Tests/   xUnit · casos de uso com banco em memória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│   └── Dockerfile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├── frontend/                        Vue 3 + Vite + Pinia + Vue Router + Axios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│   ├── src/domain/regras.js         as mesmas regras do domínio em JavaScript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│   ├── src/services/http.js         cliente da API (JWT no cabeçalho)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│   ├── src/services/mock/           servidor de demonstração em memória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│   ├── src/views/                   paciente, equipe, entregador e público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│   └── tests/                       node --test · regras e fluxos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├── prototipo/                       gera o protótipo navegável em um único HTML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├── docs/                            este documento (Word e PDF)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├── docker-compose.yml               MySQL 8 + API</w:t>
      </w:r>
    </w:p>
    <w:p>
      <w:pPr>
        <w:keepNext w:val="false"/>
        <w:keepLines/>
        <w:pBdr>
          <w:left w:val="single" w:color="02756E" w:sz="18" w:space="8"/>
        </w:pBdr>
        <w:shd w:fill="F2F5F8" w:color="auto" w:val="clear"/>
        <w:spacing w:after="20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└── README.md</w:t>
      </w:r>
    </w:p>
    <w:p>
      <w:pPr>
        <w:pStyle w:val="Heading2"/>
        <w:keepNext/>
      </w:pPr>
      <w:bookmarkStart w:name="sec_051" w:id="51"/>
      <w:r>
        <w:t xml:space="preserve">8.4 Trechos que implementam as regras críticas</w:t>
      </w:r>
      <w:bookmarkEnd w:id="51"/>
    </w:p>
    <w:p>
      <w:pPr>
        <w:pStyle w:val="Heading3"/>
        <w:keepNext/>
      </w:pPr>
      <w:bookmarkStart w:name="sec_052" w:id="52"/>
      <w:r>
        <w:t xml:space="preserve">8.4.1 Reserva "tudo ou nada" por FEFO (RN03 e RN04)</w:t>
      </w:r>
      <w:bookmarkEnd w:id="52"/>
    </w:p>
    <w:p>
      <w:pPr>
        <w:spacing w:after="120" w:before="0" w:line="360" w:lineRule="auto"/>
        <w:ind w:firstLine="709"/>
        <w:jc w:val="both"/>
      </w:pPr>
      <w:r>
        <w:t xml:space="preserve">O serviço de domínio calcula a alocação de todos os itens antes de reservar qualquer um. Se faltar saldo em um item, lança a exceção com a lista de faltas e nada é reservado. Os lotes são percorridos do que vence primeiro para o que vence depois, ignorando os que vencem antes do fim do ciclo. Trecho resumido de </w:t>
      </w:r>
      <w:r>
        <w:rPr>
          <w:rFonts w:ascii="Courier New" w:cs="Courier New" w:eastAsia="Courier New" w:hAnsi="Courier New"/>
          <w:sz w:val="22"/>
          <w:szCs w:val="22"/>
        </w:rPr>
        <w:t xml:space="preserve">Domain/Servicos/ReservaEstoqueFefo.cs</w:t>
      </w:r>
      <w:r>
        <w:t xml:space="preserve">: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12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public static IReadOnlyList&lt;MovimentacaoEstoque&gt; Reservar(Pedido pedido,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IReadOnlyList&lt;NecessidadeMedicamento&gt; necessidades,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IReadOnlyCollection&lt;Medicamento&gt; medicamentos, int? usuarioId, DateTime agora)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{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var planos = new List&lt;(NecessidadeMedicamento Necessidade,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                       List&lt;(Lote Lote, int Quantidade)&gt; Alocacoes)&gt;();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var faltas = new List&lt;FaltaEstoque&gt;();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foreach (var necessidade in necessidades)            // 1) planeja todos os itens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{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    var medicamento = medicamentos.First(m =&gt; m.Id == necessidade.MedicamentoId);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    var restante = necessidade.Quantidade;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    var alocacoes = new List&lt;(Lote Lote, int Quantidade)&gt;();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    foreach (var lote in medicamento.Lotes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                 .Where(l =&gt; l.ValidoAte(pedido.ValidoAte) &amp;&amp; l.Disponivel &gt; 0)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                 .OrderBy(l =&gt; l.Validade).ThenBy(l =&gt; l.Id))     // FEFO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    {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        if (restante == 0) break;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        var quantidade = Math.Min(restante, lote.Disponivel);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        alocacoes.Add((lote, quantidade));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        restante -= quantidade;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    }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    if (restante &gt; 0)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        faltas.Add(new FaltaEstoque(medicamento.Id, medicamento.Nome,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            necessidade.Quantidade, necessidade.Quantidade - restante));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    planos.Add((necessidade, alocacoes));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}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if (faltas.Count &gt; 0) throw new EstoqueInsuficienteException(faltas); // 2) nada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var movimentacoes = new List&lt;MovimentacaoEstoque&gt;();  // 3) só então reserva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foreach (var (necessidade, alocacoes) in planos)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{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    pedido.AdicionarItem(necessidade.MedicamentoId, necessidade.Quantidade, alocacoes);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    movimentacoes.AddRange(alocacoes.Select(a =&gt; new MovimentacaoEstoque(a.Lote,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        TipoMovimentacao.Reserva, a.Quantidade, pedido, usuarioId, agora,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        "Reserva na confirmação do pedido.")));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}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return movimentacoes;</w:t>
      </w:r>
    </w:p>
    <w:p>
      <w:pPr>
        <w:keepNext w:val="false"/>
        <w:keepLines/>
        <w:pBdr>
          <w:left w:val="single" w:color="02756E" w:sz="18" w:space="8"/>
        </w:pBdr>
        <w:shd w:fill="F2F5F8" w:color="auto" w:val="clear"/>
        <w:spacing w:after="20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}</w:t>
      </w:r>
    </w:p>
    <w:p>
      <w:pPr>
        <w:spacing w:after="120" w:before="0" w:line="360" w:lineRule="auto"/>
        <w:ind w:firstLine="709"/>
        <w:jc w:val="both"/>
      </w:pPr>
      <w:r>
        <w:t xml:space="preserve">A proteção contra dois pedidos simultâneos fica no lote: cada reserva incrementa a versão, e o EF Core só grava o UPDATE se a versão no banco ainda for a lida. Se outro pedido reservou antes, o </w:t>
      </w:r>
      <w:r>
        <w:rPr>
          <w:rFonts w:ascii="Courier New" w:cs="Courier New" w:eastAsia="Courier New" w:hAnsi="Courier New"/>
          <w:sz w:val="22"/>
          <w:szCs w:val="22"/>
        </w:rPr>
        <w:t xml:space="preserve">SaveChanges</w:t>
      </w:r>
      <w:r>
        <w:t xml:space="preserve"> falha, a transação inteira é desfeita e a API responde 409.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12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// Domain/Entidades/Medicamento.cs (classe Lote)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public int Disponivel =&gt; QuantidadeFisica - QuantidadeReservada;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public int Versao { get; private set; }          // token de concorrência otimista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internal void Reservar(int quantidade)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{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if (quantidade &lt;= 0) throw new DomainException("Quantidade de reserva inválida.");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if (quantidade &gt; Disponivel)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    throw new DomainException($"Lote {Numero} sem saldo disponível suficiente.");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QuantidadeReservada += quantidade;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Versao++;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}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// Infrastructure/Persistencia/Configuracoes/Configuracoes.cs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// UPDATE ... WHERE Versao = @original: se outro pedido reservou antes, nada é gravado.</w:t>
      </w:r>
    </w:p>
    <w:p>
      <w:pPr>
        <w:keepNext w:val="false"/>
        <w:keepLines/>
        <w:pBdr>
          <w:left w:val="single" w:color="02756E" w:sz="18" w:space="8"/>
        </w:pBdr>
        <w:shd w:fill="F2F5F8" w:color="auto" w:val="clear"/>
        <w:spacing w:after="20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b.Property(x =&gt; x.Versao).IsConcurrencyToken();</w:t>
      </w:r>
    </w:p>
    <w:p>
      <w:pPr>
        <w:pStyle w:val="Heading3"/>
        <w:keepNext/>
      </w:pPr>
      <w:bookmarkStart w:name="sec_053" w:id="53"/>
      <w:r>
        <w:t xml:space="preserve">8.4.2 Senha com hash, salt e comparação em tempo constante (RNF01)</w:t>
      </w:r>
      <w:bookmarkEnd w:id="53"/>
    </w:p>
    <w:p>
      <w:pPr>
        <w:spacing w:after="120" w:before="0" w:line="360" w:lineRule="auto"/>
        <w:ind w:firstLine="709"/>
        <w:jc w:val="both"/>
      </w:pPr>
      <w:r>
        <w:t xml:space="preserve">Corrige o problema P01. Usa apenas a biblioteca padrão do .NET. O formato gravado guarda o algoritmo e o número de iterações, o que permite aumentar as iterações no futuro sem invalidar as senhas existentes. Trecho de </w:t>
      </w:r>
      <w:r>
        <w:rPr>
          <w:rFonts w:ascii="Courier New" w:cs="Courier New" w:eastAsia="Courier New" w:hAnsi="Courier New"/>
          <w:sz w:val="22"/>
          <w:szCs w:val="22"/>
        </w:rPr>
        <w:t xml:space="preserve">Infrastructure/Seguranca/PasswordHasherPbkdf2.cs</w:t>
      </w:r>
      <w:r>
        <w:t xml:space="preserve">: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12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public string Gerar(string senha)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{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var salt = RandomNumberGenerator.GetBytes(16);                 // salt por senha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var hash = Rfc2898DeriveBytes.Pbkdf2(senha, salt, 600_000,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                                     HashAlgorithmName.SHA256, 32);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return $"PBKDF2-SHA256$600000${Convert.ToBase64String(salt)}${Convert.ToBase64String(hash)}";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}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public bool Verificar(string senha, string armazenado)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{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var partes = armazenado.Split('$');           // algoritmo$iterações$salt$hash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// ... valida o formato e decodifica salt e hash esperados ...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var calculado = Rfc2898DeriveBytes.Pbkdf2(senha, salt, iteracoes,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                                          HashAlgorithmName.SHA256, esperado.Length);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// tempo constante: o tempo de resposta não revela quantos bytes coincidiram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return CryptographicOperations.FixedTimeEquals(calculado, esperado);</w:t>
      </w:r>
    </w:p>
    <w:p>
      <w:pPr>
        <w:keepNext w:val="false"/>
        <w:keepLines/>
        <w:pBdr>
          <w:left w:val="single" w:color="02756E" w:sz="18" w:space="8"/>
        </w:pBdr>
        <w:shd w:fill="F2F5F8" w:color="auto" w:val="clear"/>
        <w:spacing w:after="20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}</w:t>
      </w:r>
    </w:p>
    <w:p>
      <w:pPr>
        <w:pStyle w:val="Heading3"/>
        <w:keepNext/>
      </w:pPr>
      <w:bookmarkStart w:name="sec_054" w:id="54"/>
      <w:r>
        <w:t xml:space="preserve">8.4.3 Máquina de estados do pedido (RN08)</w:t>
      </w:r>
      <w:bookmarkEnd w:id="54"/>
    </w:p>
    <w:p>
      <w:pPr>
        <w:spacing w:after="120" w:before="0" w:line="360" w:lineRule="auto"/>
        <w:ind w:firstLine="709"/>
        <w:jc w:val="both"/>
      </w:pPr>
      <w:r>
        <w:t xml:space="preserve">Corrige o problema P07. As transições permitidas ficam num único dicionário da entidade </w:t>
      </w:r>
      <w:r>
        <w:rPr>
          <w:rFonts w:ascii="Courier New" w:cs="Courier New" w:eastAsia="Courier New" w:hAnsi="Courier New"/>
          <w:sz w:val="22"/>
          <w:szCs w:val="22"/>
        </w:rPr>
        <w:t xml:space="preserve">Pedido</w:t>
      </w:r>
      <w:r>
        <w:t xml:space="preserve">; todo método que muda o status passa por ele e registra o histórico. Não existe rota que altere o status diretamente.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12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private static readonly IReadOnlyDictionary&lt;StatusPedido, StatusPedido[]&gt; Transicoes =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new Dictionary&lt;StatusPedido, StatusPedido[]&gt;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{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[StatusPedido.Pendente] = new[] { StatusPedido.EmSeparacao,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                                  StatusPedido.Recusado, StatusPedido.Cancelado },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[StatusPedido.EmSeparacao] = new[] { StatusPedido.AguardandoEntregador },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[StatusPedido.AguardandoEntregador] = new[] { StatusPedido.EmRota },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[StatusPedido.EmRota] = new[] { StatusPedido.Entregue,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                                StatusPedido.AguardandoEntregador }, // ocorrência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[StatusPedido.Entregue] = Array.Empty&lt;StatusPedido&gt;(),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[StatusPedido.Cancelado] = Array.Empty&lt;StatusPedido&gt;(),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[StatusPedido.Recusado] = Array.Empty&lt;StatusPedido&gt;(),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};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public static bool TransicaoPermitida(StatusPedido de, StatusPedido para)</w:t>
      </w:r>
    </w:p>
    <w:p>
      <w:pPr>
        <w:keepNext w:val="false"/>
        <w:keepLines/>
        <w:pBdr>
          <w:left w:val="single" w:color="02756E" w:sz="18" w:space="8"/>
        </w:pBdr>
        <w:shd w:fill="F2F5F8" w:color="auto" w:val="clear"/>
        <w:spacing w:after="20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6"/>
          <w:szCs w:val="16"/>
        </w:rPr>
        <w:t xml:space="preserve">    =&gt; Transicoes[de].Contains(para);</w:t>
      </w:r>
    </w:p>
    <w:p>
      <w:pPr>
        <w:pStyle w:val="Heading2"/>
        <w:keepNext/>
      </w:pPr>
      <w:bookmarkStart w:name="sec_055" w:id="55"/>
      <w:r>
        <w:t xml:space="preserve">8.5 Design da interface</w:t>
      </w:r>
      <w:bookmarkEnd w:id="55"/>
    </w:p>
    <w:p>
      <w:pPr>
        <w:spacing w:after="120" w:before="0" w:line="360" w:lineRule="auto"/>
        <w:ind w:firstLine="709"/>
        <w:jc w:val="both"/>
      </w:pPr>
      <w:r>
        <w:t xml:space="preserve">A interface parte de três ideias: cada perfil vê só o que usa; o estado real do pedido está sempre visível; e o texto precisa ser fácil de ler para quem tem 58 anos e usa o celular. Cores, fontes e espaçamentos são tokens (variáveis CSS) compartilhados entre o front-end e o protótipo, com tema claro, escuro e de alto contraste.</w:t>
      </w:r>
    </w:p>
    <w:p>
      <w:pPr>
        <w:spacing w:after="120" w:before="0" w:line="360" w:lineRule="auto"/>
        <w:ind w:firstLine="709"/>
        <w:jc w:val="both"/>
      </w:pPr>
      <w:r>
        <w:t xml:space="preserve">A tipografia foi escolhida por legibilidade: Lexend nos títulos e números grandes; Atkinson Hyperlegible no texto, fonte desenhada pelo Braille Institute para leitores com baixa visão; e IBM Plex Mono para lotes, CPFs e horários, em que cada caractere precisa ser inconfundível.</w:t>
      </w:r>
    </w:p>
    <w:p>
      <w:pPr>
        <w:keepNext/>
        <w:spacing w:after="100" w:before="200" w:line="276" w:lineRule="auto"/>
        <w:jc w:val="center"/>
      </w:pPr>
      <w:r>
        <w:rPr>
          <w:b/>
          <w:bCs/>
          <w:color w:val="0E1F33"/>
          <w:sz w:val="20"/>
          <w:szCs w:val="20"/>
        </w:rPr>
        <w:t xml:space="preserve">Quadro 23 — Tokens de cor principais</w:t>
      </w:r>
    </w:p>
    <w:tbl>
      <w:tblPr>
        <w:tblW w:type="dxa" w:w="9071"/>
        <w:tblBorders>
          <w:top w:val="single" w:color="C9D3DA" w:sz="4"/>
          <w:left w:val="single" w:color="C9D3DA" w:sz="4"/>
          <w:bottom w:val="single" w:color="C9D3DA" w:sz="4"/>
          <w:right w:val="single" w:color="C9D3DA" w:sz="4"/>
          <w:insideH w:val="single" w:color="C9D3DA" w:sz="4"/>
          <w:insideV w:val="single" w:color="C9D3DA" w:sz="4"/>
        </w:tblBorders>
        <w:tblLayout w:type="fixed"/>
      </w:tblPr>
      <w:tblGrid>
        <w:gridCol w:w="2200"/>
        <w:gridCol w:w="1500"/>
        <w:gridCol w:w="5371"/>
      </w:tblGrid>
      <w:tr>
        <w:trPr>
          <w:cantSplit/>
          <w:tblHeader/>
        </w:trPr>
        <w:tc>
          <w:tcPr>
            <w:tcW w:type="dxa" w:w="22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Token</w:t>
            </w:r>
          </w:p>
        </w:tc>
        <w:tc>
          <w:tcPr>
            <w:tcW w:type="dxa" w:w="15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Valor</w:t>
            </w:r>
          </w:p>
        </w:tc>
        <w:tc>
          <w:tcPr>
            <w:tcW w:type="dxa" w:w="5371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Uso e contraste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Marinho (lateral)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#0B1F4B</w:t>
            </w:r>
          </w:p>
        </w:tc>
        <w:tc>
          <w:tcPr>
            <w:tcW w:type="dxa" w:w="53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Barra lateral, títulos e destaques. Texto branco sobre marinho: 16:1.</w:t>
            </w:r>
          </w:p>
        </w:tc>
      </w:tr>
      <w:tr>
        <w:trPr>
          <w:cantSplit/>
        </w:trPr>
        <w:tc>
          <w:tcPr>
            <w:tcW w:type="dxa" w:w="22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Verde-azulado (marca)</w:t>
            </w:r>
          </w:p>
        </w:tc>
        <w:tc>
          <w:tcPr>
            <w:tcW w:type="dxa" w:w="15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#02756E</w:t>
            </w:r>
          </w:p>
        </w:tc>
        <w:tc>
          <w:tcPr>
            <w:tcW w:type="dxa" w:w="53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Botões principais, links e item ativo. Sobre branco: 5,6:1 (AA).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Verde pulso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#12A865</w:t>
            </w:r>
          </w:p>
        </w:tc>
        <w:tc>
          <w:tcPr>
            <w:tcW w:type="dxa" w:w="53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Linha do pulso do logotipo, barras e marcadores. Contraste 3:1, por isso nunca é usado em texto.</w:t>
            </w:r>
          </w:p>
        </w:tc>
      </w:tr>
      <w:tr>
        <w:trPr>
          <w:cantSplit/>
        </w:trPr>
        <w:tc>
          <w:tcPr>
            <w:tcW w:type="dxa" w:w="22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Atenção / problema</w:t>
            </w:r>
          </w:p>
        </w:tc>
        <w:tc>
          <w:tcPr>
            <w:tcW w:type="dxa" w:w="15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#8A5300 / #AD2318</w:t>
            </w:r>
          </w:p>
        </w:tc>
        <w:tc>
          <w:tcPr>
            <w:tcW w:type="dxa" w:w="53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Alertas de validade e mínimo; recusas e faltas. Sempre acompanhados de ícone e texto, nunca só cor.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Foco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#F0B400</w:t>
            </w:r>
          </w:p>
        </w:tc>
        <w:tc>
          <w:tcPr>
            <w:tcW w:type="dxa" w:w="53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9"/>
                <w:szCs w:val="19"/>
              </w:rPr>
              <w:t xml:space="preserve">Contorno de foco do teclado, visível nos três temas.</w:t>
            </w:r>
          </w:p>
        </w:tc>
      </w:tr>
    </w:tbl>
    <w:p>
      <w:pPr>
        <w:spacing w:after="240" w:before="80" w:line="240" w:lineRule="auto"/>
        <w:jc w:val="center"/>
      </w:pPr>
      <w:r>
        <w:rPr>
          <w:color w:val="455867"/>
          <w:sz w:val="18"/>
          <w:szCs w:val="18"/>
        </w:rPr>
        <w:t xml:space="preserve">Fonte: elaborado pelo grupo (2026).</w:t>
      </w:r>
    </w:p>
    <w:p>
      <w:pPr>
        <w:spacing w:after="120" w:before="0" w:line="360" w:lineRule="auto"/>
        <w:ind w:firstLine="709"/>
        <w:jc w:val="both"/>
      </w:pPr>
      <w:r>
        <w:t xml:space="preserve">As figuras a seguir são do protótipo navegável, que usa a mesma base de exemplo dos testes.</w:t>
      </w:r>
    </w:p>
    <w:p>
      <w:pPr>
        <w:keepNext/>
        <w:spacing w:after="100" w:before="200" w:line="276" w:lineRule="auto"/>
        <w:jc w:val="center"/>
      </w:pPr>
      <w:r>
        <w:rPr>
          <w:b/>
          <w:bCs/>
          <w:color w:val="0E1F33"/>
          <w:sz w:val="20"/>
          <w:szCs w:val="20"/>
        </w:rPr>
        <w:t xml:space="preserve">Figura 12 — Entrada com as pessoas de exemplo do protótipo</w:t>
      </w:r>
    </w:p>
    <w:p>
      <w:pPr>
        <w:keepNext/>
        <w:spacing w:after="0"/>
        <w:jc w:val="center"/>
      </w:pPr>
      <w:r>
        <w:drawing>
          <wp:inline distT="0" distB="0" distL="0" distR="0">
            <wp:extent cx="5581650" cy="3514725"/>
            <wp:effectExtent t="0" r="0" b="0" l="0"/>
            <wp:docPr id="1" name="t01_login.png" descr="Entrada com as pessoas de exemplo do protótipo" title="Entrada com as pessoas de exemplo do protóti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40" w:lineRule="auto"/>
        <w:jc w:val="center"/>
      </w:pPr>
      <w:r>
        <w:rPr>
          <w:color w:val="455867"/>
          <w:sz w:val="18"/>
          <w:szCs w:val="18"/>
        </w:rPr>
        <w:t xml:space="preserve">Fonte: protótipo navegável do MedFlow v2, elaborado pelo grupo (2026).</w:t>
      </w:r>
    </w:p>
    <w:p>
      <w:pPr>
        <w:keepNext/>
        <w:spacing w:after="100" w:before="200" w:line="276" w:lineRule="auto"/>
        <w:jc w:val="center"/>
      </w:pPr>
      <w:r>
        <w:rPr>
          <w:b/>
          <w:bCs/>
          <w:color w:val="0E1F33"/>
          <w:sz w:val="20"/>
          <w:szCs w:val="20"/>
        </w:rPr>
        <w:t xml:space="preserve">Figura 13 — Início do paciente: aviso de fim dos sachês, renovação e organizador de horários</w:t>
      </w:r>
    </w:p>
    <w:p>
      <w:pPr>
        <w:keepNext/>
        <w:spacing w:after="0"/>
        <w:jc w:val="center"/>
      </w:pPr>
      <w:r>
        <w:drawing>
          <wp:inline distT="0" distB="0" distL="0" distR="0">
            <wp:extent cx="5581650" cy="3514725"/>
            <wp:effectExtent t="0" r="0" b="0" l="0"/>
            <wp:docPr id="1" name="t02_inicio.png" descr="Início do paciente: aviso de fim dos sachês, renovação e organizador de horários" title="Início do paciente: aviso de fim dos sachês, renovação e organizador de horár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40" w:lineRule="auto"/>
        <w:jc w:val="center"/>
      </w:pPr>
      <w:r>
        <w:rPr>
          <w:color w:val="455867"/>
          <w:sz w:val="18"/>
          <w:szCs w:val="18"/>
        </w:rPr>
        <w:t xml:space="preserve">Fonte: protótipo navegável do MedFlow v2, elaborado pelo grupo (2026).</w:t>
      </w:r>
    </w:p>
    <w:p>
      <w:pPr>
        <w:keepNext/>
        <w:spacing w:after="100" w:before="200" w:line="276" w:lineRule="auto"/>
        <w:jc w:val="center"/>
      </w:pPr>
      <w:r>
        <w:rPr>
          <w:b/>
          <w:bCs/>
          <w:color w:val="0E1F33"/>
          <w:sz w:val="20"/>
          <w:szCs w:val="20"/>
        </w:rPr>
        <w:t xml:space="preserve">Figura 14 — Montagem da Box: simulação mostra a falta de Atenolol antes de confirmar (RN03)</w:t>
      </w:r>
    </w:p>
    <w:p>
      <w:pPr>
        <w:keepNext/>
        <w:spacing w:after="0"/>
        <w:jc w:val="center"/>
      </w:pPr>
      <w:r>
        <w:drawing>
          <wp:inline distT="0" distB="0" distL="0" distR="0">
            <wp:extent cx="5581650" cy="3514725"/>
            <wp:effectExtent t="0" r="0" b="0" l="0"/>
            <wp:docPr id="1" name="t03_box_falta.png" descr="Montagem da Box: simulação mostra a falta de Atenolol antes de confirmar (RN03)" title="Montagem da Box: simulação mostra a falta de Atenolol antes de confirmar (RN0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40" w:lineRule="auto"/>
        <w:jc w:val="center"/>
      </w:pPr>
      <w:r>
        <w:rPr>
          <w:color w:val="455867"/>
          <w:sz w:val="18"/>
          <w:szCs w:val="18"/>
        </w:rPr>
        <w:t xml:space="preserve">Fonte: protótipo navegável do MedFlow v2, elaborado pelo grupo (2026).</w:t>
      </w:r>
    </w:p>
    <w:p>
      <w:pPr>
        <w:keepNext/>
        <w:spacing w:after="100" w:before="200" w:line="276" w:lineRule="auto"/>
        <w:jc w:val="center"/>
      </w:pPr>
      <w:r>
        <w:rPr>
          <w:b/>
          <w:bCs/>
          <w:color w:val="0E1F33"/>
          <w:sz w:val="20"/>
          <w:szCs w:val="20"/>
        </w:rPr>
        <w:t xml:space="preserve">Figura 15 — Pedido confirmado e reservado: linha do tempo, lotes FEFO e histórico (RN13)</w:t>
      </w:r>
    </w:p>
    <w:p>
      <w:pPr>
        <w:keepNext/>
        <w:spacing w:after="0"/>
        <w:jc w:val="center"/>
      </w:pPr>
      <w:r>
        <w:drawing>
          <wp:inline distT="0" distB="0" distL="0" distR="0">
            <wp:extent cx="5581650" cy="3514725"/>
            <wp:effectExtent t="0" r="0" b="0" l="0"/>
            <wp:docPr id="1" name="t04_pedido.png" descr="Pedido confirmado e reservado: linha do tempo, lotes FEFO e histórico (RN13)" title="Pedido confirmado e reservado: linha do tempo, lotes FEFO e histórico (RN1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40" w:lineRule="auto"/>
        <w:jc w:val="center"/>
      </w:pPr>
      <w:r>
        <w:rPr>
          <w:color w:val="455867"/>
          <w:sz w:val="18"/>
          <w:szCs w:val="18"/>
        </w:rPr>
        <w:t xml:space="preserve">Fonte: protótipo navegável do MedFlow v2, elaborado pelo grupo (2026).</w:t>
      </w:r>
    </w:p>
    <w:p>
      <w:pPr>
        <w:keepNext/>
        <w:spacing w:after="100" w:before="200" w:line="276" w:lineRule="auto"/>
        <w:jc w:val="center"/>
      </w:pPr>
      <w:r>
        <w:rPr>
          <w:b/>
          <w:bCs/>
          <w:color w:val="0E1F33"/>
          <w:sz w:val="20"/>
          <w:szCs w:val="20"/>
        </w:rPr>
        <w:t xml:space="preserve">Figura 16 — Análise da receita pela farmacêutica, lado a lado com o que foi pedido (RN02)</w:t>
      </w:r>
    </w:p>
    <w:p>
      <w:pPr>
        <w:keepNext/>
        <w:spacing w:after="0"/>
        <w:jc w:val="center"/>
      </w:pPr>
      <w:r>
        <w:drawing>
          <wp:inline distT="0" distB="0" distL="0" distR="0">
            <wp:extent cx="5581650" cy="3514725"/>
            <wp:effectExtent t="0" r="0" b="0" l="0"/>
            <wp:docPr id="1" name="t06_fila.png" descr="Análise da receita pela farmacêutica, lado a lado com o que foi pedido (RN02)" title="Análise da receita pela farmacêutica, lado a lado com o que foi pedido (RN0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40" w:lineRule="auto"/>
        <w:jc w:val="center"/>
      </w:pPr>
      <w:r>
        <w:rPr>
          <w:color w:val="455867"/>
          <w:sz w:val="18"/>
          <w:szCs w:val="18"/>
        </w:rPr>
        <w:t xml:space="preserve">Fonte: protótipo navegável do MedFlow v2, elaborado pelo grupo (2026).</w:t>
      </w:r>
    </w:p>
    <w:p>
      <w:pPr>
        <w:keepNext/>
        <w:spacing w:after="100" w:before="200" w:line="276" w:lineRule="auto"/>
        <w:jc w:val="center"/>
      </w:pPr>
      <w:r>
        <w:rPr>
          <w:b/>
          <w:bCs/>
          <w:color w:val="0E1F33"/>
          <w:sz w:val="20"/>
          <w:szCs w:val="20"/>
        </w:rPr>
        <w:t xml:space="preserve">Figura 17 — Separação: etiquetas dos sachês com lote e validade (RN06)</w:t>
      </w:r>
    </w:p>
    <w:p>
      <w:pPr>
        <w:keepNext/>
        <w:spacing w:after="0"/>
        <w:jc w:val="center"/>
      </w:pPr>
      <w:r>
        <w:drawing>
          <wp:inline distT="0" distB="0" distL="0" distR="0">
            <wp:extent cx="5581650" cy="3514725"/>
            <wp:effectExtent t="0" r="0" b="0" l="0"/>
            <wp:docPr id="1" name="t07_etiquetas.png" descr="Separação: etiquetas dos sachês com lote e validade (RN06)" title="Separação: etiquetas dos sachês com lote e validade (RN0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40" w:lineRule="auto"/>
        <w:jc w:val="center"/>
      </w:pPr>
      <w:r>
        <w:rPr>
          <w:color w:val="455867"/>
          <w:sz w:val="18"/>
          <w:szCs w:val="18"/>
        </w:rPr>
        <w:t xml:space="preserve">Fonte: protótipo navegável do MedFlow v2, elaborado pelo grupo (2026).</w:t>
      </w:r>
    </w:p>
    <w:p>
      <w:pPr>
        <w:keepNext/>
        <w:spacing w:after="100" w:before="200" w:line="276" w:lineRule="auto"/>
        <w:jc w:val="center"/>
      </w:pPr>
      <w:r>
        <w:rPr>
          <w:b/>
          <w:bCs/>
          <w:color w:val="0E1F33"/>
          <w:sz w:val="20"/>
          <w:szCs w:val="20"/>
        </w:rPr>
        <w:t xml:space="preserve">Figura 18 — Estoque por lote: físico, reservado e disponível no ciclo; lote que vence em 20 dias fora da reserva (RN04)</w:t>
      </w:r>
    </w:p>
    <w:p>
      <w:pPr>
        <w:keepNext/>
        <w:spacing w:after="0"/>
        <w:jc w:val="center"/>
      </w:pPr>
      <w:r>
        <w:drawing>
          <wp:inline distT="0" distB="0" distL="0" distR="0">
            <wp:extent cx="5581650" cy="3514725"/>
            <wp:effectExtent t="0" r="0" b="0" l="0"/>
            <wp:docPr id="1" name="t08_estoque.png" descr="Estoque por lote: físico, reservado e disponível no ciclo; lote que vence em 20 dias fora da reserva (RN04)" title="Estoque por lote: físico, reservado e disponível no ciclo; lote que vence em 20 dias fora da reserva (RN0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40" w:lineRule="auto"/>
        <w:jc w:val="center"/>
      </w:pPr>
      <w:r>
        <w:rPr>
          <w:color w:val="455867"/>
          <w:sz w:val="18"/>
          <w:szCs w:val="18"/>
        </w:rPr>
        <w:t xml:space="preserve">Fonte: protótipo navegável do MedFlow v2, elaborado pelo grupo (2026).</w:t>
      </w:r>
    </w:p>
    <w:p>
      <w:pPr>
        <w:keepNext/>
        <w:spacing w:after="100" w:before="200" w:line="276" w:lineRule="auto"/>
        <w:jc w:val="center"/>
      </w:pPr>
      <w:r>
        <w:rPr>
          <w:b/>
          <w:bCs/>
          <w:color w:val="0E1F33"/>
          <w:sz w:val="20"/>
          <w:szCs w:val="20"/>
        </w:rPr>
        <w:t xml:space="preserve">Figura 19 — Painel da operação com indicadores de resultado (RF18)</w:t>
      </w:r>
    </w:p>
    <w:p>
      <w:pPr>
        <w:keepNext/>
        <w:spacing w:after="0"/>
        <w:jc w:val="center"/>
      </w:pPr>
      <w:r>
        <w:drawing>
          <wp:inline distT="0" distB="0" distL="0" distR="0">
            <wp:extent cx="5581650" cy="3514725"/>
            <wp:effectExtent t="0" r="0" b="0" l="0"/>
            <wp:docPr id="1" name="t05_painel.png" descr="Painel da operação com indicadores de resultado (RF18)" title="Painel da operação com indicadores de resultado (RF1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40" w:lineRule="auto"/>
        <w:jc w:val="center"/>
      </w:pPr>
      <w:r>
        <w:rPr>
          <w:color w:val="455867"/>
          <w:sz w:val="18"/>
          <w:szCs w:val="18"/>
        </w:rPr>
        <w:t xml:space="preserve">Fonte: protótipo navegável do MedFlow v2, elaborado pelo grupo (2026).</w:t>
      </w:r>
    </w:p>
    <w:p>
      <w:pPr>
        <w:keepNext/>
        <w:spacing w:after="100" w:before="200" w:line="276" w:lineRule="auto"/>
        <w:jc w:val="center"/>
      </w:pPr>
      <w:r>
        <w:rPr>
          <w:b/>
          <w:bCs/>
          <w:color w:val="0E1F33"/>
          <w:sz w:val="20"/>
          <w:szCs w:val="20"/>
        </w:rPr>
        <w:t xml:space="preserve">Figura 20 — Teste do pico de renovação: o segundo pedido sobre o mesmo saldo é recusado (CT19)</w:t>
      </w:r>
    </w:p>
    <w:p>
      <w:pPr>
        <w:keepNext/>
        <w:spacing w:after="0"/>
        <w:jc w:val="center"/>
      </w:pPr>
      <w:r>
        <w:drawing>
          <wp:inline distT="0" distB="0" distL="0" distR="0">
            <wp:extent cx="5581650" cy="3514725"/>
            <wp:effectExtent t="0" r="0" b="0" l="0"/>
            <wp:docPr id="1" name="t05b_pico.png" descr="Teste do pico de renovação: o segundo pedido sobre o mesmo saldo é recusado (CT19)" title="Teste do pico de renovação: o segundo pedido sobre o mesmo saldo é recusado (CT1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40" w:lineRule="auto"/>
        <w:jc w:val="center"/>
      </w:pPr>
      <w:r>
        <w:rPr>
          <w:color w:val="455867"/>
          <w:sz w:val="18"/>
          <w:szCs w:val="18"/>
        </w:rPr>
        <w:t xml:space="preserve">Fonte: protótipo navegável do MedFlow v2, elaborado pelo grupo (2026).</w:t>
      </w:r>
    </w:p>
    <w:p>
      <w:pPr>
        <w:keepNext/>
        <w:spacing w:after="100" w:before="200" w:line="276" w:lineRule="auto"/>
        <w:jc w:val="center"/>
      </w:pPr>
      <w:r>
        <w:rPr>
          <w:b/>
          <w:bCs/>
          <w:color w:val="0E1F33"/>
          <w:sz w:val="20"/>
          <w:szCs w:val="20"/>
        </w:rPr>
        <w:t xml:space="preserve">Figura 21 — Tela do entregador no celular, pensada para uso com uma mão (RNF06)</w:t>
      </w:r>
    </w:p>
    <w:p>
      <w:pPr>
        <w:keepNext/>
        <w:spacing w:after="0"/>
        <w:jc w:val="center"/>
      </w:pPr>
      <w:r>
        <w:drawing>
          <wp:inline distT="0" distB="0" distL="0" distR="0">
            <wp:extent cx="2228850" cy="4829175"/>
            <wp:effectExtent t="0" r="0" b="0" l="0"/>
            <wp:docPr id="1" name="t10_entregador.png" descr="Tela do entregador no celular, pensada para uso com uma mão (RNF06)" title="Tela do entregador no celular, pensada para uso com uma mão (RNF0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40" w:lineRule="auto"/>
        <w:jc w:val="center"/>
      </w:pPr>
      <w:r>
        <w:rPr>
          <w:color w:val="455867"/>
          <w:sz w:val="18"/>
          <w:szCs w:val="18"/>
        </w:rPr>
        <w:t xml:space="preserve">Fonte: protótipo navegável do MedFlow v2, elaborado pelo grupo (2026).</w:t>
      </w:r>
    </w:p>
    <w:p>
      <w:pPr>
        <w:keepNext/>
        <w:spacing w:after="100" w:before="200" w:line="276" w:lineRule="auto"/>
        <w:jc w:val="center"/>
      </w:pPr>
      <w:r>
        <w:rPr>
          <w:b/>
          <w:bCs/>
          <w:color w:val="0E1F33"/>
          <w:sz w:val="20"/>
          <w:szCs w:val="20"/>
        </w:rPr>
        <w:t xml:space="preserve">Figura 22 — Meus dados: correção, consentimentos registrados, exportação e exclusão (RF19)</w:t>
      </w:r>
    </w:p>
    <w:p>
      <w:pPr>
        <w:keepNext/>
        <w:spacing w:after="0"/>
        <w:jc w:val="center"/>
      </w:pPr>
      <w:r>
        <w:drawing>
          <wp:inline distT="0" distB="0" distL="0" distR="0">
            <wp:extent cx="5581650" cy="3514725"/>
            <wp:effectExtent t="0" r="0" b="0" l="0"/>
            <wp:docPr id="1" name="t09_lgpd.png" descr="Meus dados: correção, consentimentos registrados, exportação e exclusão (RF19)" title="Meus dados: correção, consentimentos registrados, exportação e exclusão (RF1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40" w:lineRule="auto"/>
        <w:jc w:val="center"/>
      </w:pPr>
      <w:r>
        <w:rPr>
          <w:color w:val="455867"/>
          <w:sz w:val="18"/>
          <w:szCs w:val="18"/>
        </w:rPr>
        <w:t xml:space="preserve">Fonte: protótipo navegável do MedFlow v2, elaborado pelo grupo (2026).</w:t>
      </w:r>
    </w:p>
    <w:p>
      <w:pPr>
        <w:keepNext/>
        <w:spacing w:after="100" w:before="200" w:line="276" w:lineRule="auto"/>
        <w:jc w:val="center"/>
      </w:pPr>
      <w:r>
        <w:rPr>
          <w:b/>
          <w:bCs/>
          <w:color w:val="0E1F33"/>
          <w:sz w:val="20"/>
          <w:szCs w:val="20"/>
        </w:rPr>
        <w:t xml:space="preserve">Figura 23 — Modo de alto contraste e ajuste do tamanho do texto (RNF07)</w:t>
      </w:r>
    </w:p>
    <w:p>
      <w:pPr>
        <w:keepNext/>
        <w:spacing w:after="0"/>
        <w:jc w:val="center"/>
      </w:pPr>
      <w:r>
        <w:drawing>
          <wp:inline distT="0" distB="0" distL="0" distR="0">
            <wp:extent cx="5581650" cy="3514725"/>
            <wp:effectExtent t="0" r="0" b="0" l="0"/>
            <wp:docPr id="1" name="t11_contraste.png" descr="Modo de alto contraste e ajuste do tamanho do texto (RNF07)" title="Modo de alto contraste e ajuste do tamanho do texto (RNF0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40" w:lineRule="auto"/>
        <w:jc w:val="center"/>
      </w:pPr>
      <w:r>
        <w:rPr>
          <w:color w:val="455867"/>
          <w:sz w:val="18"/>
          <w:szCs w:val="18"/>
        </w:rPr>
        <w:t xml:space="preserve">Fonte: protótipo navegável do MedFlow v2, elaborado pelo grupo (2026).</w:t>
      </w:r>
    </w:p>
    <w:p>
      <w:pPr>
        <w:pStyle w:val="Heading2"/>
        <w:keepNext/>
      </w:pPr>
      <w:bookmarkStart w:name="sec_056" w:id="56"/>
      <w:r>
        <w:t xml:space="preserve">8.6 Como executar</w:t>
      </w:r>
      <w:bookmarkEnd w:id="56"/>
    </w:p>
    <w:p>
      <w:pPr>
        <w:spacing w:after="120" w:before="0" w:line="360" w:lineRule="auto"/>
        <w:ind w:firstLine="709"/>
        <w:jc w:val="both"/>
      </w:pPr>
      <w:r>
        <w:t xml:space="preserve">Pré-requisitos: .NET 8 SDK, MySQL 8 e Node.js 20 ou superior. Segredos (conexão do banco e chave do JWT) nunca vão para o código: em desenvolvimento ficam no user-secrets e em produção em variáveis de ambiente.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12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5"/>
          <w:szCs w:val="15"/>
        </w:rPr>
        <w:t xml:space="preserve"># API (em Development o banco é criado e populado com a base de exemplo)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5"/>
          <w:szCs w:val="15"/>
        </w:rPr>
        <w:t xml:space="preserve">cd backend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5"/>
          <w:szCs w:val="15"/>
        </w:rPr>
        <w:t xml:space="preserve">dotnet user-secrets init --project src/MedFlow.Api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5"/>
          <w:szCs w:val="15"/>
        </w:rPr>
        <w:t xml:space="preserve">dotnet user-secrets set "ConnectionStrings:MedFlow" \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5"/>
          <w:szCs w:val="15"/>
        </w:rPr>
        <w:t xml:space="preserve">  "server=localhost;database=medflow_v2;user=root;password=..." --project src/MedFlow.Api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5"/>
          <w:szCs w:val="15"/>
        </w:rPr>
        <w:t xml:space="preserve">dotnet user-secrets set "Jwt:Chave" "chave-com-pelo-menos-32-caracteres" --project src/MedFlow.Api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5"/>
          <w:szCs w:val="15"/>
        </w:rPr>
        <w:t xml:space="preserve">dotnet run --project src/MedFlow.Api        # Swagger em https://localhost:7205/swagger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5"/>
          <w:szCs w:val="15"/>
        </w:rPr>
        <w:t xml:space="preserve">dotnet test                                 # testes de domínio e de aplicação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5"/>
          <w:szCs w:val="15"/>
        </w:rPr>
        <w:t xml:space="preserve"> 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5"/>
          <w:szCs w:val="15"/>
        </w:rPr>
        <w:t xml:space="preserve"># ou, com Docker: MySQL + API na porta 8080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5"/>
          <w:szCs w:val="15"/>
        </w:rPr>
        <w:t xml:space="preserve">docker compose up --build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5"/>
          <w:szCs w:val="15"/>
        </w:rPr>
        <w:t xml:space="preserve"> 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5"/>
          <w:szCs w:val="15"/>
        </w:rPr>
        <w:t xml:space="preserve"># Front-end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5"/>
          <w:szCs w:val="15"/>
        </w:rPr>
        <w:t xml:space="preserve">cd frontend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5"/>
          <w:szCs w:val="15"/>
        </w:rPr>
        <w:t xml:space="preserve">npm install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5"/>
          <w:szCs w:val="15"/>
        </w:rPr>
        <w:t xml:space="preserve">npm run dev          # usa a API definida em VITE_API_URL</w:t>
      </w:r>
    </w:p>
    <w:p>
      <w:pPr>
        <w:keepNext/>
        <w:keepLines/>
        <w:pBdr>
          <w:left w:val="single" w:color="02756E" w:sz="18" w:space="8"/>
        </w:pBdr>
        <w:shd w:fill="F2F5F8" w:color="auto" w:val="clear"/>
        <w:spacing w:after="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5"/>
          <w:szCs w:val="15"/>
        </w:rPr>
        <w:t xml:space="preserve">npm run dev:demo     # usa o servidor de demonstração (sem API nem banco)</w:t>
      </w:r>
    </w:p>
    <w:p>
      <w:pPr>
        <w:keepNext w:val="false"/>
        <w:keepLines/>
        <w:pBdr>
          <w:left w:val="single" w:color="02756E" w:sz="18" w:space="8"/>
        </w:pBdr>
        <w:shd w:fill="F2F5F8" w:color="auto" w:val="clear"/>
        <w:spacing w:after="200" w:before="0" w:line="228" w:lineRule="auto"/>
        <w:ind w:left="160" w:right="0"/>
      </w:pPr>
      <w:r>
        <w:rPr>
          <w:rFonts w:ascii="Courier New" w:cs="Courier New" w:eastAsia="Courier New" w:hAnsi="Courier New"/>
          <w:color w:val="0E1F33"/>
          <w:sz w:val="15"/>
          <w:szCs w:val="15"/>
        </w:rPr>
        <w:t xml:space="preserve">npm test             # 21 testes de regras e fluxos</w:t>
      </w:r>
    </w:p>
    <w:p>
      <w:pPr>
        <w:keepNext/>
        <w:spacing w:after="100" w:before="200" w:line="276" w:lineRule="auto"/>
        <w:jc w:val="center"/>
      </w:pPr>
      <w:r>
        <w:rPr>
          <w:b/>
          <w:bCs/>
          <w:color w:val="0E1F33"/>
          <w:sz w:val="20"/>
          <w:szCs w:val="20"/>
        </w:rPr>
        <w:t xml:space="preserve">Quadro 24 — Contas da base de exemplo (desenvolvimento e protótipo)</w:t>
      </w:r>
    </w:p>
    <w:tbl>
      <w:tblPr>
        <w:tblW w:type="dxa" w:w="9071"/>
        <w:tblBorders>
          <w:top w:val="single" w:color="C9D3DA" w:sz="4"/>
          <w:left w:val="single" w:color="C9D3DA" w:sz="4"/>
          <w:bottom w:val="single" w:color="C9D3DA" w:sz="4"/>
          <w:right w:val="single" w:color="C9D3DA" w:sz="4"/>
          <w:insideH w:val="single" w:color="C9D3DA" w:sz="4"/>
          <w:insideV w:val="single" w:color="C9D3DA" w:sz="4"/>
        </w:tblBorders>
        <w:tblLayout w:type="fixed"/>
      </w:tblPr>
      <w:tblGrid>
        <w:gridCol w:w="3000"/>
        <w:gridCol w:w="3500"/>
        <w:gridCol w:w="2571"/>
      </w:tblGrid>
      <w:tr>
        <w:trPr>
          <w:cantSplit/>
          <w:tblHeader/>
        </w:trPr>
        <w:tc>
          <w:tcPr>
            <w:tcW w:type="dxa" w:w="3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Perfil</w:t>
            </w:r>
          </w:p>
        </w:tc>
        <w:tc>
          <w:tcPr>
            <w:tcW w:type="dxa" w:w="35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E-mail</w:t>
            </w:r>
          </w:p>
        </w:tc>
        <w:tc>
          <w:tcPr>
            <w:tcW w:type="dxa" w:w="2571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9"/>
                <w:szCs w:val="19"/>
              </w:rPr>
              <w:t xml:space="preserve">Senha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Paciente (Carlos Mendes)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carlos@email.com</w:t>
            </w:r>
          </w:p>
        </w:tc>
        <w:tc>
          <w:tcPr>
            <w:tcW w:type="dxa" w:w="25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MedFlow2026</w:t>
            </w:r>
          </w:p>
        </w:tc>
      </w:tr>
      <w:tr>
        <w:trPr>
          <w:cantSplit/>
        </w:trPr>
        <w:tc>
          <w:tcPr>
            <w:tcW w:type="dxa" w:w="3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Farmacêutica RT (Juliana Prado)</w:t>
            </w:r>
          </w:p>
        </w:tc>
        <w:tc>
          <w:tcPr>
            <w:tcW w:type="dxa" w:w="35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juliana@medflow.com.br</w:t>
            </w:r>
          </w:p>
        </w:tc>
        <w:tc>
          <w:tcPr>
            <w:tcW w:type="dxa" w:w="25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MedFlow2026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Operador (Bruno Lima)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bruno@medflow.com.br</w:t>
            </w:r>
          </w:p>
        </w:tc>
        <w:tc>
          <w:tcPr>
            <w:tcW w:type="dxa" w:w="25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MedFlow2026</w:t>
            </w:r>
          </w:p>
        </w:tc>
      </w:tr>
      <w:tr>
        <w:trPr>
          <w:cantSplit/>
        </w:trPr>
        <w:tc>
          <w:tcPr>
            <w:tcW w:type="dxa" w:w="3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Entregador (Rafael Souza)</w:t>
            </w:r>
          </w:p>
        </w:tc>
        <w:tc>
          <w:tcPr>
            <w:tcW w:type="dxa" w:w="35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rafael@medflow.com.br</w:t>
            </w:r>
          </w:p>
        </w:tc>
        <w:tc>
          <w:tcPr>
            <w:tcW w:type="dxa" w:w="2571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MedFlow2026</w:t>
            </w:r>
          </w:p>
        </w:tc>
      </w:tr>
    </w:tbl>
    <w:p>
      <w:pPr>
        <w:spacing w:after="240" w:before="80" w:line="240" w:lineRule="auto"/>
        <w:jc w:val="center"/>
      </w:pPr>
      <w:r>
        <w:rPr>
          <w:color w:val="455867"/>
          <w:sz w:val="18"/>
          <w:szCs w:val="18"/>
        </w:rPr>
        <w:t xml:space="preserve">Fonte: elaborado pelo grupo (2026).</w:t>
      </w:r>
    </w:p>
    <w:p>
      <w:pPr>
        <w:pStyle w:val="Heading2"/>
        <w:keepNext/>
      </w:pPr>
      <w:bookmarkStart w:name="sec_057" w:id="57"/>
      <w:r>
        <w:t xml:space="preserve">8.7 Situação da verificação e próximos passos</w:t>
      </w:r>
      <w:bookmarkEnd w:id="57"/>
    </w:p>
    <w:p>
      <w:pPr>
        <w:pStyle w:val="ListParagraph"/>
        <w:numPr>
          <w:ilvl w:val="0"/>
          <w:numId w:val="2"/>
        </w:numPr>
        <w:spacing w:after="80" w:line="320" w:lineRule="auto"/>
        <w:jc w:val="left"/>
      </w:pPr>
      <w:r>
        <w:rPr>
          <w:b/>
          <w:bCs/>
        </w:rPr>
        <w:t xml:space="preserve">Comprovado nesta versão:</w:t>
      </w:r>
      <w:r>
        <w:t xml:space="preserve"> as regras de negócio e os fluxos completos em JavaScript (21 testes aprovados) e o protótipo navegável nos quatro perfis, em computador e celular, nos temas claro, escuro e de alto contraste.</w:t>
      </w:r>
    </w:p>
    <w:p>
      <w:pPr>
        <w:pStyle w:val="ListParagraph"/>
        <w:numPr>
          <w:ilvl w:val="0"/>
          <w:numId w:val="2"/>
        </w:numPr>
        <w:spacing w:after="80" w:line="320" w:lineRule="auto"/>
        <w:jc w:val="left"/>
      </w:pPr>
      <w:r>
        <w:rPr>
          <w:b/>
          <w:bCs/>
        </w:rPr>
        <w:t xml:space="preserve">Escrito e revisado, a executar:</w:t>
      </w:r>
      <w:r>
        <w:t xml:space="preserve"> a solução C# (quatro projetos e dois projetos de teste, 34 métodos de teste) e o front-end Vue. O ambiente de preparação não tinha acesso aos repositórios de pacotes; os comandos </w:t>
      </w:r>
      <w:r>
        <w:rPr>
          <w:rFonts w:ascii="Courier New" w:cs="Courier New" w:eastAsia="Courier New" w:hAnsi="Courier New"/>
          <w:sz w:val="22"/>
          <w:szCs w:val="22"/>
        </w:rPr>
        <w:t xml:space="preserve">dotnet build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dotnet test</w:t>
      </w:r>
      <w: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npm install</w:t>
      </w:r>
      <w:r>
        <w:t xml:space="preserve"> e </w:t>
      </w:r>
      <w:r>
        <w:rPr>
          <w:rFonts w:ascii="Courier New" w:cs="Courier New" w:eastAsia="Courier New" w:hAnsi="Courier New"/>
          <w:sz w:val="22"/>
          <w:szCs w:val="22"/>
        </w:rPr>
        <w:t xml:space="preserve">npm run build</w:t>
      </w:r>
      <w:r>
        <w:t xml:space="preserve"> devem ser executados na máquina do grupo antes da entrega.</w:t>
      </w:r>
    </w:p>
    <w:p>
      <w:pPr>
        <w:pStyle w:val="ListParagraph"/>
        <w:numPr>
          <w:ilvl w:val="0"/>
          <w:numId w:val="2"/>
        </w:numPr>
        <w:spacing w:after="80" w:line="320" w:lineRule="auto"/>
        <w:jc w:val="left"/>
      </w:pPr>
      <w:r>
        <w:rPr>
          <w:b/>
          <w:bCs/>
        </w:rPr>
        <w:t xml:space="preserve">Planejado:</w:t>
      </w:r>
      <w:r>
        <w:t xml:space="preserve"> teste de concorrência com MySQL real (CT19 manual), teste de carga com k6 (CT40), varredura OWASP ZAP (RNF04) e teste de usabilidade com cinco pacientes (RNF10).</w:t>
      </w:r>
    </w:p>
    <w:p>
      <w:pPr>
        <w:pStyle w:val="ListParagraph"/>
        <w:numPr>
          <w:ilvl w:val="0"/>
          <w:numId w:val="2"/>
        </w:numPr>
        <w:spacing w:after="80" w:line="320" w:lineRule="auto"/>
        <w:jc w:val="left"/>
      </w:pPr>
      <w:r>
        <w:rPr>
          <w:b/>
          <w:bCs/>
        </w:rPr>
        <w:t xml:space="preserve">Validação com o farmacêutico RT:</w:t>
      </w:r>
      <w:r>
        <w:t xml:space="preserve"> confirmar a vigência da RDC nº 80/2006 e as exigências de rotulagem do sachê antes de qualquer uso real.</w:t>
      </w:r>
    </w:p>
    <w:p>
      <w:pPr>
        <w:sectPr>
          <w:headerReference w:type="default" r:id="rId29"/>
          <w:footerReference w:type="default" r:id="rId30"/>
          <w:type w:val="nextPage"/>
          <w:pgSz w:w="11906" w:h="16838" w:orient="portrait"/>
          <w:pgMar w:top="1701" w:right="1134" w:bottom="1134" w:left="1701" w:header="851" w:footer="567" w:gutter="0"/>
          <w:pgNumType/>
          <w:docGrid w:linePitch="360"/>
        </w:sectPr>
      </w:pPr>
    </w:p>
    <w:p>
      <w:pPr>
        <w:pStyle w:val="Heading1"/>
        <w:keepNext/>
      </w:pPr>
      <w:bookmarkStart w:name="sec_058" w:id="58"/>
      <w:r>
        <w:t xml:space="preserve">9 Matriz de rastreabilidade</w:t>
      </w:r>
      <w:bookmarkEnd w:id="58"/>
    </w:p>
    <w:p>
      <w:pPr>
        <w:spacing w:after="120" w:before="0" w:line="360" w:lineRule="auto"/>
        <w:ind w:firstLine="709"/>
        <w:jc w:val="both"/>
      </w:pPr>
      <w:r>
        <w:t xml:space="preserve">A matriz liga cada requisito funcional ao caso de uso que o realiza, às regras que o restringem, aos casos de teste que o verificam, ao componente que o implementa e à tela em que aparece. Ela permite responder, para qualquer mudança, o que precisa ser testado de novo.</w:t>
      </w:r>
    </w:p>
    <w:p>
      <w:pPr>
        <w:keepNext/>
        <w:spacing w:after="100" w:before="200" w:line="276" w:lineRule="auto"/>
        <w:jc w:val="center"/>
      </w:pPr>
      <w:r>
        <w:rPr>
          <w:b/>
          <w:bCs/>
          <w:color w:val="0E1F33"/>
          <w:sz w:val="20"/>
          <w:szCs w:val="20"/>
        </w:rPr>
        <w:t xml:space="preserve">Quadro 25 — Matriz de rastreabilidade dos requisitos funcionais</w:t>
      </w:r>
    </w:p>
    <w:tbl>
      <w:tblPr>
        <w:tblW w:type="dxa" w:w="14003"/>
        <w:tblBorders>
          <w:top w:val="single" w:color="C9D3DA" w:sz="4"/>
          <w:left w:val="single" w:color="C9D3DA" w:sz="4"/>
          <w:bottom w:val="single" w:color="C9D3DA" w:sz="4"/>
          <w:right w:val="single" w:color="C9D3DA" w:sz="4"/>
          <w:insideH w:val="single" w:color="C9D3DA" w:sz="4"/>
          <w:insideV w:val="single" w:color="C9D3DA" w:sz="4"/>
        </w:tblBorders>
        <w:tblLayout w:type="fixed"/>
      </w:tblPr>
      <w:tblGrid>
        <w:gridCol w:w="900"/>
        <w:gridCol w:w="1300"/>
        <w:gridCol w:w="2000"/>
        <w:gridCol w:w="2000"/>
        <w:gridCol w:w="4803"/>
        <w:gridCol w:w="3000"/>
      </w:tblGrid>
      <w:tr>
        <w:trPr>
          <w:cantSplit/>
          <w:tblHeader/>
        </w:trPr>
        <w:tc>
          <w:tcPr>
            <w:tcW w:type="dxa" w:w="9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 xml:space="preserve">RF</w:t>
            </w:r>
          </w:p>
        </w:tc>
        <w:tc>
          <w:tcPr>
            <w:tcW w:type="dxa" w:w="13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 xml:space="preserve">Regras</w:t>
            </w:r>
          </w:p>
        </w:tc>
        <w:tc>
          <w:tcPr>
            <w:tcW w:type="dxa" w:w="2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 xml:space="preserve">Casos de teste</w:t>
            </w:r>
          </w:p>
        </w:tc>
        <w:tc>
          <w:tcPr>
            <w:tcW w:type="dxa" w:w="4803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 xml:space="preserve">Componente (back-end)</w:t>
            </w:r>
          </w:p>
        </w:tc>
        <w:tc>
          <w:tcPr>
            <w:tcW w:type="dxa" w:w="30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 xml:space="preserve">Tela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RF01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UC01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RN15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CT01–CT04</w:t>
            </w:r>
          </w:p>
        </w:tc>
        <w:tc>
          <w:tcPr>
            <w:tcW w:type="dxa" w:w="48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AuthService · AuthController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Cadastro</w:t>
            </w:r>
          </w:p>
        </w:tc>
      </w:tr>
      <w:tr>
        <w:trPr>
          <w:cantSplit/>
        </w:trPr>
        <w:tc>
          <w:tcPr>
            <w:tcW w:type="dxa" w:w="9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RF02</w:t>
            </w:r>
          </w:p>
        </w:tc>
        <w:tc>
          <w:tcPr>
            <w:tcW w:type="dxa" w:w="1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UC02</w:t>
            </w:r>
          </w:p>
        </w:tc>
        <w:tc>
          <w:tcPr>
            <w:tcW w:type="dxa" w:w="2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RN17</w:t>
            </w:r>
          </w:p>
        </w:tc>
        <w:tc>
          <w:tcPr>
            <w:tcW w:type="dxa" w:w="2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CT06–CT08</w:t>
            </w:r>
          </w:p>
        </w:tc>
        <w:tc>
          <w:tcPr>
            <w:tcW w:type="dxa" w:w="48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AuthService · JwtTokenService</w:t>
            </w:r>
          </w:p>
        </w:tc>
        <w:tc>
          <w:tcPr>
            <w:tcW w:type="dxa" w:w="3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Entrar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RF03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UC02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RN01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CT09, CT10, CT24</w:t>
            </w:r>
          </w:p>
        </w:tc>
        <w:tc>
          <w:tcPr>
            <w:tcW w:type="dxa" w:w="48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Program.cs (policies) · BaseController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Guardas de rota</w:t>
            </w:r>
          </w:p>
        </w:tc>
      </w:tr>
      <w:tr>
        <w:trPr>
          <w:cantSplit/>
        </w:trPr>
        <w:tc>
          <w:tcPr>
            <w:tcW w:type="dxa" w:w="9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RF04</w:t>
            </w:r>
          </w:p>
        </w:tc>
        <w:tc>
          <w:tcPr>
            <w:tcW w:type="dxa" w:w="1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UC13</w:t>
            </w:r>
          </w:p>
        </w:tc>
        <w:tc>
          <w:tcPr>
            <w:tcW w:type="dxa" w:w="2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CT36</w:t>
            </w:r>
          </w:p>
        </w:tc>
        <w:tc>
          <w:tcPr>
            <w:tcW w:type="dxa" w:w="48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UsuarioService</w:t>
            </w:r>
          </w:p>
        </w:tc>
        <w:tc>
          <w:tcPr>
            <w:tcW w:type="dxa" w:w="3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Usuários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RF05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UC03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RN15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CT11–CT13</w:t>
            </w:r>
          </w:p>
        </w:tc>
        <w:tc>
          <w:tcPr>
            <w:tcW w:type="dxa" w:w="48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ReceitaService · ArquivoStorageLocal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Receitas · Montar Box</w:t>
            </w:r>
          </w:p>
        </w:tc>
      </w:tr>
      <w:tr>
        <w:trPr>
          <w:cantSplit/>
        </w:trPr>
        <w:tc>
          <w:tcPr>
            <w:tcW w:type="dxa" w:w="9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RF06</w:t>
            </w:r>
          </w:p>
        </w:tc>
        <w:tc>
          <w:tcPr>
            <w:tcW w:type="dxa" w:w="1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UC06</w:t>
            </w:r>
          </w:p>
        </w:tc>
        <w:tc>
          <w:tcPr>
            <w:tcW w:type="dxa" w:w="2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RN02, RN07</w:t>
            </w:r>
          </w:p>
        </w:tc>
        <w:tc>
          <w:tcPr>
            <w:tcW w:type="dxa" w:w="2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CT22–CT24</w:t>
            </w:r>
          </w:p>
        </w:tc>
        <w:tc>
          <w:tcPr>
            <w:tcW w:type="dxa" w:w="48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ReceitaService · Receita · Pedido</w:t>
            </w:r>
          </w:p>
        </w:tc>
        <w:tc>
          <w:tcPr>
            <w:tcW w:type="dxa" w:w="3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Análise de receitas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RF07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UC08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CT33</w:t>
            </w:r>
          </w:p>
        </w:tc>
        <w:tc>
          <w:tcPr>
            <w:tcW w:type="dxa" w:w="48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CatalogoService · Medicamento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Estoque</w:t>
            </w:r>
          </w:p>
        </w:tc>
      </w:tr>
      <w:tr>
        <w:trPr>
          <w:cantSplit/>
        </w:trPr>
        <w:tc>
          <w:tcPr>
            <w:tcW w:type="dxa" w:w="9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RF08</w:t>
            </w:r>
          </w:p>
        </w:tc>
        <w:tc>
          <w:tcPr>
            <w:tcW w:type="dxa" w:w="1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UC08</w:t>
            </w:r>
          </w:p>
        </w:tc>
        <w:tc>
          <w:tcPr>
            <w:tcW w:type="dxa" w:w="2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RN05</w:t>
            </w:r>
          </w:p>
        </w:tc>
        <w:tc>
          <w:tcPr>
            <w:tcW w:type="dxa" w:w="2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CT25, CT33</w:t>
            </w:r>
          </w:p>
        </w:tc>
        <w:tc>
          <w:tcPr>
            <w:tcW w:type="dxa" w:w="48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CatalogoService · Lote · MovimentacaoEstoque</w:t>
            </w:r>
          </w:p>
        </w:tc>
        <w:tc>
          <w:tcPr>
            <w:tcW w:type="dxa" w:w="3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Estoque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RF09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UC04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RN09, RN11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CT15, CT16, CT18</w:t>
            </w:r>
          </w:p>
        </w:tc>
        <w:tc>
          <w:tcPr>
            <w:tcW w:type="dxa" w:w="48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PedidoService.SimularAsync · Tratamento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Montar Box</w:t>
            </w:r>
          </w:p>
        </w:tc>
      </w:tr>
      <w:tr>
        <w:trPr>
          <w:cantSplit/>
        </w:trPr>
        <w:tc>
          <w:tcPr>
            <w:tcW w:type="dxa" w:w="9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RF10</w:t>
            </w:r>
          </w:p>
        </w:tc>
        <w:tc>
          <w:tcPr>
            <w:tcW w:type="dxa" w:w="1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UC04</w:t>
            </w:r>
          </w:p>
        </w:tc>
        <w:tc>
          <w:tcPr>
            <w:tcW w:type="dxa" w:w="2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RN02–RN04, RN12</w:t>
            </w:r>
          </w:p>
        </w:tc>
        <w:tc>
          <w:tcPr>
            <w:tcW w:type="dxa" w:w="2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CT17–CT21, CT41</w:t>
            </w:r>
          </w:p>
        </w:tc>
        <w:tc>
          <w:tcPr>
            <w:tcW w:type="dxa" w:w="48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PedidoService.ConfirmarAsync · ReservaEstoqueFefo</w:t>
            </w:r>
          </w:p>
        </w:tc>
        <w:tc>
          <w:tcPr>
            <w:tcW w:type="dxa" w:w="3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Montar Box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RF11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UC15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RN07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CT27</w:t>
            </w:r>
          </w:p>
        </w:tc>
        <w:tc>
          <w:tcPr>
            <w:tcW w:type="dxa" w:w="48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PedidoService.CancelarAsync · Pedido.Cancelar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Meus pedidos</w:t>
            </w:r>
          </w:p>
        </w:tc>
      </w:tr>
      <w:tr>
        <w:trPr>
          <w:cantSplit/>
        </w:trPr>
        <w:tc>
          <w:tcPr>
            <w:tcW w:type="dxa" w:w="9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RF12</w:t>
            </w:r>
          </w:p>
        </w:tc>
        <w:tc>
          <w:tcPr>
            <w:tcW w:type="dxa" w:w="1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UC07</w:t>
            </w:r>
          </w:p>
        </w:tc>
        <w:tc>
          <w:tcPr>
            <w:tcW w:type="dxa" w:w="2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RN08</w:t>
            </w:r>
          </w:p>
        </w:tc>
        <w:tc>
          <w:tcPr>
            <w:tcW w:type="dxa" w:w="2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PedidoService.ListarOperacionalAsync</w:t>
            </w:r>
          </w:p>
        </w:tc>
        <w:tc>
          <w:tcPr>
            <w:tcW w:type="dxa" w:w="3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Pedidos (equipe)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RF13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UC07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RN06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CT25</w:t>
            </w:r>
          </w:p>
        </w:tc>
        <w:tc>
          <w:tcPr>
            <w:tcW w:type="dxa" w:w="48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PedidoService.FinalizarBoxAsync · Pedido.FinalizarBox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Pedidos · etiquetas</w:t>
            </w:r>
          </w:p>
        </w:tc>
      </w:tr>
      <w:tr>
        <w:trPr>
          <w:cantSplit/>
        </w:trPr>
        <w:tc>
          <w:tcPr>
            <w:tcW w:type="dxa" w:w="9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RF14</w:t>
            </w:r>
          </w:p>
        </w:tc>
        <w:tc>
          <w:tcPr>
            <w:tcW w:type="dxa" w:w="1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UC09</w:t>
            </w:r>
          </w:p>
        </w:tc>
        <w:tc>
          <w:tcPr>
            <w:tcW w:type="dxa" w:w="2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RN05, RN10</w:t>
            </w:r>
          </w:p>
        </w:tc>
        <w:tc>
          <w:tcPr>
            <w:tcW w:type="dxa" w:w="2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CT33</w:t>
            </w:r>
          </w:p>
        </w:tc>
        <w:tc>
          <w:tcPr>
            <w:tcW w:type="dxa" w:w="48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CatalogoService.ListarAlertasAsync</w:t>
            </w:r>
          </w:p>
        </w:tc>
        <w:tc>
          <w:tcPr>
            <w:tcW w:type="dxa" w:w="3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Painel · Estoque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RF15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UC10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RN08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CT28</w:t>
            </w:r>
          </w:p>
        </w:tc>
        <w:tc>
          <w:tcPr>
            <w:tcW w:type="dxa" w:w="48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EntregaService · Pedido.IniciarRota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Minhas entregas</w:t>
            </w:r>
          </w:p>
        </w:tc>
      </w:tr>
      <w:tr>
        <w:trPr>
          <w:cantSplit/>
        </w:trPr>
        <w:tc>
          <w:tcPr>
            <w:tcW w:type="dxa" w:w="9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RF16</w:t>
            </w:r>
          </w:p>
        </w:tc>
        <w:tc>
          <w:tcPr>
            <w:tcW w:type="dxa" w:w="1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UC11</w:t>
            </w:r>
          </w:p>
        </w:tc>
        <w:tc>
          <w:tcPr>
            <w:tcW w:type="dxa" w:w="2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RN14</w:t>
            </w:r>
          </w:p>
        </w:tc>
        <w:tc>
          <w:tcPr>
            <w:tcW w:type="dxa" w:w="2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CT29–CT31</w:t>
            </w:r>
          </w:p>
        </w:tc>
        <w:tc>
          <w:tcPr>
            <w:tcW w:type="dxa" w:w="48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EntregaService · Pedido.ConfirmarEntrega</w:t>
            </w:r>
          </w:p>
        </w:tc>
        <w:tc>
          <w:tcPr>
            <w:tcW w:type="dxa" w:w="3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Minhas entregas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RF17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UC05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RN13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CT32</w:t>
            </w:r>
          </w:p>
        </w:tc>
        <w:tc>
          <w:tcPr>
            <w:tcW w:type="dxa" w:w="48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PedidoService.ObterAsync · HistoricoPedido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Início · Meus pedidos</w:t>
            </w:r>
          </w:p>
        </w:tc>
      </w:tr>
      <w:tr>
        <w:trPr>
          <w:cantSplit/>
        </w:trPr>
        <w:tc>
          <w:tcPr>
            <w:tcW w:type="dxa" w:w="9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RF18</w:t>
            </w:r>
          </w:p>
        </w:tc>
        <w:tc>
          <w:tcPr>
            <w:tcW w:type="dxa" w:w="1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UC14</w:t>
            </w:r>
          </w:p>
        </w:tc>
        <w:tc>
          <w:tcPr>
            <w:tcW w:type="dxa" w:w="2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CT37</w:t>
            </w:r>
          </w:p>
        </w:tc>
        <w:tc>
          <w:tcPr>
            <w:tcW w:type="dxa" w:w="48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PainelService</w:t>
            </w:r>
          </w:p>
        </w:tc>
        <w:tc>
          <w:tcPr>
            <w:tcW w:type="dxa" w:w="3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Painel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RF19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UC12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RN16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CT34, CT35</w:t>
            </w:r>
          </w:p>
        </w:tc>
        <w:tc>
          <w:tcPr>
            <w:tcW w:type="dxa" w:w="48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PrivacidadeService · Usuario.Anonimizar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Meus dados</w:t>
            </w:r>
          </w:p>
        </w:tc>
      </w:tr>
      <w:tr>
        <w:trPr>
          <w:cantSplit/>
        </w:trPr>
        <w:tc>
          <w:tcPr>
            <w:tcW w:type="dxa" w:w="9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RF20</w:t>
            </w:r>
          </w:p>
        </w:tc>
        <w:tc>
          <w:tcPr>
            <w:tcW w:type="dxa" w:w="13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UC05, UC07</w:t>
            </w:r>
          </w:p>
        </w:tc>
        <w:tc>
          <w:tcPr>
            <w:tcW w:type="dxa" w:w="2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RN13</w:t>
            </w:r>
          </w:p>
        </w:tc>
        <w:tc>
          <w:tcPr>
            <w:tcW w:type="dxa" w:w="2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CT32</w:t>
            </w:r>
          </w:p>
        </w:tc>
        <w:tc>
          <w:tcPr>
            <w:tcW w:type="dxa" w:w="48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HistoricoPedido · MovimentacaoEstoque</w:t>
            </w:r>
          </w:p>
        </w:tc>
        <w:tc>
          <w:tcPr>
            <w:tcW w:type="dxa" w:w="30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Histórico do pedido</w:t>
            </w:r>
          </w:p>
        </w:tc>
      </w:tr>
    </w:tbl>
    <w:p>
      <w:pPr>
        <w:spacing w:after="240" w:before="80" w:line="240" w:lineRule="auto"/>
        <w:jc w:val="center"/>
      </w:pPr>
      <w:r>
        <w:rPr>
          <w:color w:val="455867"/>
          <w:sz w:val="18"/>
          <w:szCs w:val="18"/>
        </w:rPr>
        <w:t xml:space="preserve">Fonte: elaborado pelo grupo (2026).</w:t>
      </w:r>
    </w:p>
    <w:p>
      <w:pPr>
        <w:keepNext/>
        <w:spacing w:after="100" w:before="200" w:line="276" w:lineRule="auto"/>
        <w:jc w:val="center"/>
      </w:pPr>
      <w:r>
        <w:rPr>
          <w:b/>
          <w:bCs/>
          <w:color w:val="0E1F33"/>
          <w:sz w:val="20"/>
          <w:szCs w:val="20"/>
        </w:rPr>
        <w:t xml:space="preserve">Quadro 26 — Cobertura das regras de negócio e dos requisitos não funcionais por casos de teste</w:t>
      </w:r>
    </w:p>
    <w:tbl>
      <w:tblPr>
        <w:tblW w:type="dxa" w:w="14003"/>
        <w:tblBorders>
          <w:top w:val="single" w:color="C9D3DA" w:sz="4"/>
          <w:left w:val="single" w:color="C9D3DA" w:sz="4"/>
          <w:bottom w:val="single" w:color="C9D3DA" w:sz="4"/>
          <w:right w:val="single" w:color="C9D3DA" w:sz="4"/>
          <w:insideH w:val="single" w:color="C9D3DA" w:sz="4"/>
          <w:insideV w:val="single" w:color="C9D3DA" w:sz="4"/>
        </w:tblBorders>
        <w:tblLayout w:type="fixed"/>
      </w:tblPr>
      <w:tblGrid>
        <w:gridCol w:w="900"/>
        <w:gridCol w:w="6600"/>
        <w:gridCol w:w="6503"/>
      </w:tblGrid>
      <w:tr>
        <w:trPr>
          <w:cantSplit/>
          <w:tblHeader/>
        </w:trPr>
        <w:tc>
          <w:tcPr>
            <w:tcW w:type="dxa" w:w="9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 xml:space="preserve">ID</w:t>
            </w:r>
          </w:p>
        </w:tc>
        <w:tc>
          <w:tcPr>
            <w:tcW w:type="dxa" w:w="6600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 xml:space="preserve">Regra ou requisito</w:t>
            </w:r>
          </w:p>
        </w:tc>
        <w:tc>
          <w:tcPr>
            <w:tcW w:type="dxa" w:w="6503"/>
            <w:shd w:fill="DB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  <w:bCs/>
                <w:color w:val="0B1F4B"/>
                <w:sz w:val="18"/>
                <w:szCs w:val="18"/>
              </w:rPr>
              <w:t xml:space="preserve">Casos de teste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RN01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Acesso por perfil</w:t>
            </w:r>
          </w:p>
        </w:tc>
        <w:tc>
          <w:tcPr>
            <w:tcW w:type="dxa" w:w="65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CT10, CT24</w:t>
            </w:r>
          </w:p>
        </w:tc>
      </w:tr>
      <w:tr>
        <w:trPr>
          <w:cantSplit/>
        </w:trPr>
        <w:tc>
          <w:tcPr>
            <w:tcW w:type="dxa" w:w="9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RN02</w:t>
            </w:r>
          </w:p>
        </w:tc>
        <w:tc>
          <w:tcPr>
            <w:tcW w:type="dxa" w:w="66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Receita obrigatória</w:t>
            </w:r>
          </w:p>
        </w:tc>
        <w:tc>
          <w:tcPr>
            <w:tcW w:type="dxa" w:w="65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CT14, CT22, CT24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RN03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Reserva na confirmação</w:t>
            </w:r>
          </w:p>
        </w:tc>
        <w:tc>
          <w:tcPr>
            <w:tcW w:type="dxa" w:w="65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CT17, CT18, CT19</w:t>
            </w:r>
          </w:p>
        </w:tc>
      </w:tr>
      <w:tr>
        <w:trPr>
          <w:cantSplit/>
        </w:trPr>
        <w:tc>
          <w:tcPr>
            <w:tcW w:type="dxa" w:w="9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RN04</w:t>
            </w:r>
          </w:p>
        </w:tc>
        <w:tc>
          <w:tcPr>
            <w:tcW w:type="dxa" w:w="66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FEFO e validade do ciclo</w:t>
            </w:r>
          </w:p>
        </w:tc>
        <w:tc>
          <w:tcPr>
            <w:tcW w:type="dxa" w:w="65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CT20, CT21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RN05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Lote vencido</w:t>
            </w:r>
          </w:p>
        </w:tc>
        <w:tc>
          <w:tcPr>
            <w:tcW w:type="dxa" w:w="65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CT33</w:t>
            </w:r>
          </w:p>
        </w:tc>
      </w:tr>
      <w:tr>
        <w:trPr>
          <w:cantSplit/>
        </w:trPr>
        <w:tc>
          <w:tcPr>
            <w:tcW w:type="dxa" w:w="9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RN06</w:t>
            </w:r>
          </w:p>
        </w:tc>
        <w:tc>
          <w:tcPr>
            <w:tcW w:type="dxa" w:w="66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Baixa na finalização</w:t>
            </w:r>
          </w:p>
        </w:tc>
        <w:tc>
          <w:tcPr>
            <w:tcW w:type="dxa" w:w="65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CT25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RN07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Liberação da reserva</w:t>
            </w:r>
          </w:p>
        </w:tc>
        <w:tc>
          <w:tcPr>
            <w:tcW w:type="dxa" w:w="65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CT23, CT27</w:t>
            </w:r>
          </w:p>
        </w:tc>
      </w:tr>
      <w:tr>
        <w:trPr>
          <w:cantSplit/>
        </w:trPr>
        <w:tc>
          <w:tcPr>
            <w:tcW w:type="dxa" w:w="9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RN08</w:t>
            </w:r>
          </w:p>
        </w:tc>
        <w:tc>
          <w:tcPr>
            <w:tcW w:type="dxa" w:w="66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Máquina de estados</w:t>
            </w:r>
          </w:p>
        </w:tc>
        <w:tc>
          <w:tcPr>
            <w:tcW w:type="dxa" w:w="65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CT26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RN09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Controle especial</w:t>
            </w:r>
          </w:p>
        </w:tc>
        <w:tc>
          <w:tcPr>
            <w:tcW w:type="dxa" w:w="65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CT15</w:t>
            </w:r>
          </w:p>
        </w:tc>
      </w:tr>
      <w:tr>
        <w:trPr>
          <w:cantSplit/>
        </w:trPr>
        <w:tc>
          <w:tcPr>
            <w:tcW w:type="dxa" w:w="9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RN10</w:t>
            </w:r>
          </w:p>
        </w:tc>
        <w:tc>
          <w:tcPr>
            <w:tcW w:type="dxa" w:w="66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Mínimo e validade próxima</w:t>
            </w:r>
          </w:p>
        </w:tc>
        <w:tc>
          <w:tcPr>
            <w:tcW w:type="dxa" w:w="65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CT33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RN11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Composição da Box</w:t>
            </w:r>
          </w:p>
        </w:tc>
        <w:tc>
          <w:tcPr>
            <w:tcW w:type="dxa" w:w="65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CT16</w:t>
            </w:r>
          </w:p>
        </w:tc>
      </w:tr>
      <w:tr>
        <w:trPr>
          <w:cantSplit/>
        </w:trPr>
        <w:tc>
          <w:tcPr>
            <w:tcW w:type="dxa" w:w="9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RN12</w:t>
            </w:r>
          </w:p>
        </w:tc>
        <w:tc>
          <w:tcPr>
            <w:tcW w:type="dxa" w:w="66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Uma Box por vez</w:t>
            </w:r>
          </w:p>
        </w:tc>
        <w:tc>
          <w:tcPr>
            <w:tcW w:type="dxa" w:w="65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CT41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RN13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Status honesto</w:t>
            </w:r>
          </w:p>
        </w:tc>
        <w:tc>
          <w:tcPr>
            <w:tcW w:type="dxa" w:w="65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CT32</w:t>
            </w:r>
          </w:p>
        </w:tc>
      </w:tr>
      <w:tr>
        <w:trPr>
          <w:cantSplit/>
        </w:trPr>
        <w:tc>
          <w:tcPr>
            <w:tcW w:type="dxa" w:w="9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RN14</w:t>
            </w:r>
          </w:p>
        </w:tc>
        <w:tc>
          <w:tcPr>
            <w:tcW w:type="dxa" w:w="66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Entrega</w:t>
            </w:r>
          </w:p>
        </w:tc>
        <w:tc>
          <w:tcPr>
            <w:tcW w:type="dxa" w:w="65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CT29, CT30, CT31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RN15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Consentimento</w:t>
            </w:r>
          </w:p>
        </w:tc>
        <w:tc>
          <w:tcPr>
            <w:tcW w:type="dxa" w:w="65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CT01, CT04, CT13</w:t>
            </w:r>
          </w:p>
        </w:tc>
      </w:tr>
      <w:tr>
        <w:trPr>
          <w:cantSplit/>
        </w:trPr>
        <w:tc>
          <w:tcPr>
            <w:tcW w:type="dxa" w:w="9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RN16</w:t>
            </w:r>
          </w:p>
        </w:tc>
        <w:tc>
          <w:tcPr>
            <w:tcW w:type="dxa" w:w="66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Eliminação de dados</w:t>
            </w:r>
          </w:p>
        </w:tc>
        <w:tc>
          <w:tcPr>
            <w:tcW w:type="dxa" w:w="65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CT35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RN17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Tentativas de login</w:t>
            </w:r>
          </w:p>
        </w:tc>
        <w:tc>
          <w:tcPr>
            <w:tcW w:type="dxa" w:w="65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CT07, CT08</w:t>
            </w:r>
          </w:p>
        </w:tc>
      </w:tr>
      <w:tr>
        <w:trPr>
          <w:cantSplit/>
        </w:trPr>
        <w:tc>
          <w:tcPr>
            <w:tcW w:type="dxa" w:w="9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RNF01</w:t>
            </w:r>
          </w:p>
        </w:tc>
        <w:tc>
          <w:tcPr>
            <w:tcW w:type="dxa" w:w="66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Senhas com PBKDF2, salt e 600 mil iterações</w:t>
            </w:r>
          </w:p>
        </w:tc>
        <w:tc>
          <w:tcPr>
            <w:tcW w:type="dxa" w:w="65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CT01, CT05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RNF02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HTTPS com TLS 1.2+ e HSTS</w:t>
            </w:r>
          </w:p>
        </w:tc>
        <w:tc>
          <w:tcPr>
            <w:tcW w:type="dxa" w:w="65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color w:val="455867"/>
                <w:sz w:val="18"/>
                <w:szCs w:val="18"/>
              </w:rPr>
              <w:t xml:space="preserve">Sem caso de teste: inspeção da configuração · teste com navegador</w:t>
            </w:r>
          </w:p>
        </w:tc>
      </w:tr>
      <w:tr>
        <w:trPr>
          <w:cantSplit/>
        </w:trPr>
        <w:tc>
          <w:tcPr>
            <w:tcW w:type="dxa" w:w="9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RNF03</w:t>
            </w:r>
          </w:p>
        </w:tc>
        <w:tc>
          <w:tcPr>
            <w:tcW w:type="dxa" w:w="66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JWT assinado com chave de 256 bits ou mais</w:t>
            </w:r>
          </w:p>
        </w:tc>
        <w:tc>
          <w:tcPr>
            <w:tcW w:type="dxa" w:w="65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CT06, CT09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RNF04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Proteções OWASP e upload seguro</w:t>
            </w:r>
          </w:p>
        </w:tc>
        <w:tc>
          <w:tcPr>
            <w:tcW w:type="dxa" w:w="65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CT12</w:t>
            </w:r>
          </w:p>
        </w:tc>
      </w:tr>
      <w:tr>
        <w:trPr>
          <w:cantSplit/>
        </w:trPr>
        <w:tc>
          <w:tcPr>
            <w:tcW w:type="dxa" w:w="9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RNF05</w:t>
            </w:r>
          </w:p>
        </w:tc>
        <w:tc>
          <w:tcPr>
            <w:tcW w:type="dxa" w:w="66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Desempenho com 200 usuários simultâneos</w:t>
            </w:r>
          </w:p>
        </w:tc>
        <w:tc>
          <w:tcPr>
            <w:tcW w:type="dxa" w:w="65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CT40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RNF06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Responsividade de 360 a 1920 px</w:t>
            </w:r>
          </w:p>
        </w:tc>
        <w:tc>
          <w:tcPr>
            <w:tcW w:type="dxa" w:w="65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CT38</w:t>
            </w:r>
          </w:p>
        </w:tc>
      </w:tr>
      <w:tr>
        <w:trPr>
          <w:cantSplit/>
        </w:trPr>
        <w:tc>
          <w:tcPr>
            <w:tcW w:type="dxa" w:w="9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RNF07</w:t>
            </w:r>
          </w:p>
        </w:tc>
        <w:tc>
          <w:tcPr>
            <w:tcW w:type="dxa" w:w="66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Acessibilidade WCAG 2.1 AA</w:t>
            </w:r>
          </w:p>
        </w:tc>
        <w:tc>
          <w:tcPr>
            <w:tcW w:type="dxa" w:w="65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CT39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RNF08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Disponibilidade de 99,5% ao mês</w:t>
            </w:r>
          </w:p>
        </w:tc>
        <w:tc>
          <w:tcPr>
            <w:tcW w:type="dxa" w:w="65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color w:val="455867"/>
                <w:sz w:val="18"/>
                <w:szCs w:val="18"/>
              </w:rPr>
              <w:t xml:space="preserve">Sem caso de teste: monitoramento (análise)</w:t>
            </w:r>
          </w:p>
        </w:tc>
      </w:tr>
      <w:tr>
        <w:trPr>
          <w:cantSplit/>
        </w:trPr>
        <w:tc>
          <w:tcPr>
            <w:tcW w:type="dxa" w:w="9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RNF09</w:t>
            </w:r>
          </w:p>
        </w:tc>
        <w:tc>
          <w:tcPr>
            <w:tcW w:type="dxa" w:w="66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Clean Architecture e regras cobertas por teste</w:t>
            </w:r>
          </w:p>
        </w:tc>
        <w:tc>
          <w:tcPr>
            <w:tcW w:type="dxa" w:w="65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color w:val="455867"/>
                <w:sz w:val="18"/>
                <w:szCs w:val="18"/>
              </w:rPr>
              <w:t xml:space="preserve">Sem caso de teste: inspeção · relatório de testes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RNF10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Box com quatro medicamentos em até 5 minutos</w:t>
            </w:r>
          </w:p>
        </w:tc>
        <w:tc>
          <w:tcPr>
            <w:tcW w:type="dxa" w:w="65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color w:val="455867"/>
                <w:sz w:val="18"/>
                <w:szCs w:val="18"/>
              </w:rPr>
              <w:t xml:space="preserve">Sem caso de teste: teste com 5 usuários (planejado)</w:t>
            </w:r>
          </w:p>
        </w:tc>
      </w:tr>
      <w:tr>
        <w:trPr>
          <w:cantSplit/>
        </w:trPr>
        <w:tc>
          <w:tcPr>
            <w:tcW w:type="dxa" w:w="9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RNF11</w:t>
            </w:r>
          </w:p>
        </w:tc>
        <w:tc>
          <w:tcPr>
            <w:tcW w:type="dxa" w:w="66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Navegadores suportados</w:t>
            </w:r>
          </w:p>
        </w:tc>
        <w:tc>
          <w:tcPr>
            <w:tcW w:type="dxa" w:w="65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color w:val="455867"/>
                <w:sz w:val="18"/>
                <w:szCs w:val="18"/>
              </w:rPr>
              <w:t xml:space="preserve">Sem caso de teste: teste manual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RNF12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Sem hash na API e CPF mascarado</w:t>
            </w:r>
          </w:p>
        </w:tc>
        <w:tc>
          <w:tcPr>
            <w:tcW w:type="dxa" w:w="650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CT34, CT36</w:t>
            </w:r>
          </w:p>
        </w:tc>
      </w:tr>
      <w:tr>
        <w:trPr>
          <w:cantSplit/>
        </w:trPr>
        <w:tc>
          <w:tcPr>
            <w:tcW w:type="dxa" w:w="9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b/>
                <w:bCs/>
                <w:color w:val="02756E"/>
                <w:sz w:val="18"/>
                <w:szCs w:val="18"/>
              </w:rPr>
              <w:t xml:space="preserve">RNF13</w:t>
            </w:r>
          </w:p>
        </w:tc>
        <w:tc>
          <w:tcPr>
            <w:tcW w:type="dxa" w:w="6600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sz w:val="18"/>
                <w:szCs w:val="18"/>
              </w:rPr>
              <w:t xml:space="preserve">Configuração por ambiente e Docker</w:t>
            </w:r>
          </w:p>
        </w:tc>
        <w:tc>
          <w:tcPr>
            <w:tcW w:type="dxa" w:w="6503"/>
            <w:shd w:fill="F5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 w:lineRule="auto"/>
              <w:jc w:val="left"/>
            </w:pPr>
            <w:r>
              <w:rPr>
                <w:color w:val="455867"/>
                <w:sz w:val="18"/>
                <w:szCs w:val="18"/>
              </w:rPr>
              <w:t xml:space="preserve">Sem caso de teste: inspeção · execução do docker compose</w:t>
            </w:r>
          </w:p>
        </w:tc>
      </w:tr>
    </w:tbl>
    <w:p>
      <w:pPr>
        <w:spacing w:after="240" w:before="80" w:line="240" w:lineRule="auto"/>
        <w:jc w:val="center"/>
      </w:pPr>
      <w:r>
        <w:rPr>
          <w:color w:val="455867"/>
          <w:sz w:val="18"/>
          <w:szCs w:val="18"/>
        </w:rPr>
        <w:t xml:space="preserve">Fonte: elaborado pelo grupo (2026).</w:t>
      </w:r>
    </w:p>
    <w:p>
      <w:pPr>
        <w:sectPr>
          <w:headerReference w:type="default" r:id="rId31"/>
          <w:footerReference w:type="default" r:id="rId32"/>
          <w:type w:val="nextPage"/>
          <w:pgSz w:w="16838" w:h="11906" w:orient="landscape"/>
          <w:pgMar w:top="1418" w:right="1134" w:bottom="1134" w:left="1701" w:header="680" w:footer="510" w:gutter="0"/>
          <w:pgNumType/>
          <w:docGrid w:linePitch="360"/>
        </w:sectPr>
      </w:pPr>
    </w:p>
    <w:p>
      <w:pPr>
        <w:pStyle w:val="Heading1"/>
        <w:keepNext/>
      </w:pPr>
      <w:bookmarkStart w:name="sec_059" w:id="59"/>
      <w:r>
        <w:t xml:space="preserve">Referências</w:t>
      </w:r>
      <w:bookmarkEnd w:id="59"/>
    </w:p>
    <w:p>
      <w:pPr>
        <w:spacing w:after="200" w:line="240" w:lineRule="auto"/>
        <w:jc w:val="left"/>
      </w:pPr>
      <w:r>
        <w:t xml:space="preserve">AXELOS. ITIL Foundation: ITIL 4 Edition. Londres: TSO, 2019.</w:t>
      </w:r>
    </w:p>
    <w:p>
      <w:pPr>
        <w:spacing w:after="200" w:line="240" w:lineRule="auto"/>
        <w:jc w:val="left"/>
      </w:pPr>
      <w:r>
        <w:t xml:space="preserve">BRASIL. Agência Nacional de Vigilância Sanitária. Resolução RDC nº 80, de 11 de maio de 2006. Dispõe sobre o fracionamento de medicamentos (verificar vigência e atualizações com o RT).</w:t>
      </w:r>
    </w:p>
    <w:p>
      <w:pPr>
        <w:spacing w:after="200" w:line="240" w:lineRule="auto"/>
        <w:jc w:val="left"/>
      </w:pPr>
      <w:r>
        <w:t xml:space="preserve">BRASIL. Lei nº 11.903, de 14 de janeiro de 2009. Dispõe sobre o rastreamento da produção e do consumo de medicamentos.</w:t>
      </w:r>
    </w:p>
    <w:p>
      <w:pPr>
        <w:spacing w:after="200" w:line="240" w:lineRule="auto"/>
        <w:jc w:val="left"/>
      </w:pPr>
      <w:r>
        <w:t xml:space="preserve">BRASIL. Lei nº 13.709, de 14 de agosto de 2018. Lei Geral de Proteção de Dados Pessoais (LGPD). Diário Oficial da União, Brasília, 2018.</w:t>
      </w:r>
    </w:p>
    <w:p>
      <w:pPr>
        <w:spacing w:after="200" w:line="240" w:lineRule="auto"/>
        <w:jc w:val="left"/>
      </w:pPr>
      <w:r>
        <w:t xml:space="preserve">BRASIL. Ministério da Saúde. Secretaria de Vigilância Sanitária. Portaria nº 344, de 12 de maio de 1998. Regulamento técnico sobre substâncias e medicamentos sujeitos a controle especial.</w:t>
      </w:r>
    </w:p>
    <w:p>
      <w:pPr>
        <w:spacing w:after="200" w:line="240" w:lineRule="auto"/>
        <w:jc w:val="left"/>
      </w:pPr>
      <w:r>
        <w:t xml:space="preserve">GRUPO MEDFLOW. MedFlow Solutions: Projeto Integrado Multidisciplinar III. São Paulo: Universidade Paulista (UNIP), 2026. Repositório: github.com/MatheusRenat0/pim-medication-management.</w:t>
      </w:r>
    </w:p>
    <w:p>
      <w:pPr>
        <w:spacing w:after="200" w:line="240" w:lineRule="auto"/>
        <w:jc w:val="left"/>
      </w:pPr>
      <w:r>
        <w:t xml:space="preserve">IEEE. IEEE Std 830-1998: Recommended Practice for Software Requirements Specifications. Nova York: IEEE, 1998 (substituída pela ISO/IEC/IEEE 29148).</w:t>
      </w:r>
    </w:p>
    <w:p>
      <w:pPr>
        <w:spacing w:after="200" w:line="240" w:lineRule="auto"/>
        <w:jc w:val="left"/>
      </w:pPr>
      <w:r>
        <w:t xml:space="preserve">ISO/IEC/IEEE 29148:2018. Systems and software engineering — Life cycle processes — Requirements engineering. Genebra: ISO, 2018.</w:t>
      </w:r>
    </w:p>
    <w:p>
      <w:pPr>
        <w:spacing w:after="200" w:line="240" w:lineRule="auto"/>
        <w:jc w:val="left"/>
      </w:pPr>
      <w:r>
        <w:t xml:space="preserve">JONES, M.; BRADLEY, J.; SAKIMURA, N. RFC 7519: JSON Web Token (JWT). IETF, 2015.</w:t>
      </w:r>
    </w:p>
    <w:p>
      <w:pPr>
        <w:spacing w:after="200" w:line="240" w:lineRule="auto"/>
        <w:jc w:val="left"/>
      </w:pPr>
      <w:r>
        <w:t xml:space="preserve">MARTIN, Robert C. Arquitetura Limpa: o guia do artesão para estrutura e design de software. Rio de Janeiro: Alta Books, 2019.</w:t>
      </w:r>
    </w:p>
    <w:p>
      <w:pPr>
        <w:spacing w:after="200" w:line="240" w:lineRule="auto"/>
        <w:jc w:val="left"/>
      </w:pPr>
      <w:r>
        <w:t xml:space="preserve">NIELSEN, Jakob. 10 Usability Heuristics for User Interface Design. Nielsen Norman Group, 1994 (atualizado).</w:t>
      </w:r>
    </w:p>
    <w:p>
      <w:pPr>
        <w:spacing w:after="200" w:line="240" w:lineRule="auto"/>
        <w:jc w:val="left"/>
      </w:pPr>
      <w:r>
        <w:t xml:space="preserve">NOTTINGHAM, M.; WILDE, E. RFC 7807: Problem Details for HTTP APIs. IETF, 2016.</w:t>
      </w:r>
    </w:p>
    <w:p>
      <w:pPr>
        <w:spacing w:after="200" w:line="240" w:lineRule="auto"/>
        <w:jc w:val="left"/>
      </w:pPr>
      <w:r>
        <w:t xml:space="preserve">OWASP FOUNDATION. Password Storage Cheat Sheet. Disponível em: https://cheatsheetseries.owasp.org/cheatsheets/Password_Storage_Cheat_Sheet.html.</w:t>
      </w:r>
    </w:p>
    <w:p>
      <w:pPr>
        <w:spacing w:after="200" w:line="240" w:lineRule="auto"/>
        <w:jc w:val="left"/>
      </w:pPr>
      <w:r>
        <w:t xml:space="preserve">W3C. Web Content Accessibility Guidelines (WCAG) 2.1. W3C Recommendation, 2018.</w:t>
      </w:r>
    </w:p>
    <w:sectPr>
      <w:headerReference w:type="default" r:id="rId33"/>
      <w:footerReference w:type="default" r:id="rId34"/>
      <w:type w:val="nextPage"/>
      <w:pgSz w:w="11906" w:h="16838" w:orient="portrait"/>
      <w:pgMar w:top="1701" w:right="1134" w:bottom="1134" w:left="1701" w:header="851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jc w:val="center"/>
    </w:pPr>
    <w:r>
      <w:rPr>
        <w:color w:val="66798A"/>
        <w:sz w:val="15"/>
        <w:szCs w:val="15"/>
      </w:rPr>
      <w:t xml:space="preserve">UNIP · Análise e Desenvolvimento de Sistemas · PIM III · 2026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jc w:val="center"/>
    </w:pPr>
    <w:r>
      <w:rPr>
        <w:color w:val="66798A"/>
        <w:sz w:val="15"/>
        <w:szCs w:val="15"/>
      </w:rPr>
      <w:t xml:space="preserve">UNIP · Análise e Desenvolvimento de Sistemas · PIM III · 2026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jc w:val="center"/>
    </w:pPr>
    <w:r>
      <w:rPr>
        <w:color w:val="66798A"/>
        <w:sz w:val="15"/>
        <w:szCs w:val="15"/>
      </w:rPr>
      <w:t xml:space="preserve">UNIP · Análise e Desenvolvimento de Sistemas · PIM III · 2026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jc w:val="center"/>
    </w:pPr>
    <w:r>
      <w:rPr>
        <w:color w:val="66798A"/>
        <w:sz w:val="15"/>
        <w:szCs w:val="15"/>
      </w:rPr>
      <w:t xml:space="preserve">UNIP · Análise e Desenvolvimento de Sistemas · PIM III · 2026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jc w:val="center"/>
    </w:pPr>
    <w:r>
      <w:rPr>
        <w:color w:val="66798A"/>
        <w:sz w:val="15"/>
        <w:szCs w:val="15"/>
      </w:rPr>
      <w:t xml:space="preserve">UNIP · Análise e Desenvolvimento de Sistemas · PIM III · 2026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jc w:val="center"/>
    </w:pPr>
    <w:r>
      <w:rPr>
        <w:color w:val="66798A"/>
        <w:sz w:val="15"/>
        <w:szCs w:val="15"/>
      </w:rPr>
      <w:t xml:space="preserve">UNIP · Análise e Desenvolvimento de Sistemas · PIM III · 2026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jc w:val="center"/>
    </w:pPr>
    <w:r>
      <w:rPr>
        <w:color w:val="66798A"/>
        <w:sz w:val="15"/>
        <w:szCs w:val="15"/>
      </w:rPr>
      <w:t xml:space="preserve">UNIP · Análise e Desenvolvimento de Sistemas · PIM III · 2026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jc w:val="center"/>
    </w:pPr>
    <w:r>
      <w:rPr>
        <w:color w:val="66798A"/>
        <w:sz w:val="15"/>
        <w:szCs w:val="15"/>
      </w:rPr>
      <w:t xml:space="preserve">UNIP · Análise e Desenvolvimento de Sistemas · PIM III · 2026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jc w:val="center"/>
    </w:pPr>
    <w:r>
      <w:rPr>
        <w:color w:val="66798A"/>
        <w:sz w:val="15"/>
        <w:szCs w:val="15"/>
      </w:rPr>
      <w:t xml:space="preserve">UNIP · Análise e Desenvolvimento de Sistemas · PIM III · 2026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jc w:val="center"/>
    </w:pPr>
    <w:r>
      <w:rPr>
        <w:color w:val="66798A"/>
        <w:sz w:val="15"/>
        <w:szCs w:val="15"/>
      </w:rPr>
      <w:t xml:space="preserve">UNIP · Análise e Desenvolvimento de Sistemas · PIM III · 2026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jc w:val="center"/>
    </w:pPr>
    <w:r>
      <w:rPr>
        <w:color w:val="66798A"/>
        <w:sz w:val="15"/>
        <w:szCs w:val="15"/>
      </w:rPr>
      <w:t xml:space="preserve">UNIP · Análise e Desenvolvimento de Sistemas · PIM III · 2026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jc w:val="center"/>
    </w:pPr>
    <w:r>
      <w:rPr>
        <w:color w:val="66798A"/>
        <w:sz w:val="15"/>
        <w:szCs w:val="15"/>
      </w:rPr>
      <w:t xml:space="preserve">UNIP · Análise e Desenvolvimento de Sistemas · PIM III · 2026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jc w:val="center"/>
    </w:pPr>
    <w:r>
      <w:rPr>
        <w:color w:val="66798A"/>
        <w:sz w:val="15"/>
        <w:szCs w:val="15"/>
      </w:rPr>
      <w:t xml:space="preserve">UNIP · Análise e Desenvolvimento de Sistemas · PIM III ·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A" w:sz="4" w:space="4"/>
      </w:pBdr>
      <w:tabs>
        <w:tab w:val="right" w:pos="9071"/>
      </w:tabs>
      <w:spacing w:after="0" w:line="240" w:lineRule="auto"/>
    </w:pPr>
    <w:r>
      <w:rPr>
        <w:color w:val="455867"/>
        <w:sz w:val="16"/>
        <w:szCs w:val="16"/>
      </w:rPr>
      <w:t xml:space="preserve">MedFlow Solutions · Especificação de Requisitos de Software · v2.0</w:t>
    </w:r>
    <w:r>
      <w:rPr>
        <w:b/>
        <w:bCs/>
        <w:color w:val="0B1F4B"/>
        <w:sz w:val="18"/>
        <w:szCs w:val="18"/>
      </w:rPr>
      <w:tab/>
      <w:fldChar w:fldCharType="begin"/>
      <w:instrText xml:space="preserve">PAGE</w:instrText>
      <w:fldChar w:fldCharType="separate"/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A" w:sz="4" w:space="4"/>
      </w:pBdr>
      <w:tabs>
        <w:tab w:val="right" w:pos="9071"/>
      </w:tabs>
      <w:spacing w:after="0" w:line="240" w:lineRule="auto"/>
    </w:pPr>
    <w:r>
      <w:rPr>
        <w:color w:val="455867"/>
        <w:sz w:val="16"/>
        <w:szCs w:val="16"/>
      </w:rPr>
      <w:t xml:space="preserve">MedFlow Solutions · Especificação de Requisitos de Software · v2.0</w:t>
    </w:r>
    <w:r>
      <w:rPr>
        <w:b/>
        <w:bCs/>
        <w:color w:val="0B1F4B"/>
        <w:sz w:val="18"/>
        <w:szCs w:val="18"/>
      </w:rPr>
      <w:tab/>
      <w:fldChar w:fldCharType="begin"/>
      <w:instrText xml:space="preserve">PAGE</w:instrText>
      <w:fldChar w:fldCharType="separate"/>
      <w:fldChar w:fldCharType="end"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A" w:sz="4" w:space="4"/>
      </w:pBdr>
      <w:tabs>
        <w:tab w:val="right" w:pos="9071"/>
      </w:tabs>
      <w:spacing w:after="0" w:line="240" w:lineRule="auto"/>
    </w:pPr>
    <w:r>
      <w:rPr>
        <w:color w:val="455867"/>
        <w:sz w:val="16"/>
        <w:szCs w:val="16"/>
      </w:rPr>
      <w:t xml:space="preserve">MedFlow Solutions · Especificação de Requisitos de Software · v2.0</w:t>
    </w:r>
    <w:r>
      <w:rPr>
        <w:b/>
        <w:bCs/>
        <w:color w:val="0B1F4B"/>
        <w:sz w:val="18"/>
        <w:szCs w:val="18"/>
      </w:rPr>
      <w:tab/>
      <w:fldChar w:fldCharType="begin"/>
      <w:instrText xml:space="preserve">PAGE</w:instrText>
      <w:fldChar w:fldCharType="separate"/>
      <w:fldChar w:fldCharType="end"/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A" w:sz="4" w:space="4"/>
      </w:pBdr>
      <w:tabs>
        <w:tab w:val="right" w:pos="14003"/>
      </w:tabs>
      <w:spacing w:after="0" w:line="240" w:lineRule="auto"/>
    </w:pPr>
    <w:r>
      <w:rPr>
        <w:color w:val="455867"/>
        <w:sz w:val="16"/>
        <w:szCs w:val="16"/>
      </w:rPr>
      <w:t xml:space="preserve">MedFlow Solutions · Especificação de Requisitos de Software · v2.0</w:t>
    </w:r>
    <w:r>
      <w:rPr>
        <w:b/>
        <w:bCs/>
        <w:color w:val="0B1F4B"/>
        <w:sz w:val="18"/>
        <w:szCs w:val="18"/>
      </w:rPr>
      <w:tab/>
      <w:fldChar w:fldCharType="begin"/>
      <w:instrText xml:space="preserve">PAGE</w:instrText>
      <w:fldChar w:fldCharType="separate"/>
      <w:fldChar w:fldCharType="end"/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A" w:sz="4" w:space="4"/>
      </w:pBdr>
      <w:tabs>
        <w:tab w:val="right" w:pos="9071"/>
      </w:tabs>
      <w:spacing w:after="0" w:line="240" w:lineRule="auto"/>
    </w:pPr>
    <w:r>
      <w:rPr>
        <w:color w:val="455867"/>
        <w:sz w:val="16"/>
        <w:szCs w:val="16"/>
      </w:rPr>
      <w:t xml:space="preserve">MedFlow Solutions · Especificação de Requisitos de Software · v2.0</w:t>
    </w:r>
    <w:r>
      <w:rPr>
        <w:b/>
        <w:bCs/>
        <w:color w:val="0B1F4B"/>
        <w:sz w:val="18"/>
        <w:szCs w:val="18"/>
      </w:rPr>
      <w:tab/>
      <w:fldChar w:fldCharType="begin"/>
      <w:instrText xml:space="preserve">PAGE</w:instrText>
      <w:fldChar w:fldCharType="separate"/>
      <w:fldChar w:fldCharType="end"/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A" w:sz="4" w:space="4"/>
      </w:pBdr>
      <w:tabs>
        <w:tab w:val="right" w:pos="14003"/>
      </w:tabs>
      <w:spacing w:after="0" w:line="240" w:lineRule="auto"/>
    </w:pPr>
    <w:r>
      <w:rPr>
        <w:color w:val="455867"/>
        <w:sz w:val="16"/>
        <w:szCs w:val="16"/>
      </w:rPr>
      <w:t xml:space="preserve">MedFlow Solutions · Especificação de Requisitos de Software · v2.0</w:t>
    </w:r>
    <w:r>
      <w:rPr>
        <w:b/>
        <w:bCs/>
        <w:color w:val="0B1F4B"/>
        <w:sz w:val="18"/>
        <w:szCs w:val="18"/>
      </w:rPr>
      <w:tab/>
      <w:fldChar w:fldCharType="begin"/>
      <w:instrText xml:space="preserve">PAGE</w:instrText>
      <w:fldChar w:fldCharType="separate"/>
      <w:fldChar w:fldCharType="end"/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A" w:sz="4" w:space="4"/>
      </w:pBdr>
      <w:tabs>
        <w:tab w:val="right" w:pos="9071"/>
      </w:tabs>
      <w:spacing w:after="0" w:line="240" w:lineRule="auto"/>
    </w:pPr>
    <w:r>
      <w:rPr>
        <w:color w:val="455867"/>
        <w:sz w:val="16"/>
        <w:szCs w:val="16"/>
      </w:rPr>
      <w:t xml:space="preserve">MedFlow Solutions · Especificação de Requisitos de Software · v2.0</w:t>
    </w:r>
    <w:r>
      <w:rPr>
        <w:b/>
        <w:bCs/>
        <w:color w:val="0B1F4B"/>
        <w:sz w:val="18"/>
        <w:szCs w:val="18"/>
      </w:rPr>
      <w:tab/>
      <w:fldChar w:fldCharType="begin"/>
      <w:instrText xml:space="preserve">PAGE</w:instrText>
      <w:fldChar w:fldCharType="separate"/>
      <w:fldChar w:fldCharType="end"/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A" w:sz="4" w:space="4"/>
      </w:pBdr>
      <w:tabs>
        <w:tab w:val="right" w:pos="14003"/>
      </w:tabs>
      <w:spacing w:after="0" w:line="240" w:lineRule="auto"/>
    </w:pPr>
    <w:r>
      <w:rPr>
        <w:color w:val="455867"/>
        <w:sz w:val="16"/>
        <w:szCs w:val="16"/>
      </w:rPr>
      <w:t xml:space="preserve">MedFlow Solutions · Especificação de Requisitos de Software · v2.0</w:t>
    </w:r>
    <w:r>
      <w:rPr>
        <w:b/>
        <w:bCs/>
        <w:color w:val="0B1F4B"/>
        <w:sz w:val="18"/>
        <w:szCs w:val="18"/>
      </w:rPr>
      <w:tab/>
      <w:fldChar w:fldCharType="begin"/>
      <w:instrText xml:space="preserve">PAGE</w:instrText>
      <w:fldChar w:fldCharType="separate"/>
      <w:fldChar w:fldCharType="end"/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A" w:sz="4" w:space="4"/>
      </w:pBdr>
      <w:tabs>
        <w:tab w:val="right" w:pos="9071"/>
      </w:tabs>
      <w:spacing w:after="0" w:line="240" w:lineRule="auto"/>
    </w:pPr>
    <w:r>
      <w:rPr>
        <w:color w:val="455867"/>
        <w:sz w:val="16"/>
        <w:szCs w:val="16"/>
      </w:rPr>
      <w:t xml:space="preserve">MedFlow Solutions · Especificação de Requisitos de Software · v2.0</w:t>
    </w:r>
    <w:r>
      <w:rPr>
        <w:b/>
        <w:bCs/>
        <w:color w:val="0B1F4B"/>
        <w:sz w:val="18"/>
        <w:szCs w:val="18"/>
      </w:rPr>
      <w:tab/>
      <w:fldChar w:fldCharType="begin"/>
      <w:instrText xml:space="preserve">PAGE</w:instrText>
      <w:fldChar w:fldCharType="separate"/>
      <w:fldChar w:fldCharType="end"/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A" w:sz="4" w:space="4"/>
      </w:pBdr>
      <w:tabs>
        <w:tab w:val="right" w:pos="14003"/>
      </w:tabs>
      <w:spacing w:after="0" w:line="240" w:lineRule="auto"/>
    </w:pPr>
    <w:r>
      <w:rPr>
        <w:color w:val="455867"/>
        <w:sz w:val="16"/>
        <w:szCs w:val="16"/>
      </w:rPr>
      <w:t xml:space="preserve">MedFlow Solutions · Especificação de Requisitos de Software · v2.0</w:t>
    </w:r>
    <w:r>
      <w:rPr>
        <w:b/>
        <w:bCs/>
        <w:color w:val="0B1F4B"/>
        <w:sz w:val="18"/>
        <w:szCs w:val="18"/>
      </w:rPr>
      <w:tab/>
      <w:fldChar w:fldCharType="begin"/>
      <w:instrText xml:space="preserve">PAGE</w:instrText>
      <w:fldChar w:fldCharType="separate"/>
      <w:fldChar w:fldCharType="end"/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A" w:sz="4" w:space="4"/>
      </w:pBdr>
      <w:tabs>
        <w:tab w:val="right" w:pos="9071"/>
      </w:tabs>
      <w:spacing w:after="0" w:line="240" w:lineRule="auto"/>
    </w:pPr>
    <w:r>
      <w:rPr>
        <w:color w:val="455867"/>
        <w:sz w:val="16"/>
        <w:szCs w:val="16"/>
      </w:rPr>
      <w:t xml:space="preserve">MedFlow Solutions · Especificação de Requisitos de Software · v2.0</w:t>
    </w:r>
    <w:r>
      <w:rPr>
        <w:b/>
        <w:bCs/>
        <w:color w:val="0B1F4B"/>
        <w:sz w:val="18"/>
        <w:szCs w:val="18"/>
      </w:rPr>
      <w:tab/>
      <w:fldChar w:fldCharType="begin"/>
      <w:instrText xml:space="preserve">PAGE</w:instrText>
      <w:fldChar w:fldCharType="separate"/>
      <w:fldChar w:fldCharType="end"/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A" w:sz="4" w:space="4"/>
      </w:pBdr>
      <w:tabs>
        <w:tab w:val="right" w:pos="14003"/>
      </w:tabs>
      <w:spacing w:after="0" w:line="240" w:lineRule="auto"/>
    </w:pPr>
    <w:r>
      <w:rPr>
        <w:color w:val="455867"/>
        <w:sz w:val="16"/>
        <w:szCs w:val="16"/>
      </w:rPr>
      <w:t xml:space="preserve">MedFlow Solutions · Especificação de Requisitos de Software · v2.0</w:t>
    </w:r>
    <w:r>
      <w:rPr>
        <w:b/>
        <w:bCs/>
        <w:color w:val="0B1F4B"/>
        <w:sz w:val="18"/>
        <w:szCs w:val="18"/>
      </w:rPr>
      <w:tab/>
      <w:fldChar w:fldCharType="begin"/>
      <w:instrText xml:space="preserve">PAGE</w:instrText>
      <w:fldChar w:fldCharType="separate"/>
      <w:fldChar w:fldCharType="end"/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A" w:sz="4" w:space="4"/>
      </w:pBdr>
      <w:tabs>
        <w:tab w:val="right" w:pos="9071"/>
      </w:tabs>
      <w:spacing w:after="0" w:line="240" w:lineRule="auto"/>
    </w:pPr>
    <w:r>
      <w:rPr>
        <w:color w:val="455867"/>
        <w:sz w:val="16"/>
        <w:szCs w:val="16"/>
      </w:rPr>
      <w:t xml:space="preserve">MedFlow Solutions · Especificação de Requisitos de Software · v2.0</w:t>
    </w:r>
    <w:r>
      <w:rPr>
        <w:b/>
        <w:bCs/>
        <w:color w:val="0B1F4B"/>
        <w:sz w:val="18"/>
        <w:szCs w:val="18"/>
      </w:rPr>
      <w:tab/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02756E"/>
      </w:r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E1F33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320" w:before="0" w:line="300" w:lineRule="auto"/>
      <w:outlineLvl w:val="0"/>
    </w:pPr>
    <w:rPr>
      <w:rFonts w:ascii="Arial" w:cs="Arial" w:eastAsia="Arial" w:hAnsi="Arial"/>
      <w:b/>
      <w:bCs/>
      <w:color w:val="0B1F4B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60" w:before="360" w:line="300" w:lineRule="auto"/>
      <w:outlineLvl w:val="1"/>
    </w:pPr>
    <w:rPr>
      <w:rFonts w:ascii="Arial" w:cs="Arial" w:eastAsia="Arial" w:hAnsi="Arial"/>
      <w:b/>
      <w:bCs/>
      <w:color w:val="0B1F4B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20" w:before="280" w:line="300" w:lineRule="auto"/>
      <w:outlineLvl w:val="2"/>
    </w:pPr>
    <w:rPr>
      <w:rFonts w:ascii="Arial" w:cs="Arial" w:eastAsia="Arial" w:hAnsi="Arial"/>
      <w:b/>
      <w:bCs/>
      <w:color w:val="02756E"/>
      <w:sz w:val="24"/>
      <w:szCs w:val="24"/>
    </w:rPr>
  </w:style>
  <w:style w:type="paragraph" w:styleId="TOC1">
    <w:name w:val="toc 1"/>
    <w:basedOn w:val="Normal"/>
    <w:next w:val="Normal"/>
    <w:rPr>
      <w:rFonts w:ascii="Arial" w:cs="Arial" w:eastAsia="Arial" w:hAnsi="Arial"/>
      <w:sz w:val="22"/>
      <w:szCs w:val="22"/>
    </w:rPr>
  </w:style>
  <w:style w:type="paragraph" w:styleId="TOC2">
    <w:name w:val="toc 2"/>
    <w:basedOn w:val="Normal"/>
    <w:next w:val="Normal"/>
    <w:rPr>
      <w:rFonts w:ascii="Arial" w:cs="Arial" w:eastAsia="Arial" w:hAnsi="Arial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header" Target="header12.xml"/><Relationship Id="rId30" Type="http://schemas.openxmlformats.org/officeDocument/2006/relationships/footer" Target="footer12.xml"/><Relationship Id="rId31" Type="http://schemas.openxmlformats.org/officeDocument/2006/relationships/header" Target="header13.xml"/><Relationship Id="rId32" Type="http://schemas.openxmlformats.org/officeDocument/2006/relationships/footer" Target="footer13.xml"/><Relationship Id="rId33" Type="http://schemas.openxmlformats.org/officeDocument/2006/relationships/header" Target="header14.xml"/><Relationship Id="rId34" Type="http://schemas.openxmlformats.org/officeDocument/2006/relationships/footer" Target="footer14.xml"/><Relationship Id="rId35" Type="http://schemas.openxmlformats.org/officeDocument/2006/relationships/image" Target="media/51037492e99d0cc98fdf06572d4b3c45d19e8d44.png"/><Relationship Id="rId36" Type="http://schemas.openxmlformats.org/officeDocument/2006/relationships/image" Target="media/32ef8ebbb13568dd9aee88e85079e45134750d34.png"/><Relationship Id="rId37" Type="http://schemas.openxmlformats.org/officeDocument/2006/relationships/image" Target="media/c83a3be7c60eca6263c48ae3a825b95b2fc39aa0.png"/><Relationship Id="rId38" Type="http://schemas.openxmlformats.org/officeDocument/2006/relationships/image" Target="media/5633c39dd3116f0c08ec76826bbbda73dc320914.png"/><Relationship Id="rId39" Type="http://schemas.openxmlformats.org/officeDocument/2006/relationships/image" Target="media/ade5c6403ed28c3a7063f51eedead4058836433a.png"/><Relationship Id="rId40" Type="http://schemas.openxmlformats.org/officeDocument/2006/relationships/image" Target="media/5e17dc29469403e114c3c001ffcac0d1c45a6ed6.png"/><Relationship Id="rId41" Type="http://schemas.openxmlformats.org/officeDocument/2006/relationships/image" Target="media/b9a88c1be74161837780b6adfae4ba5e4baccdf7.png"/><Relationship Id="rId42" Type="http://schemas.openxmlformats.org/officeDocument/2006/relationships/image" Target="media/7ae46904c71e7619da7b9c61a9415e2d1ad78e1b.png"/><Relationship Id="rId43" Type="http://schemas.openxmlformats.org/officeDocument/2006/relationships/image" Target="media/ce9b6fa399e931100d5eabc09cb84829fb5ae892.png"/><Relationship Id="rId44" Type="http://schemas.openxmlformats.org/officeDocument/2006/relationships/image" Target="media/99d6a066328e545dd07e6298bcafefa241d4d6f8.png"/><Relationship Id="rId45" Type="http://schemas.openxmlformats.org/officeDocument/2006/relationships/image" Target="media/f3eb6ce8e6243abbdab160a0da3a8edcf08f4cbf.png"/><Relationship Id="rId46" Type="http://schemas.openxmlformats.org/officeDocument/2006/relationships/image" Target="media/25226c4cfd0d37b9a29a418f9bf2ebe6a4fc2ec0.png"/><Relationship Id="rId47" Type="http://schemas.openxmlformats.org/officeDocument/2006/relationships/image" Target="media/94b6a5dce2c4e42cc0f4a9629dd801ed57533ae4.png"/><Relationship Id="rId48" Type="http://schemas.openxmlformats.org/officeDocument/2006/relationships/image" Target="media/ccd0011f94e4684dc153fd6a0d93e771362294fc.png"/><Relationship Id="rId49" Type="http://schemas.openxmlformats.org/officeDocument/2006/relationships/image" Target="media/537cc7f15a04628a286e912c5ee6eb722f090425.png"/><Relationship Id="rId50" Type="http://schemas.openxmlformats.org/officeDocument/2006/relationships/image" Target="media/8521173560a45ae516d65e6acac9f5a9825b7c49.png"/><Relationship Id="rId51" Type="http://schemas.openxmlformats.org/officeDocument/2006/relationships/image" Target="media/4a6a8f9b9de79d8aea956c1324892b5c5a76cf2d.png"/><Relationship Id="rId52" Type="http://schemas.openxmlformats.org/officeDocument/2006/relationships/image" Target="media/12f23305c763236959e131691df2991573bc8b73.png"/><Relationship Id="rId53" Type="http://schemas.openxmlformats.org/officeDocument/2006/relationships/image" Target="media/b1d62510b30c2d256ba0395d833df8a6a38d20c3.png"/><Relationship Id="rId54" Type="http://schemas.openxmlformats.org/officeDocument/2006/relationships/image" Target="media/a1db521c5209d29ba1a60e9421ce00518206f146.png"/><Relationship Id="rId55" Type="http://schemas.openxmlformats.org/officeDocument/2006/relationships/image" Target="media/43f067c94a3982e58bb606dad9eede1f9312f3e2.png"/><Relationship Id="rId56" Type="http://schemas.openxmlformats.org/officeDocument/2006/relationships/image" Target="media/079650ed85d0a12a1e0df0542fccf05358fbd44c.png"/><Relationship Id="rId57" Type="http://schemas.openxmlformats.org/officeDocument/2006/relationships/image" Target="media/6ee027d229d336a0bf21ae94153ef375511b312a.png"/><Relationship Id="rId58" Type="http://schemas.openxmlformats.org/officeDocument/2006/relationships/image" Target="media/3bc11929cc5c28a78b03c2aabc23b07ca826424e.png"/><Relationship Id="rId5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word/_rels/header12.xml.rels><?xml version="1.0" encoding="UTF-8"?><Relationships xmlns="http://schemas.openxmlformats.org/package/2006/relationships"/>
</file>

<file path=word/_rels/header13.xml.rels><?xml version="1.0" encoding="UTF-8"?><Relationships xmlns="http://schemas.openxmlformats.org/package/2006/relationships"/>
</file>

<file path=word/_rels/header1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MedFlow Solutions — Especificação de Requisitos de Software v2.0</dc:title>
  <dc:creator>Grupo MedFlow</dc:creator>
  <dc:description>ERS (ISO/IEC/IEEE 29148), casos de uso, diagramas de sequência, casos de teste e implementação do MedFlow Solutions v2.</dc:description>
  <cp:lastModifiedBy>Un-named</cp:lastModifiedBy>
  <cp:revision>1</cp:revision>
  <dcterms:created xsi:type="dcterms:W3CDTF">2026-10-17T00:48:16.110Z</dcterms:created>
  <dcterms:modified xsi:type="dcterms:W3CDTF">2026-10-17T00:48:16.111Z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