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1EA41749"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6303BBE"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49D1DFD4"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7D5E40">
        <w:rPr>
          <w:rFonts w:ascii="Montserrat" w:hAnsi="Montserrat"/>
          <w:sz w:val="18"/>
          <w:szCs w:val="18"/>
        </w:rPr>
        <w:t xml:space="preserve">Gardner </w:t>
      </w:r>
      <w:r w:rsidR="0068165F">
        <w:rPr>
          <w:rFonts w:ascii="Montserrat" w:hAnsi="Montserrat"/>
          <w:sz w:val="18"/>
          <w:szCs w:val="18"/>
        </w:rPr>
        <w:t>106</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1DE9AD58"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F23344">
        <w:rPr>
          <w:rFonts w:ascii="Montserrat" w:hAnsi="Montserrat"/>
          <w:sz w:val="18"/>
          <w:szCs w:val="18"/>
        </w:rPr>
        <w:t>9</w:t>
      </w:r>
      <w:r w:rsidR="005F2A7C">
        <w:rPr>
          <w:rFonts w:ascii="Montserrat" w:hAnsi="Montserrat"/>
          <w:sz w:val="18"/>
          <w:szCs w:val="18"/>
        </w:rPr>
        <w:t xml:space="preserve"> to </w:t>
      </w:r>
      <w:r w:rsidR="00F23344">
        <w:rPr>
          <w:rFonts w:ascii="Montserrat" w:hAnsi="Montserrat"/>
          <w:sz w:val="18"/>
          <w:szCs w:val="18"/>
        </w:rPr>
        <w:t>10a</w:t>
      </w:r>
      <w:r w:rsidR="005F2A7C">
        <w:rPr>
          <w:rFonts w:ascii="Montserrat" w:hAnsi="Montserrat"/>
          <w:sz w:val="18"/>
          <w:szCs w:val="18"/>
        </w:rPr>
        <w:t>m</w:t>
      </w:r>
      <w:r w:rsidR="007D5E40">
        <w:rPr>
          <w:rFonts w:ascii="Montserrat" w:hAnsi="Montserrat"/>
          <w:sz w:val="18"/>
          <w:szCs w:val="18"/>
        </w:rPr>
        <w:t xml:space="preserve"> or by appointment</w:t>
      </w:r>
      <w:r w:rsidR="0068165F">
        <w:rPr>
          <w:rFonts w:ascii="Montserrat" w:hAnsi="Montserrat"/>
          <w:sz w:val="18"/>
          <w:szCs w:val="18"/>
        </w:rPr>
        <w:t xml:space="preserve"> (preliminary)</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0464B69E" w14:textId="2713DD6D" w:rsidR="0068165F" w:rsidRPr="00160602" w:rsidRDefault="0068165F" w:rsidP="00160602">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26339B48" w:rsidR="002B6401" w:rsidRPr="00263A30" w:rsidRDefault="00467AC9" w:rsidP="000C3085">
      <w:pPr>
        <w:rPr>
          <w:rFonts w:ascii="Montserrat" w:hAnsi="Montserrat" w:cs="Calibri"/>
          <w:sz w:val="18"/>
          <w:szCs w:val="18"/>
        </w:rPr>
      </w:pPr>
      <w:r>
        <w:rPr>
          <w:rFonts w:ascii="Montserrat" w:hAnsi="Montserrat" w:cs="Calibri"/>
          <w:sz w:val="18"/>
          <w:szCs w:val="18"/>
        </w:rPr>
        <w:t>TBD</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3CA8291C" w:rsidR="002B6401" w:rsidRPr="00263A30" w:rsidRDefault="00467AC9" w:rsidP="000C3085">
      <w:pPr>
        <w:rPr>
          <w:rFonts w:ascii="Montserrat" w:hAnsi="Montserrat" w:cs="Calibri"/>
          <w:sz w:val="18"/>
          <w:szCs w:val="18"/>
        </w:rPr>
      </w:pPr>
      <w:r>
        <w:rPr>
          <w:rFonts w:ascii="Montserrat" w:hAnsi="Montserrat" w:cs="Calibri"/>
          <w:sz w:val="18"/>
          <w:szCs w:val="18"/>
        </w:rPr>
        <w:t>Dec 6</w:t>
      </w:r>
      <w:r w:rsidR="00BC6946">
        <w:rPr>
          <w:rFonts w:ascii="Montserrat" w:hAnsi="Montserrat" w:cs="Calibri"/>
          <w:sz w:val="18"/>
          <w:szCs w:val="18"/>
        </w:rPr>
        <w:t xml:space="preserve">, </w:t>
      </w:r>
      <w:r w:rsidR="007D5E40">
        <w:rPr>
          <w:rFonts w:ascii="Montserrat" w:hAnsi="Montserrat" w:cs="Calibri"/>
          <w:sz w:val="18"/>
          <w:szCs w:val="18"/>
        </w:rPr>
        <w:t>8a</w:t>
      </w:r>
      <w:r w:rsidR="00BC6946">
        <w:rPr>
          <w:rFonts w:ascii="Montserrat" w:hAnsi="Montserrat" w:cs="Calibri"/>
          <w:sz w:val="18"/>
          <w:szCs w:val="18"/>
        </w:rPr>
        <w:t>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A6B8361"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4 pages each. Each accounts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r w:rsidR="00000000">
        <w:fldChar w:fldCharType="begin"/>
      </w:r>
      <w:r w:rsidR="00000000">
        <w:instrText xml:space="preserve"> SEQ Table \* alphabetic </w:instrText>
      </w:r>
      <w:r w:rsidR="00000000">
        <w:fldChar w:fldCharType="separate"/>
      </w:r>
      <w:r w:rsidR="00EF28B3">
        <w:rPr>
          <w:noProof/>
        </w:rPr>
        <w:t>a</w:t>
      </w:r>
      <w:r w:rsidR="00000000">
        <w:rPr>
          <w:noProof/>
        </w:rPr>
        <w:fldChar w:fldCharType="end"/>
      </w:r>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6"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0EEC" w14:textId="77777777" w:rsidR="001E4539" w:rsidRDefault="001E4539" w:rsidP="00246AB8">
      <w:pPr>
        <w:spacing w:line="240" w:lineRule="auto"/>
      </w:pPr>
      <w:r>
        <w:separator/>
      </w:r>
    </w:p>
  </w:endnote>
  <w:endnote w:type="continuationSeparator" w:id="0">
    <w:p w14:paraId="7DD96D8B" w14:textId="77777777" w:rsidR="001E4539" w:rsidRDefault="001E4539" w:rsidP="00246AB8">
      <w:pPr>
        <w:spacing w:line="240" w:lineRule="auto"/>
      </w:pPr>
      <w:r>
        <w:continuationSeparator/>
      </w:r>
    </w:p>
  </w:endnote>
  <w:endnote w:type="continuationNotice" w:id="1">
    <w:p w14:paraId="25698E92" w14:textId="77777777" w:rsidR="001E4539" w:rsidRDefault="001E45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BCD0" w14:textId="77777777" w:rsidR="001E4539" w:rsidRDefault="001E4539">
      <w:pPr>
        <w:pStyle w:val="Footer"/>
      </w:pPr>
    </w:p>
    <w:p w14:paraId="41B45E11" w14:textId="77777777" w:rsidR="001E4539" w:rsidRDefault="001E4539"/>
    <w:p w14:paraId="3F89783C" w14:textId="77777777" w:rsidR="001E4539" w:rsidRDefault="001E4539">
      <w:pPr>
        <w:pStyle w:val="Header"/>
      </w:pPr>
    </w:p>
    <w:p w14:paraId="17D66945" w14:textId="77777777" w:rsidR="001E4539" w:rsidRDefault="001E4539"/>
    <w:p w14:paraId="17913CE2" w14:textId="77777777" w:rsidR="001E4539" w:rsidRDefault="001E4539">
      <w:pPr>
        <w:pStyle w:val="Footer"/>
      </w:pPr>
    </w:p>
    <w:p w14:paraId="39D96226" w14:textId="77777777" w:rsidR="001E4539" w:rsidRDefault="001E4539"/>
    <w:p w14:paraId="6397208C" w14:textId="77777777" w:rsidR="001E4539" w:rsidRDefault="001E4539">
      <w:pPr>
        <w:pStyle w:val="Footer"/>
      </w:pPr>
    </w:p>
    <w:p w14:paraId="37C88569" w14:textId="77777777" w:rsidR="001E4539" w:rsidRDefault="001E4539"/>
    <w:p w14:paraId="22B2CBDD" w14:textId="77777777" w:rsidR="001E4539" w:rsidRDefault="001E4539">
      <w:pPr>
        <w:pStyle w:val="Header"/>
      </w:pPr>
    </w:p>
    <w:p w14:paraId="40439209" w14:textId="77777777" w:rsidR="001E4539" w:rsidRDefault="001E4539"/>
    <w:p w14:paraId="7B46384F" w14:textId="77777777" w:rsidR="001E4539" w:rsidRDefault="001E4539">
      <w:pPr>
        <w:pStyle w:val="Footer"/>
      </w:pPr>
    </w:p>
    <w:p w14:paraId="4FEB351F" w14:textId="77777777" w:rsidR="001E4539" w:rsidRDefault="001E4539"/>
    <w:p w14:paraId="0D61BADC" w14:textId="77777777" w:rsidR="001E4539" w:rsidRDefault="001E4539">
      <w:pPr>
        <w:pStyle w:val="Header"/>
      </w:pPr>
    </w:p>
    <w:p w14:paraId="794A402B" w14:textId="77777777" w:rsidR="001E4539" w:rsidRDefault="001E4539"/>
    <w:p w14:paraId="308C9EF1" w14:textId="77777777" w:rsidR="001E4539" w:rsidRDefault="001E4539">
      <w:pPr>
        <w:pStyle w:val="Footer"/>
      </w:pPr>
    </w:p>
    <w:p w14:paraId="1DBA5DFE" w14:textId="77777777" w:rsidR="001E4539" w:rsidRDefault="001E4539"/>
    <w:p w14:paraId="11B495F8" w14:textId="77777777" w:rsidR="001E4539" w:rsidRDefault="001E4539">
      <w:pPr>
        <w:pStyle w:val="Footer"/>
      </w:pPr>
    </w:p>
    <w:p w14:paraId="57EA0383" w14:textId="77777777" w:rsidR="001E4539" w:rsidRDefault="001E4539"/>
    <w:p w14:paraId="4795B02D" w14:textId="77777777" w:rsidR="001E4539" w:rsidRDefault="001E4539">
      <w:pPr>
        <w:pStyle w:val="Header"/>
      </w:pPr>
    </w:p>
    <w:p w14:paraId="5494844A" w14:textId="77777777" w:rsidR="001E4539" w:rsidRDefault="001E4539"/>
    <w:p w14:paraId="60A3F1D5" w14:textId="77777777" w:rsidR="001E4539" w:rsidRDefault="001E4539">
      <w:pPr>
        <w:pStyle w:val="Footer"/>
      </w:pPr>
    </w:p>
    <w:p w14:paraId="0C816840" w14:textId="77777777" w:rsidR="001E4539" w:rsidRDefault="001E4539"/>
    <w:p w14:paraId="5B8919FE" w14:textId="77777777" w:rsidR="001E4539" w:rsidRDefault="001E4539">
      <w:pPr>
        <w:pStyle w:val="Header"/>
      </w:pPr>
    </w:p>
    <w:p w14:paraId="35B70EB3" w14:textId="77777777" w:rsidR="001E4539" w:rsidRDefault="001E4539"/>
    <w:p w14:paraId="4ABBB24F" w14:textId="77777777" w:rsidR="001E4539" w:rsidRDefault="001E4539">
      <w:pPr>
        <w:pStyle w:val="Footer"/>
      </w:pPr>
    </w:p>
    <w:p w14:paraId="1DB44CE7" w14:textId="77777777" w:rsidR="001E4539" w:rsidRDefault="001E4539"/>
    <w:p w14:paraId="28F70958" w14:textId="77777777" w:rsidR="001E4539" w:rsidRDefault="001E4539">
      <w:pPr>
        <w:pStyle w:val="Footer"/>
      </w:pPr>
    </w:p>
    <w:p w14:paraId="282E3D20" w14:textId="77777777" w:rsidR="001E4539" w:rsidRDefault="001E4539"/>
    <w:p w14:paraId="10EBCB65" w14:textId="77777777" w:rsidR="001E4539" w:rsidRDefault="001E4539">
      <w:pPr>
        <w:pStyle w:val="Header"/>
      </w:pPr>
    </w:p>
    <w:p w14:paraId="40E6A234" w14:textId="77777777" w:rsidR="001E4539" w:rsidRDefault="001E4539"/>
    <w:p w14:paraId="6AE98DCA" w14:textId="77777777" w:rsidR="001E4539" w:rsidRDefault="001E4539" w:rsidP="00246AB8">
      <w:pPr>
        <w:spacing w:line="240" w:lineRule="auto"/>
      </w:pPr>
      <w:r>
        <w:separator/>
      </w:r>
    </w:p>
  </w:footnote>
  <w:footnote w:type="continuationSeparator" w:id="0">
    <w:p w14:paraId="738740CB" w14:textId="77777777" w:rsidR="001E4539" w:rsidRDefault="001E4539" w:rsidP="00246AB8">
      <w:pPr>
        <w:spacing w:line="240" w:lineRule="auto"/>
      </w:pPr>
      <w:r>
        <w:continuationSeparator/>
      </w:r>
    </w:p>
  </w:footnote>
  <w:footnote w:type="continuationNotice" w:id="1">
    <w:p w14:paraId="3A61856D" w14:textId="77777777" w:rsidR="001E4539" w:rsidRDefault="001E45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1E4539"/>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730D"/>
    <w:rsid w:val="004D6EA0"/>
    <w:rsid w:val="004E2849"/>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4734"/>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214</cp:revision>
  <cp:lastPrinted>2023-08-07T18:48:00Z</cp:lastPrinted>
  <dcterms:created xsi:type="dcterms:W3CDTF">2023-05-27T02:32:00Z</dcterms:created>
  <dcterms:modified xsi:type="dcterms:W3CDTF">2024-07-01T19:55:00Z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