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3FE5009A" w:rsidR="00146125" w:rsidRPr="0015604D" w:rsidRDefault="00997A83" w:rsidP="00DD5831">
      <w:pPr>
        <w:pStyle w:val="Heading1"/>
        <w:spacing w:after="40"/>
      </w:pPr>
      <w:r>
        <w:t>Advanced Macroeconomic Theory</w:t>
      </w:r>
    </w:p>
    <w:p w14:paraId="3FF901BC" w14:textId="6B37EDB5"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w:t>
      </w:r>
      <w:r w:rsidR="007D5E40">
        <w:rPr>
          <w:rFonts w:ascii="Montserrat" w:hAnsi="Montserrat"/>
          <w:color w:val="13294B"/>
          <w:sz w:val="18"/>
          <w:szCs w:val="18"/>
        </w:rPr>
        <w:t xml:space="preserve"> + 002</w:t>
      </w:r>
      <w:r w:rsidR="00F32433">
        <w:rPr>
          <w:rFonts w:ascii="Montserrat" w:hAnsi="Montserrat"/>
          <w:color w:val="13294B"/>
          <w:sz w:val="18"/>
          <w:szCs w:val="18"/>
        </w:rPr>
        <w:t xml:space="preserve"> -</w:t>
      </w:r>
      <w:r>
        <w:rPr>
          <w:rFonts w:ascii="Montserrat" w:hAnsi="Montserrat"/>
          <w:color w:val="13294B"/>
          <w:sz w:val="18"/>
          <w:szCs w:val="18"/>
        </w:rPr>
        <w:t xml:space="preserve"> </w:t>
      </w:r>
      <w:r w:rsidR="007D5E40">
        <w:rPr>
          <w:rFonts w:ascii="Montserrat" w:hAnsi="Montserrat"/>
          <w:color w:val="13294B"/>
          <w:sz w:val="18"/>
          <w:szCs w:val="18"/>
        </w:rPr>
        <w:t>Spring 2024</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546743B0"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 xml:space="preserve">MW </w:t>
      </w:r>
      <w:r w:rsidR="005F2A7C">
        <w:rPr>
          <w:rFonts w:ascii="Montserrat" w:hAnsi="Montserrat" w:cs="Calibri"/>
          <w:sz w:val="18"/>
          <w:szCs w:val="18"/>
        </w:rPr>
        <w:t>2:30</w:t>
      </w:r>
      <w:r w:rsidR="00834596" w:rsidRPr="00FC1741">
        <w:rPr>
          <w:rFonts w:ascii="Montserrat" w:hAnsi="Montserrat" w:cs="Calibri"/>
          <w:sz w:val="18"/>
          <w:szCs w:val="18"/>
        </w:rPr>
        <w:t>-</w:t>
      </w:r>
      <w:r w:rsidR="005F2A7C">
        <w:rPr>
          <w:rFonts w:ascii="Montserrat" w:hAnsi="Montserrat" w:cs="Calibri"/>
          <w:sz w:val="18"/>
          <w:szCs w:val="18"/>
        </w:rPr>
        <w:t>3:45pm</w:t>
      </w:r>
      <w:r w:rsidR="007D5E40">
        <w:rPr>
          <w:rFonts w:ascii="Montserrat" w:hAnsi="Montserrat" w:cs="Calibri"/>
          <w:sz w:val="18"/>
          <w:szCs w:val="18"/>
        </w:rPr>
        <w:t xml:space="preserve"> (section 1), MW 11:15-12:30 (section 2)</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1A1129EB"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7D5E40">
        <w:rPr>
          <w:rFonts w:ascii="Montserrat" w:hAnsi="Montserrat"/>
          <w:sz w:val="18"/>
          <w:szCs w:val="18"/>
        </w:rPr>
        <w:t>Wilson 107 (section 1), Gardner 309 (section 2)</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2877186D"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w:t>
      </w:r>
      <w:r w:rsidR="00104042">
        <w:rPr>
          <w:rFonts w:ascii="Montserrat" w:hAnsi="Montserrat"/>
          <w:sz w:val="18"/>
          <w:szCs w:val="18"/>
        </w:rPr>
        <w:t>mail</w:t>
      </w:r>
      <w:r w:rsidR="005F2A7C">
        <w:rPr>
          <w:rFonts w:ascii="Montserrat" w:hAnsi="Montserrat"/>
          <w:sz w:val="18"/>
          <w:szCs w:val="18"/>
        </w:rPr>
        <w:t>.unc.edu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37AFAC49"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 xml:space="preserve">MW 1:30 to </w:t>
      </w:r>
      <w:r w:rsidR="007D5E40">
        <w:rPr>
          <w:rFonts w:ascii="Montserrat" w:hAnsi="Montserrat"/>
          <w:sz w:val="18"/>
          <w:szCs w:val="18"/>
        </w:rPr>
        <w:t>2</w:t>
      </w:r>
      <w:r w:rsidR="005F2A7C">
        <w:rPr>
          <w:rFonts w:ascii="Montserrat" w:hAnsi="Montserrat"/>
          <w:sz w:val="18"/>
          <w:szCs w:val="18"/>
        </w:rPr>
        <w:t>:30 pm</w:t>
      </w:r>
      <w:r w:rsidR="007D5E40">
        <w:rPr>
          <w:rFonts w:ascii="Montserrat" w:hAnsi="Montserrat"/>
          <w:sz w:val="18"/>
          <w:szCs w:val="18"/>
        </w:rPr>
        <w:t xml:space="preserve"> or by appointment</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3510B0EA" w14:textId="5C5FDD05" w:rsidR="00F32433" w:rsidRPr="00F32433" w:rsidRDefault="001E3FD3" w:rsidP="00F32433">
      <w:pPr>
        <w:pStyle w:val="Heading3"/>
      </w:pPr>
      <w:r>
        <w:t xml:space="preserve">Course Texts &amp; Materials </w:t>
      </w:r>
    </w:p>
    <w:p w14:paraId="4CB7873B" w14:textId="5BCA3B2E"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Pr="00160602">
          <w:rPr>
            <w:rStyle w:val="Hyperlink"/>
            <w:rFonts w:ascii="Montserrat" w:hAnsi="Montserrat"/>
            <w:sz w:val="18"/>
            <w:szCs w:val="18"/>
          </w:rPr>
          <w:t>Macroeconomics, 8th ed., Pearson</w:t>
        </w:r>
      </w:hyperlink>
      <w:r w:rsidRPr="00160602">
        <w:rPr>
          <w:rFonts w:ascii="Montserrat" w:hAnsi="Montserrat"/>
          <w:sz w:val="18"/>
          <w:szCs w:val="18"/>
        </w:rPr>
        <w:t xml:space="preserve"> (ISBN-13: 9780136713883)</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P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3386F687" w14:textId="77777777" w:rsidR="00160602" w:rsidRPr="00160602" w:rsidRDefault="00160602" w:rsidP="00160602">
      <w:pPr>
        <w:rPr>
          <w:rFonts w:ascii="Montserrat" w:hAnsi="Montserrat"/>
          <w:sz w:val="18"/>
          <w:szCs w:val="18"/>
        </w:rPr>
      </w:pPr>
      <w:r w:rsidRPr="00160602">
        <w:rPr>
          <w:rFonts w:ascii="Montserrat" w:hAnsi="Montserrat"/>
          <w:sz w:val="18"/>
          <w:szCs w:val="18"/>
        </w:rPr>
        <w:t>Charles Jones. Introduction to Economic Growth, 3rd edition, 2013, ISBN-13: 978-0393919172.</w:t>
      </w:r>
    </w:p>
    <w:p w14:paraId="5BAC755A" w14:textId="77777777" w:rsidR="00160602" w:rsidRPr="00160602" w:rsidRDefault="00160602" w:rsidP="00160602">
      <w:pPr>
        <w:numPr>
          <w:ilvl w:val="0"/>
          <w:numId w:val="15"/>
        </w:numPr>
        <w:rPr>
          <w:rFonts w:ascii="Montserrat" w:hAnsi="Montserrat"/>
          <w:sz w:val="18"/>
          <w:szCs w:val="18"/>
        </w:rPr>
      </w:pPr>
      <w:r w:rsidRPr="00160602">
        <w:rPr>
          <w:rFonts w:ascii="Montserrat" w:hAnsi="Montserrat"/>
          <w:sz w:val="18"/>
          <w:szCs w:val="18"/>
        </w:rPr>
        <w:t>The 2nd edition is very similar to the 3rd edition. Optional.</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lastRenderedPageBreak/>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7041DA7A"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Long-run growth.</w:t>
      </w:r>
    </w:p>
    <w:p w14:paraId="38E86B40" w14:textId="582CDF56"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r w:rsidR="00F32433">
        <w:rPr>
          <w:rFonts w:ascii="Montserrat" w:hAnsi="Montserrat"/>
          <w:sz w:val="18"/>
          <w:szCs w:val="18"/>
        </w:rPr>
        <w:t xml:space="preserve"> More information on </w:t>
      </w:r>
      <w:hyperlink r:id="rId13" w:history="1">
        <w:r w:rsidR="00F32433" w:rsidRPr="00020725">
          <w:rPr>
            <w:rStyle w:val="Hyperlink"/>
            <w:rFonts w:ascii="Montserrat" w:hAnsi="Montserrat"/>
            <w:sz w:val="18"/>
            <w:szCs w:val="18"/>
          </w:rPr>
          <w:t>my website</w:t>
        </w:r>
      </w:hyperlink>
      <w:r w:rsidR="00F32433">
        <w:rPr>
          <w:rFonts w:ascii="Montserrat" w:hAnsi="Montserrat"/>
          <w:sz w:val="18"/>
          <w:szCs w:val="18"/>
        </w:rPr>
        <w:t>.</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C871398" w:rsidR="002B6401" w:rsidRPr="00801890" w:rsidRDefault="00160602" w:rsidP="002C7C93">
      <w:pPr>
        <w:pStyle w:val="Heading4"/>
        <w:spacing w:before="0"/>
      </w:pPr>
      <w:r>
        <w:t>Midterm exam</w:t>
      </w:r>
    </w:p>
    <w:p w14:paraId="608BF67C" w14:textId="0188983C" w:rsidR="002B6401" w:rsidRPr="00263A30" w:rsidRDefault="00DE624C" w:rsidP="000C3085">
      <w:pPr>
        <w:rPr>
          <w:rFonts w:ascii="Montserrat" w:hAnsi="Montserrat" w:cs="Calibri"/>
          <w:sz w:val="18"/>
          <w:szCs w:val="18"/>
        </w:rPr>
      </w:pPr>
      <w:r>
        <w:rPr>
          <w:rFonts w:ascii="Montserrat" w:hAnsi="Montserrat" w:cs="Calibri"/>
          <w:sz w:val="18"/>
          <w:szCs w:val="18"/>
        </w:rPr>
        <w:t>March 4</w:t>
      </w:r>
      <w:r w:rsidR="00160602">
        <w:rPr>
          <w:rFonts w:ascii="Montserrat" w:hAnsi="Montserrat" w:cs="Calibri"/>
          <w:sz w:val="18"/>
          <w:szCs w:val="18"/>
        </w:rPr>
        <w:t>. 40 percent of the course grade.</w:t>
      </w:r>
    </w:p>
    <w:p w14:paraId="747BD8B9" w14:textId="1F193B23" w:rsidR="002B6401" w:rsidRPr="00D818E4" w:rsidRDefault="00160602" w:rsidP="00933C86">
      <w:pPr>
        <w:pStyle w:val="Heading4"/>
      </w:pPr>
      <w:r>
        <w:t>Final exam</w:t>
      </w:r>
    </w:p>
    <w:p w14:paraId="0D1E5CD5" w14:textId="510E7C75" w:rsidR="002B6401" w:rsidRPr="00263A30" w:rsidRDefault="007D5E40" w:rsidP="000C3085">
      <w:pPr>
        <w:rPr>
          <w:rFonts w:ascii="Montserrat" w:hAnsi="Montserrat" w:cs="Calibri"/>
          <w:sz w:val="18"/>
          <w:szCs w:val="18"/>
        </w:rPr>
      </w:pPr>
      <w:r>
        <w:rPr>
          <w:rFonts w:ascii="Montserrat" w:hAnsi="Montserrat" w:cs="Calibri"/>
          <w:sz w:val="18"/>
          <w:szCs w:val="18"/>
        </w:rPr>
        <w:t>May 2</w:t>
      </w:r>
      <w:r w:rsidR="00BC6946">
        <w:rPr>
          <w:rFonts w:ascii="Montserrat" w:hAnsi="Montserrat" w:cs="Calibri"/>
          <w:sz w:val="18"/>
          <w:szCs w:val="18"/>
        </w:rPr>
        <w:t xml:space="preserve">, </w:t>
      </w:r>
      <w:r>
        <w:rPr>
          <w:rFonts w:ascii="Montserrat" w:hAnsi="Montserrat" w:cs="Calibri"/>
          <w:sz w:val="18"/>
          <w:szCs w:val="18"/>
        </w:rPr>
        <w:t>8a</w:t>
      </w:r>
      <w:r w:rsidR="00BC6946">
        <w:rPr>
          <w:rFonts w:ascii="Montserrat" w:hAnsi="Montserrat" w:cs="Calibri"/>
          <w:sz w:val="18"/>
          <w:szCs w:val="18"/>
        </w:rPr>
        <w:t>m</w:t>
      </w:r>
      <w:r>
        <w:rPr>
          <w:rFonts w:ascii="Montserrat" w:hAnsi="Montserrat" w:cs="Calibri"/>
          <w:sz w:val="18"/>
          <w:szCs w:val="18"/>
        </w:rPr>
        <w:t xml:space="preserve"> (section 1), May 2, 4pm (section 2)</w:t>
      </w:r>
      <w:r w:rsidR="00160602">
        <w:rPr>
          <w:rFonts w:ascii="Montserrat" w:hAnsi="Montserrat" w:cs="Calibri"/>
          <w:sz w:val="18"/>
          <w:szCs w:val="18"/>
        </w:rPr>
        <w:t xml:space="preserve">. 45 percent of the grade. </w:t>
      </w:r>
      <w:r w:rsidR="004B19E1"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675D03BE" w:rsidR="004E2849" w:rsidRPr="00263A30" w:rsidRDefault="00075D32" w:rsidP="00933C86">
      <w:pPr>
        <w:pStyle w:val="Heading4"/>
      </w:pPr>
      <w:r>
        <w:t>Writing assignments</w:t>
      </w:r>
    </w:p>
    <w:p w14:paraId="32D6A260" w14:textId="13FCB6D6" w:rsidR="002B6401" w:rsidRPr="00263A30" w:rsidRDefault="00075D32" w:rsidP="000C3085">
      <w:pPr>
        <w:rPr>
          <w:rFonts w:ascii="Montserrat" w:hAnsi="Montserrat" w:cs="Calibri"/>
          <w:sz w:val="18"/>
          <w:szCs w:val="18"/>
        </w:rPr>
      </w:pPr>
      <w:r>
        <w:rPr>
          <w:rFonts w:ascii="Montserrat" w:hAnsi="Montserrat" w:cs="Calibri"/>
          <w:sz w:val="18"/>
          <w:szCs w:val="18"/>
        </w:rPr>
        <w:t xml:space="preserve">Three written assignments of about 4 pages each. Each accounts for </w:t>
      </w:r>
      <w:r w:rsidR="00160602">
        <w:rPr>
          <w:rFonts w:ascii="Montserrat" w:hAnsi="Montserrat" w:cs="Calibri"/>
          <w:sz w:val="18"/>
          <w:szCs w:val="18"/>
        </w:rPr>
        <w:t>5 percent of the course grade.</w:t>
      </w:r>
      <w:r w:rsidR="00593CC3">
        <w:rPr>
          <w:rFonts w:ascii="Montserrat" w:hAnsi="Montserrat" w:cs="Calibri"/>
          <w:sz w:val="18"/>
          <w:szCs w:val="18"/>
        </w:rPr>
        <w:t xml:space="preserve"> Topics and due dates are shown in the class schedule.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fldSimple w:instr=" SEQ Table \* alphabetic ">
        <w:r w:rsidR="00EF28B3">
          <w:rPr>
            <w:noProof/>
          </w:rPr>
          <w:t>a</w:t>
        </w:r>
      </w:fldSimple>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lastRenderedPageBreak/>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4"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5"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6"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7"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8"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9"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20"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1"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2"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In particular, students are expected to refrain from “lying, cheating, or stealing” in the academic context. If you are unsure about which actions violate the Honor Code, please see me, or consult </w:t>
      </w:r>
      <w:hyperlink r:id="rId23"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5"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6"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7" w:history="1">
        <w:r w:rsidRPr="00E511FC">
          <w:rPr>
            <w:rStyle w:val="Hyperlink"/>
            <w:rFonts w:ascii="Montserrat" w:hAnsi="Montserrat"/>
            <w:sz w:val="18"/>
            <w:szCs w:val="18"/>
          </w:rPr>
          <w:t>ars@unc.edu</w:t>
        </w:r>
      </w:hyperlink>
      <w:r w:rsidRPr="00E511FC">
        <w:rPr>
          <w:rFonts w:ascii="Montserrat" w:hAnsi="Montserrat"/>
          <w:sz w:val="18"/>
          <w:szCs w:val="18"/>
        </w:rPr>
        <w:t xml:space="preserve">) receives requests for accommodations, and through the Student and Applicant Accommodations Policy determines eligibility and identifies reasonable accommodations for students with disabilities and/or chronic medical conditions to mitigate or remove the barriers experienced in </w:t>
      </w:r>
      <w:r w:rsidRPr="00E511FC">
        <w:rPr>
          <w:rFonts w:ascii="Montserrat" w:hAnsi="Montserrat"/>
          <w:sz w:val="18"/>
          <w:szCs w:val="18"/>
        </w:rPr>
        <w:lastRenderedPageBreak/>
        <w:t>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8"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9">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30">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1"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2"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3"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4"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5"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7"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8">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9">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0"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1"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w:t>
      </w:r>
      <w:r w:rsidRPr="00A44736">
        <w:rPr>
          <w:rFonts w:ascii="Montserrat" w:hAnsi="Montserrat"/>
          <w:sz w:val="18"/>
          <w:szCs w:val="18"/>
        </w:rPr>
        <w:lastRenderedPageBreak/>
        <w:t xml:space="preserve">don’t even need a draft to come visit. To schedule a 45-minute appointment, review quick tips, or request written feedback online, visit </w:t>
      </w:r>
      <w:hyperlink r:id="rId42"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8F4734">
      <w:headerReference w:type="default" r:id="rId43"/>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77ECF" w14:textId="77777777" w:rsidR="008F4734" w:rsidRDefault="008F4734" w:rsidP="00246AB8">
      <w:pPr>
        <w:spacing w:line="240" w:lineRule="auto"/>
      </w:pPr>
      <w:r>
        <w:separator/>
      </w:r>
    </w:p>
  </w:endnote>
  <w:endnote w:type="continuationSeparator" w:id="0">
    <w:p w14:paraId="6CBE1079" w14:textId="77777777" w:rsidR="008F4734" w:rsidRDefault="008F4734" w:rsidP="00246AB8">
      <w:pPr>
        <w:spacing w:line="240" w:lineRule="auto"/>
      </w:pPr>
      <w:r>
        <w:continuationSeparator/>
      </w:r>
    </w:p>
  </w:endnote>
  <w:endnote w:type="continuationNotice" w:id="1">
    <w:p w14:paraId="33AD4C5B" w14:textId="77777777" w:rsidR="008F4734" w:rsidRDefault="008F47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5C6E1" w14:textId="77777777" w:rsidR="008F4734" w:rsidRDefault="008F4734">
      <w:pPr>
        <w:pStyle w:val="Footer"/>
      </w:pPr>
    </w:p>
    <w:p w14:paraId="6BFBA15E" w14:textId="77777777" w:rsidR="008F4734" w:rsidRDefault="008F4734"/>
    <w:p w14:paraId="2F6A881D" w14:textId="77777777" w:rsidR="008F4734" w:rsidRDefault="008F4734">
      <w:pPr>
        <w:pStyle w:val="Header"/>
      </w:pPr>
    </w:p>
    <w:p w14:paraId="24F488D8" w14:textId="77777777" w:rsidR="008F4734" w:rsidRDefault="008F4734"/>
    <w:p w14:paraId="543284CF" w14:textId="77777777" w:rsidR="008F4734" w:rsidRDefault="008F4734">
      <w:pPr>
        <w:pStyle w:val="Footer"/>
      </w:pPr>
    </w:p>
    <w:p w14:paraId="311DD7D6" w14:textId="77777777" w:rsidR="008F4734" w:rsidRDefault="008F4734"/>
    <w:p w14:paraId="60EDF007" w14:textId="77777777" w:rsidR="008F4734" w:rsidRDefault="008F4734">
      <w:pPr>
        <w:pStyle w:val="Footer"/>
      </w:pPr>
    </w:p>
    <w:p w14:paraId="231E1ABB" w14:textId="77777777" w:rsidR="008F4734" w:rsidRDefault="008F4734"/>
    <w:p w14:paraId="54F437C6" w14:textId="77777777" w:rsidR="008F4734" w:rsidRDefault="008F4734">
      <w:pPr>
        <w:pStyle w:val="Header"/>
      </w:pPr>
    </w:p>
    <w:p w14:paraId="380C777A" w14:textId="77777777" w:rsidR="008F4734" w:rsidRDefault="008F4734"/>
    <w:p w14:paraId="51506746" w14:textId="77777777" w:rsidR="008F4734" w:rsidRDefault="008F4734">
      <w:pPr>
        <w:pStyle w:val="Footer"/>
      </w:pPr>
    </w:p>
    <w:p w14:paraId="1496CE1C" w14:textId="77777777" w:rsidR="008F4734" w:rsidRDefault="008F4734"/>
    <w:p w14:paraId="786DCE4D" w14:textId="77777777" w:rsidR="008F4734" w:rsidRDefault="008F4734">
      <w:pPr>
        <w:pStyle w:val="Header"/>
      </w:pPr>
    </w:p>
    <w:p w14:paraId="279060C7" w14:textId="77777777" w:rsidR="008F4734" w:rsidRDefault="008F4734"/>
    <w:p w14:paraId="68DD6F0F" w14:textId="77777777" w:rsidR="008F4734" w:rsidRDefault="008F4734">
      <w:pPr>
        <w:pStyle w:val="Footer"/>
      </w:pPr>
    </w:p>
    <w:p w14:paraId="11FA7834" w14:textId="77777777" w:rsidR="008F4734" w:rsidRDefault="008F4734"/>
    <w:p w14:paraId="50E22FFE" w14:textId="77777777" w:rsidR="008F4734" w:rsidRDefault="008F4734">
      <w:pPr>
        <w:pStyle w:val="Footer"/>
      </w:pPr>
    </w:p>
    <w:p w14:paraId="1057F998" w14:textId="77777777" w:rsidR="008F4734" w:rsidRDefault="008F4734"/>
    <w:p w14:paraId="1A0EF94A" w14:textId="77777777" w:rsidR="008F4734" w:rsidRDefault="008F4734">
      <w:pPr>
        <w:pStyle w:val="Header"/>
      </w:pPr>
    </w:p>
    <w:p w14:paraId="4B7E40C8" w14:textId="77777777" w:rsidR="008F4734" w:rsidRDefault="008F4734"/>
    <w:p w14:paraId="45881BA3" w14:textId="77777777" w:rsidR="008F4734" w:rsidRDefault="008F4734">
      <w:pPr>
        <w:pStyle w:val="Footer"/>
      </w:pPr>
    </w:p>
    <w:p w14:paraId="11991409" w14:textId="77777777" w:rsidR="008F4734" w:rsidRDefault="008F4734"/>
    <w:p w14:paraId="38A24C40" w14:textId="77777777" w:rsidR="008F4734" w:rsidRDefault="008F4734">
      <w:pPr>
        <w:pStyle w:val="Header"/>
      </w:pPr>
    </w:p>
    <w:p w14:paraId="455408D1" w14:textId="77777777" w:rsidR="008F4734" w:rsidRDefault="008F4734"/>
    <w:p w14:paraId="43E32466" w14:textId="77777777" w:rsidR="008F4734" w:rsidRDefault="008F4734">
      <w:pPr>
        <w:pStyle w:val="Footer"/>
      </w:pPr>
    </w:p>
    <w:p w14:paraId="7BF83B29" w14:textId="77777777" w:rsidR="008F4734" w:rsidRDefault="008F4734"/>
    <w:p w14:paraId="7D02997D" w14:textId="77777777" w:rsidR="008F4734" w:rsidRDefault="008F4734">
      <w:pPr>
        <w:pStyle w:val="Footer"/>
      </w:pPr>
    </w:p>
    <w:p w14:paraId="67C74B84" w14:textId="77777777" w:rsidR="008F4734" w:rsidRDefault="008F4734"/>
    <w:p w14:paraId="63A8F193" w14:textId="77777777" w:rsidR="008F4734" w:rsidRDefault="008F4734">
      <w:pPr>
        <w:pStyle w:val="Header"/>
      </w:pPr>
    </w:p>
    <w:p w14:paraId="63488072" w14:textId="77777777" w:rsidR="008F4734" w:rsidRDefault="008F4734"/>
    <w:p w14:paraId="6F7492C4" w14:textId="77777777" w:rsidR="008F4734" w:rsidRDefault="008F4734" w:rsidP="00246AB8">
      <w:pPr>
        <w:spacing w:line="240" w:lineRule="auto"/>
      </w:pPr>
      <w:r>
        <w:separator/>
      </w:r>
    </w:p>
  </w:footnote>
  <w:footnote w:type="continuationSeparator" w:id="0">
    <w:p w14:paraId="4341F415" w14:textId="77777777" w:rsidR="008F4734" w:rsidRDefault="008F4734" w:rsidP="00246AB8">
      <w:pPr>
        <w:spacing w:line="240" w:lineRule="auto"/>
      </w:pPr>
      <w:r>
        <w:continuationSeparator/>
      </w:r>
    </w:p>
  </w:footnote>
  <w:footnote w:type="continuationNotice" w:id="1">
    <w:p w14:paraId="5D950EAB" w14:textId="77777777" w:rsidR="008F4734" w:rsidRDefault="008F47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20725"/>
    <w:rsid w:val="00036B44"/>
    <w:rsid w:val="0004049D"/>
    <w:rsid w:val="00043403"/>
    <w:rsid w:val="00066284"/>
    <w:rsid w:val="00075D32"/>
    <w:rsid w:val="00077CD9"/>
    <w:rsid w:val="000901D7"/>
    <w:rsid w:val="000934F4"/>
    <w:rsid w:val="000C0CA2"/>
    <w:rsid w:val="000C2BDA"/>
    <w:rsid w:val="000C3085"/>
    <w:rsid w:val="000C6DB4"/>
    <w:rsid w:val="000D5B1D"/>
    <w:rsid w:val="000D72D2"/>
    <w:rsid w:val="000F7984"/>
    <w:rsid w:val="00104042"/>
    <w:rsid w:val="0011275E"/>
    <w:rsid w:val="00112A7A"/>
    <w:rsid w:val="001258E6"/>
    <w:rsid w:val="00146125"/>
    <w:rsid w:val="0015604D"/>
    <w:rsid w:val="00160602"/>
    <w:rsid w:val="001608AC"/>
    <w:rsid w:val="00160A8C"/>
    <w:rsid w:val="00174BE6"/>
    <w:rsid w:val="001763F6"/>
    <w:rsid w:val="001C12C0"/>
    <w:rsid w:val="001C1D2B"/>
    <w:rsid w:val="001E3FD3"/>
    <w:rsid w:val="00216515"/>
    <w:rsid w:val="00227B36"/>
    <w:rsid w:val="00231353"/>
    <w:rsid w:val="00246AB8"/>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67D06"/>
    <w:rsid w:val="00392E50"/>
    <w:rsid w:val="003C6162"/>
    <w:rsid w:val="003D09D3"/>
    <w:rsid w:val="003E4A4E"/>
    <w:rsid w:val="003F01DE"/>
    <w:rsid w:val="003F57B5"/>
    <w:rsid w:val="00416EA6"/>
    <w:rsid w:val="004175D2"/>
    <w:rsid w:val="00421853"/>
    <w:rsid w:val="00473A37"/>
    <w:rsid w:val="00482827"/>
    <w:rsid w:val="004A1105"/>
    <w:rsid w:val="004A3847"/>
    <w:rsid w:val="004B19E1"/>
    <w:rsid w:val="004C730D"/>
    <w:rsid w:val="004D6EA0"/>
    <w:rsid w:val="004E2849"/>
    <w:rsid w:val="005273B3"/>
    <w:rsid w:val="00534EEF"/>
    <w:rsid w:val="00546F5E"/>
    <w:rsid w:val="00552094"/>
    <w:rsid w:val="00554433"/>
    <w:rsid w:val="00555DC3"/>
    <w:rsid w:val="005562E4"/>
    <w:rsid w:val="00557C47"/>
    <w:rsid w:val="0056160E"/>
    <w:rsid w:val="005643E9"/>
    <w:rsid w:val="00572004"/>
    <w:rsid w:val="00573E18"/>
    <w:rsid w:val="00581818"/>
    <w:rsid w:val="00593CC3"/>
    <w:rsid w:val="005A0B4A"/>
    <w:rsid w:val="005B4C7F"/>
    <w:rsid w:val="005B57A8"/>
    <w:rsid w:val="005D2BCD"/>
    <w:rsid w:val="005F2A7C"/>
    <w:rsid w:val="006230D4"/>
    <w:rsid w:val="0063530A"/>
    <w:rsid w:val="0063630A"/>
    <w:rsid w:val="00646A35"/>
    <w:rsid w:val="00650DE8"/>
    <w:rsid w:val="00652414"/>
    <w:rsid w:val="006625ED"/>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D3C62"/>
    <w:rsid w:val="007D5E40"/>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4734"/>
    <w:rsid w:val="008F5574"/>
    <w:rsid w:val="009128DA"/>
    <w:rsid w:val="00925973"/>
    <w:rsid w:val="00933C86"/>
    <w:rsid w:val="00947720"/>
    <w:rsid w:val="00952BA0"/>
    <w:rsid w:val="00966A64"/>
    <w:rsid w:val="0097177C"/>
    <w:rsid w:val="00990F1C"/>
    <w:rsid w:val="00997813"/>
    <w:rsid w:val="00997A83"/>
    <w:rsid w:val="009A1CD4"/>
    <w:rsid w:val="009B05C6"/>
    <w:rsid w:val="009B7D3A"/>
    <w:rsid w:val="009C1375"/>
    <w:rsid w:val="009D51FA"/>
    <w:rsid w:val="009E4829"/>
    <w:rsid w:val="00A06BA5"/>
    <w:rsid w:val="00A13072"/>
    <w:rsid w:val="00A2065B"/>
    <w:rsid w:val="00A218A6"/>
    <w:rsid w:val="00A21CBF"/>
    <w:rsid w:val="00A25F72"/>
    <w:rsid w:val="00A44736"/>
    <w:rsid w:val="00A47A4C"/>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597A"/>
    <w:rsid w:val="00CB6FF6"/>
    <w:rsid w:val="00CC1811"/>
    <w:rsid w:val="00CD6A7D"/>
    <w:rsid w:val="00CE2325"/>
    <w:rsid w:val="00CF5372"/>
    <w:rsid w:val="00D05F14"/>
    <w:rsid w:val="00D1378C"/>
    <w:rsid w:val="00D17189"/>
    <w:rsid w:val="00D4512A"/>
    <w:rsid w:val="00D62813"/>
    <w:rsid w:val="00D67E16"/>
    <w:rsid w:val="00D818E4"/>
    <w:rsid w:val="00D83863"/>
    <w:rsid w:val="00D86885"/>
    <w:rsid w:val="00D95782"/>
    <w:rsid w:val="00D97FB3"/>
    <w:rsid w:val="00DA7654"/>
    <w:rsid w:val="00DB4B0C"/>
    <w:rsid w:val="00DB63AF"/>
    <w:rsid w:val="00DD14A5"/>
    <w:rsid w:val="00DD5831"/>
    <w:rsid w:val="00DE4ADD"/>
    <w:rsid w:val="00DE624C"/>
    <w:rsid w:val="00DE7DC6"/>
    <w:rsid w:val="00DF3B12"/>
    <w:rsid w:val="00E07F42"/>
    <w:rsid w:val="00E11BA7"/>
    <w:rsid w:val="00E207EE"/>
    <w:rsid w:val="00E235E3"/>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8A7"/>
    <w:rsid w:val="00F25788"/>
    <w:rsid w:val="00F31494"/>
    <w:rsid w:val="00F32433"/>
    <w:rsid w:val="00F32EC2"/>
    <w:rsid w:val="00F359F8"/>
    <w:rsid w:val="00F35ABB"/>
    <w:rsid w:val="00F72375"/>
    <w:rsid w:val="00F72967"/>
    <w:rsid w:val="00FC0922"/>
    <w:rsid w:val="00FC1741"/>
    <w:rsid w:val="00FC2E2B"/>
    <w:rsid w:val="00FC6E5E"/>
    <w:rsid w:val="00FD20AF"/>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hendricks.org/econ520/econ520.html" TargetMode="External"/><Relationship Id="rId18" Type="http://schemas.openxmlformats.org/officeDocument/2006/relationships/hyperlink" Target="https://ars.unc.edu/" TargetMode="External"/><Relationship Id="rId26" Type="http://schemas.openxmlformats.org/officeDocument/2006/relationships/hyperlink" Target="https://www.unc.edu/about/privacy-statement/" TargetMode="External"/><Relationship Id="rId39" Type="http://schemas.openxmlformats.org/officeDocument/2006/relationships/hyperlink" Target="https://eoc.unc.edu/report-an-incident/" TargetMode="External"/><Relationship Id="rId21" Type="http://schemas.openxmlformats.org/officeDocument/2006/relationships/hyperlink" Target="https://gvsc.unc.edu/" TargetMode="External"/><Relationship Id="rId34" Type="http://schemas.openxmlformats.org/officeDocument/2006/relationships/hyperlink" Target="mailto:gvsc@unc.edu" TargetMode="External"/><Relationship Id="rId42" Type="http://schemas.openxmlformats.org/officeDocument/2006/relationships/hyperlink" Target="http://writingcenter.unc.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faqs-for-students/" TargetMode="External"/><Relationship Id="rId29" Type="http://schemas.openxmlformats.org/officeDocument/2006/relationships/hyperlink" Target="http://care.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testingcenter.web.unc.edu/"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aao.unc.edu/sample-page/" TargetMode="External"/><Relationship Id="rId23" Type="http://schemas.openxmlformats.org/officeDocument/2006/relationships/hyperlink" Target="https://studentconduct.unc.edu/" TargetMode="External"/><Relationship Id="rId28" Type="http://schemas.openxmlformats.org/officeDocument/2006/relationships/hyperlink" Target="mailto:ars@unc.edu"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endnotes" Target="endnotes.xml"/><Relationship Id="rId19" Type="http://schemas.openxmlformats.org/officeDocument/2006/relationships/hyperlink" Target="https://eoc.unc.edu/what-we-do/accommodations/"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eoc.unc.edu/what-we-do/accommodations/" TargetMode="External"/><Relationship Id="rId27" Type="http://schemas.openxmlformats.org/officeDocument/2006/relationships/hyperlink" Target="mailto:ars@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us/higher-education/program/Blanchard-My-Lab-Economics-with-Pearson-e-Text-Access-Card-for-Macroeconomics-8th-Edition/PGM2030616.html?tab=overview" TargetMode="External"/><Relationship Id="rId17" Type="http://schemas.openxmlformats.org/officeDocument/2006/relationships/hyperlink" Target="https://uaao.unc.edu/sample-page/" TargetMode="External"/><Relationship Id="rId25" Type="http://schemas.openxmlformats.org/officeDocument/2006/relationships/hyperlink" Target="https://safecomputing.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odos.unc.edu/" TargetMode="External"/><Relationship Id="rId41" Type="http://schemas.openxmlformats.org/officeDocument/2006/relationships/hyperlink" Target="http://learningcenter.un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2.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4.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211</cp:revision>
  <cp:lastPrinted>2023-08-07T18:48:00Z</cp:lastPrinted>
  <dcterms:created xsi:type="dcterms:W3CDTF">2023-05-27T02:32:00Z</dcterms:created>
  <dcterms:modified xsi:type="dcterms:W3CDTF">2023-12-18T19:35:00Z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