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</w:tcPr>
          <w:p>
            <w:r>
              <w:rPr>
                <w:rFonts w:ascii="Arial" w:hAnsi="Arial"/>
                <w:b/>
                <w:color w:val="229BD7"/>
                <w:sz w:val="48"/>
              </w:rPr>
              <w:t>VAMED</w:t>
            </w:r>
            <w:r>
              <w:rPr>
                <w:rFonts w:ascii="Arial" w:hAnsi="Arial"/>
                <w:b/>
                <w:color w:val="0F1A3A"/>
                <w:sz w:val="28"/>
              </w:rPr>
              <w:t xml:space="preserve"> Engineering</w:t>
            </w:r>
          </w:p>
          <w:p>
            <w:r>
              <w:rPr>
                <w:rFonts w:ascii="Arial" w:hAnsi="Arial"/>
                <w:i/>
                <w:color w:val="555555"/>
                <w:sz w:val="16"/>
              </w:rPr>
              <w:t>Sistema de Gestão da Segurança, Saúde e Ambiente</w:t>
            </w:r>
          </w:p>
        </w:tc>
        <w:tc>
          <w:tcPr>
            <w:tcW w:type="dxa" w:w="5216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0F1A3A"/>
                <w:sz w:val="36"/>
              </w:rPr>
              <w:t>Worldwide Hospitals</w:t>
            </w:r>
          </w:p>
          <w:p>
            <w:pPr>
              <w:jc w:val="right"/>
            </w:pPr>
            <w:r>
              <w:rPr>
                <w:rFonts w:ascii="Arial" w:hAnsi="Arial"/>
                <w:i/>
                <w:color w:val="555555"/>
                <w:sz w:val="16"/>
              </w:rPr>
              <w:t>WWH · Hospital Militar Regional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101D3F"/>
            <w:tcBorders>
              <w:top w:val="single" w:sz="8" w:color="101D3F"/>
              <w:left w:val="single" w:sz="8" w:color="101D3F"/>
              <w:bottom w:val="single" w:sz="8" w:color="101D3F"/>
              <w:right w:val="single" w:sz="8" w:color="101D3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SISTEMA DE GESTÃO DA SEGURANÇA, SAÚDE E AMBIENTE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HSE ALCOOLEMIA — CONTROLO DE CASOS POSITIVOS V02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Registo de controlo e seguimento de casos positivos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Nome da obra: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Centro de custo: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Site Manager: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Data da inspecção: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 VAMED: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Periodicidade: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</w:t>
              <w:br/>
              <w:t>Subcontratado: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Zona / Local: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56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124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238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Nome</w:t>
            </w:r>
          </w:p>
        </w:tc>
        <w:tc>
          <w:tcPr>
            <w:tcW w:type="dxa" w:w="181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124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061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Acção / Observações</w:t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8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4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61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22" w:right="737" w:bottom="76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4"/>
      </w:rPr>
      <w:t>HSE-REG-02  ·  Edição 01  ·  Maio 2026  ·  VAMED Engineering / Worldwide Hospitals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