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</w:tcPr>
          <w:p>
            <w:r>
              <w:rPr>
                <w:rFonts w:ascii="Arial" w:hAnsi="Arial"/>
                <w:b/>
                <w:color w:val="229BD7"/>
                <w:sz w:val="48"/>
              </w:rPr>
              <w:t>VAMED</w:t>
            </w:r>
            <w:r>
              <w:rPr>
                <w:rFonts w:ascii="Arial" w:hAnsi="Arial"/>
                <w:b/>
                <w:color w:val="0F1A3A"/>
                <w:sz w:val="28"/>
              </w:rPr>
              <w:t xml:space="preserve"> Engineering</w:t>
            </w:r>
          </w:p>
          <w:p>
            <w:r>
              <w:rPr>
                <w:rFonts w:ascii="Arial" w:hAnsi="Arial"/>
                <w:i/>
                <w:color w:val="555555"/>
                <w:sz w:val="16"/>
              </w:rPr>
              <w:t>Sistema de Gestão da Segurança, Saúde e Ambiente</w:t>
            </w:r>
          </w:p>
        </w:tc>
        <w:tc>
          <w:tcPr>
            <w:tcW w:type="dxa" w:w="5216"/>
            <w:vAlign w:val="center"/>
          </w:tcPr>
          <w:p>
            <w:pPr>
              <w:jc w:val="right"/>
            </w:pPr>
            <w:r>
              <w:rPr>
                <w:rFonts w:ascii="Arial" w:hAnsi="Arial"/>
                <w:b/>
                <w:color w:val="0F1A3A"/>
                <w:sz w:val="36"/>
              </w:rPr>
              <w:t>Worldwide Hospitals</w:t>
            </w:r>
          </w:p>
          <w:p>
            <w:pPr>
              <w:jc w:val="right"/>
            </w:pPr>
            <w:r>
              <w:rPr>
                <w:rFonts w:ascii="Arial" w:hAnsi="Arial"/>
                <w:i/>
                <w:color w:val="555555"/>
                <w:sz w:val="16"/>
              </w:rPr>
              <w:t>WWH · Hospital Militar Regional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2"/>
            <w:shd w:fill="101D3F"/>
            <w:tcBorders>
              <w:top w:val="single" w:sz="8" w:color="101D3F"/>
              <w:left w:val="single" w:sz="8" w:color="101D3F"/>
              <w:bottom w:val="single" w:sz="8" w:color="101D3F"/>
              <w:right w:val="single" w:sz="8" w:color="101D3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SISTEMA DE GESTÃO DA SEGURANÇA, SAÚDE E AMBIENTE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MATRIZ DE PERIGOS</w:t>
              <w:br/>
            </w:r>
            <w:r>
              <w:rPr>
                <w:rFonts w:ascii="Arial" w:hAnsi="Arial"/>
                <w:i/>
                <w:color w:val="FFFFFF"/>
                <w:sz w:val="17"/>
              </w:rPr>
              <w:t>Identificação de perigos, riscos e medidas de controlo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2608"/>
        <w:gridCol w:w="2608"/>
        <w:gridCol w:w="2608"/>
      </w:tblGrid>
      <w:tr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Nome da obra: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Centro de custo: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Site Manager: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Data da inspecção: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Técnico HSE VAMED: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Periodicidade: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Técnico HSE</w:t>
              <w:br/>
              <w:t>Subcontratado: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6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  <w:shd w:fill="DDEFF8"/>
          </w:tcPr>
          <w:p>
            <w:r/>
            <w:r>
              <w:rPr>
                <w:rFonts w:ascii="Arial" w:hAnsi="Arial"/>
                <w:b/>
                <w:sz w:val="16"/>
              </w:rPr>
              <w:t>Zona / Local:</w:t>
            </w:r>
          </w:p>
        </w:tc>
        <w:tc>
          <w:tcPr>
            <w:tcW w:type="dxa" w:w="2948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9"/>
        <w:gridCol w:w="1739"/>
        <w:gridCol w:w="1739"/>
        <w:gridCol w:w="1739"/>
        <w:gridCol w:w="1739"/>
        <w:gridCol w:w="1739"/>
      </w:tblGrid>
      <w:tr>
        <w:tc>
          <w:tcPr>
            <w:tcW w:type="dxa" w:w="567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N.º</w:t>
            </w:r>
          </w:p>
        </w:tc>
        <w:tc>
          <w:tcPr>
            <w:tcW w:type="dxa" w:w="1984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Actividade</w:t>
            </w:r>
          </w:p>
        </w:tc>
        <w:tc>
          <w:tcPr>
            <w:tcW w:type="dxa" w:w="1927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Perigo</w:t>
            </w:r>
          </w:p>
        </w:tc>
        <w:tc>
          <w:tcPr>
            <w:tcW w:type="dxa" w:w="1814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Risco</w:t>
            </w:r>
          </w:p>
        </w:tc>
        <w:tc>
          <w:tcPr>
            <w:tcW w:type="dxa" w:w="2835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Medidas de controlo</w:t>
            </w:r>
          </w:p>
        </w:tc>
        <w:tc>
          <w:tcPr>
            <w:tcW w:type="dxa" w:w="1587"/>
            <w:shd w:fill="229BD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Responsável</w:t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8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8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8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8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8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8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8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8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8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8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8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8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92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14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835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587"/>
            <w:tcBorders>
              <w:top w:val="single" w:sz="6" w:color="7F99A8"/>
              <w:left w:val="single" w:sz="6" w:color="7F99A8"/>
              <w:bottom w:val="single" w:sz="6" w:color="7F99A8"/>
              <w:right w:val="single" w:sz="6" w:color="7F99A8"/>
            </w:tcBorders>
            <w:vAlign w:val="center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822" w:right="737" w:bottom="765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6E6E6E"/>
        <w:sz w:val="14"/>
      </w:rPr>
      <w:t>HSE-MAT-01  ·  Edição 01  ·  Maio 2026  ·  VAMED Engineering / Worldwide Hospitals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