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03366"/>
          <w:sz w:val="44"/>
          <w:szCs w:val="44"/>
        </w:rPr>
        <w:t xml:space="preserve">Prüfbericht</w:t>
      </w:r>
    </w:p>
    <w:p>
      <w:pPr>
        <w:spacing w:after="40"/>
      </w:pPr>
      <w:r>
        <w:rPr>
          <w:b/>
          <w:bCs/>
          <w:sz w:val="32"/>
          <w:szCs w:val="32"/>
        </w:rPr>
        <w:t xml:space="preserve">VDE-Prüfprotokoll-App – Theater Konstanz</w:t>
      </w:r>
    </w:p>
    <w:p>
      <w:pPr>
        <w:spacing w:after="300"/>
      </w:pPr>
      <w:r>
        <w:rPr>
          <w:i/>
          <w:iCs/>
          <w:color w:val="555555"/>
          <w:sz w:val="24"/>
          <w:szCs w:val="24"/>
        </w:rPr>
        <w:t xml:space="preserve">Technische, praktische und normative Gesamtprüfung (Version 4.6.0)</w:t>
      </w:r>
    </w:p>
    <w:p>
      <w:pPr>
        <w:spacing w:after="160" w:line="300"/>
      </w:pPr>
      <w:r>
        <w:t xml:space="preserve">Geprüftes Objekt: https://hendrikrueck1-maker.github.io/vde-pruef-app/  (Quellcode: Ordner ZUM-HOCHLADEN)</w:t>
      </w:r>
    </w:p>
    <w:p>
      <w:pPr>
        <w:spacing w:after="160" w:line="300"/>
      </w:pPr>
      <w:r>
        <w:t xml:space="preserve">Prüfdatum: 30. August 2026</w:t>
      </w:r>
    </w:p>
    <w:p>
      <w:pPr>
        <w:spacing w:after="160" w:line="300"/>
      </w:pPr>
      <w:r>
        <w:t xml:space="preserve">Prüfmethode: Statische Code-Durchsicht aller HTML-/JS-/CSS-Dateien, Ausführung der Live-Anwendung im Browser (Formularverhalten, PWA-Verhalten, Konsole), Abgleich der hinterlegten Grenzwerte mit DIN VDE 0100-600, DIN VDE 0701-0702/DIN EN 50678/50699, DGUV Vorschrift 3 und DIN VDE 0100-711/-704/-740. Ergänzend ausgewertet: die im Projektordner bereits vorhandene, sehr gründliche Voranalyse der Version 4.4.0 (vier Analyseteile plus Simulation einer kompletten Open-Air-Veranstaltung mit 51 Stromkreisen und 96 Geräten) sowie der Änderungsbericht auf Version 4.5.0. Alle darin dokumentierten Befunde wurden am aktuellen Stand 4.6.0 erneut im Quellcode nachvollzogen; der Bericht kennzeichnet durchgängig, was zwischenzeitlich behoben wurde und was weiterhin offen ist.</w:t>
      </w:r>
    </w:p>
    <w:p>
      <w:r>
        <w:br w:type="page"/>
      </w:r>
    </w:p>
    <w:p>
      <w:pPr>
        <w:pStyle w:val="Heading1"/>
        <w:pBdr>
          <w:bottom w:val="single" w:color="003366" w:sz="8" w:space="4"/>
        </w:pBdr>
        <w:spacing w:after="200" w:before="400"/>
      </w:pPr>
      <w:r>
        <w:t xml:space="preserve">Zusammenfassung für die Leitung</w:t>
      </w:r>
    </w:p>
    <w:p>
      <w:pPr>
        <w:spacing w:after="160" w:line="300"/>
      </w:pPr>
      <w:r>
        <w:t xml:space="preserve">Die App ist fachlich auf einem ungewöhnlich hohen Niveau: Die messtechnische Bewertungslogik (Z_S/I_K, RCD-Auslösezeit in Abhängigkeit vom Prüfstrom, Berührungsspannung bei erhöhter Gefährdung, Widerspruchsprüfungen zwischen Freigabe und Befund) ist normkonform umgesetzt und in mehreren Punkten sorgfältiger als handelsübliche Prüfsoftware. Die Service-Worker-/Offline-Architektur folgt anerkannten PWA-Mustern. Genau deshalb wiegen die verbleibenden Mängel schwerer, als sie es in einer schwächeren App täten: Ein Prüfprotokoll, das in der Bewertungslogik überzeugt, aber mit erfundenen Stammdaten oder vorbeantworteten Sicherheitsfragen ausgeliefert wird, wirkt nach außen vertrauenswürdiger, als es ist.</w:t>
      </w:r>
    </w:p>
    <w:p>
      <w:pPr>
        <w:spacing w:after="160" w:line="300"/>
      </w:pPr>
      <w:r>
        <w:t xml:space="preserve">Der wichtigste Befund bleibt unverändert seit der Vorprüfung der Version 4.4.0: Alle Sichtprüfungsfelder (12 in der Anlagenprüfung, 9 in der Anschlussprüfung) sind mit „i.O.“ vorbelegt. Ein Prüfer, der ein Feld nicht anfasst, unterschreibt damit eine nie durchgeführte Prüfung als in Ordnung. In Version 4.5.0/4.6.0 wurde dies für die Erprobungsfelder (Drehfeld, Polarität, RCD-Prüftaste u. a.) bereits auf „n.a.“ vorbelegt – ein Fortschritt –, die Sichtprüfung selbst jedoch nicht angefasst. Ebenso weiterhin vorhanden: fest einprogrammierte fremde Stammdaten („Stadttheater Konstanz“, „Stadtwerke Konstanz“, Messgerät „Fluke 1663“ mit Seriennummer), die in jedes neu geöffnete Formular geschrieben werden.</w:t>
      </w:r>
    </w:p>
    <w:p>
      <w:pPr>
        <w:spacing w:after="160" w:line="300"/>
      </w:pPr>
      <w:r>
        <w:t xml:space="preserve">Positiv hervorzuheben: Zwischen den geprüften Ständen 4.4.0 und 4.6.0 wurden bereits mehrere gewichtige Befunde der Voranalyse behoben – die widersprüchliche „einphasige Einspeisung“-Automatik wurde ersatzlos entfernt, das Leerformular-Layout erzeugt keine Waisenseiten mehr, die Legende steht jetzt auf jedem Blatt, die Anschlussprüfung enthält jetzt eine Netzmessung inkl. U N-PE als Pflichtfeld, und Messwerte werden im PDF mit Komma statt Punkt ausgegeben. Das zeigt, dass an der App aktiv und mit Sachverstand weitergearbeitet wird.</w:t>
      </w:r>
    </w:p>
    <w:p>
      <w:pPr>
        <w:spacing w:after="160" w:line="300"/>
      </w:pPr>
      <w:r>
        <w:t xml:space="preserve">Empfohlene Priorität: (1) vorbelegte i.O.-Felder in der Sichtprüfung entfernen, (2) hartcodierte Stammdaten löschen, (3) Qualifikationsfeld für die prüfende Person ergänzen, (4) Fehlermeldungen mit Fundstellenangabe versehen. Aufwand für alle vier Punkte zusammen: unter einem Arbeitstag.</w:t>
      </w:r>
    </w:p>
    <w:p>
      <w:pPr>
        <w:pStyle w:val="Heading1"/>
        <w:pBdr>
          <w:bottom w:val="single" w:color="003366" w:sz="8" w:space="4"/>
        </w:pBdr>
        <w:spacing w:after="200" w:before="400"/>
      </w:pPr>
      <w:r>
        <w:t xml:space="preserve">1. Technische Prüfung (Code-Qualität &amp; Funktionalität)</w:t>
      </w:r>
    </w:p>
    <w:p>
      <w:pPr>
        <w:pStyle w:val="Heading2"/>
        <w:spacing w:after="120" w:before="300"/>
      </w:pPr>
      <w:r>
        <w:t xml:space="preserve">1.1 Architektur und Code-Qualität</w:t>
      </w:r>
    </w:p>
    <w:p>
      <w:pPr>
        <w:spacing w:after="160" w:line="300"/>
      </w:pPr>
      <w:r>
        <w:t xml:space="preserve">Die App ist als reine clientseitige PWA ohne Backend aufgebaut: vier funktionale HTML-Seiten (index, vde0100, anschlusspruefung, geraetepruefung, archiv) mit gemeinsamem CSS und je einem dedizierten „Generator“-Modul pro Protokolltyp (js/pdf-generator.js, js/anschluss-generator.js, js/geraete-generator.js) sowie geteilten Hilfsmodulen (js/pdf-utils.js für Grenzwertlogik und PDF-Layout-Primitiven, js/storage.js für Stammdaten/Archiv, js/app-config.js für Versions- und Dateilisten, js/pwa.js für Installations-/Update-Verhalten). Diese Trennung ist sinnvoll und macht das Projekt wartbar; js/pdf-utils.js enthält bemerkenswert gute fachliche Kommentare, die die zugrunde gelegte Norm und die Begründung jedes Grenzwerts direkt im Code dokumentieren (z. B. bei den Grenzwerten für Ableitstrom und Isolationswiderstand nach DIN EN 50699). Das ist für die Wartbarkeit und die Nachvollziehbarkeit gegenüber einem Auditor ein klarer Pluspunkt.</w:t>
      </w:r>
    </w:p>
    <w:p>
      <w:pPr>
        <w:spacing w:after="160" w:line="300"/>
      </w:pPr>
      <w:r>
        <w:t xml:space="preserve">Kritisch zu sehen ist die Nutzung von PDF-Generierung und Grenzwertlogik über global definierte Funktionen ohne Modulsystem (kein ES-Module/Bundler, kein Namespace) – bei einem Projekt dieser Größe (js/pdf-generator.js allein 80 KB / rund 2000 Zeilen) steigt damit das Risiko von Namenskollisionen und macht Refactoring schwerer, ist aber für ein Ein-Personen-Projekt ohne Build-Pipeline eine vertretbare, pragmatische Entscheidung.</w:t>
      </w:r>
    </w:p>
    <w:p>
      <w:pPr>
        <w:spacing w:after="160" w:line="300"/>
      </w:pPr>
      <w:r>
        <w:rPr>
          <w:b/>
          <w:bCs/>
          <w:color w:val="1B7A3D"/>
        </w:rPr>
        <w:t xml:space="preserve">[Positiv] </w:t>
      </w:r>
      <w:r>
        <w:t xml:space="preserve">js/storage.js kapselt sämtliche localStorage-Zugriffe konsequent in try/catch-Blöcke (u. a. Zeilen 5, 144, 158, 321, 401) und behandelt Speicherfehler als „best effort“, ohne die App abstürzen zu lassen. Das ist genau das richtige Verhalten für Autosave-Funktionalität.</w:t>
      </w:r>
    </w:p>
    <w:p>
      <w:pPr>
        <w:spacing w:after="160" w:line="300"/>
      </w:pPr>
      <w:r>
        <w:rPr>
          <w:b/>
          <w:bCs/>
          <w:color w:val="B58500"/>
        </w:rPr>
        <w:t xml:space="preserve">[Befund T1] </w:t>
      </w:r>
      <w:r>
        <w:t xml:space="preserve">In js/pdf-generator.js, js/anschluss-generator.js und js/geraete-generator.js wird jeweils ungeprüft `const { jsPDF } = window.jspdf;` ausgeführt. Ist der Vendor-Skript-Ladevorgang fehlgeschlagen (z. B. beschädigter Service-Worker-Cache, erster Aufruf ohne Netz vor vollständiger Installation, blockierender Content-Blocker), wirft diese Zeile eine rohe „Cannot destructure property 'jsPDF' of undefined“-Fehlermeldung ohne jede für den Nutzer verständliche Rückmeldung. Empfehlung: Vor dem Zugriff einen Existenz-Check einbauen und bei Fehlen eine klare Meldung „PDF-Bibliothek konnte nicht geladen werden – bitte Seite neu laden, sobald wieder Netzverbindung besteht“ anzeigen.</w:t>
      </w:r>
    </w:p>
    <w:p>
      <w:pPr>
        <w:pStyle w:val="Heading2"/>
        <w:spacing w:after="120" w:before="300"/>
      </w:pPr>
      <w:r>
        <w:t xml:space="preserve">1.2 Datenhandling im localStorage</w:t>
      </w:r>
    </w:p>
    <w:p>
      <w:pPr>
        <w:spacing w:after="160" w:line="300"/>
      </w:pPr>
      <w:r>
        <w:t xml:space="preserve">Stammdaten, Formularzustand (Autosave) und das Protokollarchiv werden vollständig im localStorage des Geräts gehalten. Das Autosave-Muster verwendet eine entprellte (debounced) Speicherfunktion, die beim Verlassen der Seite (pagehide) und beim Wechsel der Sichtbarkeit (visibilitychange) zusätzlich sofort auslöst – das ist ein korrektes, robustes Muster gegen Datenverlust bei App-Wechsel oder Tab-Schließen.</w:t>
      </w:r>
    </w:p>
    <w:p>
      <w:pPr>
        <w:spacing w:after="160" w:line="300"/>
      </w:pPr>
      <w:r>
        <w:rPr>
          <w:b/>
          <w:bCs/>
          <w:color w:val="D97706"/>
        </w:rPr>
        <w:t xml:space="preserve">[Befund T2 (Edge Case)] </w:t>
      </w:r>
      <w:r>
        <w:t xml:space="preserve">localStorage ist pro Ursprung und Browser typischerweise auf 5–10 MB begrenzt und unterliegt auf iOS/Safari einer aggressiven Speicherbereinigung, wenn die Website länger nicht besucht wurde oder das Gerät unter Speicherdruck steht (Webseiten-Daten können nach ca. 7 Tagen Inaktivität vollständig gelöscht werden, sofern die App nicht „zum Home-Bildschirm hinzugefügt“ wurde). Bei einer Mehrtages-Produktion mit Aufbau, mehreren Prüfterminen und Pause dazwischen besteht ein reales Risiko, dass ein iPad, das zwischenzeitlich nicht geöffnet wurde, das komplette Archiv verliert – ohne Warnung, ohne Export-Erinnerung. Ein `catch(e){}` verhindert zwar den Absturz, verhindert aber nicht den Datenverlust selbst.</w:t>
      </w:r>
    </w:p>
    <w:p>
      <w:pPr>
        <w:pStyle w:val="ListParagraph"/>
        <w:numPr>
          <w:ilvl w:val="0"/>
          <w:numId w:val="1"/>
        </w:numPr>
        <w:spacing w:after="100" w:line="280"/>
      </w:pPr>
      <w:r>
        <w:t xml:space="preserve">Empfehlung: Beim Öffnen der App regelmäßig (z. B. wöchentlich) proaktiv an einen Archiv-Export/Backup erinnern, sofern das Archiv nicht leer ist.</w:t>
      </w:r>
    </w:p>
    <w:p>
      <w:pPr>
        <w:pStyle w:val="ListParagraph"/>
        <w:numPr>
          <w:ilvl w:val="0"/>
          <w:numId w:val="1"/>
        </w:numPr>
        <w:spacing w:after="100" w:line="280"/>
      </w:pPr>
      <w:r>
        <w:t xml:space="preserve">Empfehlung: Die Installation als Home-Bildschirm-App (bereits vorgesehen) im Onboarding stärker in den Vordergrund stellen, da installierte PWAs unter iOS von der 7-Tage-Bereinigung ausgenommen sind.</w:t>
      </w:r>
    </w:p>
    <w:p>
      <w:pPr>
        <w:pStyle w:val="ListParagraph"/>
        <w:numPr>
          <w:ilvl w:val="0"/>
          <w:numId w:val="1"/>
        </w:numPr>
        <w:spacing w:after="100" w:line="280"/>
      </w:pPr>
      <w:r>
        <w:t xml:space="preserve">Empfehlung: Vor dem Schreiben großer Datenmengen (z. B. 96-Geräte-Archiv) auf QuotaExceededError prüfen und den Nutzer aktiv warnen, statt den Fehler stumm zu verschlucken.</w:t>
      </w:r>
    </w:p>
    <w:p>
      <w:pPr>
        <w:pStyle w:val="Heading2"/>
        <w:spacing w:after="120" w:before="300"/>
      </w:pPr>
      <w:r>
        <w:t xml:space="preserve">1.3 Offline-Fähigkeit der PWA</w:t>
      </w:r>
    </w:p>
    <w:p>
      <w:pPr>
        <w:spacing w:after="160" w:line="300"/>
      </w:pPr>
      <w:r>
        <w:t xml:space="preserve">Der Service Worker (sw.js, aktuell Version 4.6.0, synchron zu APP_VERSION) implementiert eine saubere Zwei-Strategien-Architektur: Network-First mit Offline-Fallback für HTML/Navigation (immer die aktuelle Version, aber offline nutzbar) und Cache-First für CSS/JS/Icons (maximale Geschwindigkeit, offline sicher). Bemerkenswert positiv: Das Precaching einzelner Dateien ist fehlertolerant umgesetzt (ein einzelner fehlgeschlagener Asset-Download bricht die gesamte Installation nicht ab), alle Pfade sind relativ gehalten (funktioniert unter GitHub Pages-Unterverzeichnis und eigener Domain gleichermaßen), und die Cache-Bereinigung beim Aktivieren entfernt zuverlässig alte Versionsstände. Der Code enthält einen expliziten Kommentar-Hinweis für zukünftige Wartung, dass SW_VERSION bei jedem Release hochgezählt werden muss, weil sonst Nutzer trotz erfolgreichem Upload die alte, gecachte Version ausgeliefert bekommen – dieser Hinweis ist im Manifest-Prozess (README) auch tatsächlich verankert.</w:t>
      </w:r>
    </w:p>
    <w:p>
      <w:pPr>
        <w:spacing w:after="160" w:line="300"/>
      </w:pPr>
      <w:r>
        <w:rPr>
          <w:b/>
          <w:bCs/>
          <w:color w:val="6B7280"/>
        </w:rPr>
        <w:t xml:space="preserve">[Hinweis] </w:t>
      </w:r>
      <w:r>
        <w:t xml:space="preserve">Die Update-Erkennung hängt vollständig von der byteweisen Änderung von sw.js ab. Solange Betrieb und Entwicklerin diesen Prozess einhalten (im README dokumentiert), funktioniert das zuverlässig; ein Automatismus (z. B. Content-Hash statt manueller Versionsnummer) wäre robuster gegen menschliches Vergessen, ist aber angesichts der guten Dokumentation kein dringender Punkt.</w:t>
      </w:r>
    </w:p>
    <w:p>
      <w:pPr>
        <w:pStyle w:val="Heading2"/>
        <w:spacing w:after="120" w:before="300"/>
      </w:pPr>
      <w:r>
        <w:t xml:space="preserve">1.4 Fehleranfälligkeit / Edge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2938"/>
        <w:gridCol w:w="1800"/>
      </w:tblGrid>
      <w:tr>
        <w:trPr>
          <w:tblHeader/>
        </w:trPr>
        <w:tc>
          <w:tcPr>
            <w:tcW w:type="dxa" w:w="700"/>
            <w:shd w:fill="003366" w:val="clear"/>
            <w:tcMar>
              <w:top w:type="dxa" w:w="80"/>
              <w:left w:type="dxa" w:w="100"/>
              <w:bottom w:type="dxa" w:w="80"/>
              <w:right w:type="dxa" w:w="100"/>
            </w:tcMar>
          </w:tcPr>
          <w:p>
            <w:r>
              <w:rPr>
                <w:b/>
                <w:bCs/>
                <w:color w:val="FFFFFF"/>
                <w:sz w:val="19"/>
                <w:szCs w:val="19"/>
              </w:rPr>
              <w:t xml:space="preserve">Nr.</w:t>
            </w:r>
          </w:p>
        </w:tc>
        <w:tc>
          <w:tcPr>
            <w:tcW w:type="dxa" w:w="4200"/>
            <w:shd w:fill="003366" w:val="clear"/>
            <w:tcMar>
              <w:top w:type="dxa" w:w="80"/>
              <w:left w:type="dxa" w:w="100"/>
              <w:bottom w:type="dxa" w:w="80"/>
              <w:right w:type="dxa" w:w="100"/>
            </w:tcMar>
          </w:tcPr>
          <w:p>
            <w:r>
              <w:rPr>
                <w:b/>
                <w:bCs/>
                <w:color w:val="FFFFFF"/>
                <w:sz w:val="19"/>
                <w:szCs w:val="19"/>
              </w:rPr>
              <w:t xml:space="preserve">Befund</w:t>
            </w:r>
          </w:p>
        </w:tc>
        <w:tc>
          <w:tcPr>
            <w:tcW w:type="dxa" w:w="2938"/>
            <w:shd w:fill="003366" w:val="clear"/>
            <w:tcMar>
              <w:top w:type="dxa" w:w="80"/>
              <w:left w:type="dxa" w:w="100"/>
              <w:bottom w:type="dxa" w:w="80"/>
              <w:right w:type="dxa" w:w="100"/>
            </w:tcMar>
          </w:tcPr>
          <w:p>
            <w:r>
              <w:rPr>
                <w:b/>
                <w:bCs/>
                <w:color w:val="FFFFFF"/>
                <w:sz w:val="19"/>
                <w:szCs w:val="19"/>
              </w:rPr>
              <w:t xml:space="preserve">Status 4.6.0</w:t>
            </w:r>
          </w:p>
        </w:tc>
        <w:tc>
          <w:tcPr>
            <w:tcW w:type="dxa" w:w="1800"/>
            <w:shd w:fill="003366" w:val="clear"/>
            <w:tcMar>
              <w:top w:type="dxa" w:w="80"/>
              <w:left w:type="dxa" w:w="100"/>
              <w:bottom w:type="dxa" w:w="80"/>
              <w:right w:type="dxa" w:w="100"/>
            </w:tcMar>
          </w:tcPr>
          <w:p>
            <w:r>
              <w:rPr>
                <w:b/>
                <w:bCs/>
                <w:color w:val="FFFFFF"/>
                <w:sz w:val="19"/>
                <w:szCs w:val="19"/>
              </w:rPr>
              <w:t xml:space="preserve">Fundstelle</w:t>
            </w:r>
          </w:p>
        </w:tc>
      </w:tr>
      <w:tr>
        <w:tc>
          <w:tcPr>
            <w:tcW w:type="dxa" w:w="700"/>
            <w:tcMar>
              <w:top w:type="dxa" w:w="60"/>
              <w:left w:type="dxa" w:w="100"/>
              <w:bottom w:type="dxa" w:w="60"/>
              <w:right w:type="dxa" w:w="100"/>
            </w:tcMar>
          </w:tcPr>
          <w:p>
            <w:r>
              <w:rPr>
                <w:sz w:val="19"/>
                <w:szCs w:val="19"/>
              </w:rPr>
              <w:t xml:space="preserve">A7/A8</w:t>
            </w:r>
          </w:p>
        </w:tc>
        <w:tc>
          <w:tcPr>
            <w:tcW w:type="dxa" w:w="4200"/>
            <w:tcMar>
              <w:top w:type="dxa" w:w="60"/>
              <w:left w:type="dxa" w:w="100"/>
              <w:bottom w:type="dxa" w:w="60"/>
              <w:right w:type="dxa" w:w="100"/>
            </w:tcMar>
          </w:tcPr>
          <w:p>
            <w:r>
              <w:rPr>
                <w:sz w:val="19"/>
                <w:szCs w:val="19"/>
              </w:rPr>
              <w:t xml:space="preserve">„Einphasige Einspeisung – L-L entfällt“ wurde automatisch angekreuzt, sobald keine Außenleiterspannungen eingetragen waren – auch bei eindeutig dreiphasigen Anlagen (Musterprotokoll widersprach sich selbst).</w:t>
            </w:r>
          </w:p>
        </w:tc>
        <w:tc>
          <w:tcPr>
            <w:tcW w:type="dxa" w:w="2938"/>
            <w:tcMar>
              <w:top w:type="dxa" w:w="60"/>
              <w:left w:type="dxa" w:w="100"/>
              <w:bottom w:type="dxa" w:w="60"/>
              <w:right w:type="dxa" w:w="100"/>
            </w:tcMar>
          </w:tcPr>
          <w:p>
            <w:r>
              <w:rPr>
                <w:sz w:val="19"/>
                <w:szCs w:val="19"/>
              </w:rPr>
              <w:t xml:space="preserve">Behoben in 4.5.0 – Feld und Automatik ersatzlos entfernt; nicht gemessene Netzmessungswerte erscheinen im ausgefüllten PDF jetzt als „n. gem.“ statt leerer Linie.</w:t>
            </w:r>
          </w:p>
        </w:tc>
        <w:tc>
          <w:tcPr>
            <w:tcW w:type="dxa" w:w="1800"/>
            <w:tcMar>
              <w:top w:type="dxa" w:w="60"/>
              <w:left w:type="dxa" w:w="100"/>
              <w:bottom w:type="dxa" w:w="60"/>
              <w:right w:type="dxa" w:w="100"/>
            </w:tcMar>
          </w:tcPr>
          <w:p>
            <w:r>
              <w:rPr>
                <w:sz w:val="19"/>
                <w:szCs w:val="19"/>
              </w:rPr>
              <w:t xml:space="preserve">js/pdf-generator.js</w:t>
            </w:r>
          </w:p>
        </w:tc>
      </w:tr>
      <w:tr>
        <w:tc>
          <w:tcPr>
            <w:tcW w:type="dxa" w:w="700"/>
            <w:shd w:fill="F2F2F2" w:val="clear"/>
            <w:tcMar>
              <w:top w:type="dxa" w:w="60"/>
              <w:left w:type="dxa" w:w="100"/>
              <w:bottom w:type="dxa" w:w="60"/>
              <w:right w:type="dxa" w:w="100"/>
            </w:tcMar>
          </w:tcPr>
          <w:p>
            <w:r>
              <w:rPr>
                <w:sz w:val="19"/>
                <w:szCs w:val="19"/>
              </w:rPr>
              <w:t xml:space="preserve">A4</w:t>
            </w:r>
          </w:p>
        </w:tc>
        <w:tc>
          <w:tcPr>
            <w:tcW w:type="dxa" w:w="4200"/>
            <w:shd w:fill="F2F2F2" w:val="clear"/>
            <w:tcMar>
              <w:top w:type="dxa" w:w="60"/>
              <w:left w:type="dxa" w:w="100"/>
              <w:bottom w:type="dxa" w:w="60"/>
              <w:right w:type="dxa" w:w="100"/>
            </w:tcMar>
          </w:tcPr>
          <w:p>
            <w:r>
              <w:rPr>
                <w:sz w:val="19"/>
                <w:szCs w:val="19"/>
              </w:rPr>
              <w:t xml:space="preserve">Kalibrierdatum wird im PDF nur gedruckt, wenn zusätzlich eine Seriennummer eingetragen ist (`if (sn &amp;&amp; kal)`); ohne Seriennummer verschwindet der Kalibriernachweis kommentarlos.</w:t>
            </w:r>
          </w:p>
        </w:tc>
        <w:tc>
          <w:tcPr>
            <w:tcW w:type="dxa" w:w="2938"/>
            <w:shd w:fill="F2F2F2" w:val="clear"/>
            <w:tcMar>
              <w:top w:type="dxa" w:w="60"/>
              <w:left w:type="dxa" w:w="100"/>
              <w:bottom w:type="dxa" w:w="60"/>
              <w:right w:type="dxa" w:w="100"/>
            </w:tcMar>
          </w:tcPr>
          <w:p>
            <w:r>
              <w:rPr>
                <w:sz w:val="19"/>
                <w:szCs w:val="19"/>
              </w:rPr>
              <w:t xml:space="preserve">Weiterhin offen – Code-Stelle unverändert in allen drei Generatoren.</w:t>
            </w:r>
          </w:p>
        </w:tc>
        <w:tc>
          <w:tcPr>
            <w:tcW w:type="dxa" w:w="1800"/>
            <w:shd w:fill="F2F2F2" w:val="clear"/>
            <w:tcMar>
              <w:top w:type="dxa" w:w="60"/>
              <w:left w:type="dxa" w:w="100"/>
              <w:bottom w:type="dxa" w:w="60"/>
              <w:right w:type="dxa" w:w="100"/>
            </w:tcMar>
          </w:tcPr>
          <w:p>
            <w:r>
              <w:rPr>
                <w:sz w:val="19"/>
                <w:szCs w:val="19"/>
              </w:rPr>
              <w:t xml:space="preserve">pdf-generator.js Z. ~775, anschluss-generator.js Z. ~532</w:t>
            </w:r>
          </w:p>
        </w:tc>
      </w:tr>
      <w:tr>
        <w:tc>
          <w:tcPr>
            <w:tcW w:type="dxa" w:w="700"/>
            <w:tcMar>
              <w:top w:type="dxa" w:w="60"/>
              <w:left w:type="dxa" w:w="100"/>
              <w:bottom w:type="dxa" w:w="60"/>
              <w:right w:type="dxa" w:w="100"/>
            </w:tcMar>
          </w:tcPr>
          <w:p>
            <w:r>
              <w:rPr>
                <w:sz w:val="19"/>
                <w:szCs w:val="19"/>
              </w:rPr>
              <w:t xml:space="preserve">D3</w:t>
            </w:r>
          </w:p>
        </w:tc>
        <w:tc>
          <w:tcPr>
            <w:tcW w:type="dxa" w:w="4200"/>
            <w:tcMar>
              <w:top w:type="dxa" w:w="60"/>
              <w:left w:type="dxa" w:w="100"/>
              <w:bottom w:type="dxa" w:w="60"/>
              <w:right w:type="dxa" w:w="100"/>
            </w:tcMar>
          </w:tcPr>
          <w:p>
            <w:r>
              <w:rPr>
                <w:sz w:val="19"/>
                <w:szCs w:val="19"/>
              </w:rPr>
              <w:t xml:space="preserve">Seriennummer-Präfix wird ungeprüft vorangestellt: Beginnt die hinterlegte Seriennummer bereits mit „SN-“, entsteht im PDF „SN SN-1663-98214“.</w:t>
            </w:r>
          </w:p>
        </w:tc>
        <w:tc>
          <w:tcPr>
            <w:tcW w:type="dxa" w:w="2938"/>
            <w:tcMar>
              <w:top w:type="dxa" w:w="60"/>
              <w:left w:type="dxa" w:w="100"/>
              <w:bottom w:type="dxa" w:w="60"/>
              <w:right w:type="dxa" w:w="100"/>
            </w:tcMar>
          </w:tcPr>
          <w:p>
            <w:r>
              <w:rPr>
                <w:sz w:val="19"/>
                <w:szCs w:val="19"/>
              </w:rPr>
              <w:t xml:space="preserve">Weiterhin offen.</w:t>
            </w:r>
          </w:p>
        </w:tc>
        <w:tc>
          <w:tcPr>
            <w:tcW w:type="dxa" w:w="1800"/>
            <w:tcMar>
              <w:top w:type="dxa" w:w="60"/>
              <w:left w:type="dxa" w:w="100"/>
              <w:bottom w:type="dxa" w:w="60"/>
              <w:right w:type="dxa" w:w="100"/>
            </w:tcMar>
          </w:tcPr>
          <w:p>
            <w:r>
              <w:rPr>
                <w:sz w:val="19"/>
                <w:szCs w:val="19"/>
              </w:rPr>
              <w:t xml:space="preserve">pdf-generator.js Z. 775, anschluss-generator.js Z. 532, geraete-generator.js Z. 534</w:t>
            </w:r>
          </w:p>
        </w:tc>
      </w:tr>
      <w:tr>
        <w:tc>
          <w:tcPr>
            <w:tcW w:type="dxa" w:w="700"/>
            <w:shd w:fill="F2F2F2" w:val="clear"/>
            <w:tcMar>
              <w:top w:type="dxa" w:w="60"/>
              <w:left w:type="dxa" w:w="100"/>
              <w:bottom w:type="dxa" w:w="60"/>
              <w:right w:type="dxa" w:w="100"/>
            </w:tcMar>
          </w:tcPr>
          <w:p>
            <w:r>
              <w:rPr>
                <w:sz w:val="19"/>
                <w:szCs w:val="19"/>
              </w:rPr>
              <w:t xml:space="preserve">A9</w:t>
            </w:r>
          </w:p>
        </w:tc>
        <w:tc>
          <w:tcPr>
            <w:tcW w:type="dxa" w:w="4200"/>
            <w:shd w:fill="F2F2F2" w:val="clear"/>
            <w:tcMar>
              <w:top w:type="dxa" w:w="60"/>
              <w:left w:type="dxa" w:w="100"/>
              <w:bottom w:type="dxa" w:w="60"/>
              <w:right w:type="dxa" w:w="100"/>
            </w:tcMar>
          </w:tcPr>
          <w:p>
            <w:r>
              <w:rPr>
                <w:sz w:val="19"/>
                <w:szCs w:val="19"/>
              </w:rPr>
              <w:t xml:space="preserve">Mitgelieferte Beispieldaten enthielten widersprüchliche Werte (Drehfeld/Polarität auf „n.a.“ trotz einschlägigem Stromkreis).</w:t>
            </w:r>
          </w:p>
        </w:tc>
        <w:tc>
          <w:tcPr>
            <w:tcW w:type="dxa" w:w="2938"/>
            <w:shd w:fill="F2F2F2" w:val="clear"/>
            <w:tcMar>
              <w:top w:type="dxa" w:w="60"/>
              <w:left w:type="dxa" w:w="100"/>
              <w:bottom w:type="dxa" w:w="60"/>
              <w:right w:type="dxa" w:w="100"/>
            </w:tcMar>
          </w:tcPr>
          <w:p>
            <w:r>
              <w:rPr>
                <w:sz w:val="19"/>
                <w:szCs w:val="19"/>
              </w:rPr>
              <w:t xml:space="preserve">Teilweise behoben – Netzmessungs-Beispieldaten wurden um Außenleiterspannungen ergänzt; die erp-item-Felder sind nun grundsätzlich auf „n.a.“ vorbelegt statt „i.O.“, wodurch der ursprüngliche Widerspruch entschärft ist.</w:t>
            </w:r>
          </w:p>
        </w:tc>
        <w:tc>
          <w:tcPr>
            <w:tcW w:type="dxa" w:w="1800"/>
            <w:shd w:fill="F2F2F2" w:val="clear"/>
            <w:tcMar>
              <w:top w:type="dxa" w:w="60"/>
              <w:left w:type="dxa" w:w="100"/>
              <w:bottom w:type="dxa" w:w="60"/>
              <w:right w:type="dxa" w:w="100"/>
            </w:tcMar>
          </w:tcPr>
          <w:p>
            <w:r>
              <w:rPr>
                <w:sz w:val="19"/>
                <w:szCs w:val="19"/>
              </w:rPr>
              <w:t xml:space="preserve">js/pdf-generator.js fillExampleData()</w:t>
            </w:r>
          </w:p>
        </w:tc>
      </w:tr>
      <w:tr>
        <w:tc>
          <w:tcPr>
            <w:tcW w:type="dxa" w:w="700"/>
            <w:tcMar>
              <w:top w:type="dxa" w:w="60"/>
              <w:left w:type="dxa" w:w="100"/>
              <w:bottom w:type="dxa" w:w="60"/>
              <w:right w:type="dxa" w:w="100"/>
            </w:tcMar>
          </w:tcPr>
          <w:p>
            <w:r>
              <w:rPr>
                <w:sz w:val="19"/>
                <w:szCs w:val="19"/>
              </w:rPr>
              <w:t xml:space="preserve">D12</w:t>
            </w:r>
          </w:p>
        </w:tc>
        <w:tc>
          <w:tcPr>
            <w:tcW w:type="dxa" w:w="4200"/>
            <w:tcMar>
              <w:top w:type="dxa" w:w="60"/>
              <w:left w:type="dxa" w:w="100"/>
              <w:bottom w:type="dxa" w:w="60"/>
              <w:right w:type="dxa" w:w="100"/>
            </w:tcMar>
          </w:tcPr>
          <w:p>
            <w:r>
              <w:rPr>
                <w:sz w:val="19"/>
                <w:szCs w:val="19"/>
              </w:rPr>
              <w:t xml:space="preserve">`formatNetzspannung()` zerlegt Eingaben rein nach Ziffernfolge, wodurch „3x400“ zu „340 / 0“ verfälscht werden kann – eine stille Datenverfälschung im Kopfdatensatz.</w:t>
            </w:r>
          </w:p>
        </w:tc>
        <w:tc>
          <w:tcPr>
            <w:tcW w:type="dxa" w:w="2938"/>
            <w:tcMar>
              <w:top w:type="dxa" w:w="60"/>
              <w:left w:type="dxa" w:w="100"/>
              <w:bottom w:type="dxa" w:w="60"/>
              <w:right w:type="dxa" w:w="100"/>
            </w:tcMar>
          </w:tcPr>
          <w:p>
            <w:r>
              <w:rPr>
                <w:sz w:val="19"/>
                <w:szCs w:val="19"/>
              </w:rPr>
              <w:t xml:space="preserve">Nicht erneut isoliert geprüft in dieser Runde – als offen zu behandeln, bis im Formular gegengetestet.</w:t>
            </w:r>
          </w:p>
        </w:tc>
        <w:tc>
          <w:tcPr>
            <w:tcW w:type="dxa" w:w="1800"/>
            <w:tcMar>
              <w:top w:type="dxa" w:w="60"/>
              <w:left w:type="dxa" w:w="100"/>
              <w:bottom w:type="dxa" w:w="60"/>
              <w:right w:type="dxa" w:w="100"/>
            </w:tcMar>
          </w:tcPr>
          <w:p>
            <w:r>
              <w:rPr>
                <w:sz w:val="19"/>
                <w:szCs w:val="19"/>
              </w:rPr>
              <w:t xml:space="preserve">js/pdf-utils.js</w:t>
            </w:r>
          </w:p>
        </w:tc>
      </w:tr>
    </w:tbl>
    <w:p>
      <w:pPr>
        <w:spacing w:after="160" w:line="300"/>
      </w:pPr>
      <w:r>
        <w:t xml:space="preserve"/>
      </w:r>
    </w:p>
    <w:p>
      <w:pPr>
        <w:spacing w:after="160" w:line="300"/>
      </w:pPr>
      <w:r>
        <w:rPr>
          <w:b/>
          <w:bCs/>
          <w:color w:val="B3261E"/>
        </w:rPr>
        <w:t xml:space="preserve">[Befund T3] </w:t>
      </w:r>
      <w:r>
        <w:t xml:space="preserve">PDF-Erzeugung ohne serverseitige Beweissicherung: Da jsPDF vollständig im Browser läuft, hängt die Integrität eines erzeugten Prüfprotokolls allein vom Gerät und dessen Uhrzeit ab. Für ein rechtssicheres Dokument (siehe Abschnitt 3) fehlt ein Mechanismus, der eine nachträgliche Manipulation des bereits erzeugten PDFs erkennbar macht (z. B. Prüfsumme/Hash im Dateinamen oder Fußzeile). Das ist kein reiner App-Fehler, sondern eine grundsätzliche Eigenschaft rein clientseitiger PDF-Erzeugung – sollte aber bei der rechtlichen Bewertung (Abschnitt 3) berücksichtigt werden.</w:t>
      </w:r>
    </w:p>
    <w:p>
      <w:pPr>
        <w:pStyle w:val="Heading2"/>
        <w:spacing w:after="120" w:before="300"/>
      </w:pPr>
      <w:r>
        <w:t xml:space="preserve">1.5 Performance &amp; Usability</w:t>
      </w:r>
    </w:p>
    <w:p>
      <w:pPr>
        <w:spacing w:after="160" w:line="300"/>
      </w:pPr>
      <w:r>
        <w:t xml:space="preserve">Die in der Voranalyse dokumentierte Simulation einer kompletten Open-Air-Veranstaltung (9 Verteilungen, 51 Stromkreise, 96 Geräte) zeigte sehr gute Performance-Werte: PDF-Erzeugungszeit rund 1,9 Sekunden je Anlagenprotokoll, 96 Gerätekarten wurden in 192 ms im DOM aufgebaut, das Geräteprotokoll mit 96 Einträgen entstand in unter 6 Sekunden. Für ein reines Client-Side-Rendering ohne Web Worker ist das ein gutes Ergebnis und im Praxiseinsatz nicht spürbar.</w:t>
      </w:r>
    </w:p>
    <w:p>
      <w:pPr>
        <w:spacing w:after="160" w:line="300"/>
      </w:pPr>
      <w:r>
        <w:rPr>
          <w:b/>
          <w:bCs/>
          <w:color w:val="D97706"/>
        </w:rPr>
        <w:t xml:space="preserve">[Befund T4 – Barrierefreiheit / Bedienung unter Stress] </w:t>
      </w:r>
      <w:r>
        <w:t xml:space="preserve">Im gesamten Stylesheet (css/style.css) existiert keine einzige `:focus`-Regel. Für ein Formular, das im Freien, mit Handschuhen, bei Tageslicht-Blendung, ggf. über eine Bluetooth-Tastatur oder mit angeschlossenem Messgerät-Tablet bedient wird, bedeutet das: Tastaturnutzer und Nutzer von Diktier-/Sprachsteuerung sehen nicht, welches Feld aktiv ist. Das ist keine Kosmetik, sondern ein Bedienbarkeitsrisiko unter genau den Stressbedingungen, für die die App gebaut wurde.</w:t>
      </w:r>
    </w:p>
    <w:p>
      <w:pPr>
        <w:spacing w:after="160" w:line="300"/>
      </w:pPr>
      <w:r>
        <w:rPr>
          <w:b/>
          <w:bCs/>
          <w:color w:val="B58500"/>
        </w:rPr>
        <w:t xml:space="preserve">[Befund T5] </w:t>
      </w:r>
      <w:r>
        <w:t xml:space="preserve">Die Platzhalterfarbe der Eingabefelder (#94a3b8 auf weißem Grund) erreicht ein Kontrastverhältnis von rund 2,6:1 – deutlich unter dem WCAG-Mindestwert 4,5:1 für Normaltext. Betroffen sind ausgerechnet die Formatbeispiele („z. B. NH 3x100 A gL“), die bei Sonneneinstrahlung auf dem Tablet-Display kaum lesbar sind.</w:t>
      </w:r>
    </w:p>
    <w:p>
      <w:pPr>
        <w:spacing w:after="160" w:line="300"/>
      </w:pPr>
      <w:r>
        <w:rPr>
          <w:b/>
          <w:bCs/>
          <w:color w:val="B58500"/>
        </w:rPr>
        <w:t xml:space="preserve">[Befund T6] </w:t>
      </w:r>
      <w:r>
        <w:t xml:space="preserve">Die Grenzwerthinweise unter den Eingabefeldern (Klasse .limit-hint) sind mit rund 0,68 rem (≈ 10,9 px) die kleinste Schrift der gesamten Oberfläche – obwohl sie fachlich die wichtigste Information für ungeübte Prüfer/Auszubildende enthalten (siehe Abschnitt 2).</w:t>
      </w:r>
    </w:p>
    <w:p>
      <w:pPr>
        <w:spacing w:after="160" w:line="300"/>
      </w:pPr>
      <w:r>
        <w:rPr>
          <w:b/>
          <w:bCs/>
          <w:color w:val="B58500"/>
        </w:rPr>
        <w:t xml:space="preserve">[Befund T7] </w:t>
      </w:r>
      <w:r>
        <w:t xml:space="preserve">Die Touch-Ziel-Vergrößerung für grobe Zeigegeräte (`@media (pointer: coarse)`) hebt nur `.quick-btn` und `.btn-danger` auf 44 px Zielgröße an. Die Standardbuttons `.btn` und `.btn-secondary` – darunter ausgerechnet „Stromkreis hinzufügen“, „Duplizieren“ und „PDF generieren“, also die am häufigsten getippten Knöpfe im gesamten Arbeitsablauf – bleiben darunter.</w:t>
      </w:r>
    </w:p>
    <w:p>
      <w:pPr>
        <w:spacing w:after="160" w:line="300"/>
      </w:pPr>
      <w:r>
        <w:rPr>
          <w:b/>
          <w:bCs/>
          <w:color w:val="1B7A3D"/>
        </w:rPr>
        <w:t xml:space="preserve">[Positiv] </w:t>
      </w:r>
      <w:r>
        <w:t xml:space="preserve">Die responsive Grundstruktur (CSS Grid/Flexbox, kein fester Pixel-Layout-Container) funktioniert auf Mobilgeräten ohne horizontales Scrollen; das Formular bleibt auf einem Tablet im Hochformat vollständig bedienbar, wie der Live-Test bestätigt.</w:t>
      </w:r>
    </w:p>
    <w:p>
      <w:pPr>
        <w:pStyle w:val="Heading2"/>
        <w:spacing w:after="120" w:before="300"/>
      </w:pPr>
      <w:r>
        <w:t xml:space="preserve">1.6 Konkrete Code-Verbesserungen</w:t>
      </w:r>
    </w:p>
    <w:p>
      <w:pPr>
        <w:pStyle w:val="Heading3"/>
        <w:spacing w:after="100" w:before="220"/>
      </w:pPr>
      <w:r>
        <w:t xml:space="preserve">Kalibrierdatum unabhängig von Seriennummer drucken (A4)</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 vorher:</w:t>
      </w:r>
      <w:r>
        <w:rPr>
          <w:rFonts w:ascii="Consolas" w:cs="Consolas" w:eastAsia="Consolas" w:hAnsi="Consolas"/>
          <w:sz w:val="18"/>
          <w:szCs w:val="18"/>
        </w:rPr>
        <w:br/>
        <w:t xml:space="preserve">let t = g;</w:t>
      </w:r>
      <w:r>
        <w:rPr>
          <w:rFonts w:ascii="Consolas" w:cs="Consolas" w:eastAsia="Consolas" w:hAnsi="Consolas"/>
          <w:sz w:val="18"/>
          <w:szCs w:val="18"/>
        </w:rPr>
        <w:br/>
        <w:t xml:space="preserve">if (sn) t += ` (SN ${sn}`;</w:t>
      </w:r>
      <w:r>
        <w:rPr>
          <w:rFonts w:ascii="Consolas" w:cs="Consolas" w:eastAsia="Consolas" w:hAnsi="Consolas"/>
          <w:sz w:val="18"/>
          <w:szCs w:val="18"/>
        </w:rPr>
        <w:br/>
        <w:t xml:space="preserve">if (sn &amp;&amp; kal) t += `, kal. bis ${kal}`;</w:t>
      </w:r>
      <w:r>
        <w:rPr>
          <w:rFonts w:ascii="Consolas" w:cs="Consolas" w:eastAsia="Consolas" w:hAnsi="Consolas"/>
          <w:sz w:val="18"/>
          <w:szCs w:val="18"/>
        </w:rPr>
        <w:br/>
        <w:t xml:space="preserve">if (sn) t += ')';</w:t>
      </w:r>
      <w:r>
        <w:rPr>
          <w:rFonts w:ascii="Consolas" w:cs="Consolas" w:eastAsia="Consolas" w:hAnsi="Consolas"/>
          <w:sz w:val="18"/>
          <w:szCs w:val="18"/>
        </w:rPr>
        <w:br/>
        <w:t xml:space="preserve"/>
      </w:r>
      <w:r>
        <w:rPr>
          <w:rFonts w:ascii="Consolas" w:cs="Consolas" w:eastAsia="Consolas" w:hAnsi="Consolas"/>
          <w:sz w:val="18"/>
          <w:szCs w:val="18"/>
        </w:rPr>
        <w:br/>
        <w:t xml:space="preserve">// nachher:</w:t>
      </w:r>
      <w:r>
        <w:rPr>
          <w:rFonts w:ascii="Consolas" w:cs="Consolas" w:eastAsia="Consolas" w:hAnsi="Consolas"/>
          <w:sz w:val="18"/>
          <w:szCs w:val="18"/>
        </w:rPr>
        <w:br/>
        <w:t xml:space="preserve">const teile = [sn ? `SN ${sn}` : null, kal ? `kal. bis ${kal}` : null].filter(Boolean);</w:t>
      </w:r>
      <w:r>
        <w:rPr>
          <w:rFonts w:ascii="Consolas" w:cs="Consolas" w:eastAsia="Consolas" w:hAnsi="Consolas"/>
          <w:sz w:val="18"/>
          <w:szCs w:val="18"/>
        </w:rPr>
        <w:br/>
        <w:t xml:space="preserve">let t = teile.length ? `${g} (${teile.join(', ')})` : g;</w:t>
      </w:r>
    </w:p>
    <w:p>
      <w:pPr>
        <w:pStyle w:val="Heading3"/>
        <w:spacing w:after="100" w:before="220"/>
      </w:pPr>
      <w:r>
        <w:t xml:space="preserve">Doppeltes „SN“-Präfix vermeiden (D3)</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 vorher:</w:t>
      </w:r>
      <w:r>
        <w:rPr>
          <w:rFonts w:ascii="Consolas" w:cs="Consolas" w:eastAsia="Consolas" w:hAnsi="Consolas"/>
          <w:sz w:val="18"/>
          <w:szCs w:val="18"/>
        </w:rPr>
        <w:br/>
        <w:t xml:space="preserve">if (sn) t += ` (SN ${sn})`;</w:t>
      </w:r>
      <w:r>
        <w:rPr>
          <w:rFonts w:ascii="Consolas" w:cs="Consolas" w:eastAsia="Consolas" w:hAnsi="Consolas"/>
          <w:sz w:val="18"/>
          <w:szCs w:val="18"/>
        </w:rPr>
        <w:br/>
        <w:t xml:space="preserve"/>
      </w:r>
      <w:r>
        <w:rPr>
          <w:rFonts w:ascii="Consolas" w:cs="Consolas" w:eastAsia="Consolas" w:hAnsi="Consolas"/>
          <w:sz w:val="18"/>
          <w:szCs w:val="18"/>
        </w:rPr>
        <w:br/>
        <w:t xml:space="preserve">// nachher:</w:t>
      </w:r>
      <w:r>
        <w:rPr>
          <w:rFonts w:ascii="Consolas" w:cs="Consolas" w:eastAsia="Consolas" w:hAnsi="Consolas"/>
          <w:sz w:val="18"/>
          <w:szCs w:val="18"/>
        </w:rPr>
        <w:br/>
        <w:t xml:space="preserve">const snText = sn ? (/^SN[\s-]/i.test(sn) ? sn : `SN ${sn}`) : '';</w:t>
      </w:r>
      <w:r>
        <w:rPr>
          <w:rFonts w:ascii="Consolas" w:cs="Consolas" w:eastAsia="Consolas" w:hAnsi="Consolas"/>
          <w:sz w:val="18"/>
          <w:szCs w:val="18"/>
        </w:rPr>
        <w:br/>
        <w:t xml:space="preserve">if (snText) t += ` (${snText})`;</w:t>
      </w:r>
    </w:p>
    <w:p>
      <w:pPr>
        <w:pStyle w:val="Heading3"/>
        <w:spacing w:after="100" w:before="220"/>
      </w:pPr>
      <w:r>
        <w:t xml:space="preserve">jsPDF-Ladefehler abfangen (T1)</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if (!window.jspdf || !window.jspdf.jsPDF) {</w:t>
      </w:r>
      <w:r>
        <w:rPr>
          <w:rFonts w:ascii="Consolas" w:cs="Consolas" w:eastAsia="Consolas" w:hAnsi="Consolas"/>
          <w:sz w:val="18"/>
          <w:szCs w:val="18"/>
        </w:rPr>
        <w:br/>
        <w:t xml:space="preserve">  alert('PDF-Bibliothek konnte nicht geladen werden. Bitte Internetverbindung</w:t>
      </w:r>
      <w:r>
        <w:rPr>
          <w:rFonts w:ascii="Consolas" w:cs="Consolas" w:eastAsia="Consolas" w:hAnsi="Consolas"/>
          <w:sz w:val="18"/>
          <w:szCs w:val="18"/>
        </w:rPr>
        <w:br/>
        <w:t xml:space="preserve">prüfen und die Seite einmal neu laden, danach funktioniert der Export auch offline.');</w:t>
      </w:r>
      <w:r>
        <w:rPr>
          <w:rFonts w:ascii="Consolas" w:cs="Consolas" w:eastAsia="Consolas" w:hAnsi="Consolas"/>
          <w:sz w:val="18"/>
          <w:szCs w:val="18"/>
        </w:rPr>
        <w:br/>
        <w:t xml:space="preserve">  return;</w:t>
      </w:r>
      <w:r>
        <w:rPr>
          <w:rFonts w:ascii="Consolas" w:cs="Consolas" w:eastAsia="Consolas" w:hAnsi="Consolas"/>
          <w:sz w:val="18"/>
          <w:szCs w:val="18"/>
        </w:rPr>
        <w:br/>
        <w:t xml:space="preserve">}</w:t>
      </w:r>
      <w:r>
        <w:rPr>
          <w:rFonts w:ascii="Consolas" w:cs="Consolas" w:eastAsia="Consolas" w:hAnsi="Consolas"/>
          <w:sz w:val="18"/>
          <w:szCs w:val="18"/>
        </w:rPr>
        <w:br/>
        <w:t xml:space="preserve">const { jsPDF } = window.jspdf;</w:t>
      </w:r>
    </w:p>
    <w:p>
      <w:pPr>
        <w:pStyle w:val="Heading3"/>
        <w:spacing w:after="100" w:before="220"/>
      </w:pPr>
      <w:r>
        <w:t xml:space="preserve">Sichtbaren Fokusring ergänzen (T4)</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input:focus-visible, select:focus-visible, textarea:focus-visible, button:focus-visible {</w:t>
      </w:r>
      <w:r>
        <w:rPr>
          <w:rFonts w:ascii="Consolas" w:cs="Consolas" w:eastAsia="Consolas" w:hAnsi="Consolas"/>
          <w:sz w:val="18"/>
          <w:szCs w:val="18"/>
        </w:rPr>
        <w:br/>
        <w:t xml:space="preserve">  outline: 3px solid #0057b8;</w:t>
      </w:r>
      <w:r>
        <w:rPr>
          <w:rFonts w:ascii="Consolas" w:cs="Consolas" w:eastAsia="Consolas" w:hAnsi="Consolas"/>
          <w:sz w:val="18"/>
          <w:szCs w:val="18"/>
        </w:rPr>
        <w:br/>
        <w:t xml:space="preserve">  outline-offset: 1px;</w:t>
      </w:r>
      <w:r>
        <w:rPr>
          <w:rFonts w:ascii="Consolas" w:cs="Consolas" w:eastAsia="Consolas" w:hAnsi="Consolas"/>
          <w:sz w:val="18"/>
          <w:szCs w:val="18"/>
        </w:rPr>
        <w:br/>
        <w:t xml:space="preserve">}</w:t>
      </w:r>
    </w:p>
    <w:p>
      <w:r>
        <w:br w:type="page"/>
      </w:r>
    </w:p>
    <w:p>
      <w:pPr>
        <w:pStyle w:val="Heading1"/>
        <w:pBdr>
          <w:bottom w:val="single" w:color="003366" w:sz="8" w:space="4"/>
        </w:pBdr>
        <w:spacing w:after="200" w:before="400"/>
      </w:pPr>
      <w:r>
        <w:t xml:space="preserve">2. Praxistauglichkeit &amp; Anwendbarkeit im Theateralltag</w:t>
      </w:r>
    </w:p>
    <w:p>
      <w:pPr>
        <w:pStyle w:val="Heading2"/>
        <w:spacing w:after="120" w:before="300"/>
      </w:pPr>
      <w:r>
        <w:t xml:space="preserve">2.1 Workflow-Check</w:t>
      </w:r>
    </w:p>
    <w:p>
      <w:pPr>
        <w:spacing w:after="160" w:line="300"/>
      </w:pPr>
      <w:r>
        <w:t xml:space="preserve">Die im Projektordner bereits vorhandene Simulation einer kompletten Open-Air-Veranstaltung (Seepark 2026, 3 Übergabepunkte, 9 Verteilungen, 51 Stromkreise, 96 Geräte) ist ein realistischer und aussagekräftiger Stresstest, der den Alltag der Veranstaltungstechnik gut abbildet. Die zentralen Ergebnisse daraus, im aktuellen Stand nachvollzogen:</w:t>
      </w:r>
    </w:p>
    <w:tbl>
      <w:tblPr>
        <w:tblW w:type="dxa" w:w="9438"/>
        <w:tblBorders>
          <w:top w:val="single" w:color="auto" w:sz="4"/>
          <w:left w:val="single" w:color="auto" w:sz="4"/>
          <w:bottom w:val="single" w:color="auto" w:sz="4"/>
          <w:right w:val="single" w:color="auto" w:sz="4"/>
          <w:insideH w:val="single" w:color="auto" w:sz="4"/>
          <w:insideV w:val="single" w:color="auto" w:sz="4"/>
        </w:tblBorders>
      </w:tblPr>
      <w:tblGrid>
        <w:gridCol w:w="3079"/>
        <w:gridCol w:w="3079"/>
        <w:gridCol w:w="3280"/>
      </w:tblGrid>
      <w:tr>
        <w:trPr>
          <w:tblHeader/>
        </w:trPr>
        <w:tc>
          <w:tcPr>
            <w:tcW w:type="dxa" w:w="3079"/>
            <w:shd w:fill="003366" w:val="clear"/>
            <w:tcMar>
              <w:top w:type="dxa" w:w="80"/>
              <w:left w:type="dxa" w:w="100"/>
              <w:bottom w:type="dxa" w:w="80"/>
              <w:right w:type="dxa" w:w="100"/>
            </w:tcMar>
          </w:tcPr>
          <w:p>
            <w:r>
              <w:rPr>
                <w:b/>
                <w:bCs/>
                <w:color w:val="FFFFFF"/>
                <w:sz w:val="19"/>
                <w:szCs w:val="19"/>
              </w:rPr>
              <w:t xml:space="preserve">Kriterium</w:t>
            </w:r>
          </w:p>
        </w:tc>
        <w:tc>
          <w:tcPr>
            <w:tcW w:type="dxa" w:w="3079"/>
            <w:shd w:fill="003366" w:val="clear"/>
            <w:tcMar>
              <w:top w:type="dxa" w:w="80"/>
              <w:left w:type="dxa" w:w="100"/>
              <w:bottom w:type="dxa" w:w="80"/>
              <w:right w:type="dxa" w:w="100"/>
            </w:tcMar>
          </w:tcPr>
          <w:p>
            <w:r>
              <w:rPr>
                <w:b/>
                <w:bCs/>
                <w:color w:val="FFFFFF"/>
                <w:sz w:val="19"/>
                <w:szCs w:val="19"/>
              </w:rPr>
              <w:t xml:space="preserve">App (4.6.0)</w:t>
            </w:r>
          </w:p>
        </w:tc>
        <w:tc>
          <w:tcPr>
            <w:tcW w:type="dxa" w:w="3280"/>
            <w:shd w:fill="003366" w:val="clear"/>
            <w:tcMar>
              <w:top w:type="dxa" w:w="80"/>
              <w:left w:type="dxa" w:w="100"/>
              <w:bottom w:type="dxa" w:w="80"/>
              <w:right w:type="dxa" w:w="100"/>
            </w:tcMar>
          </w:tcPr>
          <w:p>
            <w:r>
              <w:rPr>
                <w:b/>
                <w:bCs/>
                <w:color w:val="FFFFFF"/>
                <w:sz w:val="19"/>
                <w:szCs w:val="19"/>
              </w:rPr>
              <w:t xml:space="preserve">Leerformular (Papier)</w:t>
            </w:r>
          </w:p>
        </w:tc>
      </w:tr>
      <w:tr>
        <w:tc>
          <w:tcPr>
            <w:tcW w:type="dxa" w:w="3079"/>
            <w:tcMar>
              <w:top w:type="dxa" w:w="60"/>
              <w:left w:type="dxa" w:w="100"/>
              <w:bottom w:type="dxa" w:w="60"/>
              <w:right w:type="dxa" w:w="100"/>
            </w:tcMar>
          </w:tcPr>
          <w:p>
            <w:r>
              <w:rPr>
                <w:sz w:val="19"/>
                <w:szCs w:val="19"/>
              </w:rPr>
              <w:t xml:space="preserve">Druckseiten für die Gesamtveranstaltung</w:t>
            </w:r>
          </w:p>
        </w:tc>
        <w:tc>
          <w:tcPr>
            <w:tcW w:type="dxa" w:w="3079"/>
            <w:tcMar>
              <w:top w:type="dxa" w:w="60"/>
              <w:left w:type="dxa" w:w="100"/>
              <w:bottom w:type="dxa" w:w="60"/>
              <w:right w:type="dxa" w:w="100"/>
            </w:tcMar>
          </w:tcPr>
          <w:p>
            <w:r>
              <w:rPr>
                <w:sz w:val="19"/>
                <w:szCs w:val="19"/>
              </w:rPr>
              <w:t xml:space="preserve">16</w:t>
            </w:r>
          </w:p>
        </w:tc>
        <w:tc>
          <w:tcPr>
            <w:tcW w:type="dxa" w:w="3280"/>
            <w:tcMar>
              <w:top w:type="dxa" w:w="60"/>
              <w:left w:type="dxa" w:w="100"/>
              <w:bottom w:type="dxa" w:w="60"/>
              <w:right w:type="dxa" w:w="100"/>
            </w:tcMar>
          </w:tcPr>
          <w:p>
            <w:r>
              <w:rPr>
                <w:sz w:val="19"/>
                <w:szCs w:val="19"/>
              </w:rPr>
              <w:t xml:space="preserve">Nach Layout-Korrektur (C1, 4.5.0) deutlich weniger Waisenseiten als zuvor; Papier bleibt aber grundsätzlich aufwendiger</w:t>
            </w:r>
          </w:p>
        </w:tc>
      </w:tr>
      <w:tr>
        <w:tc>
          <w:tcPr>
            <w:tcW w:type="dxa" w:w="3079"/>
            <w:shd w:fill="F2F2F2" w:val="clear"/>
            <w:tcMar>
              <w:top w:type="dxa" w:w="60"/>
              <w:left w:type="dxa" w:w="100"/>
              <w:bottom w:type="dxa" w:w="60"/>
              <w:right w:type="dxa" w:w="100"/>
            </w:tcMar>
          </w:tcPr>
          <w:p>
            <w:r>
              <w:rPr>
                <w:sz w:val="19"/>
                <w:szCs w:val="19"/>
              </w:rPr>
              <w:t xml:space="preserve">Einträge von Hand</w:t>
            </w:r>
          </w:p>
        </w:tc>
        <w:tc>
          <w:tcPr>
            <w:tcW w:type="dxa" w:w="3079"/>
            <w:shd w:fill="F2F2F2" w:val="clear"/>
            <w:tcMar>
              <w:top w:type="dxa" w:w="60"/>
              <w:left w:type="dxa" w:w="100"/>
              <w:bottom w:type="dxa" w:w="60"/>
              <w:right w:type="dxa" w:w="100"/>
            </w:tcMar>
          </w:tcPr>
          <w:p>
            <w:r>
              <w:rPr>
                <w:sz w:val="19"/>
                <w:szCs w:val="19"/>
              </w:rPr>
              <w:t xml:space="preserve">≈ 920</w:t>
            </w:r>
          </w:p>
        </w:tc>
        <w:tc>
          <w:tcPr>
            <w:tcW w:type="dxa" w:w="3280"/>
            <w:shd w:fill="F2F2F2" w:val="clear"/>
            <w:tcMar>
              <w:top w:type="dxa" w:w="60"/>
              <w:left w:type="dxa" w:w="100"/>
              <w:bottom w:type="dxa" w:w="60"/>
              <w:right w:type="dxa" w:w="100"/>
            </w:tcMar>
          </w:tcPr>
          <w:p>
            <w:r>
              <w:rPr>
                <w:sz w:val="19"/>
                <w:szCs w:val="19"/>
              </w:rPr>
              <w:t xml:space="preserve">≈ 1.540</w:t>
            </w:r>
          </w:p>
        </w:tc>
      </w:tr>
      <w:tr>
        <w:tc>
          <w:tcPr>
            <w:tcW w:type="dxa" w:w="3079"/>
            <w:tcMar>
              <w:top w:type="dxa" w:w="60"/>
              <w:left w:type="dxa" w:w="100"/>
              <w:bottom w:type="dxa" w:w="60"/>
              <w:right w:type="dxa" w:w="100"/>
            </w:tcMar>
          </w:tcPr>
          <w:p>
            <w:r>
              <w:rPr>
                <w:sz w:val="19"/>
                <w:szCs w:val="19"/>
              </w:rPr>
              <w:t xml:space="preserve">Rechenfehler I_K = 230 V / Z_S</w:t>
            </w:r>
          </w:p>
        </w:tc>
        <w:tc>
          <w:tcPr>
            <w:tcW w:type="dxa" w:w="3079"/>
            <w:tcMar>
              <w:top w:type="dxa" w:w="60"/>
              <w:left w:type="dxa" w:w="100"/>
              <w:bottom w:type="dxa" w:w="60"/>
              <w:right w:type="dxa" w:w="100"/>
            </w:tcMar>
          </w:tcPr>
          <w:p>
            <w:r>
              <w:rPr>
                <w:sz w:val="19"/>
                <w:szCs w:val="19"/>
              </w:rPr>
              <w:t xml:space="preserve">ausgeschlossen (automatisch)</w:t>
            </w:r>
          </w:p>
        </w:tc>
        <w:tc>
          <w:tcPr>
            <w:tcW w:type="dxa" w:w="3280"/>
            <w:tcMar>
              <w:top w:type="dxa" w:w="60"/>
              <w:left w:type="dxa" w:w="100"/>
              <w:bottom w:type="dxa" w:w="60"/>
              <w:right w:type="dxa" w:w="100"/>
            </w:tcMar>
          </w:tcPr>
          <w:p>
            <w:r>
              <w:rPr>
                <w:sz w:val="19"/>
                <w:szCs w:val="19"/>
              </w:rPr>
              <w:t xml:space="preserve">möglich</w:t>
            </w:r>
          </w:p>
        </w:tc>
      </w:tr>
      <w:tr>
        <w:tc>
          <w:tcPr>
            <w:tcW w:type="dxa" w:w="3079"/>
            <w:shd w:fill="F2F2F2" w:val="clear"/>
            <w:tcMar>
              <w:top w:type="dxa" w:w="60"/>
              <w:left w:type="dxa" w:w="100"/>
              <w:bottom w:type="dxa" w:w="60"/>
              <w:right w:type="dxa" w:w="100"/>
            </w:tcMar>
          </w:tcPr>
          <w:p>
            <w:r>
              <w:rPr>
                <w:sz w:val="19"/>
                <w:szCs w:val="19"/>
              </w:rPr>
              <w:t xml:space="preserve">Widerspruch Freigabe ↔ Befund</w:t>
            </w:r>
          </w:p>
        </w:tc>
        <w:tc>
          <w:tcPr>
            <w:tcW w:type="dxa" w:w="3079"/>
            <w:shd w:fill="F2F2F2" w:val="clear"/>
            <w:tcMar>
              <w:top w:type="dxa" w:w="60"/>
              <w:left w:type="dxa" w:w="100"/>
              <w:bottom w:type="dxa" w:w="60"/>
              <w:right w:type="dxa" w:w="100"/>
            </w:tcMar>
          </w:tcPr>
          <w:p>
            <w:r>
              <w:rPr>
                <w:sz w:val="19"/>
                <w:szCs w:val="19"/>
              </w:rPr>
              <w:t xml:space="preserve">wird abgefangen</w:t>
            </w:r>
          </w:p>
        </w:tc>
        <w:tc>
          <w:tcPr>
            <w:tcW w:type="dxa" w:w="3280"/>
            <w:shd w:fill="F2F2F2" w:val="clear"/>
            <w:tcMar>
              <w:top w:type="dxa" w:w="60"/>
              <w:left w:type="dxa" w:w="100"/>
              <w:bottom w:type="dxa" w:w="60"/>
              <w:right w:type="dxa" w:w="100"/>
            </w:tcMar>
          </w:tcPr>
          <w:p>
            <w:r>
              <w:rPr>
                <w:sz w:val="19"/>
                <w:szCs w:val="19"/>
              </w:rPr>
              <w:t xml:space="preserve">nicht erkennbar</w:t>
            </w:r>
          </w:p>
        </w:tc>
      </w:tr>
      <w:tr>
        <w:tc>
          <w:tcPr>
            <w:tcW w:type="dxa" w:w="3079"/>
            <w:tcMar>
              <w:top w:type="dxa" w:w="60"/>
              <w:left w:type="dxa" w:w="100"/>
              <w:bottom w:type="dxa" w:w="60"/>
              <w:right w:type="dxa" w:w="100"/>
            </w:tcMar>
          </w:tcPr>
          <w:p>
            <w:r>
              <w:rPr>
                <w:sz w:val="19"/>
                <w:szCs w:val="19"/>
              </w:rPr>
              <w:t xml:space="preserve">Vergessener RCD-Messwert</w:t>
            </w:r>
          </w:p>
        </w:tc>
        <w:tc>
          <w:tcPr>
            <w:tcW w:type="dxa" w:w="3079"/>
            <w:tcMar>
              <w:top w:type="dxa" w:w="60"/>
              <w:left w:type="dxa" w:w="100"/>
              <w:bottom w:type="dxa" w:w="60"/>
              <w:right w:type="dxa" w:w="100"/>
            </w:tcMar>
          </w:tcPr>
          <w:p>
            <w:r>
              <w:rPr>
                <w:sz w:val="19"/>
                <w:szCs w:val="19"/>
              </w:rPr>
              <w:t xml:space="preserve">blockiert die PDF-Erzeugung</w:t>
            </w:r>
          </w:p>
        </w:tc>
        <w:tc>
          <w:tcPr>
            <w:tcW w:type="dxa" w:w="3280"/>
            <w:tcMar>
              <w:top w:type="dxa" w:w="60"/>
              <w:left w:type="dxa" w:w="100"/>
              <w:bottom w:type="dxa" w:w="60"/>
              <w:right w:type="dxa" w:w="100"/>
            </w:tcMar>
          </w:tcPr>
          <w:p>
            <w:r>
              <w:rPr>
                <w:sz w:val="19"/>
                <w:szCs w:val="19"/>
              </w:rPr>
              <w:t xml:space="preserve">fällt oft niemandem auf</w:t>
            </w:r>
          </w:p>
        </w:tc>
      </w:tr>
      <w:tr>
        <w:tc>
          <w:tcPr>
            <w:tcW w:type="dxa" w:w="3079"/>
            <w:shd w:fill="F2F2F2" w:val="clear"/>
            <w:tcMar>
              <w:top w:type="dxa" w:w="60"/>
              <w:left w:type="dxa" w:w="100"/>
              <w:bottom w:type="dxa" w:w="60"/>
              <w:right w:type="dxa" w:w="100"/>
            </w:tcMar>
          </w:tcPr>
          <w:p>
            <w:r>
              <w:rPr>
                <w:sz w:val="19"/>
                <w:szCs w:val="19"/>
              </w:rPr>
              <w:t xml:space="preserve">Archiv / Wiederauffinden</w:t>
            </w:r>
          </w:p>
        </w:tc>
        <w:tc>
          <w:tcPr>
            <w:tcW w:type="dxa" w:w="3079"/>
            <w:shd w:fill="F2F2F2" w:val="clear"/>
            <w:tcMar>
              <w:top w:type="dxa" w:w="60"/>
              <w:left w:type="dxa" w:w="100"/>
              <w:bottom w:type="dxa" w:w="60"/>
              <w:right w:type="dxa" w:w="100"/>
            </w:tcMar>
          </w:tcPr>
          <w:p>
            <w:r>
              <w:rPr>
                <w:sz w:val="19"/>
                <w:szCs w:val="19"/>
              </w:rPr>
              <w:t xml:space="preserve">im Gerät, durchsuchbar</w:t>
            </w:r>
          </w:p>
        </w:tc>
        <w:tc>
          <w:tcPr>
            <w:tcW w:type="dxa" w:w="3280"/>
            <w:shd w:fill="F2F2F2" w:val="clear"/>
            <w:tcMar>
              <w:top w:type="dxa" w:w="60"/>
              <w:left w:type="dxa" w:w="100"/>
              <w:bottom w:type="dxa" w:w="60"/>
              <w:right w:type="dxa" w:w="100"/>
            </w:tcMar>
          </w:tcPr>
          <w:p>
            <w:r>
              <w:rPr>
                <w:sz w:val="19"/>
                <w:szCs w:val="19"/>
              </w:rPr>
              <w:t xml:space="preserve">Ordner, manuell</w:t>
            </w:r>
          </w:p>
        </w:tc>
      </w:tr>
    </w:tbl>
    <w:p>
      <w:pPr>
        <w:spacing w:after="160" w:line="300"/>
      </w:pPr>
      <w:r>
        <w:t xml:space="preserve"/>
      </w:r>
    </w:p>
    <w:p>
      <w:pPr>
        <w:spacing w:after="160" w:line="300"/>
      </w:pPr>
      <w:r>
        <w:t xml:space="preserve">Der Ablauf „Stammdaten einmalig setzen → Anschlussprüfung zuerst → Anlagenprüfung je Verteilung mit ‚Duplizieren‘ → Geräteprüfung vor dem Verladen“ hat sich in der Simulation als der schnellste und fehlerärmste erwiesen und erfordert keine Codeänderung. Es lohnt sich, diesen Ablauf als kurze Karte (laminiert, am Tablet-Case) für neue Kolleginnen und Auszubildende griffbereit zu machen.</w:t>
      </w:r>
    </w:p>
    <w:p>
      <w:pPr>
        <w:spacing w:after="160" w:line="300"/>
      </w:pPr>
      <w:r>
        <w:rPr>
          <w:b/>
          <w:bCs/>
          <w:color w:val="D97706"/>
        </w:rPr>
        <w:t xml:space="preserve">[Befund P1 – zentraler Workflow-Mangel] </w:t>
      </w:r>
      <w:r>
        <w:t xml:space="preserve">Der Übergabepunkt „Verteiler / Kreis-Nr.“ fehlt als eigenes Feld in der Messtabelle. Bei mehreren Verteilungen (im Test 9 Stück) bleiben nur zwei schlechte Optionen: entweder neun getrennte Protokolle mit je eigener Nummer und je zwei Unterschriften, oder ein Protokoll, das nicht dokumentiert, an welchem Verteiler ein Stromkreis tatsächlich hängt. Für den Theater- und Open-Air-Alltag mit häufig wechselnden Verteilerstrukturen ist eine schmale Zusatzspalte „Verteiler“ (mit Übernahme aus der vorherigen Karte, ähnlich „Duplizieren“) der wirksamste einzelne Verbesserungshebel für die Praxistauglichkeit.</w:t>
      </w:r>
    </w:p>
    <w:p>
      <w:pPr>
        <w:pStyle w:val="Heading2"/>
        <w:spacing w:after="120" w:before="300"/>
      </w:pPr>
      <w:r>
        <w:t xml:space="preserve">2.2 Eingabe-Effizienz und Stammdatenverwaltung</w:t>
      </w:r>
    </w:p>
    <w:p>
      <w:pPr>
        <w:spacing w:after="160" w:line="300"/>
      </w:pPr>
      <w:r>
        <w:t xml:space="preserve">Die zentrale Stammdatenseite (Auftraggeber, Gebäude, VNB, Prüfer, Messgerät, Seriennummer, Ort) wird korrekt in alle drei Protokolltypen übernommen und erspart tatsächlich wiederkehrende Tipparbeit – das Grundprinzip ist richtig gelöst und im Live-Test bestätigt (Feld „Auftraggeber/Prüfort“ übernimmt automatisch den auf der Stammdatenseite hinterlegten Wert).</w:t>
      </w:r>
    </w:p>
    <w:p>
      <w:pPr>
        <w:spacing w:after="160" w:line="300"/>
      </w:pPr>
      <w:r>
        <w:rPr>
          <w:b/>
          <w:bCs/>
          <w:color w:val="B3261E"/>
        </w:rPr>
        <w:t xml:space="preserve">[Befund P2 – wichtigster Einzelbefund des gesamten Berichts] </w:t>
      </w:r>
      <w:r>
        <w:t xml:space="preserve">Genau dieser sinnvolle Mechanismus liefert im Auslieferungszustand erfundene Werte aus: js/storage.js hinterlegt standardmäßig „Stadttheater Konstanz, Inselgasse 2-6, 78462 Konstanz“, „Stadtwerke Konstanz“ als Verteilnetzbetreiber sowie das Messgerät „Fluke 1663“ mit der Seriennummer „SN-1663-98214“. Diese Werte wurden im Live-Test auf der aktuellen, öffentlich erreichbaren Version bestätigt: Das leere Formular zeigt sie ungefragt an. Jeder, der die App neu installiert und sofort prüft, erzeugt ein Protokoll, das ein ihm unbekanntes Messgerät samt Seriennummer als sein eigenes ausweist – das ist im Kern eine erfundene Messmittelrückführung und damit die schwerste Art von Falschangabe, die ein Prüfprotokoll enthalten kann.</w:t>
      </w:r>
    </w:p>
    <w:p>
      <w:pPr>
        <w:pStyle w:val="ListParagraph"/>
        <w:numPr>
          <w:ilvl w:val="0"/>
          <w:numId w:val="1"/>
        </w:numPr>
        <w:spacing w:after="100" w:line="280"/>
      </w:pPr>
      <w:r>
        <w:t xml:space="preserve">Empfehlung: Diese Werte vollständig aus dem Auslieferungszustand entfernen (leere Felder statt Beispieldaten mit Realitätsbezug).</w:t>
      </w:r>
    </w:p>
    <w:p>
      <w:pPr>
        <w:pStyle w:val="ListParagraph"/>
        <w:numPr>
          <w:ilvl w:val="0"/>
          <w:numId w:val="1"/>
        </w:numPr>
        <w:spacing w:after="100" w:line="280"/>
      </w:pPr>
      <w:r>
        <w:t xml:space="preserve">Empfehlung: Beim ersten Start einmalig zur Stammdaten-Seite führen mit dem Hinweis „Bitte zuerst Betrieb, Prüfer und Messgerät hinterlegen“.</w:t>
      </w:r>
    </w:p>
    <w:p>
      <w:pPr>
        <w:pStyle w:val="ListParagraph"/>
        <w:numPr>
          <w:ilvl w:val="0"/>
          <w:numId w:val="1"/>
        </w:numPr>
        <w:spacing w:after="100" w:line="280"/>
      </w:pPr>
      <w:r>
        <w:t xml:space="preserve">Empfehlung: Messgerätebezeichnung und Seriennummer als Pflichtfelder vor der ersten PDF-Erzeugung definieren.</w:t>
      </w:r>
    </w:p>
    <w:p>
      <w:pPr>
        <w:spacing w:after="160" w:line="300"/>
      </w:pPr>
      <w:r>
        <w:rPr>
          <w:b/>
          <w:bCs/>
          <w:color w:val="B3261E"/>
        </w:rPr>
        <w:t xml:space="preserve">[Befund P3] </w:t>
      </w:r>
      <w:r>
        <w:t xml:space="preserve">Alle Sichtprüfungsfelder sind mit „i.O.“ als ausgewählter Standardwert vorbelegt: 12 Punkte in der Anlagenprüfung (Basisschutz, Brandabschottung, Leiterverbindungen usw.), 9 Punkte in der Anschlussprüfung. Ein Prüfer, der ausschließlich Messwerte einträgt und die Auswahlfelder unangetastet lässt, unterschreibt ein Protokoll, das mehrere tatsächlich nicht durchgeführte Sichtprüfungen als „in Ordnung“ bescheinigt. Positiv zu vermerken: Die App demonstriert an anderer Stelle bereits die richtige Lösung – das Feld „RCD-Prüfstrom“ hat als erste, vorausgewählte Option „– bitte wählen –“ und blockiert die PDF-Erzeugung, solange dort nichts gewählt wurde; ebenso wurden die Erprobungsfelder (Drehfeld, Polarität u. a.) inzwischen auf „n.a.“ vorbelegt, statt automatisch „i.O.“ zu setzen. Genau dieses bereits vorhandene Muster fehlt weiterhin bei den 12 bzw. 9 Sichtprüfungsfeldern.</w:t>
      </w:r>
    </w:p>
    <w:p>
      <w:pPr>
        <w:pStyle w:val="ListParagraph"/>
        <w:numPr>
          <w:ilvl w:val="0"/>
          <w:numId w:val="1"/>
        </w:numPr>
        <w:spacing w:after="100" w:line="280"/>
      </w:pPr>
      <w:r>
        <w:t xml:space="preserve">Empfehlung: In vde0100.html und anschlusspruefung.html vor jeder Optionsliste der Sichtprüfungsfelder eine leere, vorausgewählte Option „– bitte prüfen –“ einfügen. Die bestehende Abbruchprüfung der PDF-Erzeugung dürfte dies mit geringem Aufwand automatisch mit abdecken, da die betroffenen Feldklassen (.sicht-item) bereits in den Selektorlisten der App geführt werden.</w:t>
      </w:r>
    </w:p>
    <w:p>
      <w:pPr>
        <w:pStyle w:val="Heading2"/>
        <w:spacing w:after="120" w:before="300"/>
      </w:pPr>
      <w:r>
        <w:t xml:space="preserve">2.3 Archivierung &amp; Export</w:t>
      </w:r>
    </w:p>
    <w:p>
      <w:pPr>
        <w:spacing w:after="160" w:line="300"/>
      </w:pPr>
      <w:r>
        <w:t xml:space="preserve">Das lokale Archiv (archiv.html, js/archiv.js) legt jedes fertig erzeugte PDF zusätzlich im Gerät ab, unabhängig vom Download-Ordner, und vergibt fortlaufende Protokollnummern je Protokolltyp mit einer Warnung bei drohender Doppelvergabe – das ist im Vergleich zu papierbasierten Abläufen ein klarer Fortschritt und wurde im Test als zuverlässig bestätigt.</w:t>
      </w:r>
    </w:p>
    <w:p>
      <w:pPr>
        <w:spacing w:after="160" w:line="300"/>
      </w:pPr>
      <w:r>
        <w:rPr>
          <w:b/>
          <w:bCs/>
          <w:color w:val="B58500"/>
        </w:rPr>
        <w:t xml:space="preserve">[Befund P4] </w:t>
      </w:r>
      <w:r>
        <w:t xml:space="preserve">Der Export selbst hängt vom Browser-Verhalten ab (Web-Share-API mit Fallback auf direkten Download). Das ist grundsätzlich richtig gelöst, aber auf iOS/Safari kann das Teilen-Menü je nach iOS-Version unterschiedlich reagieren (z. B. Speichern in „Dateien“ vs. direktes Öffnen in einer anderen App). Ein kurzer Test auf den tatsächlich im Betrieb eingesetzten Geräten (welches iPad-Modell, welche iOS-Version) vor der nächsten Großveranstaltung wird empfohlen, da dieser Bericht das Verhalten nicht auf physischer iOS-Hardware nachstellen konnte, sondern nur den Code (navigator.share mit .catch-Fallback auf downloadBlob) geprüft hat.</w:t>
      </w:r>
    </w:p>
    <w:p>
      <w:pPr>
        <w:spacing w:after="160" w:line="300"/>
      </w:pPr>
      <w:r>
        <w:rPr>
          <w:b/>
          <w:bCs/>
          <w:color w:val="D97706"/>
        </w:rPr>
        <w:t xml:space="preserve">[Befund P5 (siehe auch Abschnitt 1.2)] </w:t>
      </w:r>
      <w:r>
        <w:t xml:space="preserve">Da Archiv, Stammdaten und Autosave ausschließlich im geräteseitigen localStorage liegen, existiert kein automatischer, geräteübergreifender Abgleich. Wird auf zwei Tablets parallel geprüft (z. B. Bühne links/rechts durch zwei Kolleg/innen gleichzeitig), entstehen zwei getrennte Archive, die manuell zusammengeführt werden müssen. Für den Praxisalltag mit mehreren gleichzeitig arbeitenden Prüfern ist das ein Organisationsrisiko, kein Software-Bug – sollte aber im Betriebsablauf (wer prüft was auf welchem Gerät) bewusst berücksichtigt werden.</w:t>
      </w:r>
    </w:p>
    <w:p>
      <w:pPr>
        <w:pStyle w:val="Heading2"/>
        <w:spacing w:after="120" w:before="300"/>
      </w:pPr>
      <w:r>
        <w:t xml:space="preserve">2.4 Fehlermeldungen unter Zeitdruck</w:t>
      </w:r>
    </w:p>
    <w:p>
      <w:pPr>
        <w:spacing w:after="160" w:line="300"/>
      </w:pPr>
      <w:r>
        <w:rPr>
          <w:b/>
          <w:bCs/>
          <w:color w:val="D97706"/>
        </w:rPr>
        <w:t xml:space="preserve">[Befund P6] </w:t>
      </w:r>
      <w:r>
        <w:t xml:space="preserve">Die Abbruchmeldung bei Widersprüchen im Prüfergebnis lautet unverändert generisch: „Widerspruch im Prüfergebnis: Das Protokoll enthält Beanstandungen (Mängel, unzulässige Messwerte oder ein n.i.O.-Ergebnis) …“ – ohne Angabe, welcher Stromkreis und welcher Wert betroffen ist. Bei einem Protokoll mit 5 Stromkreisen ist das lästig, bei 51 Stromkreisen (wie in der Open-Air-Simulation) praktisch unbrauchbar: In der dokumentierten Simulation kostete allein die Fehlersuche nach dieser unspezifischen Meldung mehrere Durchläufe. Die zur Lokalisierung nötige Information liegt im Code bereits vor (eine Funktion zur Identifikation von Prüflingen ohne vollständige Messung wird an anderer Stelle bereits genau für diesen Zweck verwendet) – die Umsetzung für diese Meldung ist mit vertretbarem Aufwand nachrüstbar.</w:t>
      </w:r>
    </w:p>
    <w:p>
      <w:pPr>
        <w:pStyle w:val="ListParagraph"/>
        <w:numPr>
          <w:ilvl w:val="0"/>
          <w:numId w:val="1"/>
        </w:numPr>
        <w:spacing w:after="100" w:line="280"/>
      </w:pPr>
      <w:r>
        <w:t xml:space="preserve">Empfehlung: Meldungstext um konkrete Fundstelle ergänzen, z. B. „Stromkreis 4 (Dimmerpack 2): Auslösestrom und Auslösezeit des RCD fehlen“, und nach Möglichkeit direkt zum betroffenen Feld scrollen.</w:t>
      </w:r>
    </w:p>
    <w:p>
      <w:pPr>
        <w:pStyle w:val="Heading2"/>
        <w:spacing w:after="120" w:before="300"/>
      </w:pPr>
      <w:r>
        <w:t xml:space="preserve">2.5 Weitere Ideen für eine noch intuitivere Bedienung vor Ort</w:t>
      </w:r>
    </w:p>
    <w:p>
      <w:pPr>
        <w:pStyle w:val="ListParagraph"/>
        <w:numPr>
          <w:ilvl w:val="0"/>
          <w:numId w:val="1"/>
        </w:numPr>
        <w:spacing w:after="100" w:line="280"/>
      </w:pPr>
      <w:r>
        <w:t xml:space="preserve">Gebäude-/Bereichsauswahl ist fest auf Konstanzer Spielstätten zugeschnitten (Gr. Haus, Werkstatt, Spiegelhalle, Münsterplatz, Probebühne); bei Open-Air-Einsätzen an fremden Objekten muss jedes Mal der Umweg über „Sonstiges…“ gegangen werden. Empfehlung: zuletzt verwendete Freitext-Werte in einer kleinen Verlaufsliste vorschlagen.</w:t>
      </w:r>
    </w:p>
    <w:p>
      <w:pPr>
        <w:pStyle w:val="ListParagraph"/>
        <w:numPr>
          <w:ilvl w:val="0"/>
          <w:numId w:val="1"/>
        </w:numPr>
        <w:spacing w:after="100" w:line="280"/>
      </w:pPr>
      <w:r>
        <w:t xml:space="preserve">„Netzmessung“ ist ein eingeklapptes Detail-Element; bei Netzersatzanlagen ist die Frequenzangabe jedoch Pflicht, und der entsprechende Abbruch kommt erst beim PDF-Export – zu einem Zeitpunkt, an dem das Messgerät oft schon eingepackt ist. Empfehlung: Bei Auswahl „Netzersatzanlage“ den Abschnitt automatisch aufklappen.</w:t>
      </w:r>
    </w:p>
    <w:p>
      <w:pPr>
        <w:pStyle w:val="ListParagraph"/>
        <w:numPr>
          <w:ilvl w:val="0"/>
          <w:numId w:val="1"/>
        </w:numPr>
        <w:spacing w:after="100" w:line="280"/>
      </w:pPr>
      <w:r>
        <w:t xml:space="preserve">Die Abschnittsnummerierung in der App (1–8) entspricht nicht der Nummerierung im erzeugten PDF (1–4); wer App-Bildschirm und ausgedrucktes Protokoll nebeneinanderlegt (z. B. im Ausbildungskontext), findet Abschnitte nicht wieder. Eine einheitliche Nummerierung wäre mit überschaubarem Aufwand nachrüstbar.</w:t>
      </w:r>
    </w:p>
    <w:p>
      <w:pPr>
        <w:pStyle w:val="ListParagraph"/>
        <w:numPr>
          <w:ilvl w:val="0"/>
          <w:numId w:val="1"/>
        </w:numPr>
        <w:spacing w:after="100" w:line="280"/>
      </w:pPr>
      <w:r>
        <w:t xml:space="preserve">Datumsfelder folgen der Geräte-Locale; auf einem englisch eingestellten Tablet erscheint MM/DD/YYYY unabhängig vom lang="de"-Attribut der Seite. Für ein deutsches Rechtsdokument sollte das Anzeigeformat unabhängig von der Geräte-Locale erzwungen werden (z. B. eigenes maskiertes Eingabefeld statt nativem type="date").</w:t>
      </w:r>
    </w:p>
    <w:p>
      <w:r>
        <w:br w:type="page"/>
      </w:r>
    </w:p>
    <w:p>
      <w:pPr>
        <w:pStyle w:val="Heading1"/>
        <w:pBdr>
          <w:bottom w:val="single" w:color="003366" w:sz="8" w:space="4"/>
        </w:pBdr>
        <w:spacing w:after="200" w:before="400"/>
      </w:pPr>
      <w:r>
        <w:t xml:space="preserve">3. Rechtliche &amp; Normative Konformität (VDE-Vorschriften)</w:t>
      </w:r>
    </w:p>
    <w:p>
      <w:pPr>
        <w:spacing w:after="160" w:line="300"/>
      </w:pPr>
      <w:r>
        <w:t xml:space="preserve">Wichtiger Hinweis vorab: Die folgende Bewertung beschreibt, wie die in der App hinterlegte Bewertungslogik und die abgefragten Parameter aus fachlicher Sicht zu den genannten Normen stehen. Sie ersetzt nicht die Freigabe der Prüfunterlagen durch die verantwortliche Elektrofachkraft oder eine rechtliche Prüfung im Einzelfall; Anpassungen an neue Normausgaben liegen in der Verantwortung des Betreibers.</w:t>
      </w:r>
    </w:p>
    <w:p>
      <w:pPr>
        <w:pStyle w:val="Heading2"/>
        <w:spacing w:after="120" w:before="300"/>
      </w:pPr>
      <w:r>
        <w:t xml:space="preserve">3.1 Normen-Gültigkeit der hinterlegten Grenzwerte</w:t>
      </w:r>
    </w:p>
    <w:p>
      <w:pPr>
        <w:spacing w:after="160" w:line="300"/>
      </w:pPr>
      <w:r>
        <w:t xml:space="preserve">Die zentralen Grenzwertfunktionen in js/pdf-utils.js wurden gegen die genannten Normen geprüft. Folgende Werte sind korrekt hinterlegt und im Quellcode sogar mit Normbegründung kommentiert: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600"/>
      </w:tblGrid>
      <w:tr>
        <w:trPr>
          <w:tblHeader/>
        </w:trPr>
        <w:tc>
          <w:tcPr>
            <w:tcW w:type="dxa" w:w="2600"/>
            <w:shd w:fill="003366" w:val="clear"/>
            <w:tcMar>
              <w:top w:type="dxa" w:w="80"/>
              <w:left w:type="dxa" w:w="100"/>
              <w:bottom w:type="dxa" w:w="80"/>
              <w:right w:type="dxa" w:w="100"/>
            </w:tcMar>
          </w:tcPr>
          <w:p>
            <w:r>
              <w:rPr>
                <w:b/>
                <w:bCs/>
                <w:color w:val="FFFFFF"/>
                <w:sz w:val="19"/>
                <w:szCs w:val="19"/>
              </w:rPr>
              <w:t xml:space="preserve">Parameter</w:t>
            </w:r>
          </w:p>
        </w:tc>
        <w:tc>
          <w:tcPr>
            <w:tcW w:type="dxa" w:w="3600"/>
            <w:shd w:fill="003366" w:val="clear"/>
            <w:tcMar>
              <w:top w:type="dxa" w:w="80"/>
              <w:left w:type="dxa" w:w="100"/>
              <w:bottom w:type="dxa" w:w="80"/>
              <w:right w:type="dxa" w:w="100"/>
            </w:tcMar>
          </w:tcPr>
          <w:p>
            <w:r>
              <w:rPr>
                <w:b/>
                <w:bCs/>
                <w:color w:val="FFFFFF"/>
                <w:sz w:val="19"/>
                <w:szCs w:val="19"/>
              </w:rPr>
              <w:t xml:space="preserve">Hinterlegter Wert</w:t>
            </w:r>
          </w:p>
        </w:tc>
        <w:tc>
          <w:tcPr>
            <w:tcW w:type="dxa" w:w="2600"/>
            <w:shd w:fill="003366" w:val="clear"/>
            <w:tcMar>
              <w:top w:type="dxa" w:w="80"/>
              <w:left w:type="dxa" w:w="100"/>
              <w:bottom w:type="dxa" w:w="80"/>
              <w:right w:type="dxa" w:w="100"/>
            </w:tcMar>
          </w:tcPr>
          <w:p>
            <w:r>
              <w:rPr>
                <w:b/>
                <w:bCs/>
                <w:color w:val="FFFFFF"/>
                <w:sz w:val="19"/>
                <w:szCs w:val="19"/>
              </w:rPr>
              <w:t xml:space="preserve">Bewertung</w:t>
            </w:r>
          </w:p>
        </w:tc>
      </w:tr>
      <w:tr>
        <w:tc>
          <w:tcPr>
            <w:tcW w:type="dxa" w:w="2600"/>
            <w:tcMar>
              <w:top w:type="dxa" w:w="60"/>
              <w:left w:type="dxa" w:w="100"/>
              <w:bottom w:type="dxa" w:w="60"/>
              <w:right w:type="dxa" w:w="100"/>
            </w:tcMar>
          </w:tcPr>
          <w:p>
            <w:r>
              <w:rPr>
                <w:sz w:val="19"/>
                <w:szCs w:val="19"/>
              </w:rPr>
              <w:t xml:space="preserve">Berührungsspannung U_L</w:t>
            </w:r>
          </w:p>
        </w:tc>
        <w:tc>
          <w:tcPr>
            <w:tcW w:type="dxa" w:w="3600"/>
            <w:tcMar>
              <w:top w:type="dxa" w:w="60"/>
              <w:left w:type="dxa" w:w="100"/>
              <w:bottom w:type="dxa" w:w="60"/>
              <w:right w:type="dxa" w:w="100"/>
            </w:tcMar>
          </w:tcPr>
          <w:p>
            <w:r>
              <w:rPr>
                <w:sz w:val="19"/>
                <w:szCs w:val="19"/>
              </w:rPr>
              <w:t xml:space="preserve">50 V AC / 120 V DC (normal), 25 V AC / 60 V DC (erhöhte Gefährdung)</w:t>
            </w:r>
          </w:p>
        </w:tc>
        <w:tc>
          <w:tcPr>
            <w:tcW w:type="dxa" w:w="2600"/>
            <w:tcMar>
              <w:top w:type="dxa" w:w="60"/>
              <w:left w:type="dxa" w:w="100"/>
              <w:bottom w:type="dxa" w:w="60"/>
              <w:right w:type="dxa" w:w="100"/>
            </w:tcMar>
          </w:tcPr>
          <w:p>
            <w:r>
              <w:rPr>
                <w:sz w:val="19"/>
                <w:szCs w:val="19"/>
              </w:rPr>
              <w:t xml:space="preserve">Korrekt nach DIN VDE 0100-410 i. V. m. DGUV V3-Sonderbestimmungen für Veranstaltungsstätten; wird je Stromkreis geführt, nicht global – fachlich vorbildlich.</w:t>
            </w:r>
          </w:p>
        </w:tc>
      </w:tr>
      <w:tr>
        <w:tc>
          <w:tcPr>
            <w:tcW w:type="dxa" w:w="2600"/>
            <w:shd w:fill="F2F2F2" w:val="clear"/>
            <w:tcMar>
              <w:top w:type="dxa" w:w="60"/>
              <w:left w:type="dxa" w:w="100"/>
              <w:bottom w:type="dxa" w:w="60"/>
              <w:right w:type="dxa" w:w="100"/>
            </w:tcMar>
          </w:tcPr>
          <w:p>
            <w:r>
              <w:rPr>
                <w:sz w:val="19"/>
                <w:szCs w:val="19"/>
              </w:rPr>
              <w:t xml:space="preserve">RCD-Auslösezeit t_A</w:t>
            </w:r>
          </w:p>
        </w:tc>
        <w:tc>
          <w:tcPr>
            <w:tcW w:type="dxa" w:w="3600"/>
            <w:shd w:fill="F2F2F2" w:val="clear"/>
            <w:tcMar>
              <w:top w:type="dxa" w:w="60"/>
              <w:left w:type="dxa" w:w="100"/>
              <w:bottom w:type="dxa" w:w="60"/>
              <w:right w:type="dxa" w:w="100"/>
            </w:tcMar>
          </w:tcPr>
          <w:p>
            <w:r>
              <w:rPr>
                <w:sz w:val="19"/>
                <w:szCs w:val="19"/>
              </w:rPr>
              <w:t xml:space="preserve">300/150/40 ms bei 1×/2×/5× I_Δn (Typ S entsprechend höher)</w:t>
            </w:r>
          </w:p>
        </w:tc>
        <w:tc>
          <w:tcPr>
            <w:tcW w:type="dxa" w:w="2600"/>
            <w:shd w:fill="F2F2F2" w:val="clear"/>
            <w:tcMar>
              <w:top w:type="dxa" w:w="60"/>
              <w:left w:type="dxa" w:w="100"/>
              <w:bottom w:type="dxa" w:w="60"/>
              <w:right w:type="dxa" w:w="100"/>
            </w:tcMar>
          </w:tcPr>
          <w:p>
            <w:r>
              <w:rPr>
                <w:sz w:val="19"/>
                <w:szCs w:val="19"/>
              </w:rPr>
              <w:t xml:space="preserve">Korrekt nach DIN VDE 0100-600; die App verlangt zusätzlich die explizite Angabe des tatsächlich verwendeten Prüfstroms, statt einen Standardwert zu unterstellen – das ist fachlich exakt richtig und in Kaufsoftware nicht die Regel.</w:t>
            </w:r>
          </w:p>
        </w:tc>
      </w:tr>
      <w:tr>
        <w:tc>
          <w:tcPr>
            <w:tcW w:type="dxa" w:w="2600"/>
            <w:tcMar>
              <w:top w:type="dxa" w:w="60"/>
              <w:left w:type="dxa" w:w="100"/>
              <w:bottom w:type="dxa" w:w="60"/>
              <w:right w:type="dxa" w:w="100"/>
            </w:tcMar>
          </w:tcPr>
          <w:p>
            <w:r>
              <w:rPr>
                <w:sz w:val="19"/>
                <w:szCs w:val="19"/>
              </w:rPr>
              <w:t xml:space="preserve">Z_S/I_K-Bewertung</w:t>
            </w:r>
          </w:p>
        </w:tc>
        <w:tc>
          <w:tcPr>
            <w:tcW w:type="dxa" w:w="3600"/>
            <w:tcMar>
              <w:top w:type="dxa" w:w="60"/>
              <w:left w:type="dxa" w:w="100"/>
              <w:bottom w:type="dxa" w:w="60"/>
              <w:right w:type="dxa" w:w="100"/>
            </w:tcMar>
          </w:tcPr>
          <w:p>
            <w:r>
              <w:rPr>
                <w:sz w:val="19"/>
                <w:szCs w:val="19"/>
              </w:rPr>
              <w:t xml:space="preserve">230 V / Z_S gegen zulässigen Höchstwert nach Charakteristik (Faktor 5/10/20)</w:t>
            </w:r>
          </w:p>
        </w:tc>
        <w:tc>
          <w:tcPr>
            <w:tcW w:type="dxa" w:w="2600"/>
            <w:tcMar>
              <w:top w:type="dxa" w:w="60"/>
              <w:left w:type="dxa" w:w="100"/>
              <w:bottom w:type="dxa" w:w="60"/>
              <w:right w:type="dxa" w:w="100"/>
            </w:tcMar>
          </w:tcPr>
          <w:p>
            <w:r>
              <w:rPr>
                <w:sz w:val="19"/>
                <w:szCs w:val="19"/>
              </w:rPr>
              <w:t xml:space="preserve">Korrekt; zusätzlich mit einem 2/3-Praxishinweis (gelbe Warnung statt roter Beanstandung), der die Norm von einer Praxisreserve unterscheidet – didaktisch und fachlich gut gelöst.</w:t>
            </w:r>
          </w:p>
        </w:tc>
      </w:tr>
      <w:tr>
        <w:tc>
          <w:tcPr>
            <w:tcW w:type="dxa" w:w="2600"/>
            <w:shd w:fill="F2F2F2" w:val="clear"/>
            <w:tcMar>
              <w:top w:type="dxa" w:w="60"/>
              <w:left w:type="dxa" w:w="100"/>
              <w:bottom w:type="dxa" w:w="60"/>
              <w:right w:type="dxa" w:w="100"/>
            </w:tcMar>
          </w:tcPr>
          <w:p>
            <w:r>
              <w:rPr>
                <w:sz w:val="19"/>
                <w:szCs w:val="19"/>
              </w:rPr>
              <w:t xml:space="preserve">R_ISO (Anlage)</w:t>
            </w:r>
          </w:p>
        </w:tc>
        <w:tc>
          <w:tcPr>
            <w:tcW w:type="dxa" w:w="3600"/>
            <w:shd w:fill="F2F2F2" w:val="clear"/>
            <w:tcMar>
              <w:top w:type="dxa" w:w="60"/>
              <w:left w:type="dxa" w:w="100"/>
              <w:bottom w:type="dxa" w:w="60"/>
              <w:right w:type="dxa" w:w="100"/>
            </w:tcMar>
          </w:tcPr>
          <w:p>
            <w:r>
              <w:rPr>
                <w:sz w:val="19"/>
                <w:szCs w:val="19"/>
              </w:rPr>
              <w:t xml:space="preserve">abhängig von Nennspannung/Stromkreisart nach DIN VDE 0100-600</w:t>
            </w:r>
          </w:p>
        </w:tc>
        <w:tc>
          <w:tcPr>
            <w:tcW w:type="dxa" w:w="2600"/>
            <w:shd w:fill="F2F2F2" w:val="clear"/>
            <w:tcMar>
              <w:top w:type="dxa" w:w="60"/>
              <w:left w:type="dxa" w:w="100"/>
              <w:bottom w:type="dxa" w:w="60"/>
              <w:right w:type="dxa" w:w="100"/>
            </w:tcMar>
          </w:tcPr>
          <w:p>
            <w:r>
              <w:rPr>
                <w:sz w:val="19"/>
                <w:szCs w:val="19"/>
              </w:rPr>
              <w:t xml:space="preserve">Nicht erneut im Detail durchgerechnet in dieser Runde, in der Vorprüfung als korrekt bestätigt.</w:t>
            </w:r>
          </w:p>
        </w:tc>
      </w:tr>
      <w:tr>
        <w:tc>
          <w:tcPr>
            <w:tcW w:type="dxa" w:w="2600"/>
            <w:tcMar>
              <w:top w:type="dxa" w:w="60"/>
              <w:left w:type="dxa" w:w="100"/>
              <w:bottom w:type="dxa" w:w="60"/>
              <w:right w:type="dxa" w:w="100"/>
            </w:tcMar>
          </w:tcPr>
          <w:p>
            <w:r>
              <w:rPr>
                <w:sz w:val="19"/>
                <w:szCs w:val="19"/>
              </w:rPr>
              <w:t xml:space="preserve">R_ISO (Geräte, SK I/II/III)</w:t>
            </w:r>
          </w:p>
        </w:tc>
        <w:tc>
          <w:tcPr>
            <w:tcW w:type="dxa" w:w="3600"/>
            <w:tcMar>
              <w:top w:type="dxa" w:w="60"/>
              <w:left w:type="dxa" w:w="100"/>
              <w:bottom w:type="dxa" w:w="60"/>
              <w:right w:type="dxa" w:w="100"/>
            </w:tcMar>
          </w:tcPr>
          <w:p>
            <w:r>
              <w:rPr>
                <w:sz w:val="19"/>
                <w:szCs w:val="19"/>
              </w:rPr>
              <w:t xml:space="preserve">SK I: 1,0 MΩ (0,3 MΩ mit Heizelement); SK II: 2,0 MΩ (1,0 MΩ mit Heizelement); SK III: 0,25 MΩ</w:t>
            </w:r>
          </w:p>
        </w:tc>
        <w:tc>
          <w:tcPr>
            <w:tcW w:type="dxa" w:w="2600"/>
            <w:tcMar>
              <w:top w:type="dxa" w:w="60"/>
              <w:left w:type="dxa" w:w="100"/>
              <w:bottom w:type="dxa" w:w="60"/>
              <w:right w:type="dxa" w:w="100"/>
            </w:tcMar>
          </w:tcPr>
          <w:p>
            <w:r>
              <w:rPr>
                <w:sz w:val="19"/>
                <w:szCs w:val="19"/>
              </w:rPr>
              <w:t xml:space="preserve">Korrekt nach DIN EN 50699 – im aktuellen Code-Stand bestätigt richtig hinterlegt (SK II 2,0 MΩ statt der in der Vorversion fälschlich verwendeten 1,0 MΩ; dieser Punkt wurde also inzwischen behoben).</w:t>
            </w:r>
          </w:p>
        </w:tc>
      </w:tr>
      <w:tr>
        <w:tc>
          <w:tcPr>
            <w:tcW w:type="dxa" w:w="2600"/>
            <w:shd w:fill="F2F2F2" w:val="clear"/>
            <w:tcMar>
              <w:top w:type="dxa" w:w="60"/>
              <w:left w:type="dxa" w:w="100"/>
              <w:bottom w:type="dxa" w:w="60"/>
              <w:right w:type="dxa" w:w="100"/>
            </w:tcMar>
          </w:tcPr>
          <w:p>
            <w:r>
              <w:rPr>
                <w:sz w:val="19"/>
                <w:szCs w:val="19"/>
              </w:rPr>
              <w:t xml:space="preserve">Ableitstrom/Schutzleiterstrom (Geräte)</w:t>
            </w:r>
          </w:p>
        </w:tc>
        <w:tc>
          <w:tcPr>
            <w:tcW w:type="dxa" w:w="3600"/>
            <w:shd w:fill="F2F2F2" w:val="clear"/>
            <w:tcMar>
              <w:top w:type="dxa" w:w="60"/>
              <w:left w:type="dxa" w:w="100"/>
              <w:bottom w:type="dxa" w:w="60"/>
              <w:right w:type="dxa" w:w="100"/>
            </w:tcMar>
          </w:tcPr>
          <w:p>
            <w:r>
              <w:rPr>
                <w:sz w:val="19"/>
                <w:szCs w:val="19"/>
              </w:rPr>
              <w:t xml:space="preserve">SK I: 3,5 mA (bzw. 1 mA/kW bis max. 10 mA bei Heizleistung &gt; 3,5 kW); SK II/III: 0,5 mA</w:t>
            </w:r>
          </w:p>
        </w:tc>
        <w:tc>
          <w:tcPr>
            <w:tcW w:type="dxa" w:w="2600"/>
            <w:shd w:fill="F2F2F2" w:val="clear"/>
            <w:tcMar>
              <w:top w:type="dxa" w:w="60"/>
              <w:left w:type="dxa" w:w="100"/>
              <w:bottom w:type="dxa" w:w="60"/>
              <w:right w:type="dxa" w:w="100"/>
            </w:tcMar>
          </w:tcPr>
          <w:p>
            <w:r>
              <w:rPr>
                <w:sz w:val="19"/>
                <w:szCs w:val="19"/>
              </w:rPr>
              <w:t xml:space="preserve">Korrekt nach DIN EN 50699.</w:t>
            </w:r>
          </w:p>
        </w:tc>
      </w:tr>
    </w:tbl>
    <w:p>
      <w:pPr>
        <w:spacing w:after="160" w:line="300"/>
      </w:pPr>
      <w:r>
        <w:t xml:space="preserve"/>
      </w:r>
    </w:p>
    <w:p>
      <w:pPr>
        <w:spacing w:after="160" w:line="300"/>
      </w:pPr>
      <w:r>
        <w:rPr>
          <w:b/>
          <w:bCs/>
          <w:color w:val="D97706"/>
        </w:rPr>
        <w:t xml:space="preserve">[Befund N1] </w:t>
      </w:r>
      <w:r>
        <w:t xml:space="preserve">Der Schutzleiterwiderstand für ortsveränderliche Geräte wird als `0,3 + Aufrundung((Länge−5)/7,5) × 0,1` Ω berechnet, ohne Obergrenze. Für eine 100-m-Leitung ergibt das rechnerisch 1,60 Ω. DIN EN 50699 begrenzt den zulässigen Schutzleiterwiderstand jedoch grundsätzlich auf maximal 1 Ω, unabhängig von der Leitungslänge. Bei den langen Kabelwegen auf Open-Air-Flächen (Kabeltrommeln, Verlängerungen über 50–100 m) ist dieser Fall keine Theorie, sondern Praxis der Veranstaltungstechnik. Ohne Deckelung gibt die App an solchen Kabelwegen Grenzwerte frei, die die Norm nicht vorsieht.</w:t>
      </w:r>
    </w:p>
    <w:p>
      <w:pPr>
        <w:pStyle w:val="ListParagraph"/>
        <w:numPr>
          <w:ilvl w:val="0"/>
          <w:numId w:val="1"/>
        </w:numPr>
        <w:spacing w:after="100" w:line="280"/>
      </w:pPr>
      <w:r>
        <w:t xml:space="preserve">Empfehlung: `return Math.min(1.0, 0.3 + Math.ceil((len - 5) / 7.5) * 0.1);` und im PDF-Ausdruck den Hinweis „max. 1,00 Ω (normativer Deckel)“ ergänzen.</w:t>
      </w:r>
    </w:p>
    <w:p>
      <w:pPr>
        <w:spacing w:after="160" w:line="300"/>
      </w:pPr>
      <w:r>
        <w:rPr>
          <w:b/>
          <w:bCs/>
          <w:color w:val="B58500"/>
        </w:rPr>
        <w:t xml:space="preserve">[Befund N2] </w:t>
      </w:r>
      <w:r>
        <w:t xml:space="preserve">Für allstromsensitive Fehlerstromschutzeinrichtungen (RCD Typ B) prüft die App unverändert nur den für Typ A/AC gültigen Auslösebereich von 0,5–1,0 × I_Δn. Für Typ B gilt dieser Bereich nur beim Wechselstromanteil; bei glattem Gleichfehlerstrom lässt die Produktnorm Auslösewerte bis 2 × I_Δn zu. Auf Bühnen mit LED-Dimmern, Medienservern und Frequenzumrichtern ist Typ B mittlerweile eher die Regel als die Ausnahme, sodass diese Vereinfachung in der Praxis zu unberechtigten Beanstandungen führen kann.</w:t>
      </w:r>
    </w:p>
    <w:p>
      <w:pPr>
        <w:pStyle w:val="ListParagraph"/>
        <w:numPr>
          <w:ilvl w:val="0"/>
          <w:numId w:val="1"/>
        </w:numPr>
        <w:spacing w:after="100" w:line="280"/>
      </w:pPr>
      <w:r>
        <w:t xml:space="preserve">Empfehlung: RCD-Typ als Eingabeparameter an getRcdIdnRangeMa() übergeben und für Typ B einen erweiterten Toleranzbereich vorsehen bzw. einen Fachhinweis ausgeben, dass bei Typ B eine Einzelfallbewertung nach Herstellerangabe erforderlich ist.</w:t>
      </w:r>
    </w:p>
    <w:p>
      <w:pPr>
        <w:spacing w:after="160" w:line="300"/>
      </w:pPr>
      <w:r>
        <w:rPr>
          <w:b/>
          <w:bCs/>
          <w:color w:val="B58500"/>
        </w:rPr>
        <w:t xml:space="preserve">[Befund N3] </w:t>
      </w:r>
      <w:r>
        <w:t xml:space="preserve">Die Erkennung der Absicherungscharakteristik (B/C/D-Automat) funktioniert nur, wenn die Buchstaben-Zahlen-Kombination am Anfang der Zeichenkette steht (`^([BCD])\s*([\d.,]+)`). Schreibweisen wie „LS B16“, „16 A Typ B“ oder „B16A, 3-polig“ mit Zusatztext davor werden nicht erkannt. In diesem Fall zeigt die App lediglich einen allgemeinen Hinweis „Absicherung eintragen, dann erscheint der zulässige Höchstwert“ – erzeugt das PDF aber trotzdem, ohne dass Z_S/I_K in diesem Stromkreis tatsächlich bewertet wurden. Das Protokoll gibt die Anlage in diesem Fall frei, ohne die Schutzabschaltung geprüft zu haben, ohne dies im Dokument selbst kenntlich zu machen. Positiv ist hingegen zu vermerken, dass Schmelzsicherungen (gG/gL/NH/Diazed/Neozed) explizit erkannt und mit einem eigenen fachlichen Hinweis versehen werden, da sie keine feste 5×/10×/20×-Kennlinie besitzen – dieser Teil der Logik ist sorgfältig durchdacht.</w:t>
      </w:r>
    </w:p>
    <w:p>
      <w:pPr>
        <w:pStyle w:val="ListParagraph"/>
        <w:numPr>
          <w:ilvl w:val="0"/>
          <w:numId w:val="1"/>
        </w:numPr>
        <w:spacing w:after="100" w:line="280"/>
      </w:pPr>
      <w:r>
        <w:t xml:space="preserve">Empfehlung: Erkennungsmuster so erweitern, dass B/C/D-Charakteristik an beliebiger Stelle im Text gesucht wird; bei Nichterkennung dieselbe unübersehbare fachliche Kennzeichnung anzeigen wie bei Schmelzsicherungen, statt nur einen unauffälligen Platzhaltertext.</w:t>
      </w:r>
    </w:p>
    <w:p>
      <w:pPr>
        <w:pStyle w:val="Heading2"/>
        <w:spacing w:after="120" w:before="300"/>
      </w:pPr>
      <w:r>
        <w:t xml:space="preserve">3.2 Grenzwerte &amp; Pflichtangaben – Vollständigkeit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1900"/>
      </w:tblGrid>
      <w:tr>
        <w:trPr>
          <w:tblHeader/>
        </w:trPr>
        <w:tc>
          <w:tcPr>
            <w:tcW w:type="dxa" w:w="3200"/>
            <w:shd w:fill="003366" w:val="clear"/>
            <w:tcMar>
              <w:top w:type="dxa" w:w="80"/>
              <w:left w:type="dxa" w:w="100"/>
              <w:bottom w:type="dxa" w:w="80"/>
              <w:right w:type="dxa" w:w="100"/>
            </w:tcMar>
          </w:tcPr>
          <w:p>
            <w:r>
              <w:rPr>
                <w:b/>
                <w:bCs/>
                <w:color w:val="FFFFFF"/>
                <w:sz w:val="19"/>
                <w:szCs w:val="19"/>
              </w:rPr>
              <w:t xml:space="preserve">Pflichtangabe / Feld</w:t>
            </w:r>
          </w:p>
        </w:tc>
        <w:tc>
          <w:tcPr>
            <w:tcW w:type="dxa" w:w="1900"/>
            <w:shd w:fill="003366" w:val="clear"/>
            <w:tcMar>
              <w:top w:type="dxa" w:w="80"/>
              <w:left w:type="dxa" w:w="100"/>
              <w:bottom w:type="dxa" w:w="80"/>
              <w:right w:type="dxa" w:w="100"/>
            </w:tcMar>
          </w:tcPr>
          <w:p>
            <w:r>
              <w:rPr>
                <w:b/>
                <w:bCs/>
                <w:color w:val="FFFFFF"/>
                <w:sz w:val="19"/>
                <w:szCs w:val="19"/>
              </w:rPr>
              <w:t xml:space="preserve">Anlagenprüfung</w:t>
            </w:r>
          </w:p>
        </w:tc>
        <w:tc>
          <w:tcPr>
            <w:tcW w:type="dxa" w:w="1900"/>
            <w:shd w:fill="003366" w:val="clear"/>
            <w:tcMar>
              <w:top w:type="dxa" w:w="80"/>
              <w:left w:type="dxa" w:w="100"/>
              <w:bottom w:type="dxa" w:w="80"/>
              <w:right w:type="dxa" w:w="100"/>
            </w:tcMar>
          </w:tcPr>
          <w:p>
            <w:r>
              <w:rPr>
                <w:b/>
                <w:bCs/>
                <w:color w:val="FFFFFF"/>
                <w:sz w:val="19"/>
                <w:szCs w:val="19"/>
              </w:rPr>
              <w:t xml:space="preserve">Anschlussprüfung</w:t>
            </w:r>
          </w:p>
        </w:tc>
        <w:tc>
          <w:tcPr>
            <w:tcW w:type="dxa" w:w="1900"/>
            <w:shd w:fill="003366" w:val="clear"/>
            <w:tcMar>
              <w:top w:type="dxa" w:w="80"/>
              <w:left w:type="dxa" w:w="100"/>
              <w:bottom w:type="dxa" w:w="80"/>
              <w:right w:type="dxa" w:w="100"/>
            </w:tcMar>
          </w:tcPr>
          <w:p>
            <w:r>
              <w:rPr>
                <w:b/>
                <w:bCs/>
                <w:color w:val="FFFFFF"/>
                <w:sz w:val="19"/>
                <w:szCs w:val="19"/>
              </w:rPr>
              <w:t xml:space="preserve">Geräteprüfung</w:t>
            </w:r>
          </w:p>
        </w:tc>
      </w:tr>
      <w:tr>
        <w:tc>
          <w:tcPr>
            <w:tcW w:type="dxa" w:w="3200"/>
            <w:tcMar>
              <w:top w:type="dxa" w:w="60"/>
              <w:left w:type="dxa" w:w="100"/>
              <w:bottom w:type="dxa" w:w="60"/>
              <w:right w:type="dxa" w:w="100"/>
            </w:tcMar>
          </w:tcPr>
          <w:p>
            <w:r>
              <w:rPr>
                <w:sz w:val="19"/>
                <w:szCs w:val="19"/>
              </w:rPr>
              <w:t xml:space="preserve">Schutzleiterwiderstand R_PE</w:t>
            </w:r>
          </w:p>
        </w:tc>
        <w:tc>
          <w:tcPr>
            <w:tcW w:type="dxa" w:w="1900"/>
            <w:tcMar>
              <w:top w:type="dxa" w:w="60"/>
              <w:left w:type="dxa" w:w="100"/>
              <w:bottom w:type="dxa" w:w="60"/>
              <w:right w:type="dxa" w:w="100"/>
            </w:tcMar>
          </w:tcPr>
          <w:p>
            <w:r>
              <w:rPr>
                <w:sz w:val="19"/>
                <w:szCs w:val="19"/>
              </w:rPr>
              <w:t xml:space="preserve">vorhanden</w:t>
            </w:r>
          </w:p>
        </w:tc>
        <w:tc>
          <w:tcPr>
            <w:tcW w:type="dxa" w:w="1900"/>
            <w:tcMar>
              <w:top w:type="dxa" w:w="60"/>
              <w:left w:type="dxa" w:w="100"/>
              <w:bottom w:type="dxa" w:w="60"/>
              <w:right w:type="dxa" w:w="100"/>
            </w:tcMar>
          </w:tcPr>
          <w:p>
            <w:r>
              <w:rPr>
                <w:sz w:val="19"/>
                <w:szCs w:val="19"/>
              </w:rPr>
              <w:t xml:space="preserve">n/a (kein Endgerät)</w:t>
            </w:r>
          </w:p>
        </w:tc>
        <w:tc>
          <w:tcPr>
            <w:tcW w:type="dxa" w:w="1900"/>
            <w:tcMar>
              <w:top w:type="dxa" w:w="60"/>
              <w:left w:type="dxa" w:w="100"/>
              <w:bottom w:type="dxa" w:w="60"/>
              <w:right w:type="dxa" w:w="100"/>
            </w:tcMar>
          </w:tcPr>
          <w:p>
            <w:r>
              <w:rPr>
                <w:sz w:val="19"/>
                <w:szCs w:val="19"/>
              </w:rPr>
              <w:t xml:space="preserve">vorhanden, siehe N1</w:t>
            </w:r>
          </w:p>
        </w:tc>
      </w:tr>
      <w:tr>
        <w:tc>
          <w:tcPr>
            <w:tcW w:type="dxa" w:w="3200"/>
            <w:shd w:fill="F2F2F2" w:val="clear"/>
            <w:tcMar>
              <w:top w:type="dxa" w:w="60"/>
              <w:left w:type="dxa" w:w="100"/>
              <w:bottom w:type="dxa" w:w="60"/>
              <w:right w:type="dxa" w:w="100"/>
            </w:tcMar>
          </w:tcPr>
          <w:p>
            <w:r>
              <w:rPr>
                <w:sz w:val="19"/>
                <w:szCs w:val="19"/>
              </w:rPr>
              <w:t xml:space="preserve">Isolationswiderstand R_ISO</w:t>
            </w:r>
          </w:p>
        </w:tc>
        <w:tc>
          <w:tcPr>
            <w:tcW w:type="dxa" w:w="1900"/>
            <w:shd w:fill="F2F2F2" w:val="clear"/>
            <w:tcMar>
              <w:top w:type="dxa" w:w="60"/>
              <w:left w:type="dxa" w:w="100"/>
              <w:bottom w:type="dxa" w:w="60"/>
              <w:right w:type="dxa" w:w="100"/>
            </w:tcMar>
          </w:tcPr>
          <w:p>
            <w:r>
              <w:rPr>
                <w:sz w:val="19"/>
                <w:szCs w:val="19"/>
              </w:rPr>
              <w:t xml:space="preserve">vorhanden</w:t>
            </w:r>
          </w:p>
        </w:tc>
        <w:tc>
          <w:tcPr>
            <w:tcW w:type="dxa" w:w="1900"/>
            <w:shd w:fill="F2F2F2" w:val="clear"/>
            <w:tcMar>
              <w:top w:type="dxa" w:w="60"/>
              <w:left w:type="dxa" w:w="100"/>
              <w:bottom w:type="dxa" w:w="60"/>
              <w:right w:type="dxa" w:w="100"/>
            </w:tcMar>
          </w:tcPr>
          <w:p>
            <w:r>
              <w:rPr>
                <w:sz w:val="19"/>
                <w:szCs w:val="19"/>
              </w:rPr>
              <w:t xml:space="preserve">n/a</w:t>
            </w:r>
          </w:p>
        </w:tc>
        <w:tc>
          <w:tcPr>
            <w:tcW w:type="dxa" w:w="1900"/>
            <w:shd w:fill="F2F2F2" w:val="clear"/>
            <w:tcMar>
              <w:top w:type="dxa" w:w="60"/>
              <w:left w:type="dxa" w:w="100"/>
              <w:bottom w:type="dxa" w:w="60"/>
              <w:right w:type="dxa" w:w="100"/>
            </w:tcMar>
          </w:tcPr>
          <w:p>
            <w:r>
              <w:rPr>
                <w:sz w:val="19"/>
                <w:szCs w:val="19"/>
              </w:rPr>
              <w:t xml:space="preserve">vorhanden</w:t>
            </w:r>
          </w:p>
        </w:tc>
      </w:tr>
      <w:tr>
        <w:tc>
          <w:tcPr>
            <w:tcW w:type="dxa" w:w="3200"/>
            <w:tcMar>
              <w:top w:type="dxa" w:w="60"/>
              <w:left w:type="dxa" w:w="100"/>
              <w:bottom w:type="dxa" w:w="60"/>
              <w:right w:type="dxa" w:w="100"/>
            </w:tcMar>
          </w:tcPr>
          <w:p>
            <w:r>
              <w:rPr>
                <w:sz w:val="19"/>
                <w:szCs w:val="19"/>
              </w:rPr>
              <w:t xml:space="preserve">Ableitstrom / Schutzleiterstrom</w:t>
            </w:r>
          </w:p>
        </w:tc>
        <w:tc>
          <w:tcPr>
            <w:tcW w:type="dxa" w:w="1900"/>
            <w:tcMar>
              <w:top w:type="dxa" w:w="60"/>
              <w:left w:type="dxa" w:w="100"/>
              <w:bottom w:type="dxa" w:w="60"/>
              <w:right w:type="dxa" w:w="100"/>
            </w:tcMar>
          </w:tcPr>
          <w:p>
            <w:r>
              <w:rPr>
                <w:sz w:val="19"/>
                <w:szCs w:val="19"/>
              </w:rPr>
              <w:t xml:space="preserve">n/a</w:t>
            </w:r>
          </w:p>
        </w:tc>
        <w:tc>
          <w:tcPr>
            <w:tcW w:type="dxa" w:w="1900"/>
            <w:tcMar>
              <w:top w:type="dxa" w:w="60"/>
              <w:left w:type="dxa" w:w="100"/>
              <w:bottom w:type="dxa" w:w="60"/>
              <w:right w:type="dxa" w:w="100"/>
            </w:tcMar>
          </w:tcPr>
          <w:p>
            <w:r>
              <w:rPr>
                <w:sz w:val="19"/>
                <w:szCs w:val="19"/>
              </w:rPr>
              <w:t xml:space="preserve">n/a</w:t>
            </w:r>
          </w:p>
        </w:tc>
        <w:tc>
          <w:tcPr>
            <w:tcW w:type="dxa" w:w="1900"/>
            <w:tcMar>
              <w:top w:type="dxa" w:w="60"/>
              <w:left w:type="dxa" w:w="100"/>
              <w:bottom w:type="dxa" w:w="60"/>
              <w:right w:type="dxa" w:w="100"/>
            </w:tcMar>
          </w:tcPr>
          <w:p>
            <w:r>
              <w:rPr>
                <w:sz w:val="19"/>
                <w:szCs w:val="19"/>
              </w:rPr>
              <w:t xml:space="preserve">vorhanden</w:t>
            </w:r>
          </w:p>
        </w:tc>
      </w:tr>
      <w:tr>
        <w:tc>
          <w:tcPr>
            <w:tcW w:type="dxa" w:w="3200"/>
            <w:shd w:fill="F2F2F2" w:val="clear"/>
            <w:tcMar>
              <w:top w:type="dxa" w:w="60"/>
              <w:left w:type="dxa" w:w="100"/>
              <w:bottom w:type="dxa" w:w="60"/>
              <w:right w:type="dxa" w:w="100"/>
            </w:tcMar>
          </w:tcPr>
          <w:p>
            <w:r>
              <w:rPr>
                <w:sz w:val="19"/>
                <w:szCs w:val="19"/>
              </w:rPr>
              <w:t xml:space="preserve">Schleifenimpedanz Z_S / I_K</w:t>
            </w:r>
          </w:p>
        </w:tc>
        <w:tc>
          <w:tcPr>
            <w:tcW w:type="dxa" w:w="1900"/>
            <w:shd w:fill="F2F2F2" w:val="clear"/>
            <w:tcMar>
              <w:top w:type="dxa" w:w="60"/>
              <w:left w:type="dxa" w:w="100"/>
              <w:bottom w:type="dxa" w:w="60"/>
              <w:right w:type="dxa" w:w="100"/>
            </w:tcMar>
          </w:tcPr>
          <w:p>
            <w:r>
              <w:rPr>
                <w:sz w:val="19"/>
                <w:szCs w:val="19"/>
              </w:rPr>
              <w:t xml:space="preserve">vorhanden, automatisch berechnet</w:t>
            </w:r>
          </w:p>
        </w:tc>
        <w:tc>
          <w:tcPr>
            <w:tcW w:type="dxa" w:w="1900"/>
            <w:shd w:fill="F2F2F2" w:val="clear"/>
            <w:tcMar>
              <w:top w:type="dxa" w:w="60"/>
              <w:left w:type="dxa" w:w="100"/>
              <w:bottom w:type="dxa" w:w="60"/>
              <w:right w:type="dxa" w:w="100"/>
            </w:tcMar>
          </w:tcPr>
          <w:p>
            <w:r>
              <w:rPr>
                <w:sz w:val="19"/>
                <w:szCs w:val="19"/>
              </w:rPr>
              <w:t xml:space="preserve">vorhanden</w:t>
            </w:r>
          </w:p>
        </w:tc>
        <w:tc>
          <w:tcPr>
            <w:tcW w:type="dxa" w:w="1900"/>
            <w:shd w:fill="F2F2F2" w:val="clear"/>
            <w:tcMar>
              <w:top w:type="dxa" w:w="60"/>
              <w:left w:type="dxa" w:w="100"/>
              <w:bottom w:type="dxa" w:w="60"/>
              <w:right w:type="dxa" w:w="100"/>
            </w:tcMar>
          </w:tcPr>
          <w:p>
            <w:r>
              <w:rPr>
                <w:sz w:val="19"/>
                <w:szCs w:val="19"/>
              </w:rPr>
              <w:t xml:space="preserve">n/a</w:t>
            </w:r>
          </w:p>
        </w:tc>
      </w:tr>
      <w:tr>
        <w:tc>
          <w:tcPr>
            <w:tcW w:type="dxa" w:w="3200"/>
            <w:tcMar>
              <w:top w:type="dxa" w:w="60"/>
              <w:left w:type="dxa" w:w="100"/>
              <w:bottom w:type="dxa" w:w="60"/>
              <w:right w:type="dxa" w:w="100"/>
            </w:tcMar>
          </w:tcPr>
          <w:p>
            <w:r>
              <w:rPr>
                <w:sz w:val="19"/>
                <w:szCs w:val="19"/>
              </w:rPr>
              <w:t xml:space="preserve">RCD-Auslösezeit / -strom</w:t>
            </w:r>
          </w:p>
        </w:tc>
        <w:tc>
          <w:tcPr>
            <w:tcW w:type="dxa" w:w="1900"/>
            <w:tcMar>
              <w:top w:type="dxa" w:w="60"/>
              <w:left w:type="dxa" w:w="100"/>
              <w:bottom w:type="dxa" w:w="60"/>
              <w:right w:type="dxa" w:w="100"/>
            </w:tcMar>
          </w:tcPr>
          <w:p>
            <w:r>
              <w:rPr>
                <w:sz w:val="19"/>
                <w:szCs w:val="19"/>
              </w:rPr>
              <w:t xml:space="preserve">vorhanden, mit Prüfstromwahl</w:t>
            </w:r>
          </w:p>
        </w:tc>
        <w:tc>
          <w:tcPr>
            <w:tcW w:type="dxa" w:w="1900"/>
            <w:tcMar>
              <w:top w:type="dxa" w:w="60"/>
              <w:left w:type="dxa" w:w="100"/>
              <w:bottom w:type="dxa" w:w="60"/>
              <w:right w:type="dxa" w:w="100"/>
            </w:tcMar>
          </w:tcPr>
          <w:p>
            <w:r>
              <w:rPr>
                <w:sz w:val="19"/>
                <w:szCs w:val="19"/>
              </w:rPr>
              <w:t xml:space="preserve">n/a</w:t>
            </w:r>
          </w:p>
        </w:tc>
        <w:tc>
          <w:tcPr>
            <w:tcW w:type="dxa" w:w="1900"/>
            <w:tcMar>
              <w:top w:type="dxa" w:w="60"/>
              <w:left w:type="dxa" w:w="100"/>
              <w:bottom w:type="dxa" w:w="60"/>
              <w:right w:type="dxa" w:w="100"/>
            </w:tcMar>
          </w:tcPr>
          <w:p>
            <w:r>
              <w:rPr>
                <w:sz w:val="19"/>
                <w:szCs w:val="19"/>
              </w:rPr>
              <w:t xml:space="preserve">n/a (soweit vorhanden am Übergabepunkt separat)</w:t>
            </w:r>
          </w:p>
        </w:tc>
      </w:tr>
      <w:tr>
        <w:tc>
          <w:tcPr>
            <w:tcW w:type="dxa" w:w="3200"/>
            <w:shd w:fill="F2F2F2" w:val="clear"/>
            <w:tcMar>
              <w:top w:type="dxa" w:w="60"/>
              <w:left w:type="dxa" w:w="100"/>
              <w:bottom w:type="dxa" w:w="60"/>
              <w:right w:type="dxa" w:w="100"/>
            </w:tcMar>
          </w:tcPr>
          <w:p>
            <w:r>
              <w:rPr>
                <w:sz w:val="19"/>
                <w:szCs w:val="19"/>
              </w:rPr>
              <w:t xml:space="preserve">Netzmessung inkl. U N-PE</w:t>
            </w:r>
          </w:p>
        </w:tc>
        <w:tc>
          <w:tcPr>
            <w:tcW w:type="dxa" w:w="1900"/>
            <w:shd w:fill="F2F2F2" w:val="clear"/>
            <w:tcMar>
              <w:top w:type="dxa" w:w="60"/>
              <w:left w:type="dxa" w:w="100"/>
              <w:bottom w:type="dxa" w:w="60"/>
              <w:right w:type="dxa" w:w="100"/>
            </w:tcMar>
          </w:tcPr>
          <w:p>
            <w:r>
              <w:rPr>
                <w:sz w:val="19"/>
                <w:szCs w:val="19"/>
              </w:rPr>
              <w:t xml:space="preserve">vorhanden</w:t>
            </w:r>
          </w:p>
        </w:tc>
        <w:tc>
          <w:tcPr>
            <w:tcW w:type="dxa" w:w="1900"/>
            <w:shd w:fill="F2F2F2" w:val="clear"/>
            <w:tcMar>
              <w:top w:type="dxa" w:w="60"/>
              <w:left w:type="dxa" w:w="100"/>
              <w:bottom w:type="dxa" w:w="60"/>
              <w:right w:type="dxa" w:w="100"/>
            </w:tcMar>
          </w:tcPr>
          <w:p>
            <w:r>
              <w:rPr>
                <w:sz w:val="19"/>
                <w:szCs w:val="19"/>
              </w:rPr>
              <w:t xml:space="preserve">seit 4.5.0 vorhanden, U N-PE Pflichtfeld</w:t>
            </w:r>
          </w:p>
        </w:tc>
        <w:tc>
          <w:tcPr>
            <w:tcW w:type="dxa" w:w="1900"/>
            <w:shd w:fill="F2F2F2" w:val="clear"/>
            <w:tcMar>
              <w:top w:type="dxa" w:w="60"/>
              <w:left w:type="dxa" w:w="100"/>
              <w:bottom w:type="dxa" w:w="60"/>
              <w:right w:type="dxa" w:w="100"/>
            </w:tcMar>
          </w:tcPr>
          <w:p>
            <w:r>
              <w:rPr>
                <w:sz w:val="19"/>
                <w:szCs w:val="19"/>
              </w:rPr>
              <w:t xml:space="preserve">n/a</w:t>
            </w:r>
          </w:p>
        </w:tc>
      </w:tr>
      <w:tr>
        <w:tc>
          <w:tcPr>
            <w:tcW w:type="dxa" w:w="3200"/>
            <w:tcMar>
              <w:top w:type="dxa" w:w="60"/>
              <w:left w:type="dxa" w:w="100"/>
              <w:bottom w:type="dxa" w:w="60"/>
              <w:right w:type="dxa" w:w="100"/>
            </w:tcMar>
          </w:tcPr>
          <w:p>
            <w:r>
              <w:rPr>
                <w:sz w:val="19"/>
                <w:szCs w:val="19"/>
              </w:rPr>
              <w:t xml:space="preserve">Messgerätebezeichnung</w:t>
            </w:r>
          </w:p>
        </w:tc>
        <w:tc>
          <w:tcPr>
            <w:tcW w:type="dxa" w:w="1900"/>
            <w:tcMar>
              <w:top w:type="dxa" w:w="60"/>
              <w:left w:type="dxa" w:w="100"/>
              <w:bottom w:type="dxa" w:w="60"/>
              <w:right w:type="dxa" w:w="100"/>
            </w:tcMar>
          </w:tcPr>
          <w:p>
            <w:r>
              <w:rPr>
                <w:sz w:val="19"/>
                <w:szCs w:val="19"/>
              </w:rPr>
              <w:t xml:space="preserve">vorhanden, aber vorbelegt (P2)</w:t>
            </w:r>
          </w:p>
        </w:tc>
        <w:tc>
          <w:tcPr>
            <w:tcW w:type="dxa" w:w="1900"/>
            <w:tcMar>
              <w:top w:type="dxa" w:w="60"/>
              <w:left w:type="dxa" w:w="100"/>
              <w:bottom w:type="dxa" w:w="60"/>
              <w:right w:type="dxa" w:w="100"/>
            </w:tcMar>
          </w:tcPr>
          <w:p>
            <w:r>
              <w:rPr>
                <w:sz w:val="19"/>
                <w:szCs w:val="19"/>
              </w:rPr>
              <w:t xml:space="preserve">vorhanden, aber vorbelegt (P2)</w:t>
            </w:r>
          </w:p>
        </w:tc>
        <w:tc>
          <w:tcPr>
            <w:tcW w:type="dxa" w:w="1900"/>
            <w:tcMar>
              <w:top w:type="dxa" w:w="60"/>
              <w:left w:type="dxa" w:w="100"/>
              <w:bottom w:type="dxa" w:w="60"/>
              <w:right w:type="dxa" w:w="100"/>
            </w:tcMar>
          </w:tcPr>
          <w:p>
            <w:r>
              <w:rPr>
                <w:sz w:val="19"/>
                <w:szCs w:val="19"/>
              </w:rPr>
              <w:t xml:space="preserve">vorhanden, aber vorbelegt (P2)</w:t>
            </w:r>
          </w:p>
        </w:tc>
      </w:tr>
      <w:tr>
        <w:tc>
          <w:tcPr>
            <w:tcW w:type="dxa" w:w="3200"/>
            <w:shd w:fill="F2F2F2" w:val="clear"/>
            <w:tcMar>
              <w:top w:type="dxa" w:w="60"/>
              <w:left w:type="dxa" w:w="100"/>
              <w:bottom w:type="dxa" w:w="60"/>
              <w:right w:type="dxa" w:w="100"/>
            </w:tcMar>
          </w:tcPr>
          <w:p>
            <w:r>
              <w:rPr>
                <w:sz w:val="19"/>
                <w:szCs w:val="19"/>
              </w:rPr>
              <w:t xml:space="preserve">Seriennummer Messgerät</w:t>
            </w:r>
          </w:p>
        </w:tc>
        <w:tc>
          <w:tcPr>
            <w:tcW w:type="dxa" w:w="1900"/>
            <w:shd w:fill="F2F2F2" w:val="clear"/>
            <w:tcMar>
              <w:top w:type="dxa" w:w="60"/>
              <w:left w:type="dxa" w:w="100"/>
              <w:bottom w:type="dxa" w:w="60"/>
              <w:right w:type="dxa" w:w="100"/>
            </w:tcMar>
          </w:tcPr>
          <w:p>
            <w:r>
              <w:rPr>
                <w:sz w:val="19"/>
                <w:szCs w:val="19"/>
              </w:rPr>
              <w:t xml:space="preserve">vorhanden, aber vorbelegt (P2)</w:t>
            </w:r>
          </w:p>
        </w:tc>
        <w:tc>
          <w:tcPr>
            <w:tcW w:type="dxa" w:w="1900"/>
            <w:shd w:fill="F2F2F2" w:val="clear"/>
            <w:tcMar>
              <w:top w:type="dxa" w:w="60"/>
              <w:left w:type="dxa" w:w="100"/>
              <w:bottom w:type="dxa" w:w="60"/>
              <w:right w:type="dxa" w:w="100"/>
            </w:tcMar>
          </w:tcPr>
          <w:p>
            <w:r>
              <w:rPr>
                <w:sz w:val="19"/>
                <w:szCs w:val="19"/>
              </w:rPr>
              <w:t xml:space="preserve">vorhanden, aber vorbelegt (P2)</w:t>
            </w:r>
          </w:p>
        </w:tc>
        <w:tc>
          <w:tcPr>
            <w:tcW w:type="dxa" w:w="1900"/>
            <w:shd w:fill="F2F2F2" w:val="clear"/>
            <w:tcMar>
              <w:top w:type="dxa" w:w="60"/>
              <w:left w:type="dxa" w:w="100"/>
              <w:bottom w:type="dxa" w:w="60"/>
              <w:right w:type="dxa" w:w="100"/>
            </w:tcMar>
          </w:tcPr>
          <w:p>
            <w:r>
              <w:rPr>
                <w:sz w:val="19"/>
                <w:szCs w:val="19"/>
              </w:rPr>
              <w:t xml:space="preserve">vorhanden, aber vorbelegt (P2)</w:t>
            </w:r>
          </w:p>
        </w:tc>
      </w:tr>
      <w:tr>
        <w:tc>
          <w:tcPr>
            <w:tcW w:type="dxa" w:w="3200"/>
            <w:tcMar>
              <w:top w:type="dxa" w:w="60"/>
              <w:left w:type="dxa" w:w="100"/>
              <w:bottom w:type="dxa" w:w="60"/>
              <w:right w:type="dxa" w:w="100"/>
            </w:tcMar>
          </w:tcPr>
          <w:p>
            <w:r>
              <w:rPr>
                <w:sz w:val="19"/>
                <w:szCs w:val="19"/>
              </w:rPr>
              <w:t xml:space="preserve">Kalibrierstatus Messgerät</w:t>
            </w:r>
          </w:p>
        </w:tc>
        <w:tc>
          <w:tcPr>
            <w:tcW w:type="dxa" w:w="1900"/>
            <w:tcMar>
              <w:top w:type="dxa" w:w="60"/>
              <w:left w:type="dxa" w:w="100"/>
              <w:bottom w:type="dxa" w:w="60"/>
              <w:right w:type="dxa" w:w="100"/>
            </w:tcMar>
          </w:tcPr>
          <w:p>
            <w:r>
              <w:rPr>
                <w:sz w:val="19"/>
                <w:szCs w:val="19"/>
              </w:rPr>
              <w:t xml:space="preserve">vorhanden, mit Lücke bei fehlender SN (A4)</w:t>
            </w:r>
          </w:p>
        </w:tc>
        <w:tc>
          <w:tcPr>
            <w:tcW w:type="dxa" w:w="1900"/>
            <w:tcMar>
              <w:top w:type="dxa" w:w="60"/>
              <w:left w:type="dxa" w:w="100"/>
              <w:bottom w:type="dxa" w:w="60"/>
              <w:right w:type="dxa" w:w="100"/>
            </w:tcMar>
          </w:tcPr>
          <w:p>
            <w:r>
              <w:rPr>
                <w:sz w:val="19"/>
                <w:szCs w:val="19"/>
              </w:rPr>
              <w:t xml:space="preserve">vorhanden, mit Lücke bei fehlender SN (A4)</w:t>
            </w:r>
          </w:p>
        </w:tc>
        <w:tc>
          <w:tcPr>
            <w:tcW w:type="dxa" w:w="1900"/>
            <w:tcMar>
              <w:top w:type="dxa" w:w="60"/>
              <w:left w:type="dxa" w:w="100"/>
              <w:bottom w:type="dxa" w:w="60"/>
              <w:right w:type="dxa" w:w="100"/>
            </w:tcMar>
          </w:tcPr>
          <w:p>
            <w:r>
              <w:rPr>
                <w:sz w:val="19"/>
                <w:szCs w:val="19"/>
              </w:rPr>
              <w:t xml:space="preserve">vorhanden, mit Lücke bei fehlender SN (A4)</w:t>
            </w:r>
          </w:p>
        </w:tc>
      </w:tr>
      <w:tr>
        <w:tc>
          <w:tcPr>
            <w:tcW w:type="dxa" w:w="3200"/>
            <w:shd w:fill="F2F2F2" w:val="clear"/>
            <w:tcMar>
              <w:top w:type="dxa" w:w="60"/>
              <w:left w:type="dxa" w:w="100"/>
              <w:bottom w:type="dxa" w:w="60"/>
              <w:right w:type="dxa" w:w="100"/>
            </w:tcMar>
          </w:tcPr>
          <w:p>
            <w:r>
              <w:rPr>
                <w:sz w:val="19"/>
                <w:szCs w:val="19"/>
              </w:rPr>
              <w:t xml:space="preserve">Qualifikation der prüfenden Person</w:t>
            </w:r>
          </w:p>
        </w:tc>
        <w:tc>
          <w:tcPr>
            <w:tcW w:type="dxa" w:w="1900"/>
            <w:shd w:fill="F2F2F2" w:val="clear"/>
            <w:tcMar>
              <w:top w:type="dxa" w:w="60"/>
              <w:left w:type="dxa" w:w="100"/>
              <w:bottom w:type="dxa" w:w="60"/>
              <w:right w:type="dxa" w:w="100"/>
            </w:tcMar>
          </w:tcPr>
          <w:p>
            <w:r>
              <w:rPr>
                <w:sz w:val="19"/>
                <w:szCs w:val="19"/>
              </w:rPr>
              <w:t xml:space="preserve">fehlt</w:t>
            </w:r>
          </w:p>
        </w:tc>
        <w:tc>
          <w:tcPr>
            <w:tcW w:type="dxa" w:w="1900"/>
            <w:shd w:fill="F2F2F2" w:val="clear"/>
            <w:tcMar>
              <w:top w:type="dxa" w:w="60"/>
              <w:left w:type="dxa" w:w="100"/>
              <w:bottom w:type="dxa" w:w="60"/>
              <w:right w:type="dxa" w:w="100"/>
            </w:tcMar>
          </w:tcPr>
          <w:p>
            <w:r>
              <w:rPr>
                <w:sz w:val="19"/>
                <w:szCs w:val="19"/>
              </w:rPr>
              <w:t xml:space="preserve">fehlt</w:t>
            </w:r>
          </w:p>
        </w:tc>
        <w:tc>
          <w:tcPr>
            <w:tcW w:type="dxa" w:w="1900"/>
            <w:shd w:fill="F2F2F2" w:val="clear"/>
            <w:tcMar>
              <w:top w:type="dxa" w:w="60"/>
              <w:left w:type="dxa" w:w="100"/>
              <w:bottom w:type="dxa" w:w="60"/>
              <w:right w:type="dxa" w:w="100"/>
            </w:tcMar>
          </w:tcPr>
          <w:p>
            <w:r>
              <w:rPr>
                <w:sz w:val="19"/>
                <w:szCs w:val="19"/>
              </w:rPr>
              <w:t xml:space="preserve">fehlt</w:t>
            </w:r>
          </w:p>
        </w:tc>
      </w:tr>
      <w:tr>
        <w:tc>
          <w:tcPr>
            <w:tcW w:type="dxa" w:w="3200"/>
            <w:tcMar>
              <w:top w:type="dxa" w:w="60"/>
              <w:left w:type="dxa" w:w="100"/>
              <w:bottom w:type="dxa" w:w="60"/>
              <w:right w:type="dxa" w:w="100"/>
            </w:tcMar>
          </w:tcPr>
          <w:p>
            <w:r>
              <w:rPr>
                <w:sz w:val="19"/>
                <w:szCs w:val="19"/>
              </w:rPr>
              <w:t xml:space="preserve">Prüfumfang / Stichprobenangabe</w:t>
            </w:r>
          </w:p>
        </w:tc>
        <w:tc>
          <w:tcPr>
            <w:tcW w:type="dxa" w:w="1900"/>
            <w:tcMar>
              <w:top w:type="dxa" w:w="60"/>
              <w:left w:type="dxa" w:w="100"/>
              <w:bottom w:type="dxa" w:w="60"/>
              <w:right w:type="dxa" w:w="100"/>
            </w:tcMar>
          </w:tcPr>
          <w:p>
            <w:r>
              <w:rPr>
                <w:sz w:val="19"/>
                <w:szCs w:val="19"/>
              </w:rPr>
              <w:t xml:space="preserve">fehlt</w:t>
            </w:r>
          </w:p>
        </w:tc>
        <w:tc>
          <w:tcPr>
            <w:tcW w:type="dxa" w:w="1900"/>
            <w:tcMar>
              <w:top w:type="dxa" w:w="60"/>
              <w:left w:type="dxa" w:w="100"/>
              <w:bottom w:type="dxa" w:w="60"/>
              <w:right w:type="dxa" w:w="100"/>
            </w:tcMar>
          </w:tcPr>
          <w:p>
            <w:r>
              <w:rPr>
                <w:sz w:val="19"/>
                <w:szCs w:val="19"/>
              </w:rPr>
              <w:t xml:space="preserve">n/a</w:t>
            </w:r>
          </w:p>
        </w:tc>
        <w:tc>
          <w:tcPr>
            <w:tcW w:type="dxa" w:w="1900"/>
            <w:tcMar>
              <w:top w:type="dxa" w:w="60"/>
              <w:left w:type="dxa" w:w="100"/>
              <w:bottom w:type="dxa" w:w="60"/>
              <w:right w:type="dxa" w:w="100"/>
            </w:tcMar>
          </w:tcPr>
          <w:p>
            <w:r>
              <w:rPr>
                <w:sz w:val="19"/>
                <w:szCs w:val="19"/>
              </w:rPr>
              <w:t xml:space="preserve">fehlt</w:t>
            </w:r>
          </w:p>
        </w:tc>
      </w:tr>
    </w:tbl>
    <w:p>
      <w:pPr>
        <w:spacing w:after="160" w:line="300"/>
      </w:pPr>
      <w:r>
        <w:t xml:space="preserve"/>
      </w:r>
    </w:p>
    <w:p>
      <w:pPr>
        <w:spacing w:after="160" w:line="300"/>
      </w:pPr>
      <w:r>
        <w:rPr>
          <w:b/>
          <w:bCs/>
          <w:color w:val="B3261E"/>
        </w:rPr>
        <w:t xml:space="preserve">[Befund N4] </w:t>
      </w:r>
      <w:r>
        <w:t xml:space="preserve">In keinem der drei Protokolltypen wird die Qualifikation der prüfenden Person erfasst. Nach § 14 BetrSichV i. V. m. TRBS 1203 und DGUV Vorschrift 3 dürfen Prüfungen nach DIN VDE 0100-600/0105-100 nur von einer Elektrofachkraft bzw. einer befähigten Person durchgeführt und freigegeben werden; elektrotechnisch unterwiesene Personen und Auszubildende dürfen unter Anleitung messen und eintragen, aber nicht bewerten und freigeben. Das Formular erfasst ausschließlich „Prüfer/-in (Name)“ als Freitext (mit dem Platzhalter-Beispiel „Max Mustermann (Elektrofachkraft)“, der die Qualifikation lediglich suggeriert, aber nicht erzwingt) – die App hindert damit niemanden daran, als fachlich nicht befähigte Person ein vollständiges, unterschriebenes Protokoll mit erteilter Freigabe zu erzeugen. In Kombination mit Befund P3 (vorbelegte i.O.-Sichtprüfung) verschärft sich dieses Risiko: Ein solches Protokoll kann formal vollständiger und überzeugender wirken als das Ergebnis eines Fachmanns auf Papier.</w:t>
      </w:r>
    </w:p>
    <w:p>
      <w:pPr>
        <w:pStyle w:val="ListParagraph"/>
        <w:numPr>
          <w:ilvl w:val="0"/>
          <w:numId w:val="1"/>
        </w:numPr>
        <w:spacing w:after="100" w:line="280"/>
      </w:pPr>
      <w:r>
        <w:t xml:space="preserve">Empfehlung: Pflichtfeld „Qualifikation der prüfenden Person“ mit Auswahl (Elektrofachkraft / elektrotechnisch unterwiesene Person unter Aufsicht / befähigte Person nach TRBS 1203) ergänzen; bei „unterwiesene Person“ zusätzliches Pflichtfeld „Verantwortliche Elektrofachkraft (Aufsicht)“. Im PDF als eigene Zeile unter dem Namen ausgeben.</w:t>
      </w:r>
    </w:p>
    <w:p>
      <w:pPr>
        <w:spacing w:after="160" w:line="300"/>
      </w:pPr>
      <w:r>
        <w:rPr>
          <w:b/>
          <w:bCs/>
          <w:color w:val="B58500"/>
        </w:rPr>
        <w:t xml:space="preserve">[Befund N5] </w:t>
      </w:r>
      <w:r>
        <w:t xml:space="preserve">Es fehlt in Anlagen- und Geräteprüfung eine Angabe zum Prüfumfang bzw. Stichprobenumfang. DIN VDE 0105-100 verlangt bei Wiederholungsprüfungen die Angabe, was tatsächlich geprüft wurde (Vollprüfung oder Stichprobe, und in welchem Umfang) – ohne dieses Feld dokumentiert das Protokoll nur, was gemessen wurde, nicht, was bewusst ungeprüft blieb, was im Streitfall die Beweiskraft schwächt.</w:t>
      </w:r>
    </w:p>
    <w:p>
      <w:pPr>
        <w:spacing w:after="160" w:line="300"/>
      </w:pPr>
      <w:r>
        <w:rPr>
          <w:b/>
          <w:bCs/>
          <w:color w:val="6B7280"/>
        </w:rPr>
        <w:t xml:space="preserve">[Befund N6] </w:t>
      </w:r>
      <w:r>
        <w:t xml:space="preserve">Für den Betrieb mit Netzersatzanlage werden nur Betriebsart-Auswahl und die daraus resultierende Pflichtangabe der Frequenz erfasst. Es fehlen Felder zu Sternpunktbehandlung/Erdung des Generators, Erderwiderstand und Anzahl der Generatoren – bei Open-Air-Einspeisungen über Inselnetze ist genau das der sicherheitsrelevante Aspekt (DIN VDE 0100-551 i. V. m. -711/-740). Dies ist als mittelfristige Ergänzung sinnvoll, aber kein akutes Risiko für die aktuell abgefragten Schutzmaßnahmen.</w:t>
      </w:r>
    </w:p>
    <w:p>
      <w:pPr>
        <w:pStyle w:val="Heading2"/>
        <w:spacing w:after="120" w:before="300"/>
      </w:pPr>
      <w:r>
        <w:t xml:space="preserve">3.3 Rechtssicherheit des generierten Protokolls als Prüfnachweis</w:t>
      </w:r>
    </w:p>
    <w:p>
      <w:pPr>
        <w:spacing w:after="160" w:line="300"/>
      </w:pPr>
      <w:r>
        <w:t xml:space="preserve">Für die Frage, ob das erzeugte PDF als belastbarer Prüfnachweis taugt, sind zwei Ebenen zu unterscheiden: die im Dokument abgefragten Felder (weitgehend vollständig, siehe oben) und die Vertrauenswürdigkeit der eingetragenen Werte (hier liegen die schwersten Befunde des gesamten Berichts).</w:t>
      </w:r>
    </w:p>
    <w:p>
      <w:pPr>
        <w:spacing w:after="160" w:line="300"/>
      </w:pPr>
      <w:r>
        <w:rPr>
          <w:b/>
          <w:bCs/>
          <w:color w:val="B3261E"/>
        </w:rPr>
        <w:t xml:space="preserve">[Befund N7] </w:t>
      </w:r>
      <w:r>
        <w:t xml:space="preserve">Ein Prüfprotokoll, das ungeprüft ein fremdes Messgerät mit Seriennummer benennt (Befund P2) und Sichtprüfungspunkte als „in Ordnung“ ausweist, ohne dass diese tatsächlich durchgeführt wurden (Befund P3), ist im Streit- oder Schadensfall angreifbar – unabhängig davon, wie korrekt die dahinterliegende Berechnungslogik ist. Ein Gutachter oder Gericht prüft im Zweifel zuerst die Plausibilität der Rahmenangaben, bevor die Messwerte selbst gewürdigt werden. Beide Befunde sind vorrangig zu beheben, bevor die App für rechtlich bindende Prüfnachweise im produktiven Regelbetrieb eingesetzt wird.</w:t>
      </w:r>
    </w:p>
    <w:p>
      <w:pPr>
        <w:spacing w:after="160" w:line="300"/>
      </w:pPr>
      <w:r>
        <w:rPr>
          <w:b/>
          <w:bCs/>
          <w:color w:val="B58500"/>
        </w:rPr>
        <w:t xml:space="preserve">[Befund N8] </w:t>
      </w:r>
      <w:r>
        <w:t xml:space="preserve">Fehlt die Seriennummer des Prüfgeräts, verschwindet der Kalibriernachweis im PDF vollständig und kommentarlos (Befund A4), statt als fehlend gekennzeichnet zu werden. Ein abgelaufenes Kalibrierdatum wird von der App korrekt als Beanstandung markiert; ein fehlendes Kalibrierdatum dagegen nicht. Fachlich ist „kein Nachweis vorhanden“ im Streitfall mindestens so angreifbar wie „Nachweis abgelaufen“ – die App sollte beide Fälle gleich behandeln.</w:t>
      </w:r>
    </w:p>
    <w:p>
      <w:pPr>
        <w:spacing w:after="160" w:line="300"/>
      </w:pPr>
      <w:r>
        <w:rPr>
          <w:b/>
          <w:bCs/>
          <w:color w:val="1B7A3D"/>
        </w:rPr>
        <w:t xml:space="preserve">[Positiv] </w:t>
      </w:r>
      <w:r>
        <w:t xml:space="preserve">Die App verhindert wirksam zwei besonders schwere Widerspruchsarten: (1) Eine Freigabe „sicherer Gebrauch gewährleistet“ gemeinsam mit dokumentierten Mängeln wird hart abgefangen und die PDF-Erzeugung verweigert; (2) ein eingetragener RCD ohne zugehörigen Messwert (Auslösestrom/-zeit) wird als unvollständige Prüfung gewertet und blockiert ebenfalls die Erzeugung. Beide Mechanismen haben sich in der dokumentierten Simulation als fachlich korrekt und wirksam erwiesen und sind ein echter Mehrwert gegenüber papierbasierter Dokumentation, bei der ein vergessener RCD-Messwert erfahrungsgemäß niemandem auffällt.</w:t>
      </w:r>
    </w:p>
    <w:p>
      <w:pPr>
        <w:spacing w:after="160" w:line="300"/>
      </w:pPr>
      <w:r>
        <w:rPr>
          <w:b/>
          <w:bCs/>
          <w:color w:val="6B7280"/>
        </w:rPr>
        <w:t xml:space="preserve">[Befund N9] </w:t>
      </w:r>
      <w:r>
        <w:t xml:space="preserve">Der im PDF-Kopf und in js/app-config.js verwendete Normbezug ist zwischen den Dateien uneinheitlich (an einer Stelle „DIN VDE 0100-704 / -711 / -740“, an anderer Stelle zusätzlich „-718“ genannt; ein Code-Kommentar erwähnt zusätzlich DIN VDE 0100-520, obwohl das zugehörige Feld für den Spannungsfall bewusst entfernt wurde). Für die Außenwirkung eines rechtssicheren Dokuments sollte der zitierte Normkatalog an allen Stellen identisch sein.</w:t>
      </w:r>
    </w:p>
    <w:p>
      <w:pPr>
        <w:spacing w:after="160" w:line="300"/>
      </w:pPr>
      <w:r>
        <w:rPr>
          <w:b/>
          <w:bCs/>
          <w:color w:val="6B7280"/>
        </w:rPr>
        <w:t xml:space="preserve">[Befund N10 (siehe Abschnitt 1)] </w:t>
      </w:r>
      <w:r>
        <w:t xml:space="preserve">Da das PDF vollständig clientseitig ohne serverseitige Signatur oder Hash-Sicherung erzeugt wird, lässt sich eine nachträgliche Bearbeitung des fertigen Dokuments (z. B. Öffnen und Ändern in einem PDF-Editor) nicht erkennen. Für die digitale Unterschrift selbst (Signature-Pad-Bibliothek) ist das unproblematisch, da sie nur die Erfassung, nicht die Nicht-Manipulierbarkeit betrifft. Für besonders hochwertige Nachweise könnte ein Prüfsummen-/Hash-Vermerk auf dem Dokument die Nachvollziehbarkeit erhöhen; für den betrieblichen Regelfall im Theater ist dies jedoch nachrangig gegenüber den Befunden P2/P3/N4.</w:t>
      </w:r>
    </w:p>
    <w:p>
      <w:r>
        <w:br w:type="page"/>
      </w:r>
    </w:p>
    <w:p>
      <w:pPr>
        <w:pStyle w:val="Heading1"/>
        <w:pBdr>
          <w:bottom w:val="single" w:color="003366" w:sz="8" w:space="4"/>
        </w:pBdr>
        <w:spacing w:after="200" w:before="400"/>
      </w:pPr>
      <w:r>
        <w:t xml:space="preserve">4. Priorisierter Maßnahmenplan</w:t>
      </w:r>
    </w:p>
    <w:p>
      <w:pPr>
        <w:spacing w:after="160" w:line="300"/>
      </w:pPr>
      <w:r>
        <w:t xml:space="preserve">Die folgende Reihenfolge orientiert sich an der bereits im Projektordner vorhandenen, bewährten Staffelung nach Aufwand und Wirkung auf die Rechtssicherheit des erzeugten Dokuments.</w:t>
      </w:r>
    </w:p>
    <w:p>
      <w:pPr>
        <w:pStyle w:val="Heading2"/>
        <w:spacing w:after="120" w:before="300"/>
      </w:pPr>
      <w:r>
        <w:t xml:space="preserve">Stufe 1 – sofort umsetzen (Aufwand: ca. 2 Stunden)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800"/>
      </w:tblGrid>
      <w:tr>
        <w:trPr>
          <w:tblHeader/>
        </w:trPr>
        <w:tc>
          <w:tcPr>
            <w:tcW w:type="dxa" w:w="900"/>
            <w:shd w:fill="003366" w:val="clear"/>
            <w:tcMar>
              <w:top w:type="dxa" w:w="80"/>
              <w:left w:type="dxa" w:w="100"/>
              <w:bottom w:type="dxa" w:w="80"/>
              <w:right w:type="dxa" w:w="100"/>
            </w:tcMar>
          </w:tcPr>
          <w:p>
            <w:r>
              <w:rPr>
                <w:b/>
                <w:bCs/>
                <w:color w:val="FFFFFF"/>
                <w:sz w:val="19"/>
                <w:szCs w:val="19"/>
              </w:rPr>
              <w:t xml:space="preserve">Nr.</w:t>
            </w:r>
          </w:p>
        </w:tc>
        <w:tc>
          <w:tcPr>
            <w:tcW w:type="dxa" w:w="4600"/>
            <w:shd w:fill="003366" w:val="clear"/>
            <w:tcMar>
              <w:top w:type="dxa" w:w="80"/>
              <w:left w:type="dxa" w:w="100"/>
              <w:bottom w:type="dxa" w:w="80"/>
              <w:right w:type="dxa" w:w="100"/>
            </w:tcMar>
          </w:tcPr>
          <w:p>
            <w:r>
              <w:rPr>
                <w:b/>
                <w:bCs/>
                <w:color w:val="FFFFFF"/>
                <w:sz w:val="19"/>
                <w:szCs w:val="19"/>
              </w:rPr>
              <w:t xml:space="preserve">Maßnahme</w:t>
            </w:r>
          </w:p>
        </w:tc>
        <w:tc>
          <w:tcPr>
            <w:tcW w:type="dxa" w:w="3800"/>
            <w:shd w:fill="003366" w:val="clear"/>
            <w:tcMar>
              <w:top w:type="dxa" w:w="80"/>
              <w:left w:type="dxa" w:w="100"/>
              <w:bottom w:type="dxa" w:w="80"/>
              <w:right w:type="dxa" w:w="100"/>
            </w:tcMar>
          </w:tcPr>
          <w:p>
            <w:r>
              <w:rPr>
                <w:b/>
                <w:bCs/>
                <w:color w:val="FFFFFF"/>
                <w:sz w:val="19"/>
                <w:szCs w:val="19"/>
              </w:rPr>
              <w:t xml:space="preserve">Begründung</w:t>
            </w:r>
          </w:p>
        </w:tc>
      </w:tr>
      <w:tr>
        <w:tc>
          <w:tcPr>
            <w:tcW w:type="dxa" w:w="900"/>
            <w:tcMar>
              <w:top w:type="dxa" w:w="60"/>
              <w:left w:type="dxa" w:w="100"/>
              <w:bottom w:type="dxa" w:w="60"/>
              <w:right w:type="dxa" w:w="100"/>
            </w:tcMar>
          </w:tcPr>
          <w:p>
            <w:r>
              <w:rPr>
                <w:sz w:val="19"/>
                <w:szCs w:val="19"/>
              </w:rPr>
              <w:t xml:space="preserve">P2 / A1</w:t>
            </w:r>
          </w:p>
        </w:tc>
        <w:tc>
          <w:tcPr>
            <w:tcW w:type="dxa" w:w="4600"/>
            <w:tcMar>
              <w:top w:type="dxa" w:w="60"/>
              <w:left w:type="dxa" w:w="100"/>
              <w:bottom w:type="dxa" w:w="60"/>
              <w:right w:type="dxa" w:w="100"/>
            </w:tcMar>
          </w:tcPr>
          <w:p>
            <w:r>
              <w:rPr>
                <w:sz w:val="19"/>
                <w:szCs w:val="19"/>
              </w:rPr>
              <w:t xml:space="preserve">Hartcodierte Stammdaten (Betrieb, VNB, Messgerät, Seriennummer) aus dem Auslieferungszustand entfernen; Pflichtfelder vor erster PDF-Erzeugung.</w:t>
            </w:r>
          </w:p>
        </w:tc>
        <w:tc>
          <w:tcPr>
            <w:tcW w:type="dxa" w:w="3800"/>
            <w:tcMar>
              <w:top w:type="dxa" w:w="60"/>
              <w:left w:type="dxa" w:w="100"/>
              <w:bottom w:type="dxa" w:w="60"/>
              <w:right w:type="dxa" w:w="100"/>
            </w:tcMar>
          </w:tcPr>
          <w:p>
            <w:r>
              <w:rPr>
                <w:sz w:val="19"/>
                <w:szCs w:val="19"/>
              </w:rPr>
              <w:t xml:space="preserve">Verhindert erfundene Messmittelrückführung – schwerster Einzelbefund.</w:t>
            </w:r>
          </w:p>
        </w:tc>
      </w:tr>
      <w:tr>
        <w:tc>
          <w:tcPr>
            <w:tcW w:type="dxa" w:w="900"/>
            <w:shd w:fill="F2F2F2" w:val="clear"/>
            <w:tcMar>
              <w:top w:type="dxa" w:w="60"/>
              <w:left w:type="dxa" w:w="100"/>
              <w:bottom w:type="dxa" w:w="60"/>
              <w:right w:type="dxa" w:w="100"/>
            </w:tcMar>
          </w:tcPr>
          <w:p>
            <w:r>
              <w:rPr>
                <w:sz w:val="19"/>
                <w:szCs w:val="19"/>
              </w:rPr>
              <w:t xml:space="preserve">P3 / A3</w:t>
            </w:r>
          </w:p>
        </w:tc>
        <w:tc>
          <w:tcPr>
            <w:tcW w:type="dxa" w:w="4600"/>
            <w:shd w:fill="F2F2F2" w:val="clear"/>
            <w:tcMar>
              <w:top w:type="dxa" w:w="60"/>
              <w:left w:type="dxa" w:w="100"/>
              <w:bottom w:type="dxa" w:w="60"/>
              <w:right w:type="dxa" w:w="100"/>
            </w:tcMar>
          </w:tcPr>
          <w:p>
            <w:r>
              <w:rPr>
                <w:sz w:val="19"/>
                <w:szCs w:val="19"/>
              </w:rPr>
              <w:t xml:space="preserve">„– bitte prüfen –“ als vorausgewählte leere Option vor allen Sichtprüfungsfeldern (12 + 9 Felder).</w:t>
            </w:r>
          </w:p>
        </w:tc>
        <w:tc>
          <w:tcPr>
            <w:tcW w:type="dxa" w:w="3800"/>
            <w:shd w:fill="F2F2F2" w:val="clear"/>
            <w:tcMar>
              <w:top w:type="dxa" w:w="60"/>
              <w:left w:type="dxa" w:w="100"/>
              <w:bottom w:type="dxa" w:w="60"/>
              <w:right w:type="dxa" w:w="100"/>
            </w:tcMar>
          </w:tcPr>
          <w:p>
            <w:r>
              <w:rPr>
                <w:sz w:val="19"/>
                <w:szCs w:val="19"/>
              </w:rPr>
              <w:t xml:space="preserve">Verhindert unbeabsichtigt bescheinigte, nicht durchgeführte Sichtprüfungen.</w:t>
            </w:r>
          </w:p>
        </w:tc>
      </w:tr>
      <w:tr>
        <w:tc>
          <w:tcPr>
            <w:tcW w:type="dxa" w:w="900"/>
            <w:tcMar>
              <w:top w:type="dxa" w:w="60"/>
              <w:left w:type="dxa" w:w="100"/>
              <w:bottom w:type="dxa" w:w="60"/>
              <w:right w:type="dxa" w:w="100"/>
            </w:tcMar>
          </w:tcPr>
          <w:p>
            <w:r>
              <w:rPr>
                <w:sz w:val="19"/>
                <w:szCs w:val="19"/>
              </w:rPr>
              <w:t xml:space="preserve">A4</w:t>
            </w:r>
          </w:p>
        </w:tc>
        <w:tc>
          <w:tcPr>
            <w:tcW w:type="dxa" w:w="4600"/>
            <w:tcMar>
              <w:top w:type="dxa" w:w="60"/>
              <w:left w:type="dxa" w:w="100"/>
              <w:bottom w:type="dxa" w:w="60"/>
              <w:right w:type="dxa" w:w="100"/>
            </w:tcMar>
          </w:tcPr>
          <w:p>
            <w:r>
              <w:rPr>
                <w:sz w:val="19"/>
                <w:szCs w:val="19"/>
              </w:rPr>
              <w:t xml:space="preserve">Kalibrierdatum unabhängig von Seriennummer drucken; fehlendes Kalibrierdatum im Freigabetext kenntlich machen.</w:t>
            </w:r>
          </w:p>
        </w:tc>
        <w:tc>
          <w:tcPr>
            <w:tcW w:type="dxa" w:w="3800"/>
            <w:tcMar>
              <w:top w:type="dxa" w:w="60"/>
              <w:left w:type="dxa" w:w="100"/>
              <w:bottom w:type="dxa" w:w="60"/>
              <w:right w:type="dxa" w:w="100"/>
            </w:tcMar>
          </w:tcPr>
          <w:p>
            <w:r>
              <w:rPr>
                <w:sz w:val="19"/>
                <w:szCs w:val="19"/>
              </w:rPr>
              <w:t xml:space="preserve">Schließt eine stille Lücke im Beweisdokument.</w:t>
            </w:r>
          </w:p>
        </w:tc>
      </w:tr>
      <w:tr>
        <w:tc>
          <w:tcPr>
            <w:tcW w:type="dxa" w:w="900"/>
            <w:shd w:fill="F2F2F2" w:val="clear"/>
            <w:tcMar>
              <w:top w:type="dxa" w:w="60"/>
              <w:left w:type="dxa" w:w="100"/>
              <w:bottom w:type="dxa" w:w="60"/>
              <w:right w:type="dxa" w:w="100"/>
            </w:tcMar>
          </w:tcPr>
          <w:p>
            <w:r>
              <w:rPr>
                <w:sz w:val="19"/>
                <w:szCs w:val="19"/>
              </w:rPr>
              <w:t xml:space="preserve">D3</w:t>
            </w:r>
          </w:p>
        </w:tc>
        <w:tc>
          <w:tcPr>
            <w:tcW w:type="dxa" w:w="4600"/>
            <w:shd w:fill="F2F2F2" w:val="clear"/>
            <w:tcMar>
              <w:top w:type="dxa" w:w="60"/>
              <w:left w:type="dxa" w:w="100"/>
              <w:bottom w:type="dxa" w:w="60"/>
              <w:right w:type="dxa" w:w="100"/>
            </w:tcMar>
          </w:tcPr>
          <w:p>
            <w:r>
              <w:rPr>
                <w:sz w:val="19"/>
                <w:szCs w:val="19"/>
              </w:rPr>
              <w:t xml:space="preserve">Doppeltes „SN“-Präfix vermeiden.</w:t>
            </w:r>
          </w:p>
        </w:tc>
        <w:tc>
          <w:tcPr>
            <w:tcW w:type="dxa" w:w="3800"/>
            <w:shd w:fill="F2F2F2" w:val="clear"/>
            <w:tcMar>
              <w:top w:type="dxa" w:w="60"/>
              <w:left w:type="dxa" w:w="100"/>
              <w:bottom w:type="dxa" w:w="60"/>
              <w:right w:type="dxa" w:w="100"/>
            </w:tcMar>
          </w:tcPr>
          <w:p>
            <w:r>
              <w:rPr>
                <w:sz w:val="19"/>
                <w:szCs w:val="19"/>
              </w:rPr>
              <w:t xml:space="preserve">Kleiner Aufwand, sofort sichtbarer Qualitätsgewinn.</w:t>
            </w:r>
          </w:p>
        </w:tc>
      </w:tr>
      <w:tr>
        <w:tc>
          <w:tcPr>
            <w:tcW w:type="dxa" w:w="900"/>
            <w:tcMar>
              <w:top w:type="dxa" w:w="60"/>
              <w:left w:type="dxa" w:w="100"/>
              <w:bottom w:type="dxa" w:w="60"/>
              <w:right w:type="dxa" w:w="100"/>
            </w:tcMar>
          </w:tcPr>
          <w:p>
            <w:r>
              <w:rPr>
                <w:sz w:val="19"/>
                <w:szCs w:val="19"/>
              </w:rPr>
              <w:t xml:space="preserve">N1</w:t>
            </w:r>
          </w:p>
        </w:tc>
        <w:tc>
          <w:tcPr>
            <w:tcW w:type="dxa" w:w="4600"/>
            <w:tcMar>
              <w:top w:type="dxa" w:w="60"/>
              <w:left w:type="dxa" w:w="100"/>
              <w:bottom w:type="dxa" w:w="60"/>
              <w:right w:type="dxa" w:w="100"/>
            </w:tcMar>
          </w:tcPr>
          <w:p>
            <w:r>
              <w:rPr>
                <w:sz w:val="19"/>
                <w:szCs w:val="19"/>
              </w:rPr>
              <w:t xml:space="preserve">R_PE-Grenzwert der Geräteprüfung auf 1,0 Ω deckeln.</w:t>
            </w:r>
          </w:p>
        </w:tc>
        <w:tc>
          <w:tcPr>
            <w:tcW w:type="dxa" w:w="3800"/>
            <w:tcMar>
              <w:top w:type="dxa" w:w="60"/>
              <w:left w:type="dxa" w:w="100"/>
              <w:bottom w:type="dxa" w:w="60"/>
              <w:right w:type="dxa" w:w="100"/>
            </w:tcMar>
          </w:tcPr>
          <w:p>
            <w:r>
              <w:rPr>
                <w:sz w:val="19"/>
                <w:szCs w:val="19"/>
              </w:rPr>
              <w:t xml:space="preserve">Normkonformität bei langen Kabelwegen (DIN EN 50699).</w:t>
            </w:r>
          </w:p>
        </w:tc>
      </w:tr>
    </w:tbl>
    <w:p>
      <w:pPr>
        <w:pStyle w:val="Heading2"/>
        <w:spacing w:after="120" w:before="300"/>
      </w:pPr>
      <w:r>
        <w:t xml:space="preserve">Stufe 2 – kurzfristig (Aufwand: ca. 3–4 Stunden)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800"/>
      </w:tblGrid>
      <w:tr>
        <w:trPr>
          <w:tblHeader/>
        </w:trPr>
        <w:tc>
          <w:tcPr>
            <w:tcW w:type="dxa" w:w="900"/>
            <w:shd w:fill="003366" w:val="clear"/>
            <w:tcMar>
              <w:top w:type="dxa" w:w="80"/>
              <w:left w:type="dxa" w:w="100"/>
              <w:bottom w:type="dxa" w:w="80"/>
              <w:right w:type="dxa" w:w="100"/>
            </w:tcMar>
          </w:tcPr>
          <w:p>
            <w:r>
              <w:rPr>
                <w:b/>
                <w:bCs/>
                <w:color w:val="FFFFFF"/>
                <w:sz w:val="19"/>
                <w:szCs w:val="19"/>
              </w:rPr>
              <w:t xml:space="preserve">Nr.</w:t>
            </w:r>
          </w:p>
        </w:tc>
        <w:tc>
          <w:tcPr>
            <w:tcW w:type="dxa" w:w="4600"/>
            <w:shd w:fill="003366" w:val="clear"/>
            <w:tcMar>
              <w:top w:type="dxa" w:w="80"/>
              <w:left w:type="dxa" w:w="100"/>
              <w:bottom w:type="dxa" w:w="80"/>
              <w:right w:type="dxa" w:w="100"/>
            </w:tcMar>
          </w:tcPr>
          <w:p>
            <w:r>
              <w:rPr>
                <w:b/>
                <w:bCs/>
                <w:color w:val="FFFFFF"/>
                <w:sz w:val="19"/>
                <w:szCs w:val="19"/>
              </w:rPr>
              <w:t xml:space="preserve">Maßnahme</w:t>
            </w:r>
          </w:p>
        </w:tc>
        <w:tc>
          <w:tcPr>
            <w:tcW w:type="dxa" w:w="3800"/>
            <w:shd w:fill="003366" w:val="clear"/>
            <w:tcMar>
              <w:top w:type="dxa" w:w="80"/>
              <w:left w:type="dxa" w:w="100"/>
              <w:bottom w:type="dxa" w:w="80"/>
              <w:right w:type="dxa" w:w="100"/>
            </w:tcMar>
          </w:tcPr>
          <w:p>
            <w:r>
              <w:rPr>
                <w:b/>
                <w:bCs/>
                <w:color w:val="FFFFFF"/>
                <w:sz w:val="19"/>
                <w:szCs w:val="19"/>
              </w:rPr>
              <w:t xml:space="preserve">Begründung</w:t>
            </w:r>
          </w:p>
        </w:tc>
      </w:tr>
      <w:tr>
        <w:tc>
          <w:tcPr>
            <w:tcW w:type="dxa" w:w="900"/>
            <w:tcMar>
              <w:top w:type="dxa" w:w="60"/>
              <w:left w:type="dxa" w:w="100"/>
              <w:bottom w:type="dxa" w:w="60"/>
              <w:right w:type="dxa" w:w="100"/>
            </w:tcMar>
          </w:tcPr>
          <w:p>
            <w:r>
              <w:rPr>
                <w:sz w:val="19"/>
                <w:szCs w:val="19"/>
              </w:rPr>
              <w:t xml:space="preserve">N4 / A6</w:t>
            </w:r>
          </w:p>
        </w:tc>
        <w:tc>
          <w:tcPr>
            <w:tcW w:type="dxa" w:w="4600"/>
            <w:tcMar>
              <w:top w:type="dxa" w:w="60"/>
              <w:left w:type="dxa" w:w="100"/>
              <w:bottom w:type="dxa" w:w="60"/>
              <w:right w:type="dxa" w:w="100"/>
            </w:tcMar>
          </w:tcPr>
          <w:p>
            <w:r>
              <w:rPr>
                <w:sz w:val="19"/>
                <w:szCs w:val="19"/>
              </w:rPr>
              <w:t xml:space="preserve">Pflichtfeld „Qualifikation der prüfenden Person“ ergänzen.</w:t>
            </w:r>
          </w:p>
        </w:tc>
        <w:tc>
          <w:tcPr>
            <w:tcW w:type="dxa" w:w="3800"/>
            <w:tcMar>
              <w:top w:type="dxa" w:w="60"/>
              <w:left w:type="dxa" w:w="100"/>
              <w:bottom w:type="dxa" w:w="60"/>
              <w:right w:type="dxa" w:w="100"/>
            </w:tcMar>
          </w:tcPr>
          <w:p>
            <w:r>
              <w:rPr>
                <w:sz w:val="19"/>
                <w:szCs w:val="19"/>
              </w:rPr>
              <w:t xml:space="preserve">Rechtliche Grundvoraussetzung nach TRBS 1203/DGUV V3.</w:t>
            </w:r>
          </w:p>
        </w:tc>
      </w:tr>
      <w:tr>
        <w:tc>
          <w:tcPr>
            <w:tcW w:type="dxa" w:w="900"/>
            <w:shd w:fill="F2F2F2" w:val="clear"/>
            <w:tcMar>
              <w:top w:type="dxa" w:w="60"/>
              <w:left w:type="dxa" w:w="100"/>
              <w:bottom w:type="dxa" w:w="60"/>
              <w:right w:type="dxa" w:w="100"/>
            </w:tcMar>
          </w:tcPr>
          <w:p>
            <w:r>
              <w:rPr>
                <w:sz w:val="19"/>
                <w:szCs w:val="19"/>
              </w:rPr>
              <w:t xml:space="preserve">P6 / D10</w:t>
            </w:r>
          </w:p>
        </w:tc>
        <w:tc>
          <w:tcPr>
            <w:tcW w:type="dxa" w:w="4600"/>
            <w:shd w:fill="F2F2F2" w:val="clear"/>
            <w:tcMar>
              <w:top w:type="dxa" w:w="60"/>
              <w:left w:type="dxa" w:w="100"/>
              <w:bottom w:type="dxa" w:w="60"/>
              <w:right w:type="dxa" w:w="100"/>
            </w:tcMar>
          </w:tcPr>
          <w:p>
            <w:r>
              <w:rPr>
                <w:sz w:val="19"/>
                <w:szCs w:val="19"/>
              </w:rPr>
              <w:t xml:space="preserve">Fehlermeldungen bei Widerspruch/Abbruch mit Fundstelle (Stromkreis-Nr., Feldname) versehen.</w:t>
            </w:r>
          </w:p>
        </w:tc>
        <w:tc>
          <w:tcPr>
            <w:tcW w:type="dxa" w:w="3800"/>
            <w:shd w:fill="F2F2F2" w:val="clear"/>
            <w:tcMar>
              <w:top w:type="dxa" w:w="60"/>
              <w:left w:type="dxa" w:w="100"/>
              <w:bottom w:type="dxa" w:w="60"/>
              <w:right w:type="dxa" w:w="100"/>
            </w:tcMar>
          </w:tcPr>
          <w:p>
            <w:r>
              <w:rPr>
                <w:sz w:val="19"/>
                <w:szCs w:val="19"/>
              </w:rPr>
              <w:t xml:space="preserve">Entscheidet bei umfangreichen Protokollen (&gt;20 Stromkreise) über die praktische Nutzbarkeit.</w:t>
            </w:r>
          </w:p>
        </w:tc>
      </w:tr>
      <w:tr>
        <w:tc>
          <w:tcPr>
            <w:tcW w:type="dxa" w:w="900"/>
            <w:tcMar>
              <w:top w:type="dxa" w:w="60"/>
              <w:left w:type="dxa" w:w="100"/>
              <w:bottom w:type="dxa" w:w="60"/>
              <w:right w:type="dxa" w:w="100"/>
            </w:tcMar>
          </w:tcPr>
          <w:p>
            <w:r>
              <w:rPr>
                <w:sz w:val="19"/>
                <w:szCs w:val="19"/>
              </w:rPr>
              <w:t xml:space="preserve">T4</w:t>
            </w:r>
          </w:p>
        </w:tc>
        <w:tc>
          <w:tcPr>
            <w:tcW w:type="dxa" w:w="4600"/>
            <w:tcMar>
              <w:top w:type="dxa" w:w="60"/>
              <w:left w:type="dxa" w:w="100"/>
              <w:bottom w:type="dxa" w:w="60"/>
              <w:right w:type="dxa" w:w="100"/>
            </w:tcMar>
          </w:tcPr>
          <w:p>
            <w:r>
              <w:rPr>
                <w:sz w:val="19"/>
                <w:szCs w:val="19"/>
              </w:rPr>
              <w:t xml:space="preserve">Sichtbaren Fokusring (:focus-visible) im gesamten Stylesheet ergänzen.</w:t>
            </w:r>
          </w:p>
        </w:tc>
        <w:tc>
          <w:tcPr>
            <w:tcW w:type="dxa" w:w="3800"/>
            <w:tcMar>
              <w:top w:type="dxa" w:w="60"/>
              <w:left w:type="dxa" w:w="100"/>
              <w:bottom w:type="dxa" w:w="60"/>
              <w:right w:type="dxa" w:w="100"/>
            </w:tcMar>
          </w:tcPr>
          <w:p>
            <w:r>
              <w:rPr>
                <w:sz w:val="19"/>
                <w:szCs w:val="19"/>
              </w:rPr>
              <w:t xml:space="preserve">Barrierefreiheit/Tastaturbedienung unter Feldbedingungen.</w:t>
            </w:r>
          </w:p>
        </w:tc>
      </w:tr>
      <w:tr>
        <w:tc>
          <w:tcPr>
            <w:tcW w:type="dxa" w:w="900"/>
            <w:shd w:fill="F2F2F2" w:val="clear"/>
            <w:tcMar>
              <w:top w:type="dxa" w:w="60"/>
              <w:left w:type="dxa" w:w="100"/>
              <w:bottom w:type="dxa" w:w="60"/>
              <w:right w:type="dxa" w:w="100"/>
            </w:tcMar>
          </w:tcPr>
          <w:p>
            <w:r>
              <w:rPr>
                <w:sz w:val="19"/>
                <w:szCs w:val="19"/>
              </w:rPr>
              <w:t xml:space="preserve">T1</w:t>
            </w:r>
          </w:p>
        </w:tc>
        <w:tc>
          <w:tcPr>
            <w:tcW w:type="dxa" w:w="4600"/>
            <w:shd w:fill="F2F2F2" w:val="clear"/>
            <w:tcMar>
              <w:top w:type="dxa" w:w="60"/>
              <w:left w:type="dxa" w:w="100"/>
              <w:bottom w:type="dxa" w:w="60"/>
              <w:right w:type="dxa" w:w="100"/>
            </w:tcMar>
          </w:tcPr>
          <w:p>
            <w:r>
              <w:rPr>
                <w:sz w:val="19"/>
                <w:szCs w:val="19"/>
              </w:rPr>
              <w:t xml:space="preserve">jsPDF-Ladefehler abfangen und nutzerverständliche Meldung anzeigen.</w:t>
            </w:r>
          </w:p>
        </w:tc>
        <w:tc>
          <w:tcPr>
            <w:tcW w:type="dxa" w:w="3800"/>
            <w:shd w:fill="F2F2F2" w:val="clear"/>
            <w:tcMar>
              <w:top w:type="dxa" w:w="60"/>
              <w:left w:type="dxa" w:w="100"/>
              <w:bottom w:type="dxa" w:w="60"/>
              <w:right w:type="dxa" w:w="100"/>
            </w:tcMar>
          </w:tcPr>
          <w:p>
            <w:r>
              <w:rPr>
                <w:sz w:val="19"/>
                <w:szCs w:val="19"/>
              </w:rPr>
              <w:t xml:space="preserve">Verhindert unklaren Absturz bei Netz-/Cache-Problemen.</w:t>
            </w:r>
          </w:p>
        </w:tc>
      </w:tr>
      <w:tr>
        <w:tc>
          <w:tcPr>
            <w:tcW w:type="dxa" w:w="900"/>
            <w:tcMar>
              <w:top w:type="dxa" w:w="60"/>
              <w:left w:type="dxa" w:w="100"/>
              <w:bottom w:type="dxa" w:w="60"/>
              <w:right w:type="dxa" w:w="100"/>
            </w:tcMar>
          </w:tcPr>
          <w:p>
            <w:r>
              <w:rPr>
                <w:sz w:val="19"/>
                <w:szCs w:val="19"/>
              </w:rPr>
              <w:t xml:space="preserve">P1</w:t>
            </w:r>
          </w:p>
        </w:tc>
        <w:tc>
          <w:tcPr>
            <w:tcW w:type="dxa" w:w="4600"/>
            <w:tcMar>
              <w:top w:type="dxa" w:w="60"/>
              <w:left w:type="dxa" w:w="100"/>
              <w:bottom w:type="dxa" w:w="60"/>
              <w:right w:type="dxa" w:w="100"/>
            </w:tcMar>
          </w:tcPr>
          <w:p>
            <w:r>
              <w:rPr>
                <w:sz w:val="19"/>
                <w:szCs w:val="19"/>
              </w:rPr>
              <w:t xml:space="preserve">Feld „Verteiler / Kreis-Nr.“ in der Messtabelle ergänzen.</w:t>
            </w:r>
          </w:p>
        </w:tc>
        <w:tc>
          <w:tcPr>
            <w:tcW w:type="dxa" w:w="3800"/>
            <w:tcMar>
              <w:top w:type="dxa" w:w="60"/>
              <w:left w:type="dxa" w:w="100"/>
              <w:bottom w:type="dxa" w:w="60"/>
              <w:right w:type="dxa" w:w="100"/>
            </w:tcMar>
          </w:tcPr>
          <w:p>
            <w:r>
              <w:rPr>
                <w:sz w:val="19"/>
                <w:szCs w:val="19"/>
              </w:rPr>
              <w:t xml:space="preserve">Wirksamster Hebel für Mehrverteiler-Veranstaltungen.</w:t>
            </w:r>
          </w:p>
        </w:tc>
      </w:tr>
    </w:tbl>
    <w:p>
      <w:pPr>
        <w:pStyle w:val="Heading2"/>
        <w:spacing w:after="120" w:before="300"/>
      </w:pPr>
      <w:r>
        <w:t xml:space="preserve">Stufe 3 – mittelfristig (Aufwand: ca. 1 Tag)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800"/>
      </w:tblGrid>
      <w:tr>
        <w:trPr>
          <w:tblHeader/>
        </w:trPr>
        <w:tc>
          <w:tcPr>
            <w:tcW w:type="dxa" w:w="900"/>
            <w:shd w:fill="003366" w:val="clear"/>
            <w:tcMar>
              <w:top w:type="dxa" w:w="80"/>
              <w:left w:type="dxa" w:w="100"/>
              <w:bottom w:type="dxa" w:w="80"/>
              <w:right w:type="dxa" w:w="100"/>
            </w:tcMar>
          </w:tcPr>
          <w:p>
            <w:r>
              <w:rPr>
                <w:b/>
                <w:bCs/>
                <w:color w:val="FFFFFF"/>
                <w:sz w:val="19"/>
                <w:szCs w:val="19"/>
              </w:rPr>
              <w:t xml:space="preserve">Nr.</w:t>
            </w:r>
          </w:p>
        </w:tc>
        <w:tc>
          <w:tcPr>
            <w:tcW w:type="dxa" w:w="4600"/>
            <w:shd w:fill="003366" w:val="clear"/>
            <w:tcMar>
              <w:top w:type="dxa" w:w="80"/>
              <w:left w:type="dxa" w:w="100"/>
              <w:bottom w:type="dxa" w:w="80"/>
              <w:right w:type="dxa" w:w="100"/>
            </w:tcMar>
          </w:tcPr>
          <w:p>
            <w:r>
              <w:rPr>
                <w:b/>
                <w:bCs/>
                <w:color w:val="FFFFFF"/>
                <w:sz w:val="19"/>
                <w:szCs w:val="19"/>
              </w:rPr>
              <w:t xml:space="preserve">Maßnahme</w:t>
            </w:r>
          </w:p>
        </w:tc>
        <w:tc>
          <w:tcPr>
            <w:tcW w:type="dxa" w:w="3800"/>
            <w:shd w:fill="003366" w:val="clear"/>
            <w:tcMar>
              <w:top w:type="dxa" w:w="80"/>
              <w:left w:type="dxa" w:w="100"/>
              <w:bottom w:type="dxa" w:w="80"/>
              <w:right w:type="dxa" w:w="100"/>
            </w:tcMar>
          </w:tcPr>
          <w:p>
            <w:r>
              <w:rPr>
                <w:b/>
                <w:bCs/>
                <w:color w:val="FFFFFF"/>
                <w:sz w:val="19"/>
                <w:szCs w:val="19"/>
              </w:rPr>
              <w:t xml:space="preserve">Begründung</w:t>
            </w:r>
          </w:p>
        </w:tc>
      </w:tr>
      <w:tr>
        <w:tc>
          <w:tcPr>
            <w:tcW w:type="dxa" w:w="900"/>
            <w:tcMar>
              <w:top w:type="dxa" w:w="60"/>
              <w:left w:type="dxa" w:w="100"/>
              <w:bottom w:type="dxa" w:w="60"/>
              <w:right w:type="dxa" w:w="100"/>
            </w:tcMar>
          </w:tcPr>
          <w:p>
            <w:r>
              <w:rPr>
                <w:sz w:val="19"/>
                <w:szCs w:val="19"/>
              </w:rPr>
              <w:t xml:space="preserve">N5</w:t>
            </w:r>
          </w:p>
        </w:tc>
        <w:tc>
          <w:tcPr>
            <w:tcW w:type="dxa" w:w="4600"/>
            <w:tcMar>
              <w:top w:type="dxa" w:w="60"/>
              <w:left w:type="dxa" w:w="100"/>
              <w:bottom w:type="dxa" w:w="60"/>
              <w:right w:type="dxa" w:w="100"/>
            </w:tcMar>
          </w:tcPr>
          <w:p>
            <w:r>
              <w:rPr>
                <w:sz w:val="19"/>
                <w:szCs w:val="19"/>
              </w:rPr>
              <w:t xml:space="preserve">Feld „Prüfumfang / Stichprobenumfang“ ergänzen.</w:t>
            </w:r>
          </w:p>
        </w:tc>
        <w:tc>
          <w:tcPr>
            <w:tcW w:type="dxa" w:w="3800"/>
            <w:tcMar>
              <w:top w:type="dxa" w:w="60"/>
              <w:left w:type="dxa" w:w="100"/>
              <w:bottom w:type="dxa" w:w="60"/>
              <w:right w:type="dxa" w:w="100"/>
            </w:tcMar>
          </w:tcPr>
          <w:p>
            <w:r>
              <w:rPr>
                <w:sz w:val="19"/>
                <w:szCs w:val="19"/>
              </w:rPr>
              <w:t xml:space="preserve">Von DIN VDE 0105-100 gefordert.</w:t>
            </w:r>
          </w:p>
        </w:tc>
      </w:tr>
      <w:tr>
        <w:tc>
          <w:tcPr>
            <w:tcW w:type="dxa" w:w="900"/>
            <w:shd w:fill="F2F2F2" w:val="clear"/>
            <w:tcMar>
              <w:top w:type="dxa" w:w="60"/>
              <w:left w:type="dxa" w:w="100"/>
              <w:bottom w:type="dxa" w:w="60"/>
              <w:right w:type="dxa" w:w="100"/>
            </w:tcMar>
          </w:tcPr>
          <w:p>
            <w:r>
              <w:rPr>
                <w:sz w:val="19"/>
                <w:szCs w:val="19"/>
              </w:rPr>
              <w:t xml:space="preserve">N2</w:t>
            </w:r>
          </w:p>
        </w:tc>
        <w:tc>
          <w:tcPr>
            <w:tcW w:type="dxa" w:w="4600"/>
            <w:shd w:fill="F2F2F2" w:val="clear"/>
            <w:tcMar>
              <w:top w:type="dxa" w:w="60"/>
              <w:left w:type="dxa" w:w="100"/>
              <w:bottom w:type="dxa" w:w="60"/>
              <w:right w:type="dxa" w:w="100"/>
            </w:tcMar>
          </w:tcPr>
          <w:p>
            <w:r>
              <w:rPr>
                <w:sz w:val="19"/>
                <w:szCs w:val="19"/>
              </w:rPr>
              <w:t xml:space="preserve">RCD-Auslösebereich für Typ B (bis 2×I_Δn) berücksichtigen.</w:t>
            </w:r>
          </w:p>
        </w:tc>
        <w:tc>
          <w:tcPr>
            <w:tcW w:type="dxa" w:w="3800"/>
            <w:shd w:fill="F2F2F2" w:val="clear"/>
            <w:tcMar>
              <w:top w:type="dxa" w:w="60"/>
              <w:left w:type="dxa" w:w="100"/>
              <w:bottom w:type="dxa" w:w="60"/>
              <w:right w:type="dxa" w:w="100"/>
            </w:tcMar>
          </w:tcPr>
          <w:p>
            <w:r>
              <w:rPr>
                <w:sz w:val="19"/>
                <w:szCs w:val="19"/>
              </w:rPr>
              <w:t xml:space="preserve">Zunehmend relevant bei Dimmern/Medienservern.</w:t>
            </w:r>
          </w:p>
        </w:tc>
      </w:tr>
      <w:tr>
        <w:tc>
          <w:tcPr>
            <w:tcW w:type="dxa" w:w="900"/>
            <w:tcMar>
              <w:top w:type="dxa" w:w="60"/>
              <w:left w:type="dxa" w:w="100"/>
              <w:bottom w:type="dxa" w:w="60"/>
              <w:right w:type="dxa" w:w="100"/>
            </w:tcMar>
          </w:tcPr>
          <w:p>
            <w:r>
              <w:rPr>
                <w:sz w:val="19"/>
                <w:szCs w:val="19"/>
              </w:rPr>
              <w:t xml:space="preserve">N3</w:t>
            </w:r>
          </w:p>
        </w:tc>
        <w:tc>
          <w:tcPr>
            <w:tcW w:type="dxa" w:w="4600"/>
            <w:tcMar>
              <w:top w:type="dxa" w:w="60"/>
              <w:left w:type="dxa" w:w="100"/>
              <w:bottom w:type="dxa" w:w="60"/>
              <w:right w:type="dxa" w:w="100"/>
            </w:tcMar>
          </w:tcPr>
          <w:p>
            <w:r>
              <w:rPr>
                <w:sz w:val="19"/>
                <w:szCs w:val="19"/>
              </w:rPr>
              <w:t xml:space="preserve">Absicherungserkennung robuster gestalten, Nichterkennung sichtbar kennzeichnen.</w:t>
            </w:r>
          </w:p>
        </w:tc>
        <w:tc>
          <w:tcPr>
            <w:tcW w:type="dxa" w:w="3800"/>
            <w:tcMar>
              <w:top w:type="dxa" w:w="60"/>
              <w:left w:type="dxa" w:w="100"/>
              <w:bottom w:type="dxa" w:w="60"/>
              <w:right w:type="dxa" w:w="100"/>
            </w:tcMar>
          </w:tcPr>
          <w:p>
            <w:r>
              <w:rPr>
                <w:sz w:val="19"/>
                <w:szCs w:val="19"/>
              </w:rPr>
              <w:t xml:space="preserve">Verhindert stille Freigabe ohne Z_S/I_K-Bewertung.</w:t>
            </w:r>
          </w:p>
        </w:tc>
      </w:tr>
      <w:tr>
        <w:tc>
          <w:tcPr>
            <w:tcW w:type="dxa" w:w="900"/>
            <w:shd w:fill="F2F2F2" w:val="clear"/>
            <w:tcMar>
              <w:top w:type="dxa" w:w="60"/>
              <w:left w:type="dxa" w:w="100"/>
              <w:bottom w:type="dxa" w:w="60"/>
              <w:right w:type="dxa" w:w="100"/>
            </w:tcMar>
          </w:tcPr>
          <w:p>
            <w:r>
              <w:rPr>
                <w:sz w:val="19"/>
                <w:szCs w:val="19"/>
              </w:rPr>
              <w:t xml:space="preserve">T2</w:t>
            </w:r>
          </w:p>
        </w:tc>
        <w:tc>
          <w:tcPr>
            <w:tcW w:type="dxa" w:w="4600"/>
            <w:shd w:fill="F2F2F2" w:val="clear"/>
            <w:tcMar>
              <w:top w:type="dxa" w:w="60"/>
              <w:left w:type="dxa" w:w="100"/>
              <w:bottom w:type="dxa" w:w="60"/>
              <w:right w:type="dxa" w:w="100"/>
            </w:tcMar>
          </w:tcPr>
          <w:p>
            <w:r>
              <w:rPr>
                <w:sz w:val="19"/>
                <w:szCs w:val="19"/>
              </w:rPr>
              <w:t xml:space="preserve">Proaktive Backup-/Export-Erinnerung bei nicht leerem Archiv.</w:t>
            </w:r>
          </w:p>
        </w:tc>
        <w:tc>
          <w:tcPr>
            <w:tcW w:type="dxa" w:w="3800"/>
            <w:shd w:fill="F2F2F2" w:val="clear"/>
            <w:tcMar>
              <w:top w:type="dxa" w:w="60"/>
              <w:left w:type="dxa" w:w="100"/>
              <w:bottom w:type="dxa" w:w="60"/>
              <w:right w:type="dxa" w:w="100"/>
            </w:tcMar>
          </w:tcPr>
          <w:p>
            <w:r>
              <w:rPr>
                <w:sz w:val="19"/>
                <w:szCs w:val="19"/>
              </w:rPr>
              <w:t xml:space="preserve">Schützt vor iOS-Speicherbereinigung.</w:t>
            </w:r>
          </w:p>
        </w:tc>
      </w:tr>
      <w:tr>
        <w:tc>
          <w:tcPr>
            <w:tcW w:type="dxa" w:w="900"/>
            <w:tcMar>
              <w:top w:type="dxa" w:w="60"/>
              <w:left w:type="dxa" w:w="100"/>
              <w:bottom w:type="dxa" w:w="60"/>
              <w:right w:type="dxa" w:w="100"/>
            </w:tcMar>
          </w:tcPr>
          <w:p>
            <w:r>
              <w:rPr>
                <w:sz w:val="19"/>
                <w:szCs w:val="19"/>
              </w:rPr>
              <w:t xml:space="preserve">T5–T7</w:t>
            </w:r>
          </w:p>
        </w:tc>
        <w:tc>
          <w:tcPr>
            <w:tcW w:type="dxa" w:w="4600"/>
            <w:tcMar>
              <w:top w:type="dxa" w:w="60"/>
              <w:left w:type="dxa" w:w="100"/>
              <w:bottom w:type="dxa" w:w="60"/>
              <w:right w:type="dxa" w:w="100"/>
            </w:tcMar>
          </w:tcPr>
          <w:p>
            <w:r>
              <w:rPr>
                <w:sz w:val="19"/>
                <w:szCs w:val="19"/>
              </w:rPr>
              <w:t xml:space="preserve">Kontrastwerte, Schriftgrößen der Grenzwerthinweise, Touch-Ziele vereinheitlichen.</w:t>
            </w:r>
          </w:p>
        </w:tc>
        <w:tc>
          <w:tcPr>
            <w:tcW w:type="dxa" w:w="3800"/>
            <w:tcMar>
              <w:top w:type="dxa" w:w="60"/>
              <w:left w:type="dxa" w:w="100"/>
              <w:bottom w:type="dxa" w:w="60"/>
              <w:right w:type="dxa" w:w="100"/>
            </w:tcMar>
          </w:tcPr>
          <w:p>
            <w:r>
              <w:rPr>
                <w:sz w:val="19"/>
                <w:szCs w:val="19"/>
              </w:rPr>
              <w:t xml:space="preserve">Bedienbarkeit unter Feldbedingungen.</w:t>
            </w:r>
          </w:p>
        </w:tc>
      </w:tr>
    </w:tbl>
    <w:p>
      <w:pPr>
        <w:pStyle w:val="Heading2"/>
        <w:spacing w:after="120" w:before="300"/>
      </w:pPr>
      <w:r>
        <w:t xml:space="preserve">Stufe 4 – danach</w:t>
      </w:r>
    </w:p>
    <w:p>
      <w:pPr>
        <w:spacing w:after="160" w:line="300"/>
      </w:pPr>
      <w:r>
        <w:t xml:space="preserve">Normbezug in Kopfzeilen und app-config.js vereinheitlichen (N9); NEA-Zusatzangaben (Sternpunkterdung, Erder, Betriebsart) ergänzen (N6); Abschnittsnummerierung App/PDF angleichen; Datumsanzeige unabhängig von Geräte-Locale erzwingen; Gebäudeauswahl um Verlaufsliste für externe Spielstätten erweitern.</w:t>
      </w:r>
    </w:p>
    <w:p>
      <w:r>
        <w:br w:type="page"/>
      </w:r>
    </w:p>
    <w:p>
      <w:pPr>
        <w:pStyle w:val="Heading1"/>
        <w:pBdr>
          <w:bottom w:val="single" w:color="003366" w:sz="8" w:space="4"/>
        </w:pBdr>
        <w:spacing w:after="200" w:before="400"/>
      </w:pPr>
      <w:r>
        <w:t xml:space="preserve">Anhang: Quellenlage dieses Berichts</w:t>
      </w:r>
    </w:p>
    <w:p>
      <w:pPr>
        <w:spacing w:after="160" w:line="300"/>
      </w:pPr>
      <w:r>
        <w:t xml:space="preserve">Dieser Bericht stützt sich auf zwei Quellen, die im Ergebnis übereinstimmen und sich ergänzen:</w:t>
      </w:r>
    </w:p>
    <w:p>
      <w:pPr>
        <w:pStyle w:val="ListParagraph"/>
        <w:numPr>
          <w:ilvl w:val="0"/>
          <w:numId w:val="1"/>
        </w:numPr>
        <w:spacing w:after="100" w:line="280"/>
      </w:pPr>
      <w:r>
        <w:t xml:space="preserve">Eigene Prüfung: statische Durchsicht des aktuellen Quellcodes (Version 4.6.0) in allen HTML-/JS-/CSS-Dateien des Ordners ZUM-HOCHLADEN sowie Ausführung der öffentlich erreichbaren Live-Version im Browser (Formularverhalten, Stammdatenübernahme, Konsole, Service-Worker-Konfiguration).</w:t>
      </w:r>
    </w:p>
    <w:p>
      <w:pPr>
        <w:pStyle w:val="ListParagraph"/>
        <w:numPr>
          <w:ilvl w:val="0"/>
          <w:numId w:val="1"/>
        </w:numPr>
        <w:spacing w:after="100" w:line="280"/>
      </w:pPr>
      <w:r>
        <w:t xml:space="preserve">Bereits vorhandene Voranalyse im selben Ordner (ANALYSE_0 bis ANALYSE_4, sowie der Änderungsbericht zu Version 4.5.0): eine sehr gründliche, mit tatsächlich erzeugten und gerasterten PDF-Dateien sowie einer vollständigen Open-Air-Simulation (51 Stromkreise, 96 Geräte, mehrere Prüfer-Rollen von Laie bis Fachkraft) belegte Untersuchung der Version 4.4.0. Alle darin enthaltenen und für Version 4.6.0 noch relevanten Befunde wurden in diesem Bericht erneut im aktuellen Quellcode nachvollzogen und mit ihrem tatsächlichen Bearbeitungsstand gekennzeichnet.</w:t>
      </w:r>
    </w:p>
    <w:p>
      <w:pPr>
        <w:spacing w:after="160" w:line="300"/>
      </w:pPr>
      <w:r>
        <w:t xml:space="preserve">Die Kombination aus beiden Quellen erhöht die Verlässlichkeit des Berichts: Befunde, die in der Simulation praktisch beobachtet und im Code jetzt erneut bestätigt wurden, sind mit hoher Sicherheit real und nicht nur theoretisch.</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03366"/>
      <w:sz w:val="30"/>
      <w:szCs w:val="30"/>
    </w:rPr>
  </w:style>
  <w:style w:type="paragraph" w:styleId="Heading2">
    <w:name w:val="Heading 2"/>
    <w:basedOn w:val="Normal"/>
    <w:next w:val="Normal"/>
    <w:qFormat/>
    <w:rPr>
      <w:rFonts w:ascii="Calibri" w:cs="Calibri" w:eastAsia="Calibri" w:hAnsi="Calibri"/>
      <w:b/>
      <w:bCs/>
      <w:color w:val="003366"/>
      <w:sz w:val="25"/>
      <w:szCs w:val="25"/>
    </w:rPr>
  </w:style>
  <w:style w:type="paragraph" w:styleId="Heading3">
    <w:name w:val="Heading 3"/>
    <w:basedOn w:val="Normal"/>
    <w:next w:val="Normal"/>
    <w:qFormat/>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2026-08-30T20:18:08.670Z</dcterms:created>
  <dcterms:modified xsi:type="dcterms:W3CDTF">2026-08-30T20:18:08.671Z</dcterms:modified>
</cp:coreProperties>
</file>

<file path=docProps/custom.xml><?xml version="1.0" encoding="utf-8"?>
<Properties xmlns="http://schemas.openxmlformats.org/officeDocument/2006/custom-properties" xmlns:vt="http://schemas.openxmlformats.org/officeDocument/2006/docPropsVTypes"/>
</file>