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3D997876"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 xml:space="preserve">changes in the correlation structure when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r w:rsidR="002D041A">
        <w:rPr>
          <w:rFonts w:ascii="Arial" w:hAnsi="Arial" w:cs="Arial"/>
          <w:sz w:val="24"/>
          <w:szCs w:val="24"/>
        </w:rPr>
        <w:t>For example, time</w:t>
      </w:r>
      <w:r w:rsidR="00B0511A">
        <w:rPr>
          <w:rFonts w:ascii="Arial" w:hAnsi="Arial" w:cs="Arial"/>
          <w:sz w:val="24"/>
          <w:szCs w:val="24"/>
        </w:rPr>
        <w:t>-varying</w:t>
      </w:r>
      <w:r w:rsidR="002D041A">
        <w:rPr>
          <w:rFonts w:ascii="Arial" w:hAnsi="Arial" w:cs="Arial"/>
          <w:sz w:val="24"/>
          <w:szCs w:val="24"/>
        </w:rPr>
        <w:t xml:space="preserve"> correlations have been considered by Campbell, </w:t>
      </w:r>
      <w:proofErr w:type="spellStart"/>
      <w:r w:rsidR="002D041A">
        <w:rPr>
          <w:rFonts w:ascii="Arial" w:hAnsi="Arial" w:cs="Arial"/>
          <w:sz w:val="24"/>
          <w:szCs w:val="24"/>
        </w:rPr>
        <w:t>Koedijk</w:t>
      </w:r>
      <w:proofErr w:type="spellEnd"/>
      <w:r w:rsidR="002D041A">
        <w:rPr>
          <w:rFonts w:ascii="Arial" w:hAnsi="Arial" w:cs="Arial"/>
          <w:sz w:val="24"/>
          <w:szCs w:val="24"/>
        </w:rPr>
        <w:t xml:space="preserve"> and </w:t>
      </w:r>
      <w:proofErr w:type="spellStart"/>
      <w:r w:rsidR="002D041A">
        <w:rPr>
          <w:rFonts w:ascii="Arial" w:hAnsi="Arial" w:cs="Arial"/>
          <w:sz w:val="24"/>
          <w:szCs w:val="24"/>
        </w:rPr>
        <w:t>Kofman</w:t>
      </w:r>
      <w:proofErr w:type="spellEnd"/>
      <w:r w:rsidR="002D041A">
        <w:rPr>
          <w:rFonts w:ascii="Arial" w:hAnsi="Arial" w:cs="Arial"/>
          <w:sz w:val="24"/>
          <w:szCs w:val="24"/>
        </w:rPr>
        <w:t xml:space="preserve">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6D8210C9"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w:t>
      </w:r>
      <w:proofErr w:type="gramStart"/>
      <w:r w:rsidR="002532DA">
        <w:rPr>
          <w:rFonts w:ascii="Arial" w:hAnsi="Arial" w:cs="Arial"/>
          <w:sz w:val="24"/>
          <w:szCs w:val="24"/>
        </w:rPr>
        <w:t>a number of</w:t>
      </w:r>
      <w:proofErr w:type="gramEnd"/>
      <w:r w:rsidR="002532DA">
        <w:rPr>
          <w:rFonts w:ascii="Arial" w:hAnsi="Arial" w:cs="Arial"/>
          <w:sz w:val="24"/>
          <w:szCs w:val="24"/>
        </w:rPr>
        <w:t xml:space="preserve"> these studies also determine their asset allocation </w:t>
      </w:r>
      <w:r w:rsidR="00F03FDE">
        <w:rPr>
          <w:rFonts w:ascii="Arial" w:hAnsi="Arial" w:cs="Arial"/>
          <w:sz w:val="24"/>
          <w:szCs w:val="24"/>
        </w:rPr>
        <w:t xml:space="preserve">strategy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51E1052E"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w:t>
      </w:r>
      <w:r>
        <w:rPr>
          <w:rFonts w:ascii="Arial" w:hAnsi="Arial" w:cs="Arial"/>
          <w:sz w:val="24"/>
          <w:szCs w:val="24"/>
        </w:rPr>
        <w:lastRenderedPageBreak/>
        <w:t xml:space="preserve">concepts. </w:t>
      </w:r>
      <w:r w:rsidR="00671899">
        <w:rPr>
          <w:rFonts w:ascii="Arial" w:hAnsi="Arial" w:cs="Arial"/>
          <w:sz w:val="24"/>
          <w:szCs w:val="24"/>
        </w:rPr>
        <w:t xml:space="preserve">Some </w:t>
      </w:r>
      <w:r>
        <w:rPr>
          <w:rFonts w:ascii="Arial" w:hAnsi="Arial" w:cs="Arial"/>
          <w:sz w:val="24"/>
          <w:szCs w:val="24"/>
        </w:rPr>
        <w:t xml:space="preserve">papers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B0511A" w:rsidRPr="00B0511A">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This type of comparison in correlation is in turn critiqued by</w:t>
      </w:r>
      <w:r>
        <w:rPr>
          <w:rFonts w:ascii="Arial" w:hAnsi="Arial" w:cs="Arial"/>
          <w:sz w:val="24"/>
          <w:szCs w:val="24"/>
        </w:rPr>
        <w:t xml:space="preserve"> Forbes &amp; </w:t>
      </w:r>
      <w:proofErr w:type="spellStart"/>
      <w:r>
        <w:rPr>
          <w:rFonts w:ascii="Arial" w:hAnsi="Arial" w:cs="Arial"/>
          <w:sz w:val="24"/>
          <w:szCs w:val="24"/>
        </w:rPr>
        <w:t>Rigonon</w:t>
      </w:r>
      <w:proofErr w:type="spellEnd"/>
      <w:r>
        <w:rPr>
          <w:rFonts w:ascii="Arial" w:hAnsi="Arial" w:cs="Arial"/>
          <w:sz w:val="24"/>
          <w:szCs w:val="24"/>
        </w:rPr>
        <w:t xml:space="preserve"> (2002) </w:t>
      </w:r>
      <w:r w:rsidR="00845388">
        <w:rPr>
          <w:rFonts w:ascii="Arial" w:hAnsi="Arial" w:cs="Arial"/>
          <w:sz w:val="24"/>
          <w:szCs w:val="24"/>
        </w:rPr>
        <w:t>who</w:t>
      </w:r>
      <w:r>
        <w:rPr>
          <w:rFonts w:ascii="Arial" w:hAnsi="Arial" w:cs="Arial"/>
          <w:sz w:val="24"/>
          <w:szCs w:val="24"/>
        </w:rPr>
        <w:t xml:space="preserve"> 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w:t>
      </w:r>
      <w:proofErr w:type="spellStart"/>
      <w:r w:rsidR="006C682C">
        <w:rPr>
          <w:rFonts w:ascii="Arial" w:hAnsi="Arial" w:cs="Arial"/>
          <w:sz w:val="24"/>
          <w:szCs w:val="24"/>
        </w:rPr>
        <w:t>Rigonon</w:t>
      </w:r>
      <w:proofErr w:type="spellEnd"/>
      <w:r w:rsidR="006C682C">
        <w:rPr>
          <w:rFonts w:ascii="Arial" w:hAnsi="Arial" w:cs="Arial"/>
          <w:sz w:val="24"/>
          <w:szCs w:val="24"/>
        </w:rPr>
        <w:t xml:space="preserve">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w:t>
      </w:r>
      <w:proofErr w:type="spellStart"/>
      <w:r w:rsidR="008538CE">
        <w:rPr>
          <w:rFonts w:ascii="Arial" w:hAnsi="Arial" w:cs="Arial"/>
          <w:sz w:val="24"/>
          <w:szCs w:val="24"/>
        </w:rPr>
        <w:t>Longin</w:t>
      </w:r>
      <w:proofErr w:type="spellEnd"/>
      <w:r w:rsidR="008538CE">
        <w:rPr>
          <w:rFonts w:ascii="Arial" w:hAnsi="Arial" w:cs="Arial"/>
          <w:sz w:val="24"/>
          <w:szCs w:val="24"/>
        </w:rPr>
        <w:t xml:space="preserve"> &amp; </w:t>
      </w:r>
      <w:proofErr w:type="spellStart"/>
      <w:r w:rsidR="008538CE">
        <w:rPr>
          <w:rFonts w:ascii="Arial" w:hAnsi="Arial" w:cs="Arial"/>
          <w:sz w:val="24"/>
          <w:szCs w:val="24"/>
        </w:rPr>
        <w:t>Solnik</w:t>
      </w:r>
      <w:proofErr w:type="spellEnd"/>
      <w:r w:rsidR="008538CE">
        <w:rPr>
          <w:rFonts w:ascii="Arial" w:hAnsi="Arial" w:cs="Arial"/>
          <w:sz w:val="24"/>
          <w:szCs w:val="24"/>
        </w:rPr>
        <w:t xml:space="preserve">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B0511A" w:rsidRPr="00B0511A">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B0511A" w:rsidRPr="00B0511A">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575959A2"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w:t>
      </w:r>
      <w:r w:rsidR="00845388">
        <w:rPr>
          <w:rFonts w:ascii="Arial" w:hAnsi="Arial" w:cs="Arial"/>
          <w:sz w:val="24"/>
          <w:szCs w:val="24"/>
        </w:rPr>
        <w:t xml:space="preserve"> based on R-vine methodology</w:t>
      </w:r>
      <w:r>
        <w:rPr>
          <w:rFonts w:ascii="Arial" w:hAnsi="Arial" w:cs="Arial"/>
          <w:sz w:val="24"/>
          <w:szCs w:val="24"/>
        </w:rPr>
        <w:t xml:space="preserve">. </w:t>
      </w:r>
      <w:r w:rsidR="00845388">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xml:space="preserve">, mainly represented by the negative tails of joint distributions of different markets or economies, this study will test the </w:t>
      </w:r>
      <w:r w:rsidR="00285422">
        <w:rPr>
          <w:rFonts w:ascii="Arial" w:hAnsi="Arial" w:cs="Arial"/>
          <w:sz w:val="24"/>
          <w:szCs w:val="24"/>
        </w:rPr>
        <w:t xml:space="preserve">significance of the correlation </w:t>
      </w:r>
      <w:r w:rsidR="00845388">
        <w:rPr>
          <w:rFonts w:ascii="Arial" w:hAnsi="Arial" w:cs="Arial"/>
          <w:sz w:val="24"/>
          <w:szCs w:val="24"/>
        </w:rPr>
        <w:t>on the extreme joint distribution of two different markets or economies based on the R-Vine methodology to infer whether there is contagion or interdependence between these markets or economies.</w:t>
      </w:r>
      <w:r w:rsidR="001562FF">
        <w:rPr>
          <w:rFonts w:ascii="Arial" w:hAnsi="Arial" w:cs="Arial"/>
          <w:sz w:val="24"/>
          <w:szCs w:val="24"/>
        </w:rPr>
        <w:t xml:space="preserve"> </w:t>
      </w:r>
    </w:p>
    <w:p w14:paraId="0DBE02ED" w14:textId="05E59680" w:rsidR="00C97E8C" w:rsidRDefault="00CA7D39" w:rsidP="00A17132">
      <w:pPr>
        <w:spacing w:line="360" w:lineRule="auto"/>
        <w:rPr>
          <w:rFonts w:ascii="Arial" w:hAnsi="Arial" w:cs="Arial"/>
          <w:sz w:val="24"/>
          <w:szCs w:val="24"/>
        </w:rPr>
      </w:pPr>
      <w:r>
        <w:rPr>
          <w:rFonts w:ascii="Arial" w:hAnsi="Arial" w:cs="Arial"/>
          <w:sz w:val="24"/>
          <w:szCs w:val="24"/>
        </w:rPr>
        <w:lastRenderedPageBreak/>
        <w:t xml:space="preserve">The developed methodology is </w:t>
      </w:r>
      <w:r w:rsidR="000815C8">
        <w:rPr>
          <w:rFonts w:ascii="Arial" w:hAnsi="Arial" w:cs="Arial"/>
          <w:sz w:val="24"/>
          <w:szCs w:val="24"/>
        </w:rPr>
        <w:t xml:space="preserve">applied to test the degree of contagion and interdependence between the different sectors of BRICS stock exchanges, namely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to investors and </w:t>
      </w:r>
      <w:r w:rsidR="0081040F">
        <w:rPr>
          <w:rFonts w:ascii="Arial" w:hAnsi="Arial" w:cs="Arial"/>
          <w:sz w:val="24"/>
          <w:szCs w:val="24"/>
        </w:rPr>
        <w:t xml:space="preserve">asset </w:t>
      </w:r>
      <w:r w:rsidR="000815C8">
        <w:rPr>
          <w:rFonts w:ascii="Arial" w:hAnsi="Arial" w:cs="Arial"/>
          <w:sz w:val="24"/>
          <w:szCs w:val="24"/>
        </w:rPr>
        <w:t xml:space="preserve">managers </w:t>
      </w:r>
      <w:r w:rsidRPr="00971D6E">
        <w:rPr>
          <w:rFonts w:ascii="Arial" w:hAnsi="Arial" w:cs="Arial"/>
          <w:sz w:val="24"/>
          <w:szCs w:val="24"/>
        </w:rPr>
        <w:t xml:space="preserve">since </w:t>
      </w:r>
      <w:r w:rsidR="000815C8">
        <w:rPr>
          <w:rFonts w:ascii="Arial" w:hAnsi="Arial" w:cs="Arial"/>
          <w:sz w:val="24"/>
          <w:szCs w:val="24"/>
        </w:rPr>
        <w:t>the BRICS</w:t>
      </w:r>
      <w:r w:rsidRPr="00971D6E">
        <w:rPr>
          <w:rFonts w:ascii="Arial" w:hAnsi="Arial" w:cs="Arial"/>
          <w:sz w:val="24"/>
          <w:szCs w:val="24"/>
        </w:rPr>
        <w:t xml:space="preserve"> </w:t>
      </w:r>
      <w:r w:rsidR="000815C8">
        <w:rPr>
          <w:rFonts w:ascii="Arial" w:hAnsi="Arial" w:cs="Arial"/>
          <w:sz w:val="24"/>
          <w:szCs w:val="24"/>
        </w:rPr>
        <w:t xml:space="preserve">grouping </w:t>
      </w:r>
      <w:r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B0511A" w:rsidRPr="00B0511A">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B0511A" w:rsidRPr="00B0511A">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w:t>
      </w:r>
      <w:r w:rsidR="0081040F">
        <w:rPr>
          <w:rFonts w:ascii="Arial" w:hAnsi="Arial" w:cs="Arial"/>
          <w:sz w:val="24"/>
          <w:szCs w:val="24"/>
        </w:rPr>
        <w:t>in the context of</w:t>
      </w:r>
      <w:r>
        <w:rPr>
          <w:rFonts w:ascii="Arial" w:hAnsi="Arial" w:cs="Arial"/>
          <w:sz w:val="24"/>
          <w:szCs w:val="24"/>
        </w:rPr>
        <w:t xml:space="preserve">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B0511A" w:rsidRPr="00B0511A">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39D50389" w14:textId="19276D61" w:rsidR="00715F62" w:rsidRPr="00715F62" w:rsidRDefault="00715F62" w:rsidP="00AC4F00">
      <w:pPr>
        <w:spacing w:line="360" w:lineRule="auto"/>
        <w:rPr>
          <w:rFonts w:ascii="Arial" w:hAnsi="Arial" w:cs="Arial"/>
          <w:sz w:val="24"/>
          <w:szCs w:val="24"/>
        </w:rPr>
      </w:pPr>
      <w:r>
        <w:rPr>
          <w:rFonts w:ascii="Arial" w:hAnsi="Arial" w:cs="Arial"/>
          <w:sz w:val="24"/>
          <w:szCs w:val="24"/>
        </w:rPr>
        <w:t>This study provides a contribution to the literature that distinguishes between contagion and interdependence by proposing the application of the R-Vine methodology in testing the extent of correlation between the extreme joint distribution of the different markets or economies. In doing so, the study aims to provide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4AA47639" w14:textId="7A7DC7DB"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are the extreme joint distributions of the different sectors of BRICS correlated?</w:t>
      </w:r>
    </w:p>
    <w:p w14:paraId="4669077B" w14:textId="62D8D936"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 distinguish between interdependence and contagion within the context of the sectors of BRICS?</w:t>
      </w:r>
    </w:p>
    <w:p w14:paraId="3C022D2F" w14:textId="0A8A2780"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631EDDC1"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 proposes that i</w:t>
      </w:r>
      <w:r w:rsidR="003412E8">
        <w:rPr>
          <w:rFonts w:ascii="Arial" w:hAnsi="Arial" w:cs="Arial"/>
          <w:sz w:val="24"/>
          <w:szCs w:val="24"/>
        </w:rPr>
        <w:t xml:space="preserve">f it is found that only the lower </w:t>
      </w:r>
      <w:r w:rsidR="003412E8">
        <w:rPr>
          <w:rFonts w:ascii="Arial" w:hAnsi="Arial" w:cs="Arial"/>
          <w:sz w:val="24"/>
          <w:szCs w:val="24"/>
        </w:rPr>
        <w:lastRenderedPageBreak/>
        <w:t>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3C670017" w14:textId="119DB15D"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 xml:space="preserve">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rebalancing </w:t>
      </w:r>
      <w:r w:rsidR="00B751B6">
        <w:rPr>
          <w:rFonts w:ascii="Arial" w:hAnsi="Arial" w:cs="Arial"/>
          <w:sz w:val="24"/>
          <w:szCs w:val="24"/>
        </w:rPr>
        <w:t>strategies</w:t>
      </w:r>
      <w:r w:rsidR="00197B9A">
        <w:rPr>
          <w:rFonts w:ascii="Arial" w:hAnsi="Arial" w:cs="Arial"/>
          <w:sz w:val="24"/>
          <w:szCs w:val="24"/>
        </w:rPr>
        <w:t xml:space="preserve"> since the correlation structure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69A9EFA9"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xml:space="preserve">.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lastRenderedPageBreak/>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w:t>
      </w:r>
      <w:proofErr w:type="gramStart"/>
      <w:r w:rsidR="00337529">
        <w:rPr>
          <w:rFonts w:ascii="Arial" w:hAnsi="Arial" w:cs="Arial"/>
          <w:sz w:val="24"/>
          <w:szCs w:val="24"/>
        </w:rPr>
        <w:t>more often than not</w:t>
      </w:r>
      <w:proofErr w:type="gramEnd"/>
      <w:r w:rsidR="00337529">
        <w:rPr>
          <w:rFonts w:ascii="Arial" w:hAnsi="Arial" w:cs="Arial"/>
          <w:sz w:val="24"/>
          <w:szCs w:val="24"/>
        </w:rPr>
        <w:t xml:space="preserve">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The authors make use of the quantile-specific odds ratio (</w:t>
      </w:r>
      <w:proofErr w:type="spellStart"/>
      <w:r w:rsidR="008554F4" w:rsidRPr="00F2483C">
        <w:rPr>
          <w:rFonts w:ascii="Arial" w:hAnsi="Arial" w:cs="Arial"/>
          <w:sz w:val="24"/>
          <w:szCs w:val="24"/>
        </w:rPr>
        <w:t>qor</w:t>
      </w:r>
      <w:proofErr w:type="spellEnd"/>
      <w:r w:rsidR="008554F4" w:rsidRPr="00F2483C">
        <w:rPr>
          <w:rFonts w:ascii="Arial" w:hAnsi="Arial" w:cs="Arial"/>
          <w:sz w:val="24"/>
          <w:szCs w:val="24"/>
        </w:rPr>
        <w:t xml:space="preserve">)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0AD18DB1" w:rsidR="008554F4" w:rsidRDefault="008554F4" w:rsidP="008554F4">
      <w:pPr>
        <w:spacing w:line="360" w:lineRule="auto"/>
        <w:rPr>
          <w:rFonts w:ascii="Arial" w:hAnsi="Arial" w:cs="Arial"/>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w:t>
      </w:r>
      <w:proofErr w:type="spellStart"/>
      <w:r w:rsidRPr="00F2483C">
        <w:rPr>
          <w:rFonts w:ascii="Arial" w:hAnsi="Arial" w:cs="Arial"/>
          <w:sz w:val="24"/>
          <w:szCs w:val="24"/>
        </w:rPr>
        <w:t>CoVaR</w:t>
      </w:r>
      <w:proofErr w:type="spellEnd"/>
      <w:r w:rsidRPr="00F2483C">
        <w:rPr>
          <w:rFonts w:ascii="Arial" w:hAnsi="Arial" w:cs="Arial"/>
          <w:sz w:val="24"/>
          <w:szCs w:val="24"/>
        </w:rPr>
        <w:t>)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2435710F" w14:textId="313F07EF" w:rsidR="00432680" w:rsidRDefault="00432680">
      <w:pPr>
        <w:rPr>
          <w:rFonts w:ascii="Arial" w:hAnsi="Arial" w:cs="Arial"/>
          <w:sz w:val="24"/>
          <w:szCs w:val="24"/>
        </w:rPr>
      </w:pPr>
      <w:r>
        <w:rPr>
          <w:rFonts w:ascii="Arial" w:hAnsi="Arial" w:cs="Arial"/>
          <w:sz w:val="24"/>
          <w:szCs w:val="24"/>
        </w:rPr>
        <w:br w:type="page"/>
      </w:r>
    </w:p>
    <w:p w14:paraId="5A202EF5" w14:textId="670CD541" w:rsidR="00327AAF" w:rsidRDefault="00432680" w:rsidP="00432680">
      <w:pPr>
        <w:pStyle w:val="Heading1"/>
        <w:rPr>
          <w:b/>
        </w:rPr>
      </w:pPr>
      <w:r w:rsidRPr="00432680">
        <w:rPr>
          <w:b/>
        </w:rPr>
        <w:lastRenderedPageBreak/>
        <w:t>Chapter 3 Methodology</w:t>
      </w:r>
    </w:p>
    <w:p w14:paraId="2494B5C7" w14:textId="77777777" w:rsidR="00327AAF" w:rsidRPr="00F2483C" w:rsidRDefault="00327AAF" w:rsidP="00327AAF">
      <w:pPr>
        <w:spacing w:line="360" w:lineRule="auto"/>
        <w:rPr>
          <w:rFonts w:ascii="Arial" w:hAnsi="Arial" w:cs="Arial"/>
          <w:lang w:val="en-US"/>
        </w:rPr>
      </w:pPr>
    </w:p>
    <w:p w14:paraId="780E554D" w14:textId="1DCE234B" w:rsidR="00327AAF" w:rsidRPr="00F2483C" w:rsidRDefault="00327AAF" w:rsidP="00327AAF">
      <w:pPr>
        <w:spacing w:line="360" w:lineRule="auto"/>
        <w:rPr>
          <w:rFonts w:ascii="Arial" w:hAnsi="Arial" w:cs="Arial"/>
          <w:sz w:val="24"/>
          <w:lang w:val="en-US"/>
        </w:rPr>
      </w:pPr>
      <w:r>
        <w:rPr>
          <w:rFonts w:ascii="Arial" w:hAnsi="Arial" w:cs="Arial"/>
          <w:sz w:val="24"/>
          <w:lang w:val="en-US"/>
        </w:rPr>
        <w:t>This paper makes use of the R-vine copula approach t</w:t>
      </w:r>
      <w:r w:rsidRPr="00F2483C">
        <w:rPr>
          <w:rFonts w:ascii="Arial" w:hAnsi="Arial" w:cs="Arial"/>
          <w:sz w:val="24"/>
          <w:lang w:val="en-US"/>
        </w:rPr>
        <w:t xml:space="preserve">o </w:t>
      </w:r>
      <w:r>
        <w:rPr>
          <w:rFonts w:ascii="Arial" w:hAnsi="Arial" w:cs="Arial"/>
          <w:sz w:val="24"/>
          <w:lang w:val="en-US"/>
        </w:rPr>
        <w:t xml:space="preserve">identify </w:t>
      </w:r>
      <w:r w:rsidRPr="00F2483C">
        <w:rPr>
          <w:rFonts w:ascii="Arial" w:hAnsi="Arial" w:cs="Arial"/>
          <w:sz w:val="24"/>
          <w:lang w:val="en-US"/>
        </w:rPr>
        <w:t xml:space="preserve">contagion </w:t>
      </w:r>
      <w:r>
        <w:rPr>
          <w:rFonts w:ascii="Arial" w:hAnsi="Arial" w:cs="Arial"/>
          <w:sz w:val="24"/>
          <w:lang w:val="en-US"/>
        </w:rPr>
        <w:t xml:space="preserve">and interdependence </w:t>
      </w:r>
      <w:r w:rsidRPr="00F2483C">
        <w:rPr>
          <w:rFonts w:ascii="Arial" w:hAnsi="Arial" w:cs="Arial"/>
          <w:sz w:val="24"/>
          <w:lang w:val="en-US"/>
        </w:rPr>
        <w:t>between the sectors in the BRICS countries</w:t>
      </w:r>
      <w:r>
        <w:rPr>
          <w:rFonts w:ascii="Arial" w:hAnsi="Arial" w:cs="Arial"/>
          <w:sz w:val="24"/>
          <w:lang w:val="en-US"/>
        </w:rPr>
        <w:t xml:space="preserve">. </w:t>
      </w:r>
      <w:r w:rsidRPr="00F2483C">
        <w:rPr>
          <w:rFonts w:ascii="Arial" w:hAnsi="Arial" w:cs="Arial"/>
          <w:sz w:val="24"/>
          <w:lang w:val="en-US"/>
        </w:rPr>
        <w:t xml:space="preserve"> </w:t>
      </w:r>
      <w:r>
        <w:rPr>
          <w:rFonts w:ascii="Arial" w:hAnsi="Arial" w:cs="Arial"/>
          <w:sz w:val="24"/>
          <w:lang w:val="en-US"/>
        </w:rPr>
        <w:t>T</w:t>
      </w:r>
      <w:r w:rsidRPr="00F2483C">
        <w:rPr>
          <w:rFonts w:ascii="Arial" w:hAnsi="Arial" w:cs="Arial"/>
          <w:sz w:val="24"/>
          <w:lang w:val="en-US"/>
        </w:rPr>
        <w:t>he regular vine copula approach first introduced by Joe (1997) is considered to determine the most optimal multivariate dependence structure, after which the tail dependence coefficients are studied for evidence of contagion</w:t>
      </w:r>
      <w:r w:rsidR="005B2F2E">
        <w:rPr>
          <w:rFonts w:ascii="Arial" w:hAnsi="Arial" w:cs="Arial"/>
          <w:sz w:val="24"/>
          <w:lang w:val="en-US"/>
        </w:rPr>
        <w:t xml:space="preserve"> or interdependence</w:t>
      </w:r>
      <w:r w:rsidRPr="00F2483C">
        <w:rPr>
          <w:rFonts w:ascii="Arial" w:hAnsi="Arial" w:cs="Arial"/>
          <w:sz w:val="24"/>
          <w:lang w:val="en-US"/>
        </w:rPr>
        <w:t xml:space="preserve">. Since the copula approach allows one to first model the marginals which, in turn, is used to filter the data, the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This set of models are chosen since the time series in question can be serially dependent and have non-constant, extreme variances.</w:t>
      </w:r>
    </w:p>
    <w:p w14:paraId="58EB6C26"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3.1 Model for the marginal distributions</w:t>
      </w:r>
    </w:p>
    <w:p w14:paraId="5AA0CD56" w14:textId="796A467A"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are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8B15AE" w:rsidRPr="00F2483C">
        <w:rPr>
          <w:rFonts w:ascii="Arial" w:eastAsiaTheme="minorEastAsia" w:hAnsi="Arial" w:cs="Arial"/>
          <w:sz w:val="24"/>
          <w:lang w:val="en-US"/>
        </w:rPr>
        <w:t xml:space="preserve"> degrees of freedom</w:t>
      </w:r>
      <w:r w:rsidRPr="00F2483C">
        <w:rPr>
          <w:rFonts w:ascii="Arial" w:hAnsi="Arial" w:cs="Arial"/>
          <w:sz w:val="24"/>
          <w:lang w:val="en-US"/>
        </w:rPr>
        <w:t>.</w:t>
      </w:r>
      <w:r w:rsidR="008B15AE">
        <w:rPr>
          <w:rFonts w:ascii="Arial" w:hAnsi="Arial" w:cs="Arial"/>
          <w:sz w:val="24"/>
          <w:lang w:val="en-US"/>
        </w:rPr>
        <w:t xml:space="preserve"> It follows that each series will have a parameter set </w:t>
      </w:r>
      <m:oMath>
        <m:r>
          <m:rPr>
            <m:sty m:val="bi"/>
          </m:rPr>
          <w:rPr>
            <w:rFonts w:ascii="Cambria Math" w:hAnsi="Cambria Math" w:cs="Arial"/>
            <w:sz w:val="24"/>
            <w:lang w:val="en-US"/>
          </w:rPr>
          <m:t>θ</m:t>
        </m:r>
        <m:r>
          <w:rPr>
            <w:rFonts w:ascii="Cambria Math" w:hAnsi="Cambria Math" w:cs="Arial"/>
            <w:sz w:val="24"/>
            <w:lang w:val="en-US"/>
          </w:rPr>
          <m:t>=(p, q, r, s,</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hAnsi="Cambria Math" w:cs="Arial"/>
            <w:sz w:val="24"/>
            <w:lang w:val="en-US"/>
          </w:rPr>
          <m:t>)</m:t>
        </m:r>
      </m:oMath>
      <w:r w:rsidR="008B15AE">
        <w:rPr>
          <w:rFonts w:ascii="Arial" w:eastAsiaTheme="minorEastAsia" w:hAnsi="Arial" w:cs="Arial"/>
          <w:sz w:val="24"/>
          <w:lang w:val="en-US"/>
        </w:rPr>
        <w:t>.</w:t>
      </w:r>
      <w:r w:rsidRPr="00F2483C">
        <w:rPr>
          <w:rFonts w:ascii="Arial" w:hAnsi="Arial" w:cs="Arial"/>
          <w:sz w:val="24"/>
          <w:lang w:val="en-US"/>
        </w:rPr>
        <w:t xml:space="preserve"> If the log-returns are defined as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with </w:t>
      </w:r>
      <m:oMath>
        <m:r>
          <w:rPr>
            <w:rFonts w:ascii="Cambria Math" w:eastAsiaTheme="minorEastAsia" w:hAnsi="Cambria Math" w:cs="Arial"/>
            <w:sz w:val="24"/>
            <w:lang w:val="en-US"/>
          </w:rPr>
          <m:t>c=1,…,n</m:t>
        </m:r>
      </m:oMath>
      <w:r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model can be defined as:</w:t>
      </w:r>
    </w:p>
    <w:p w14:paraId="65F24CC8" w14:textId="77777777" w:rsidR="00327AAF" w:rsidRPr="00F2483C" w:rsidRDefault="00532EEE"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(1)</w:t>
      </w:r>
    </w:p>
    <w:p w14:paraId="1B788E1E" w14:textId="77777777" w:rsidR="00327AAF" w:rsidRPr="00F2483C" w:rsidRDefault="00532EEE"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(2)</w:t>
      </w:r>
    </w:p>
    <w:p w14:paraId="7AF0D93B" w14:textId="77777777" w:rsidR="00327AAF" w:rsidRPr="00F2483C" w:rsidRDefault="00532EEE"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(3)</w:t>
      </w:r>
    </w:p>
    <w:p w14:paraId="04CA9F74" w14:textId="6B8BB2C9"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Pr="00F2483C">
        <w:rPr>
          <w:rFonts w:ascii="Arial" w:eastAsiaTheme="minorEastAsia" w:hAnsi="Arial" w:cs="Arial"/>
          <w:sz w:val="24"/>
          <w:lang w:val="en-US"/>
        </w:rPr>
        <w:t xml:space="preserve"> degrees of freedom. </w:t>
      </w:r>
      <w:r w:rsidR="00DB72C7">
        <w:rPr>
          <w:rFonts w:ascii="Arial" w:eastAsiaTheme="minorEastAsia" w:hAnsi="Arial" w:cs="Arial"/>
          <w:sz w:val="24"/>
          <w:lang w:val="en-US"/>
        </w:rPr>
        <w:t xml:space="preserve">The model specification </w:t>
      </w:r>
      <m:oMath>
        <m:r>
          <m:rPr>
            <m:sty m:val="bi"/>
          </m:rPr>
          <w:rPr>
            <w:rFonts w:ascii="Cambria Math" w:hAnsi="Cambria Math" w:cs="Arial"/>
            <w:sz w:val="24"/>
            <w:lang w:val="en-US"/>
          </w:rPr>
          <m:t>θ</m:t>
        </m:r>
      </m:oMath>
      <w:r w:rsidR="00DB72C7">
        <w:rPr>
          <w:rFonts w:ascii="Arial" w:eastAsiaTheme="minorEastAsia" w:hAnsi="Arial" w:cs="Arial"/>
          <w:b/>
          <w:sz w:val="24"/>
          <w:lang w:val="en-US"/>
        </w:rPr>
        <w:t xml:space="preserve"> </w:t>
      </w:r>
      <w:r w:rsidR="00DB72C7">
        <w:rPr>
          <w:rFonts w:ascii="Arial" w:eastAsiaTheme="minorEastAsia" w:hAnsi="Arial" w:cs="Arial"/>
          <w:sz w:val="24"/>
          <w:lang w:val="en-US"/>
        </w:rPr>
        <w:t xml:space="preserve">is determined iteratively </w:t>
      </w:r>
      <w:r w:rsidR="00CE4951">
        <w:rPr>
          <w:rFonts w:ascii="Arial" w:eastAsiaTheme="minorEastAsia" w:hAnsi="Arial" w:cs="Arial"/>
          <w:sz w:val="24"/>
          <w:lang w:val="en-US"/>
        </w:rPr>
        <w:t xml:space="preserve">for each series </w:t>
      </w:r>
      <w:r w:rsidR="00DB72C7">
        <w:rPr>
          <w:rFonts w:ascii="Arial" w:eastAsiaTheme="minorEastAsia" w:hAnsi="Arial" w:cs="Arial"/>
          <w:sz w:val="24"/>
          <w:lang w:val="en-US"/>
        </w:rPr>
        <w:t xml:space="preserve">by first fitting a range of models using the model specification </w:t>
      </w:r>
      <m:oMath>
        <m:sSub>
          <m:sSubPr>
            <m:ctrlPr>
              <w:rPr>
                <w:rFonts w:ascii="Cambria Math" w:hAnsi="Cambria Math" w:cs="Arial"/>
                <w:b/>
                <w:i/>
                <w:sz w:val="24"/>
                <w:lang w:val="en-US"/>
              </w:rPr>
            </m:ctrlPr>
          </m:sSubPr>
          <m:e>
            <m:r>
              <m:rPr>
                <m:sty m:val="bi"/>
              </m:rPr>
              <w:rPr>
                <w:rFonts w:ascii="Cambria Math" w:hAnsi="Cambria Math" w:cs="Arial"/>
                <w:sz w:val="24"/>
                <w:lang w:val="en-US"/>
              </w:rPr>
              <m:t>θ</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q</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oMath>
      <w:r w:rsidR="00CE4951">
        <w:rPr>
          <w:rFonts w:ascii="Arial" w:eastAsiaTheme="minorEastAsia" w:hAnsi="Arial" w:cs="Arial"/>
          <w:sz w:val="24"/>
          <w:lang w:val="en-US"/>
        </w:rPr>
        <w:t xml:space="preserve">, with </w:t>
      </w:r>
      <m:oMath>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sz w:val="24"/>
                <w:lang w:val="en-US"/>
              </w:rPr>
            </m:ctrlPr>
          </m:sSubPr>
          <m:e>
            <m:r>
              <w:rPr>
                <w:rFonts w:ascii="Cambria Math" w:hAnsi="Cambria Math" w:cs="Arial"/>
                <w:sz w:val="24"/>
                <w:lang w:val="en-US"/>
              </w:rPr>
              <m:t>q</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=0,…,4</m:t>
        </m:r>
      </m:oMath>
      <w:r w:rsidR="00CE4951">
        <w:rPr>
          <w:rFonts w:ascii="Arial" w:eastAsiaTheme="minorEastAsia" w:hAnsi="Arial" w:cs="Arial"/>
          <w:sz w:val="24"/>
          <w:lang w:val="en-US"/>
        </w:rPr>
        <w:t xml:space="preserve"> on 75% of the data.</w:t>
      </w:r>
      <w:r w:rsidR="00DB72C7">
        <w:rPr>
          <w:rFonts w:ascii="Arial" w:eastAsiaTheme="minorEastAsia" w:hAnsi="Arial" w:cs="Arial"/>
          <w:sz w:val="24"/>
          <w:lang w:val="en-US"/>
        </w:rPr>
        <w:t xml:space="preserve"> </w:t>
      </w:r>
      <w:r w:rsidRPr="00F2483C">
        <w:rPr>
          <w:rFonts w:ascii="Arial" w:eastAsiaTheme="minorEastAsia" w:hAnsi="Arial" w:cs="Arial"/>
          <w:sz w:val="24"/>
          <w:lang w:val="en-US"/>
        </w:rPr>
        <w:t xml:space="preserve">To identify the </w:t>
      </w:r>
      <w:r w:rsidR="00CE4951">
        <w:rPr>
          <w:rFonts w:ascii="Arial" w:eastAsiaTheme="minorEastAsia" w:hAnsi="Arial" w:cs="Arial"/>
          <w:sz w:val="24"/>
          <w:lang w:val="en-US"/>
        </w:rPr>
        <w:t xml:space="preserve">best </w:t>
      </w:r>
      <w:r w:rsidRPr="00F2483C">
        <w:rPr>
          <w:rFonts w:ascii="Arial" w:eastAsiaTheme="minorEastAsia" w:hAnsi="Arial" w:cs="Arial"/>
          <w:sz w:val="24"/>
          <w:lang w:val="en-US"/>
        </w:rPr>
        <w:t xml:space="preserve">model specification </w:t>
      </w:r>
      <m:oMath>
        <m:r>
          <m:rPr>
            <m:sty m:val="bi"/>
          </m:rPr>
          <w:rPr>
            <w:rFonts w:ascii="Cambria Math" w:hAnsi="Cambria Math" w:cs="Arial"/>
            <w:sz w:val="24"/>
            <w:lang w:val="en-US"/>
          </w:rPr>
          <m:t>θ</m:t>
        </m:r>
      </m:oMath>
      <w:r w:rsidR="007C2DAE" w:rsidRPr="00F2483C">
        <w:rPr>
          <w:rFonts w:ascii="Arial" w:eastAsiaTheme="minorEastAsia" w:hAnsi="Arial" w:cs="Arial"/>
          <w:sz w:val="24"/>
          <w:lang w:val="en-US"/>
        </w:rPr>
        <w:t xml:space="preserve"> </w:t>
      </w:r>
      <w:r w:rsidRPr="00F2483C">
        <w:rPr>
          <w:rFonts w:ascii="Arial" w:eastAsiaTheme="minorEastAsia" w:hAnsi="Arial" w:cs="Arial"/>
          <w:sz w:val="24"/>
          <w:lang w:val="en-US"/>
        </w:rPr>
        <w:t>of each series, the out of sample Mean Squared Error (MSE)</w:t>
      </w:r>
      <w:r w:rsidRPr="00F2483C">
        <w:rPr>
          <w:rFonts w:ascii="Arial" w:hAnsi="Arial" w:cs="Arial"/>
          <w:sz w:val="24"/>
          <w:lang w:val="en-US"/>
        </w:rPr>
        <w:t xml:space="preserve"> is determined on the remaining 25%. The model specification with the lowest MSE is used as the final model </w:t>
      </w:r>
      <w:r w:rsidR="00CE4951">
        <w:rPr>
          <w:rFonts w:ascii="Arial" w:hAnsi="Arial" w:cs="Arial"/>
          <w:sz w:val="24"/>
          <w:lang w:val="en-US"/>
        </w:rPr>
        <w:t xml:space="preserve">for each series </w:t>
      </w:r>
      <w:sdt>
        <w:sdtPr>
          <w:rPr>
            <w:rFonts w:ascii="Arial" w:hAnsi="Arial" w:cs="Arial"/>
            <w:sz w:val="24"/>
            <w:lang w:val="en-US"/>
          </w:rPr>
          <w:id w:val="-1882786194"/>
          <w:citation/>
        </w:sdtPr>
        <w:sdtContent>
          <w:r w:rsidRPr="00F2483C">
            <w:rPr>
              <w:rFonts w:ascii="Arial" w:hAnsi="Arial" w:cs="Arial"/>
              <w:sz w:val="24"/>
              <w:lang w:val="en-US"/>
            </w:rPr>
            <w:fldChar w:fldCharType="begin"/>
          </w:r>
          <w:r w:rsidRPr="00F2483C">
            <w:rPr>
              <w:rFonts w:ascii="Arial" w:hAnsi="Arial" w:cs="Arial"/>
              <w:sz w:val="24"/>
            </w:rPr>
            <w:instrText xml:space="preserve"> CITATION Tsa10 \l 7177 </w:instrText>
          </w:r>
          <w:r w:rsidRPr="00F2483C">
            <w:rPr>
              <w:rFonts w:ascii="Arial" w:hAnsi="Arial" w:cs="Arial"/>
              <w:sz w:val="24"/>
              <w:lang w:val="en-US"/>
            </w:rPr>
            <w:fldChar w:fldCharType="separate"/>
          </w:r>
          <w:r w:rsidRPr="00F2483C">
            <w:rPr>
              <w:rFonts w:ascii="Arial" w:hAnsi="Arial" w:cs="Arial"/>
              <w:noProof/>
              <w:sz w:val="24"/>
            </w:rPr>
            <w:t>(Tsay, 2010)</w:t>
          </w:r>
          <w:r w:rsidRPr="00F2483C">
            <w:rPr>
              <w:rFonts w:ascii="Arial" w:hAnsi="Arial" w:cs="Arial"/>
              <w:sz w:val="24"/>
              <w:lang w:val="en-US"/>
            </w:rPr>
            <w:fldChar w:fldCharType="end"/>
          </w:r>
        </w:sdtContent>
      </w:sdt>
      <w:r w:rsidRPr="00F2483C">
        <w:rPr>
          <w:rFonts w:ascii="Arial" w:hAnsi="Arial" w:cs="Arial"/>
          <w:sz w:val="24"/>
          <w:lang w:val="en-US"/>
        </w:rPr>
        <w:t xml:space="preserve">. After the final model is estimated, the residuals </w:t>
      </w:r>
      <m:oMath>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t</m:t>
            </m:r>
          </m:sub>
        </m:sSub>
      </m:oMath>
      <w:r w:rsidRPr="00F2483C">
        <w:rPr>
          <w:rFonts w:ascii="Arial" w:eastAsiaTheme="minorEastAsia" w:hAnsi="Arial" w:cs="Arial"/>
          <w:sz w:val="24"/>
          <w:lang w:val="en-US"/>
        </w:rPr>
        <w:t xml:space="preserve"> are determined which are 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Pr="00F2483C">
        <w:rPr>
          <w:rFonts w:ascii="Arial" w:eastAsiaTheme="minorEastAsia" w:hAnsi="Arial" w:cs="Arial"/>
          <w:sz w:val="24"/>
          <w:lang w:val="en-US"/>
        </w:rPr>
        <w:t xml:space="preserve"> using the Probability Integral Transform (PIT).</w:t>
      </w:r>
    </w:p>
    <w:p w14:paraId="6C53D1B8"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lastRenderedPageBreak/>
        <w:t>3.2 R-Vine Copula Estimation</w:t>
      </w:r>
    </w:p>
    <w:p w14:paraId="66A182F7"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The advent of the copula methodology is attributed to Sklar’s Theorem </w:t>
      </w:r>
      <w:sdt>
        <w:sdtPr>
          <w:rPr>
            <w:rFonts w:ascii="Arial" w:hAnsi="Arial" w:cs="Arial"/>
            <w:sz w:val="24"/>
            <w:lang w:val="en-US"/>
          </w:rPr>
          <w:id w:val="-435755768"/>
          <w:citation/>
        </w:sdtPr>
        <w:sdtContent>
          <w:r w:rsidRPr="00F2483C">
            <w:rPr>
              <w:rFonts w:ascii="Arial" w:hAnsi="Arial" w:cs="Arial"/>
              <w:sz w:val="24"/>
              <w:lang w:val="en-US"/>
            </w:rPr>
            <w:fldChar w:fldCharType="begin"/>
          </w:r>
          <w:r w:rsidRPr="00F2483C">
            <w:rPr>
              <w:rFonts w:ascii="Arial" w:hAnsi="Arial" w:cs="Arial"/>
              <w:sz w:val="24"/>
            </w:rPr>
            <w:instrText xml:space="preserve"> CITATION Skl59 \l 7177 </w:instrText>
          </w:r>
          <w:r w:rsidRPr="00F2483C">
            <w:rPr>
              <w:rFonts w:ascii="Arial" w:hAnsi="Arial" w:cs="Arial"/>
              <w:sz w:val="24"/>
              <w:lang w:val="en-US"/>
            </w:rPr>
            <w:fldChar w:fldCharType="separate"/>
          </w:r>
          <w:r w:rsidRPr="00F2483C">
            <w:rPr>
              <w:rFonts w:ascii="Arial" w:hAnsi="Arial" w:cs="Arial"/>
              <w:noProof/>
              <w:sz w:val="24"/>
            </w:rPr>
            <w:t>(Sklar, 1959)</w:t>
          </w:r>
          <w:r w:rsidRPr="00F2483C">
            <w:rPr>
              <w:rFonts w:ascii="Arial" w:hAnsi="Arial" w:cs="Arial"/>
              <w:sz w:val="24"/>
              <w:lang w:val="en-US"/>
            </w:rPr>
            <w:fldChar w:fldCharType="end"/>
          </w:r>
        </w:sdtContent>
      </w:sdt>
      <w:r w:rsidRPr="00F2483C">
        <w:rPr>
          <w:rFonts w:ascii="Arial" w:hAnsi="Arial" w:cs="Arial"/>
          <w:sz w:val="24"/>
          <w:lang w:val="en-US"/>
        </w:rPr>
        <w:t xml:space="preserve">, which 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w:t>
      </w:r>
    </w:p>
    <w:p w14:paraId="5D2A3923" w14:textId="657C3578"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37DED3C6" w14:textId="77777777" w:rsidR="00327AAF" w:rsidRPr="00F2483C" w:rsidRDefault="00327AAF" w:rsidP="00327AAF">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A6F2785" w14:textId="691C3168" w:rsidR="00327AAF" w:rsidRPr="00F2483C" w:rsidRDefault="00327AAF" w:rsidP="00327AAF">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e>
        </m:nary>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154C1C4B"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While the copula methodology is adequate for simpler correlation structures, a problem arises when the dependence structures of variables in a multivariate setting are very different. This lead to the extension by Joe (1996) who introduced the pair copula construction (PCC), allowing one to express the joint density function as a product of the marginal distributions and bivariate </w:t>
      </w:r>
      <w:proofErr w:type="spellStart"/>
      <w:r w:rsidRPr="00F2483C">
        <w:rPr>
          <w:rFonts w:ascii="Arial" w:hAnsi="Arial" w:cs="Arial"/>
          <w:sz w:val="24"/>
          <w:lang w:val="en-US"/>
        </w:rPr>
        <w:t>copulae</w:t>
      </w:r>
      <w:proofErr w:type="spellEnd"/>
      <w:r w:rsidRPr="00F2483C">
        <w:rPr>
          <w:rFonts w:ascii="Arial" w:hAnsi="Arial" w:cs="Arial"/>
          <w:sz w:val="24"/>
          <w:lang w:val="en-US"/>
        </w:rPr>
        <w:t>, i.e.</w:t>
      </w:r>
    </w:p>
    <w:p w14:paraId="23E63035" w14:textId="77777777" w:rsidR="00327AAF" w:rsidRPr="00F2483C" w:rsidRDefault="00327AAF" w:rsidP="00327AAF">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0D41541" w14:textId="77777777" w:rsidR="00327AAF" w:rsidRPr="00F2483C" w:rsidRDefault="00327AAF" w:rsidP="00327AAF">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73403AB3" w14:textId="77777777"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i</m:t>
                </m:r>
              </m:sub>
            </m:sSub>
            <m:r>
              <w:rPr>
                <w:rFonts w:ascii="Cambria Math" w:hAnsi="Cambria Math" w:cs="Arial"/>
                <w:sz w:val="24"/>
                <w:lang w:val="en-US"/>
              </w:rPr>
              <m:t>,</m:t>
            </m:r>
            <m:r>
              <m:rPr>
                <m:sty m:val="bi"/>
              </m:rPr>
              <w:rPr>
                <w:rFonts w:ascii="Cambria Math" w:hAnsi="Cambria Math" w:cs="Arial"/>
                <w:sz w:val="24"/>
                <w:lang w:val="en-US"/>
              </w:rPr>
              <m:t>ν</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i"/>
              </m:rPr>
              <w:rPr>
                <w:rFonts w:ascii="Cambria Math" w:eastAsiaTheme="minorEastAsia" w:hAnsi="Cambria Math" w:cs="Arial"/>
                <w:sz w:val="24"/>
                <w:lang w:val="en-US"/>
              </w:rPr>
              <m:t>ν</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0218C7F0"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w:t>
      </w:r>
      <m:oMath>
        <m:r>
          <m:rPr>
            <m:sty m:val="bi"/>
          </m:rPr>
          <w:rPr>
            <w:rFonts w:ascii="Cambria Math" w:hAnsi="Cambria Math" w:cs="Arial"/>
            <w:sz w:val="24"/>
            <w:szCs w:val="24"/>
            <w:lang w:val="en-US"/>
          </w:rPr>
          <m:t>ν</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w:t>
      </w:r>
      <w:proofErr w:type="gramStart"/>
      <w:r w:rsidRPr="00F2483C">
        <w:rPr>
          <w:rFonts w:ascii="Arial" w:eastAsiaTheme="minorEastAsia" w:hAnsi="Arial" w:cs="Arial"/>
          <w:sz w:val="24"/>
          <w:szCs w:val="24"/>
          <w:lang w:val="en-US"/>
        </w:rPr>
        <w:t>is</w:t>
      </w:r>
      <w:proofErr w:type="gramEnd"/>
      <w:r w:rsidRPr="00F2483C">
        <w:rPr>
          <w:rFonts w:ascii="Arial" w:eastAsiaTheme="minorEastAsia" w:hAnsi="Arial" w:cs="Arial"/>
          <w:sz w:val="24"/>
          <w:szCs w:val="24"/>
          <w:lang w:val="en-US"/>
        </w:rPr>
        <w:t xml:space="preserve">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ν</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i"/>
          </m:rPr>
          <w:rPr>
            <w:rFonts w:ascii="Cambria Math" w:hAnsi="Cambria Math" w:cs="Arial"/>
            <w:sz w:val="24"/>
            <w:szCs w:val="24"/>
            <w:lang w:val="en-US"/>
          </w:rPr>
          <m:t>ν</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i"/>
              </m:rPr>
              <w:rPr>
                <w:rFonts w:ascii="Cambria Math" w:hAnsi="Cambria Math" w:cs="Arial"/>
                <w:sz w:val="24"/>
                <w:szCs w:val="24"/>
                <w:lang w:val="en-US"/>
              </w:rPr>
              <m:t>ν</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Pr="00F2483C">
        <w:rPr>
          <w:rFonts w:ascii="Arial" w:eastAsiaTheme="minorEastAsia" w:hAnsi="Arial" w:cs="Arial"/>
          <w:sz w:val="24"/>
          <w:szCs w:val="24"/>
          <w:lang w:val="en-US"/>
        </w:rPr>
        <w:t xml:space="preserve">. </w:t>
      </w:r>
    </w:p>
    <w:p w14:paraId="0BBAECAD"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usual representation of the PCC is that of nested trees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are acyclical graphs with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Pr="00F2483C">
        <w:rPr>
          <w:rFonts w:ascii="Arial" w:eastAsiaTheme="minorEastAsia" w:hAnsi="Arial" w:cs="Arial"/>
          <w:noProof/>
          <w:sz w:val="24"/>
          <w:szCs w:val="24"/>
        </w:rPr>
        <w:t>(Bedford &amp; Cooke, 2001)</w:t>
      </w:r>
      <w:r w:rsidRPr="00F2483C">
        <w:rPr>
          <w:rFonts w:ascii="Arial" w:eastAsiaTheme="minorEastAsia" w:hAnsi="Arial" w:cs="Arial"/>
          <w:sz w:val="24"/>
          <w:szCs w:val="24"/>
          <w:lang w:val="en-US"/>
        </w:rPr>
        <w:t xml:space="preserve">. The R-vine developed by </w:t>
      </w:r>
      <w:r w:rsidRPr="00F2483C">
        <w:rPr>
          <w:rFonts w:ascii="Arial" w:eastAsiaTheme="minorEastAsia" w:hAnsi="Arial" w:cs="Arial"/>
          <w:noProof/>
          <w:sz w:val="24"/>
          <w:szCs w:val="24"/>
        </w:rPr>
        <w:t>Bedford &amp; Cooke (2002)</w:t>
      </w:r>
      <w:r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Pr="00F2483C">
        <w:rPr>
          <w:rFonts w:ascii="Arial" w:eastAsiaTheme="minorEastAsia" w:hAnsi="Arial" w:cs="Arial"/>
          <w:sz w:val="24"/>
          <w:szCs w:val="24"/>
          <w:lang w:val="en-US"/>
        </w:rPr>
        <w:t xml:space="preserve">, where two nodes in tree </w:t>
      </w:r>
      <m:oMath>
        <m:r>
          <w:rPr>
            <w:rFonts w:ascii="Cambria Math" w:eastAsiaTheme="minorEastAsia" w:hAnsi="Cambria Math" w:cs="Arial"/>
            <w:sz w:val="24"/>
            <w:szCs w:val="24"/>
            <w:lang w:val="en-US"/>
          </w:rPr>
          <m:t>i+1</m:t>
        </m:r>
      </m:oMath>
      <w:r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Pr="00F2483C">
        <w:rPr>
          <w:rFonts w:ascii="Arial" w:eastAsiaTheme="minorEastAsia" w:hAnsi="Arial" w:cs="Arial"/>
          <w:sz w:val="24"/>
          <w:szCs w:val="24"/>
          <w:lang w:val="en-US"/>
        </w:rPr>
        <w:t xml:space="preserve">. </w:t>
      </w:r>
    </w:p>
    <w:p w14:paraId="1D165BF4"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paper is a </w:t>
      </w:r>
      <w:r w:rsidRPr="00F2483C">
        <w:rPr>
          <w:rFonts w:ascii="Arial" w:eastAsiaTheme="minorEastAsia" w:hAnsi="Arial" w:cs="Arial"/>
          <w:sz w:val="24"/>
          <w:szCs w:val="24"/>
          <w:lang w:val="en-US"/>
        </w:rPr>
        <w:t>general case of the PCC</w:t>
      </w:r>
      <w:r>
        <w:rPr>
          <w:rFonts w:ascii="Arial" w:eastAsiaTheme="minorEastAsia" w:hAnsi="Arial" w:cs="Arial"/>
          <w:sz w:val="24"/>
          <w:szCs w:val="24"/>
          <w:lang w:val="en-US"/>
        </w:rPr>
        <w:t>. It</w:t>
      </w:r>
      <w:r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set of bivariate copulas </w:t>
      </w:r>
      <w:sdt>
        <w:sdtPr>
          <w:rPr>
            <w:rFonts w:ascii="Arial" w:eastAsiaTheme="minorEastAsia" w:hAnsi="Arial" w:cs="Arial"/>
            <w:sz w:val="24"/>
            <w:szCs w:val="24"/>
            <w:lang w:val="en-US"/>
          </w:rPr>
          <w:id w:val="1895000999"/>
          <w:citation/>
        </w:sdtPr>
        <w:sdtContent>
          <w:r w:rsidRPr="00F2483C">
            <w:rPr>
              <w:rFonts w:ascii="Arial" w:eastAsiaTheme="minorEastAsia" w:hAnsi="Arial" w:cs="Arial"/>
              <w:sz w:val="24"/>
              <w:szCs w:val="24"/>
              <w:lang w:val="en-US"/>
            </w:rPr>
            <w:fldChar w:fldCharType="begin"/>
          </w:r>
          <w:r w:rsidRPr="00F2483C">
            <w:rPr>
              <w:rFonts w:ascii="Arial" w:eastAsiaTheme="minorEastAsia" w:hAnsi="Arial" w:cs="Arial"/>
              <w:sz w:val="24"/>
              <w:szCs w:val="24"/>
            </w:rPr>
            <w:instrText xml:space="preserve"> CITATION JDi13 \l 7177 </w:instrText>
          </w:r>
          <w:r w:rsidRPr="00F2483C">
            <w:rPr>
              <w:rFonts w:ascii="Arial" w:eastAsiaTheme="minorEastAsia" w:hAnsi="Arial" w:cs="Arial"/>
              <w:sz w:val="24"/>
              <w:szCs w:val="24"/>
              <w:lang w:val="en-US"/>
            </w:rPr>
            <w:fldChar w:fldCharType="separate"/>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fldChar w:fldCharType="end"/>
          </w:r>
        </w:sdtContent>
      </w:sdt>
      <w:r w:rsidRPr="00F2483C">
        <w:rPr>
          <w:rFonts w:ascii="Arial" w:eastAsiaTheme="minorEastAsia" w:hAnsi="Arial" w:cs="Arial"/>
          <w:sz w:val="24"/>
          <w:szCs w:val="24"/>
          <w:lang w:val="en-US"/>
        </w:rPr>
        <w:t xml:space="preserve">. </w:t>
      </w:r>
    </w:p>
    <w:p w14:paraId="7DD26576" w14:textId="77777777" w:rsidR="00327AAF"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lastRenderedPageBreak/>
        <w:t xml:space="preserve">To facilitate in the estimation procedure of </w:t>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denoted as a lower triangular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Pr>
          <w:rFonts w:ascii="Arial" w:eastAsiaTheme="minorEastAsia" w:hAnsi="Arial" w:cs="Arial"/>
          <w:sz w:val="24"/>
          <w:szCs w:val="24"/>
          <w:lang w:val="en-US"/>
        </w:rPr>
        <w:t xml:space="preserve">. </w:t>
      </w:r>
    </w:p>
    <w:p w14:paraId="0B8B5BEA"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Pr="00F2483C">
        <w:rPr>
          <w:rFonts w:ascii="Arial" w:eastAsiaTheme="minorEastAsia" w:hAnsi="Arial" w:cs="Arial"/>
          <w:sz w:val="24"/>
          <w:szCs w:val="24"/>
          <w:lang w:val="en-US"/>
        </w:rPr>
        <w:t xml:space="preserve"> is called an R-vine matrix if for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and for all </w:t>
      </w:r>
      <m:oMath>
        <m:r>
          <w:rPr>
            <w:rFonts w:ascii="Cambria Math" w:eastAsiaTheme="minorEastAsia" w:hAnsi="Cambria Math" w:cs="Arial"/>
            <w:sz w:val="24"/>
            <w:szCs w:val="24"/>
            <w:lang w:val="en-US"/>
          </w:rPr>
          <m:t>k=i+1,…,n-1</m:t>
        </m:r>
      </m:oMath>
      <w:r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with</w:t>
      </w:r>
    </w:p>
    <w:p w14:paraId="7C51DB6C" w14:textId="77777777" w:rsidR="00327AAF" w:rsidRDefault="00532EEE" w:rsidP="00327AAF">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327AAF">
        <w:rPr>
          <w:rFonts w:ascii="Arial" w:eastAsiaTheme="minorEastAsia" w:hAnsi="Arial" w:cs="Arial"/>
          <w:sz w:val="24"/>
          <w:szCs w:val="24"/>
          <w:lang w:val="en-US"/>
        </w:rPr>
        <w:t xml:space="preserve"> where</w:t>
      </w:r>
    </w:p>
    <w:p w14:paraId="6B5BC002" w14:textId="77777777" w:rsidR="00327AAF" w:rsidRPr="00F2483C" w:rsidRDefault="00532EEE"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sidRPr="00F2483C">
        <w:rPr>
          <w:rFonts w:ascii="Arial" w:eastAsiaTheme="minorEastAsia" w:hAnsi="Arial" w:cs="Arial"/>
          <w:sz w:val="24"/>
          <w:szCs w:val="24"/>
          <w:lang w:val="en-US"/>
        </w:rPr>
        <w:t>, and</w:t>
      </w:r>
    </w:p>
    <w:p w14:paraId="39E1FDA5" w14:textId="77777777" w:rsidR="00327AAF" w:rsidRPr="00F2483C" w:rsidRDefault="00532EEE"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Pr>
          <w:rFonts w:ascii="Arial" w:eastAsiaTheme="minorEastAsia" w:hAnsi="Arial" w:cs="Arial"/>
          <w:sz w:val="24"/>
          <w:szCs w:val="24"/>
          <w:lang w:val="en-US"/>
        </w:rPr>
        <w:t>.</w:t>
      </w:r>
    </w:p>
    <w:p w14:paraId="2DCC7297"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The density of an R-vine copula is then expressed as</w:t>
      </w:r>
    </w:p>
    <w:p w14:paraId="1754E7EB" w14:textId="79A04370" w:rsidR="00327AAF" w:rsidRPr="00F2483C" w:rsidRDefault="00532EEE"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5F0604">
        <w:rPr>
          <w:rFonts w:ascii="Arial" w:eastAsiaTheme="minorEastAsia" w:hAnsi="Arial" w:cs="Arial"/>
          <w:sz w:val="24"/>
          <w:szCs w:val="24"/>
          <w:lang w:val="en-US"/>
        </w:rPr>
        <w:t>.</w:t>
      </w:r>
      <w:r w:rsidR="00327AAF" w:rsidRPr="00F2483C">
        <w:rPr>
          <w:rFonts w:ascii="Arial" w:eastAsiaTheme="minorEastAsia" w:hAnsi="Arial" w:cs="Arial"/>
          <w:sz w:val="24"/>
          <w:szCs w:val="24"/>
          <w:lang w:val="en-US"/>
        </w:rPr>
        <w:tab/>
        <w:t xml:space="preserve"> (8)</w:t>
      </w:r>
    </w:p>
    <w:p w14:paraId="2F51ECC7"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paper:</w:t>
      </w:r>
    </w:p>
    <w:p w14:paraId="74F54FE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p>
    <w:p w14:paraId="02083BC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 xml:space="preserve">Calculate the sum of the absolute Kendall’s </w:t>
      </w:r>
      <w:proofErr w:type="spellStart"/>
      <w:r w:rsidRPr="00F2483C">
        <w:rPr>
          <w:rFonts w:ascii="Arial" w:hAnsi="Arial" w:cs="Arial"/>
          <w:sz w:val="24"/>
          <w:szCs w:val="24"/>
          <w:lang w:val="en-US"/>
        </w:rPr>
        <w:t>taus</w:t>
      </w:r>
      <w:proofErr w:type="spellEnd"/>
      <w:r w:rsidRPr="00F2483C">
        <w:rPr>
          <w:rFonts w:ascii="Arial" w:hAnsi="Arial" w:cs="Arial"/>
          <w:sz w:val="24"/>
          <w:szCs w:val="24"/>
          <w:lang w:val="en-US"/>
        </w:rPr>
        <w:t xml:space="preserve"> and pick the tree structure where this is maximized.</w:t>
      </w:r>
    </w:p>
    <w:p w14:paraId="10EACEF7"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structure in step 2 using the AIC criterion.</w:t>
      </w:r>
    </w:p>
    <w:p w14:paraId="1B1282A5"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02AC52A"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Reiterate through</w:t>
      </w:r>
      <w:r w:rsidRPr="00F2483C">
        <w:rPr>
          <w:rFonts w:ascii="Arial" w:hAnsi="Arial" w:cs="Arial"/>
          <w:sz w:val="24"/>
          <w:szCs w:val="24"/>
          <w:lang w:val="en-US"/>
        </w:rPr>
        <w:t xml:space="preserve"> steps (</w:t>
      </w:r>
      <w:proofErr w:type="gramStart"/>
      <w:r w:rsidRPr="00F2483C">
        <w:rPr>
          <w:rFonts w:ascii="Arial" w:hAnsi="Arial" w:cs="Arial"/>
          <w:sz w:val="24"/>
          <w:szCs w:val="24"/>
          <w:lang w:val="en-US"/>
        </w:rPr>
        <w:t>1)-(</w:t>
      </w:r>
      <w:proofErr w:type="gramEnd"/>
      <w:r w:rsidRPr="00F2483C">
        <w:rPr>
          <w:rFonts w:ascii="Arial" w:hAnsi="Arial" w:cs="Arial"/>
          <w:sz w:val="24"/>
          <w:szCs w:val="24"/>
          <w:lang w:val="en-US"/>
        </w:rPr>
        <w:t xml:space="preserve">4) </w:t>
      </w:r>
      <w:r>
        <w:rPr>
          <w:rFonts w:ascii="Arial" w:hAnsi="Arial" w:cs="Arial"/>
          <w:sz w:val="24"/>
          <w:szCs w:val="24"/>
          <w:lang w:val="en-US"/>
        </w:rPr>
        <w:t xml:space="preserve">until the full </w:t>
      </w:r>
      <w:r w:rsidRPr="00F2483C">
        <w:rPr>
          <w:rFonts w:ascii="Arial" w:hAnsi="Arial" w:cs="Arial"/>
          <w:sz w:val="24"/>
          <w:szCs w:val="24"/>
          <w:lang w:val="en-US"/>
        </w:rPr>
        <w:t>tree structure</w:t>
      </w:r>
      <w:r>
        <w:rPr>
          <w:rFonts w:ascii="Arial" w:hAnsi="Arial" w:cs="Arial"/>
          <w:sz w:val="24"/>
          <w:szCs w:val="24"/>
          <w:lang w:val="en-US"/>
        </w:rPr>
        <w:t xml:space="preserve"> is estimated</w:t>
      </w:r>
      <w:r w:rsidRPr="00F2483C">
        <w:rPr>
          <w:rFonts w:ascii="Arial" w:hAnsi="Arial" w:cs="Arial"/>
          <w:sz w:val="24"/>
          <w:szCs w:val="24"/>
          <w:lang w:val="en-US"/>
        </w:rPr>
        <w:t>.</w:t>
      </w:r>
    </w:p>
    <w:p w14:paraId="73DAB233" w14:textId="77777777" w:rsidR="00327AAF" w:rsidRPr="00F2483C" w:rsidRDefault="00327AAF" w:rsidP="00327AAF">
      <w:pPr>
        <w:pStyle w:val="Heading2"/>
        <w:spacing w:line="360" w:lineRule="auto"/>
        <w:rPr>
          <w:rFonts w:ascii="Arial" w:hAnsi="Arial" w:cs="Arial"/>
          <w:lang w:val="en-US"/>
        </w:rPr>
      </w:pPr>
      <w:r w:rsidRPr="00F2483C">
        <w:rPr>
          <w:rFonts w:ascii="Arial" w:hAnsi="Arial" w:cs="Arial"/>
          <w:lang w:val="en-US"/>
        </w:rPr>
        <w:t>3.3 Tail Dependence Coefficients (TDC)</w:t>
      </w:r>
    </w:p>
    <w:p w14:paraId="27F3357B"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To provide an estimate of the upper and lower tail dependence between the variables, the tail dependence coefficients in terms of copulas developed by Joe (1997)</w:t>
      </w:r>
      <w:r>
        <w:rPr>
          <w:rFonts w:ascii="Arial" w:hAnsi="Arial" w:cs="Arial"/>
          <w:sz w:val="24"/>
          <w:szCs w:val="24"/>
          <w:lang w:val="en-US"/>
        </w:rPr>
        <w:t xml:space="preserve"> is considered</w:t>
      </w:r>
      <w:r w:rsidRPr="00F2483C">
        <w:rPr>
          <w:rFonts w:ascii="Arial" w:hAnsi="Arial" w:cs="Arial"/>
          <w:sz w:val="24"/>
          <w:szCs w:val="24"/>
          <w:lang w:val="en-US"/>
        </w:rPr>
        <w:t>:</w:t>
      </w:r>
    </w:p>
    <w:p w14:paraId="38577957" w14:textId="77777777" w:rsidR="00327AAF" w:rsidRPr="00F2483C" w:rsidRDefault="00532EEE" w:rsidP="00327AAF">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0ED6C74A" w14:textId="77777777" w:rsidR="00327AAF" w:rsidRPr="00F2483C" w:rsidRDefault="00532EEE" w:rsidP="00327AAF">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327AAF" w:rsidRPr="00F2483C">
        <w:rPr>
          <w:rFonts w:ascii="Arial" w:eastAsiaTheme="minorEastAsia" w:hAnsi="Arial" w:cs="Arial"/>
          <w:sz w:val="24"/>
          <w:szCs w:val="24"/>
          <w:lang w:val="en-US"/>
        </w:rPr>
        <w:t xml:space="preserve"> </w:t>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(9)</w:t>
      </w:r>
    </w:p>
    <w:p w14:paraId="60A81CB3" w14:textId="77777777" w:rsidR="00327AAF" w:rsidRPr="00F2483C" w:rsidRDefault="00532EEE"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2C61EF6C" w14:textId="77777777" w:rsidR="00327AAF" w:rsidRPr="00F2483C" w:rsidRDefault="00532EEE"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(10) </w:t>
      </w:r>
    </w:p>
    <w:p w14:paraId="442AC765"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estimate equations (9) and (10),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 is used. This changes the expressions to</w:t>
      </w:r>
    </w:p>
    <w:p w14:paraId="38303A45" w14:textId="77777777" w:rsidR="00327AAF" w:rsidRPr="00F2483C" w:rsidRDefault="00532EEE"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(11)</w:t>
      </w:r>
    </w:p>
    <w:p w14:paraId="2D3834F8" w14:textId="77777777" w:rsidR="00327AAF" w:rsidRPr="00F2483C" w:rsidRDefault="00532EEE"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(12)</w:t>
      </w:r>
    </w:p>
    <w:p w14:paraId="6054E802"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find the values for the TDC:</w:t>
      </w:r>
    </w:p>
    <w:p w14:paraId="34556D5E"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hAnsi="Arial" w:cs="Arial"/>
          <w:sz w:val="24"/>
          <w:szCs w:val="24"/>
          <w:lang w:val="en-US"/>
        </w:rPr>
        <w:t xml:space="preserve">With the R-vine structure defined, </w:t>
      </w:r>
      <w:r>
        <w:rPr>
          <w:rFonts w:ascii="Arial" w:hAnsi="Arial" w:cs="Arial"/>
          <w:sz w:val="24"/>
          <w:szCs w:val="24"/>
          <w:lang w:val="en-US"/>
        </w:rPr>
        <w:t>simulate</w:t>
      </w:r>
      <w:r w:rsidRPr="00F2483C">
        <w:rPr>
          <w:rFonts w:ascii="Arial" w:hAnsi="Arial" w:cs="Arial"/>
          <w:sz w:val="24"/>
          <w:szCs w:val="24"/>
          <w:lang w:val="en-US"/>
        </w:rPr>
        <w:t xml:space="preserve"> 10 000 </w:t>
      </w:r>
      <w:r>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4C51846B"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6E51CB78"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Pr>
          <w:rFonts w:ascii="Arial" w:eastAsiaTheme="minorEastAsia" w:hAnsi="Arial" w:cs="Arial"/>
          <w:noProof/>
          <w:sz w:val="24"/>
          <w:szCs w:val="24"/>
          <w:lang w:val="en-US"/>
        </w:rPr>
        <w:t>Reiterate through</w:t>
      </w:r>
      <w:r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Pr="00F2483C">
        <w:rPr>
          <w:rFonts w:ascii="Arial" w:eastAsiaTheme="minorEastAsia" w:hAnsi="Arial" w:cs="Arial"/>
          <w:noProof/>
          <w:sz w:val="24"/>
          <w:szCs w:val="24"/>
          <w:lang w:val="en-US"/>
        </w:rPr>
        <w:t xml:space="preserve">(1) and (2) </w:t>
      </w:r>
      <w:r w:rsidRPr="00F2483C">
        <w:rPr>
          <w:rFonts w:ascii="Arial" w:eastAsiaTheme="minorEastAsia" w:hAnsi="Arial" w:cs="Arial"/>
          <w:i/>
          <w:noProof/>
          <w:sz w:val="24"/>
          <w:szCs w:val="24"/>
          <w:lang w:val="en-US"/>
        </w:rPr>
        <w:t xml:space="preserve">S = </w:t>
      </w:r>
      <w:r w:rsidRPr="00F2483C">
        <w:rPr>
          <w:rFonts w:ascii="Arial" w:eastAsiaTheme="minorEastAsia" w:hAnsi="Arial" w:cs="Arial"/>
          <w:noProof/>
          <w:sz w:val="24"/>
          <w:szCs w:val="24"/>
          <w:lang w:val="en-US"/>
        </w:rPr>
        <w:t>500 times.</w:t>
      </w:r>
    </w:p>
    <w:p w14:paraId="52F7A930"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222742D" w14:textId="144805AB" w:rsidR="00327AAF" w:rsidRPr="005F0604"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31076EEA" w14:textId="40B7D067" w:rsidR="00327AAF" w:rsidRDefault="005F0604" w:rsidP="00C7150D">
      <w:pPr>
        <w:spacing w:line="360" w:lineRule="auto"/>
        <w:rPr>
          <w:rFonts w:ascii="Arial" w:hAnsi="Arial" w:cs="Arial"/>
          <w:sz w:val="24"/>
          <w:szCs w:val="24"/>
          <w:lang w:val="en-US"/>
        </w:rPr>
      </w:pPr>
      <w:r>
        <w:rPr>
          <w:rFonts w:ascii="Arial" w:hAnsi="Arial" w:cs="Arial"/>
          <w:sz w:val="24"/>
          <w:szCs w:val="24"/>
          <w:lang w:val="en-US"/>
        </w:rPr>
        <w:t xml:space="preserve">With the upper and lower </w:t>
      </w:r>
      <w:r w:rsidR="00C7150D">
        <w:rPr>
          <w:rFonts w:ascii="Arial" w:hAnsi="Arial" w:cs="Arial"/>
          <w:sz w:val="24"/>
          <w:szCs w:val="24"/>
          <w:lang w:val="en-US"/>
        </w:rPr>
        <w:t xml:space="preserve">TDC’s </w:t>
      </w:r>
      <w:r>
        <w:rPr>
          <w:rFonts w:ascii="Arial" w:hAnsi="Arial" w:cs="Arial"/>
          <w:sz w:val="24"/>
          <w:szCs w:val="24"/>
          <w:lang w:val="en-US"/>
        </w:rPr>
        <w:t xml:space="preserve">defined, one can formulate a more concrete hypothesis. </w:t>
      </w:r>
      <w:r w:rsidR="00C7150D">
        <w:rPr>
          <w:rFonts w:ascii="Arial" w:hAnsi="Arial" w:cs="Arial"/>
          <w:sz w:val="24"/>
          <w:szCs w:val="24"/>
          <w:lang w:val="en-US"/>
        </w:rPr>
        <w:t>Noting that contagion is defined as significant correlation during turmoil market regimes, t</w:t>
      </w:r>
      <w:r>
        <w:rPr>
          <w:rFonts w:ascii="Arial" w:hAnsi="Arial" w:cs="Arial"/>
          <w:sz w:val="24"/>
          <w:szCs w:val="24"/>
          <w:lang w:val="en-US"/>
        </w:rPr>
        <w:t xml:space="preserve">his </w:t>
      </w:r>
      <w:r w:rsidR="002A5105">
        <w:rPr>
          <w:rFonts w:ascii="Arial" w:hAnsi="Arial" w:cs="Arial"/>
          <w:sz w:val="24"/>
          <w:szCs w:val="24"/>
          <w:lang w:val="en-US"/>
        </w:rPr>
        <w:t>study</w:t>
      </w:r>
      <w:r>
        <w:rPr>
          <w:rFonts w:ascii="Arial" w:hAnsi="Arial" w:cs="Arial"/>
          <w:sz w:val="24"/>
          <w:szCs w:val="24"/>
          <w:lang w:val="en-US"/>
        </w:rPr>
        <w:t xml:space="preserve"> argues that if there is </w:t>
      </w:r>
      <w:r w:rsidR="00C7150D">
        <w:rPr>
          <w:rFonts w:ascii="Arial" w:hAnsi="Arial" w:cs="Arial"/>
          <w:sz w:val="24"/>
          <w:szCs w:val="24"/>
          <w:lang w:val="en-US"/>
        </w:rPr>
        <w:t xml:space="preserve">significant </w:t>
      </w:r>
      <w:r>
        <w:rPr>
          <w:rFonts w:ascii="Arial" w:hAnsi="Arial" w:cs="Arial"/>
          <w:sz w:val="24"/>
          <w:szCs w:val="24"/>
          <w:lang w:val="en-US"/>
        </w:rPr>
        <w:t xml:space="preserve">dependence in </w:t>
      </w:r>
      <w:r w:rsidR="00C7150D">
        <w:rPr>
          <w:rFonts w:ascii="Arial" w:hAnsi="Arial" w:cs="Arial"/>
          <w:sz w:val="24"/>
          <w:szCs w:val="24"/>
          <w:lang w:val="en-US"/>
        </w:rPr>
        <w:t xml:space="preserve">only the lower tail of the joint distribution, then contagion is observed. On the other hand, if there is significant </w:t>
      </w:r>
      <w:r w:rsidR="00BC2C5A">
        <w:rPr>
          <w:rFonts w:ascii="Arial" w:hAnsi="Arial" w:cs="Arial"/>
          <w:sz w:val="24"/>
          <w:szCs w:val="24"/>
          <w:lang w:val="en-US"/>
        </w:rPr>
        <w:t xml:space="preserve">dependence </w:t>
      </w:r>
      <w:r w:rsidR="00C7150D">
        <w:rPr>
          <w:rFonts w:ascii="Arial" w:hAnsi="Arial" w:cs="Arial"/>
          <w:sz w:val="24"/>
          <w:szCs w:val="24"/>
          <w:lang w:val="en-US"/>
        </w:rPr>
        <w:t xml:space="preserve">in both the upper tail and lower tail of the joint distribution, then interdependence is observed. </w:t>
      </w:r>
    </w:p>
    <w:p w14:paraId="67AD41F9" w14:textId="77777777" w:rsidR="00C76FD4" w:rsidRDefault="00C76FD4">
      <w:pPr>
        <w:rPr>
          <w:rFonts w:ascii="Arial" w:eastAsiaTheme="majorEastAsia" w:hAnsi="Arial" w:cs="Arial"/>
          <w:color w:val="2E74B5" w:themeColor="accent1" w:themeShade="BF"/>
          <w:sz w:val="32"/>
          <w:szCs w:val="32"/>
          <w:lang w:val="en-US"/>
        </w:rPr>
      </w:pPr>
      <w:r>
        <w:rPr>
          <w:rFonts w:ascii="Arial" w:hAnsi="Arial" w:cs="Arial"/>
        </w:rPr>
        <w:br w:type="page"/>
      </w:r>
    </w:p>
    <w:p w14:paraId="195EE46E" w14:textId="4A77274A" w:rsidR="00C76FD4" w:rsidRPr="0077335A" w:rsidRDefault="008E178B" w:rsidP="00C76FD4">
      <w:pPr>
        <w:pStyle w:val="Heading1"/>
        <w:spacing w:line="360" w:lineRule="auto"/>
        <w:rPr>
          <w:rFonts w:cstheme="majorHAnsi"/>
          <w:b/>
        </w:rPr>
      </w:pPr>
      <w:r w:rsidRPr="0077335A">
        <w:rPr>
          <w:rFonts w:cstheme="majorHAnsi"/>
          <w:b/>
        </w:rPr>
        <w:lastRenderedPageBreak/>
        <w:t xml:space="preserve">Chapter </w:t>
      </w:r>
      <w:r w:rsidR="00C76FD4" w:rsidRPr="0077335A">
        <w:rPr>
          <w:rFonts w:cstheme="majorHAnsi"/>
          <w:b/>
        </w:rPr>
        <w:t>4 Data and Results</w:t>
      </w:r>
    </w:p>
    <w:p w14:paraId="686E18F0" w14:textId="7D36AADB" w:rsidR="00C76FD4" w:rsidRPr="00F2483C" w:rsidRDefault="00C76FD4" w:rsidP="00C76FD4">
      <w:pPr>
        <w:spacing w:line="360" w:lineRule="auto"/>
        <w:rPr>
          <w:rFonts w:ascii="Arial" w:hAnsi="Arial" w:cs="Arial"/>
          <w:sz w:val="24"/>
          <w:lang w:val="en-US"/>
        </w:rPr>
      </w:pPr>
      <w:r>
        <w:rPr>
          <w:rFonts w:ascii="Arial" w:hAnsi="Arial" w:cs="Arial"/>
          <w:sz w:val="24"/>
          <w:lang w:val="en-US"/>
        </w:rPr>
        <w:t>D</w:t>
      </w:r>
      <w:r w:rsidRPr="00F2483C">
        <w:rPr>
          <w:rFonts w:ascii="Arial" w:hAnsi="Arial" w:cs="Arial"/>
          <w:sz w:val="24"/>
          <w:lang w:val="en-US"/>
        </w:rPr>
        <w:t xml:space="preserve">aily data </w:t>
      </w:r>
      <w:r>
        <w:rPr>
          <w:rFonts w:ascii="Arial" w:hAnsi="Arial" w:cs="Arial"/>
          <w:sz w:val="24"/>
          <w:lang w:val="en-US"/>
        </w:rPr>
        <w:t xml:space="preserve">over </w:t>
      </w:r>
      <w:r w:rsidRPr="00F2483C">
        <w:rPr>
          <w:rFonts w:ascii="Arial" w:hAnsi="Arial" w:cs="Arial"/>
          <w:sz w:val="24"/>
          <w:lang w:val="en-US"/>
        </w:rPr>
        <w:t xml:space="preserve">the period </w:t>
      </w:r>
      <w:r>
        <w:rPr>
          <w:rFonts w:ascii="Arial" w:hAnsi="Arial" w:cs="Arial"/>
          <w:sz w:val="24"/>
          <w:lang w:val="en-US"/>
        </w:rPr>
        <w:t xml:space="preserve">of </w:t>
      </w:r>
      <w:r w:rsidRPr="00F2483C">
        <w:rPr>
          <w:rFonts w:ascii="Arial" w:hAnsi="Arial" w:cs="Arial"/>
          <w:sz w:val="24"/>
          <w:lang w:val="en-US"/>
        </w:rPr>
        <w:t>January 2006 to May 2019</w:t>
      </w:r>
      <w:r>
        <w:rPr>
          <w:rFonts w:ascii="Arial" w:hAnsi="Arial" w:cs="Arial"/>
          <w:sz w:val="24"/>
          <w:lang w:val="en-US"/>
        </w:rPr>
        <w:t xml:space="preserve"> is used in this study</w:t>
      </w:r>
      <w:r w:rsidRPr="00F2483C">
        <w:rPr>
          <w:rFonts w:ascii="Arial" w:hAnsi="Arial" w:cs="Arial"/>
          <w:sz w:val="24"/>
          <w:lang w:val="en-US"/>
        </w:rPr>
        <w:t xml:space="preserve">. This period is chosen as to include major events from a BRICS and an international perspective. </w:t>
      </w:r>
      <w:r w:rsidR="00DB677E">
        <w:rPr>
          <w:rFonts w:ascii="Arial" w:hAnsi="Arial" w:cs="Arial"/>
          <w:sz w:val="24"/>
          <w:szCs w:val="24"/>
        </w:rPr>
        <w:t xml:space="preserve">The Financial, Industrial and Resource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926115463"/>
          <w:citation/>
        </w:sdtPr>
        <w:sdtContent>
          <w:r w:rsidR="00DB677E">
            <w:rPr>
              <w:rFonts w:ascii="Arial" w:hAnsi="Arial" w:cs="Arial"/>
              <w:sz w:val="24"/>
              <w:szCs w:val="24"/>
            </w:rPr>
            <w:fldChar w:fldCharType="begin"/>
          </w:r>
          <w:r w:rsidR="00DB677E">
            <w:rPr>
              <w:rFonts w:ascii="Arial" w:hAnsi="Arial" w:cs="Arial"/>
              <w:sz w:val="24"/>
              <w:szCs w:val="24"/>
            </w:rPr>
            <w:instrText xml:space="preserve"> CITATION Inf19 \l 7177 </w:instrText>
          </w:r>
          <w:r w:rsidR="00DB677E">
            <w:rPr>
              <w:rFonts w:ascii="Arial" w:hAnsi="Arial" w:cs="Arial"/>
              <w:sz w:val="24"/>
              <w:szCs w:val="24"/>
            </w:rPr>
            <w:fldChar w:fldCharType="separate"/>
          </w:r>
          <w:r w:rsidR="00DB677E" w:rsidRPr="00B0511A">
            <w:rPr>
              <w:rFonts w:ascii="Arial" w:hAnsi="Arial" w:cs="Arial"/>
              <w:noProof/>
              <w:sz w:val="24"/>
              <w:szCs w:val="24"/>
            </w:rPr>
            <w:t>(Info BRICS, 2019)</w:t>
          </w:r>
          <w:r w:rsidR="00DB677E">
            <w:rPr>
              <w:rFonts w:ascii="Arial" w:hAnsi="Arial" w:cs="Arial"/>
              <w:sz w:val="24"/>
              <w:szCs w:val="24"/>
            </w:rPr>
            <w:fldChar w:fldCharType="end"/>
          </w:r>
        </w:sdtContent>
      </w:sdt>
      <w:r w:rsidR="00DB677E">
        <w:rPr>
          <w:rFonts w:ascii="Arial" w:hAnsi="Arial" w:cs="Arial"/>
          <w:sz w:val="24"/>
          <w:szCs w:val="24"/>
        </w:rPr>
        <w:t xml:space="preserve">. </w:t>
      </w:r>
      <w:r w:rsidRPr="00F2483C">
        <w:rPr>
          <w:rFonts w:ascii="Arial" w:hAnsi="Arial" w:cs="Arial"/>
          <w:sz w:val="24"/>
          <w:lang w:val="en-US"/>
        </w:rPr>
        <w:t>The returns</w:t>
      </w:r>
      <w:r w:rsidR="00DB677E">
        <w:rPr>
          <w:rFonts w:ascii="Arial" w:hAnsi="Arial" w:cs="Arial"/>
          <w:sz w:val="24"/>
          <w:lang w:val="en-US"/>
        </w:rPr>
        <w:t xml:space="preserve"> from the respective sectors</w:t>
      </w:r>
      <w:r w:rsidRPr="00F2483C">
        <w:rPr>
          <w:rFonts w:ascii="Arial" w:hAnsi="Arial" w:cs="Arial"/>
          <w:sz w:val="24"/>
          <w:lang w:val="en-US"/>
        </w:rPr>
        <w:t xml:space="preserve"> are computed using indices registered on the São Paolo Stock Exchange (BOVESPA) for Brazil, Moscow Exchange (MOEX) for Russia, the National Stock Exchange of India (NSE) for India, the Shanghai Stock Exchange (SSE) for China and the Johannesburg Stock Exchange (JSE) for South Africa.</w:t>
      </w:r>
      <w:r w:rsidR="00007052">
        <w:rPr>
          <w:rFonts w:ascii="Arial" w:hAnsi="Arial" w:cs="Arial"/>
          <w:sz w:val="24"/>
          <w:lang w:val="en-US"/>
        </w:rPr>
        <w:t xml:space="preserve"> These returns will then be used to discern between contagion and interdependence between the relevant sector indices.</w:t>
      </w:r>
    </w:p>
    <w:p w14:paraId="62BFAC3E"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6E3FA66E" w14:textId="77777777" w:rsidR="00C76FD4" w:rsidRPr="00F2483C" w:rsidRDefault="00C76FD4" w:rsidP="00C76FD4">
      <w:pPr>
        <w:keepNext/>
        <w:spacing w:line="360" w:lineRule="auto"/>
        <w:jc w:val="center"/>
        <w:rPr>
          <w:rFonts w:ascii="Arial" w:hAnsi="Arial" w:cs="Arial"/>
        </w:rPr>
      </w:pPr>
      <w:r w:rsidRPr="00F2483C">
        <w:rPr>
          <w:rFonts w:ascii="Arial" w:hAnsi="Arial" w:cs="Arial"/>
          <w:noProof/>
          <w:lang w:eastAsia="en-ZA"/>
        </w:rPr>
        <w:drawing>
          <wp:inline distT="0" distB="0" distL="0" distR="0" wp14:anchorId="23DEF61D" wp14:editId="3B9473E7">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1AE0B6FC" w14:textId="77777777" w:rsidR="00C76FD4" w:rsidRPr="00F2483C" w:rsidRDefault="00C76FD4" w:rsidP="00C76FD4">
      <w:pPr>
        <w:spacing w:line="360" w:lineRule="auto"/>
        <w:rPr>
          <w:rFonts w:ascii="Arial" w:hAnsi="Arial" w:cs="Arial"/>
          <w:sz w:val="24"/>
        </w:rPr>
      </w:pPr>
      <w:r>
        <w:rPr>
          <w:rFonts w:ascii="Arial" w:hAnsi="Arial" w:cs="Arial"/>
          <w:sz w:val="24"/>
        </w:rPr>
        <w:t>S</w:t>
      </w:r>
      <w:r w:rsidRPr="00F2483C">
        <w:rPr>
          <w:rFonts w:ascii="Arial" w:hAnsi="Arial" w:cs="Arial"/>
          <w:sz w:val="24"/>
        </w:rPr>
        <w:t>ummary statistics for the daily index log returns of the sectors of the five BRICS countries</w:t>
      </w:r>
      <w:r>
        <w:rPr>
          <w:rFonts w:ascii="Arial" w:hAnsi="Arial" w:cs="Arial"/>
          <w:sz w:val="24"/>
        </w:rPr>
        <w:t xml:space="preserve"> are reported in </w:t>
      </w:r>
      <w:r w:rsidRPr="00F2483C">
        <w:rPr>
          <w:rFonts w:ascii="Arial" w:hAnsi="Arial" w:cs="Arial"/>
          <w:sz w:val="24"/>
        </w:rPr>
        <w:t xml:space="preserve">Table 1. The mean levels are all close to 0 with India’s Industrial sector providing the lowest return level. Brazil provides the best overall return with all their sectors having positive returns. The highest standard deviation is observed in India’s Industrial sector, indicating a high level of risk whereas Brazil’s Resource sector has the lowest standard deviation. Most indices display negative skewness, i.e. a long left tail, indicating that extreme negative returns have been observed. The indices with positive skewness are Brazil’s Financial and Resource </w:t>
      </w:r>
      <w:r w:rsidRPr="00F2483C">
        <w:rPr>
          <w:rFonts w:ascii="Arial" w:hAnsi="Arial" w:cs="Arial"/>
          <w:sz w:val="24"/>
        </w:rPr>
        <w:lastRenderedPageBreak/>
        <w:t xml:space="preserve">sectors and India’s Financial 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of approximately 2. Finally, none of the </w:t>
      </w:r>
      <w:proofErr w:type="spellStart"/>
      <w:r w:rsidRPr="00F2483C">
        <w:rPr>
          <w:rFonts w:ascii="Arial" w:hAnsi="Arial" w:cs="Arial"/>
          <w:sz w:val="24"/>
        </w:rPr>
        <w:t>Jarque-Bera</w:t>
      </w:r>
      <w:proofErr w:type="spellEnd"/>
      <w:r w:rsidRPr="00F2483C">
        <w:rPr>
          <w:rFonts w:ascii="Arial" w:hAnsi="Arial" w:cs="Arial"/>
          <w:sz w:val="24"/>
        </w:rPr>
        <w:t xml:space="preserve"> test statistics were found to be significant, indicating substantial non-normality.</w:t>
      </w:r>
    </w:p>
    <w:p w14:paraId="39D8A01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Table 2: Pearson correlation coefficients. The labels are shortened for brevity</w:t>
      </w:r>
    </w:p>
    <w:p w14:paraId="468345B6" w14:textId="77777777" w:rsidR="00C76FD4" w:rsidRPr="00F2483C" w:rsidRDefault="00C76FD4" w:rsidP="00C76FD4">
      <w:pPr>
        <w:spacing w:line="360" w:lineRule="auto"/>
        <w:jc w:val="center"/>
        <w:rPr>
          <w:rFonts w:ascii="Arial" w:hAnsi="Arial" w:cs="Arial"/>
        </w:rPr>
      </w:pPr>
      <w:r w:rsidRPr="00F2483C">
        <w:rPr>
          <w:rFonts w:ascii="Arial" w:hAnsi="Arial" w:cs="Arial"/>
          <w:noProof/>
          <w:lang w:eastAsia="en-ZA"/>
        </w:rPr>
        <w:drawing>
          <wp:inline distT="0" distB="0" distL="0" distR="0" wp14:anchorId="492F35B1" wp14:editId="332B99CC">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35163467" w14:textId="34839E25" w:rsidR="00C76FD4" w:rsidRPr="00F2483C" w:rsidRDefault="00C76FD4" w:rsidP="00C76FD4">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w:t>
      </w:r>
      <w:r w:rsidR="008E6FE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0.78</m:t>
        </m:r>
      </m:oMath>
      <w:r w:rsidRPr="00F2483C">
        <w:rPr>
          <w:rFonts w:ascii="Arial" w:hAnsi="Arial" w:cs="Arial"/>
          <w:sz w:val="24"/>
          <w:szCs w:val="24"/>
        </w:rPr>
        <w:t xml:space="preserve"> and India’s Industrial and Financial sectors with a correlation coefficient </w:t>
      </w:r>
      <w:r w:rsidR="001A0891">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0.70</m:t>
        </m:r>
      </m:oMath>
      <w:r w:rsidRPr="00F2483C">
        <w:rPr>
          <w:rFonts w:ascii="Arial" w:hAnsi="Arial" w:cs="Arial"/>
          <w:sz w:val="24"/>
          <w:szCs w:val="24"/>
        </w:rPr>
        <w:t xml:space="preserve">. Negative correlations, on the other hand, are rarely seen. The most negative correlation that is observed is again within country between Brazil’s Financial and Resource sector with a correlation coefficient </w:t>
      </w:r>
      <w:r w:rsidR="00B8468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-0.05</m:t>
        </m:r>
      </m:oMath>
      <w:r w:rsidRPr="00F2483C">
        <w:rPr>
          <w:rFonts w:ascii="Arial" w:eastAsiaTheme="minorEastAsia" w:hAnsi="Arial" w:cs="Arial"/>
          <w:sz w:val="24"/>
          <w:szCs w:val="24"/>
        </w:rPr>
        <w:t>. Although these results do not seem promising</w:t>
      </w:r>
      <w:r w:rsidR="00AC0319">
        <w:rPr>
          <w:rFonts w:ascii="Arial" w:eastAsiaTheme="minorEastAsia" w:hAnsi="Arial" w:cs="Arial"/>
          <w:sz w:val="24"/>
          <w:szCs w:val="24"/>
        </w:rPr>
        <w:t xml:space="preserve"> in identifying contagion or interdependence</w:t>
      </w:r>
      <w:r w:rsidRPr="00F2483C">
        <w:rPr>
          <w:rFonts w:ascii="Arial" w:eastAsiaTheme="minorEastAsia" w:hAnsi="Arial" w:cs="Arial"/>
          <w:sz w:val="24"/>
          <w:szCs w:val="24"/>
        </w:rPr>
        <w:t xml:space="preserve">, one needs to note the serious limitations of unconditional Pearson correlation coefficients in this setting </w:t>
      </w:r>
      <w:sdt>
        <w:sdtPr>
          <w:rPr>
            <w:rFonts w:ascii="Arial" w:eastAsiaTheme="minorEastAsia" w:hAnsi="Arial" w:cs="Arial"/>
            <w:sz w:val="24"/>
            <w:szCs w:val="24"/>
          </w:rPr>
          <w:id w:val="-1221045225"/>
          <w:citation/>
        </w:sdtPr>
        <w:sdtContent>
          <w:r w:rsidRPr="00F2483C">
            <w:rPr>
              <w:rFonts w:ascii="Arial" w:eastAsiaTheme="minorEastAsia" w:hAnsi="Arial" w:cs="Arial"/>
              <w:sz w:val="24"/>
              <w:szCs w:val="24"/>
            </w:rPr>
            <w:fldChar w:fldCharType="begin"/>
          </w:r>
          <w:r w:rsidRPr="00F2483C">
            <w:rPr>
              <w:rFonts w:ascii="Arial" w:eastAsiaTheme="minorEastAsia" w:hAnsi="Arial" w:cs="Arial"/>
              <w:sz w:val="24"/>
              <w:szCs w:val="24"/>
            </w:rPr>
            <w:instrText xml:space="preserve"> CITATION Jua19 \l 7177 </w:instrText>
          </w:r>
          <w:r w:rsidRPr="00F2483C">
            <w:rPr>
              <w:rFonts w:ascii="Arial" w:eastAsiaTheme="minorEastAsia" w:hAnsi="Arial" w:cs="Arial"/>
              <w:sz w:val="24"/>
              <w:szCs w:val="24"/>
            </w:rPr>
            <w:fldChar w:fldCharType="separate"/>
          </w:r>
          <w:r w:rsidRPr="00F2483C">
            <w:rPr>
              <w:rFonts w:ascii="Arial" w:eastAsiaTheme="minorEastAsia" w:hAnsi="Arial" w:cs="Arial"/>
              <w:noProof/>
              <w:sz w:val="24"/>
              <w:szCs w:val="24"/>
            </w:rPr>
            <w:t>(Cubillos-Rocha, Gomez-Gonzalez, &amp; Melo-Velandia, 2019)</w:t>
          </w:r>
          <w:r w:rsidRPr="00F2483C">
            <w:rPr>
              <w:rFonts w:ascii="Arial" w:eastAsiaTheme="minorEastAsia" w:hAnsi="Arial" w:cs="Arial"/>
              <w:sz w:val="24"/>
              <w:szCs w:val="24"/>
            </w:rPr>
            <w:fldChar w:fldCharType="end"/>
          </w:r>
        </w:sdtContent>
      </w:sdt>
      <w:r w:rsidRPr="00F2483C">
        <w:rPr>
          <w:rFonts w:ascii="Arial" w:eastAsiaTheme="minorEastAsia" w:hAnsi="Arial" w:cs="Arial"/>
          <w:sz w:val="24"/>
          <w:szCs w:val="24"/>
        </w:rPr>
        <w:t>. These correlations do not provide us with any indication as to whether correlations are different in normal or turbulent times</w:t>
      </w:r>
      <w:r w:rsidR="00873650">
        <w:rPr>
          <w:rFonts w:ascii="Arial" w:eastAsiaTheme="minorEastAsia" w:hAnsi="Arial" w:cs="Arial"/>
          <w:sz w:val="24"/>
          <w:szCs w:val="24"/>
        </w:rPr>
        <w:t>, which would indicate contagion</w:t>
      </w:r>
      <w:r w:rsidRPr="00F2483C">
        <w:rPr>
          <w:rFonts w:ascii="Arial" w:eastAsiaTheme="minorEastAsia" w:hAnsi="Arial" w:cs="Arial"/>
          <w:sz w:val="24"/>
          <w:szCs w:val="24"/>
        </w:rPr>
        <w:t xml:space="preserve">. They are also only an indication of linear association, which can be limiting when higher order relationships are also required. </w:t>
      </w:r>
      <w:r w:rsidRPr="00F2483C">
        <w:rPr>
          <w:rFonts w:ascii="Arial" w:eastAsiaTheme="minorEastAsia" w:hAnsi="Arial" w:cs="Arial"/>
          <w:sz w:val="24"/>
          <w:szCs w:val="24"/>
        </w:rPr>
        <w:lastRenderedPageBreak/>
        <w:t>Finally, because of the high frequency of the data, significance tests become ever more questionable. Copula functions provide us with useful tools to overcome all these limitations of unconditional Pearson’s correlations.</w:t>
      </w:r>
    </w:p>
    <w:p w14:paraId="2FE532BA" w14:textId="77777777" w:rsidR="00C76FD4" w:rsidRPr="00F2483C" w:rsidRDefault="00C76FD4" w:rsidP="00C76FD4">
      <w:pPr>
        <w:pStyle w:val="Caption"/>
        <w:keepNext/>
        <w:spacing w:line="360" w:lineRule="auto"/>
        <w:ind w:left="720" w:firstLine="720"/>
        <w:rPr>
          <w:rFonts w:ascii="Arial" w:hAnsi="Arial" w:cs="Arial"/>
          <w:sz w:val="22"/>
        </w:rPr>
      </w:pPr>
      <w:r w:rsidRPr="00F2483C">
        <w:rPr>
          <w:rFonts w:ascii="Arial" w:hAnsi="Arial" w:cs="Arial"/>
          <w:sz w:val="22"/>
        </w:rPr>
        <w:t xml:space="preserve">      Table 3: Marginal model specification</w:t>
      </w:r>
    </w:p>
    <w:p w14:paraId="06D7E536" w14:textId="77777777" w:rsidR="00C76FD4" w:rsidRPr="00F2483C" w:rsidRDefault="00C76FD4" w:rsidP="00C76FD4">
      <w:pPr>
        <w:spacing w:line="360" w:lineRule="auto"/>
        <w:jc w:val="center"/>
        <w:rPr>
          <w:rFonts w:ascii="Arial" w:eastAsiaTheme="minorEastAsia" w:hAnsi="Arial" w:cs="Arial"/>
          <w:sz w:val="24"/>
          <w:szCs w:val="24"/>
        </w:rPr>
      </w:pPr>
      <w:r w:rsidRPr="00F2483C">
        <w:rPr>
          <w:rFonts w:ascii="Arial" w:hAnsi="Arial" w:cs="Arial"/>
          <w:noProof/>
          <w:lang w:eastAsia="en-ZA"/>
        </w:rPr>
        <w:drawing>
          <wp:inline distT="0" distB="0" distL="0" distR="0" wp14:anchorId="2AB8006D" wp14:editId="6FF51CDA">
            <wp:extent cx="3600450" cy="311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118485"/>
                    </a:xfrm>
                    <a:prstGeom prst="rect">
                      <a:avLst/>
                    </a:prstGeom>
                    <a:noFill/>
                    <a:ln>
                      <a:noFill/>
                    </a:ln>
                  </pic:spPr>
                </pic:pic>
              </a:graphicData>
            </a:graphic>
          </wp:inline>
        </w:drawing>
      </w:r>
    </w:p>
    <w:p w14:paraId="238101B7" w14:textId="7E30C984" w:rsidR="00C76FD4" w:rsidRPr="00697532" w:rsidRDefault="00C76FD4" w:rsidP="00C76FD4">
      <w:pPr>
        <w:spacing w:line="360" w:lineRule="auto"/>
        <w:rPr>
          <w:rFonts w:ascii="Arial" w:hAnsi="Arial" w:cs="Arial"/>
          <w:sz w:val="24"/>
          <w:lang w:val="en-US"/>
        </w:rPr>
      </w:pPr>
      <w:r w:rsidRPr="00F2483C">
        <w:rPr>
          <w:rFonts w:ascii="Arial" w:hAnsi="Arial" w:cs="Arial"/>
          <w:sz w:val="24"/>
          <w:szCs w:val="24"/>
        </w:rPr>
        <w:t>The first step in the copula methodology is to find the appropriate marginal models for the different indices</w:t>
      </w:r>
      <w:r w:rsidR="00FE17B9">
        <w:rPr>
          <w:rFonts w:ascii="Arial" w:hAnsi="Arial" w:cs="Arial"/>
          <w:sz w:val="24"/>
          <w:szCs w:val="24"/>
        </w:rPr>
        <w:t xml:space="preserve"> and use these marginals to filter the data</w:t>
      </w:r>
      <w:r w:rsidRPr="00F2483C">
        <w:rPr>
          <w:rFonts w:ascii="Arial" w:hAnsi="Arial" w:cs="Arial"/>
          <w:sz w:val="24"/>
          <w:szCs w:val="24"/>
        </w:rPr>
        <w:t xml:space="preserve">. </w:t>
      </w:r>
      <w:r w:rsidR="00FE17B9">
        <w:rPr>
          <w:rFonts w:ascii="Arial" w:hAnsi="Arial" w:cs="Arial"/>
          <w:sz w:val="24"/>
          <w:szCs w:val="24"/>
        </w:rPr>
        <w:t>Hence, t</w:t>
      </w:r>
      <w:r w:rsidR="00FE17B9" w:rsidRPr="00F2483C">
        <w:rPr>
          <w:rFonts w:ascii="Arial" w:hAnsi="Arial" w:cs="Arial"/>
          <w:sz w:val="24"/>
          <w:lang w:val="en-US"/>
        </w:rPr>
        <w:t xml:space="preserve">he first two moments of each series are modelled with an </w:t>
      </w:r>
      <m:oMath>
        <m:r>
          <m:rPr>
            <m:sty m:val="p"/>
          </m:rPr>
          <w:rPr>
            <w:rFonts w:ascii="Cambria Math" w:hAnsi="Cambria Math" w:cs="Arial"/>
            <w:sz w:val="24"/>
            <w:lang w:val="en-US"/>
          </w:rPr>
          <m:t xml:space="preserve">ARMA(p,q) - GARCH(r, s) </m:t>
        </m:r>
      </m:oMath>
      <w:r w:rsidR="00FE17B9" w:rsidRPr="00F2483C">
        <w:rPr>
          <w:rFonts w:ascii="Arial" w:hAnsi="Arial" w:cs="Arial"/>
          <w:sz w:val="24"/>
          <w:lang w:val="en-US"/>
        </w:rPr>
        <w:t xml:space="preserve"> model with student t innovation distribution.</w:t>
      </w:r>
      <w:r w:rsidR="00FE17B9">
        <w:rPr>
          <w:rFonts w:ascii="Arial" w:hAnsi="Arial" w:cs="Arial"/>
          <w:sz w:val="24"/>
          <w:lang w:val="en-US"/>
        </w:rPr>
        <w:t xml:space="preserve"> This set of models is chosen since each time series in question can be serially dependent and have non-constant, extreme variances. </w:t>
      </w:r>
      <w:r w:rsidRPr="00F2483C">
        <w:rPr>
          <w:rFonts w:ascii="Arial" w:hAnsi="Arial" w:cs="Arial"/>
          <w:sz w:val="24"/>
          <w:szCs w:val="24"/>
        </w:rPr>
        <w:t xml:space="preserve">Using the procedure described by </w:t>
      </w:r>
      <w:proofErr w:type="spellStart"/>
      <w:r w:rsidRPr="00F2483C">
        <w:rPr>
          <w:rFonts w:ascii="Arial" w:hAnsi="Arial" w:cs="Arial"/>
          <w:sz w:val="24"/>
          <w:szCs w:val="24"/>
        </w:rPr>
        <w:t>Tsay</w:t>
      </w:r>
      <w:proofErr w:type="spellEnd"/>
      <w:r w:rsidRPr="00F2483C">
        <w:rPr>
          <w:rFonts w:ascii="Arial" w:hAnsi="Arial" w:cs="Arial"/>
          <w:sz w:val="24"/>
          <w:szCs w:val="24"/>
        </w:rPr>
        <w:t xml:space="preserve"> (2008), the best </w:t>
      </w:r>
      <w:r w:rsidR="00FE17B9">
        <w:rPr>
          <w:rFonts w:ascii="Arial" w:hAnsi="Arial" w:cs="Arial"/>
          <w:sz w:val="24"/>
          <w:lang w:val="en-US"/>
        </w:rPr>
        <w:t>parameter set</w:t>
      </w:r>
      <w:r w:rsidR="00697532">
        <w:rPr>
          <w:rFonts w:ascii="Arial" w:hAnsi="Arial" w:cs="Arial"/>
          <w:sz w:val="24"/>
          <w:lang w:val="en-US"/>
        </w:rPr>
        <w:br/>
      </w:r>
      <m:oMath>
        <m:r>
          <m:rPr>
            <m:sty m:val="bi"/>
          </m:rPr>
          <w:rPr>
            <w:rFonts w:ascii="Cambria Math" w:hAnsi="Cambria Math" w:cs="Arial"/>
            <w:sz w:val="24"/>
            <w:lang w:val="en-US"/>
          </w:rPr>
          <m:t>θ</m:t>
        </m:r>
        <m:r>
          <w:rPr>
            <w:rFonts w:ascii="Cambria Math" w:hAnsi="Cambria Math" w:cs="Arial"/>
            <w:sz w:val="24"/>
            <w:lang w:val="en-US"/>
          </w:rPr>
          <m:t>=(p, q, r, s,</m:t>
        </m:r>
        <m:r>
          <w:rPr>
            <w:rFonts w:ascii="Cambria Math" w:eastAsiaTheme="minorEastAsia" w:hAnsi="Cambria Math" w:cs="Arial"/>
            <w:sz w:val="24"/>
            <w:lang w:val="en-US"/>
          </w:rPr>
          <m:t>ν</m:t>
        </m:r>
        <m:r>
          <w:rPr>
            <w:rFonts w:ascii="Cambria Math" w:hAnsi="Cambria Math" w:cs="Arial"/>
            <w:sz w:val="24"/>
            <w:lang w:val="en-US"/>
          </w:rPr>
          <m:t>)</m:t>
        </m:r>
      </m:oMath>
      <w:r w:rsidR="00697532">
        <w:rPr>
          <w:rFonts w:ascii="Arial" w:eastAsiaTheme="minorEastAsia" w:hAnsi="Arial" w:cs="Arial"/>
          <w:sz w:val="24"/>
          <w:lang w:val="en-US"/>
        </w:rPr>
        <w:t xml:space="preserve"> </w:t>
      </w:r>
      <w:r w:rsidR="00FE17B9">
        <w:rPr>
          <w:rFonts w:ascii="Arial" w:eastAsiaTheme="minorEastAsia" w:hAnsi="Arial" w:cs="Arial"/>
          <w:sz w:val="24"/>
          <w:lang w:val="en-US"/>
        </w:rPr>
        <w:t xml:space="preserve">for each </w:t>
      </w:r>
      <w:r w:rsidRPr="00F2483C">
        <w:rPr>
          <w:rFonts w:ascii="Arial" w:hAnsi="Arial" w:cs="Arial"/>
          <w:sz w:val="24"/>
          <w:szCs w:val="24"/>
        </w:rPr>
        <w:t xml:space="preserve">marginal model </w:t>
      </w:r>
      <w:r w:rsidR="00FE17B9">
        <w:rPr>
          <w:rFonts w:ascii="Arial" w:hAnsi="Arial" w:cs="Arial"/>
          <w:sz w:val="24"/>
          <w:szCs w:val="24"/>
        </w:rPr>
        <w:t>is</w:t>
      </w:r>
      <w:r w:rsidRPr="00F2483C">
        <w:rPr>
          <w:rFonts w:ascii="Arial" w:hAnsi="Arial" w:cs="Arial"/>
          <w:sz w:val="24"/>
          <w:szCs w:val="24"/>
        </w:rPr>
        <w:t xml:space="preserve"> </w:t>
      </w:r>
      <w:r w:rsidR="00FE17B9">
        <w:rPr>
          <w:rFonts w:ascii="Arial" w:hAnsi="Arial" w:cs="Arial"/>
          <w:sz w:val="24"/>
          <w:szCs w:val="24"/>
        </w:rPr>
        <w:t xml:space="preserve">chosen such </w:t>
      </w:r>
      <w:r w:rsidRPr="00F2483C">
        <w:rPr>
          <w:rFonts w:ascii="Arial" w:hAnsi="Arial" w:cs="Arial"/>
          <w:sz w:val="24"/>
          <w:szCs w:val="24"/>
        </w:rPr>
        <w:t xml:space="preserve">that </w:t>
      </w:r>
      <w:r w:rsidR="00FE17B9">
        <w:rPr>
          <w:rFonts w:ascii="Arial" w:hAnsi="Arial" w:cs="Arial"/>
          <w:sz w:val="24"/>
          <w:szCs w:val="24"/>
        </w:rPr>
        <w:t xml:space="preserve">it </w:t>
      </w:r>
      <w:r w:rsidRPr="00F2483C">
        <w:rPr>
          <w:rFonts w:ascii="Arial" w:hAnsi="Arial" w:cs="Arial"/>
          <w:sz w:val="24"/>
          <w:szCs w:val="24"/>
        </w:rPr>
        <w:t>minimises the out of sample M</w:t>
      </w:r>
      <w:r w:rsidR="00A74E74">
        <w:rPr>
          <w:rFonts w:ascii="Arial" w:hAnsi="Arial" w:cs="Arial"/>
          <w:sz w:val="24"/>
          <w:szCs w:val="24"/>
        </w:rPr>
        <w:t xml:space="preserve">ean </w:t>
      </w:r>
      <w:r w:rsidRPr="00F2483C">
        <w:rPr>
          <w:rFonts w:ascii="Arial" w:hAnsi="Arial" w:cs="Arial"/>
          <w:sz w:val="24"/>
          <w:szCs w:val="24"/>
        </w:rPr>
        <w:t>S</w:t>
      </w:r>
      <w:r w:rsidR="00A74E74">
        <w:rPr>
          <w:rFonts w:ascii="Arial" w:hAnsi="Arial" w:cs="Arial"/>
          <w:sz w:val="24"/>
          <w:szCs w:val="24"/>
        </w:rPr>
        <w:t xml:space="preserve">quared </w:t>
      </w:r>
      <w:r w:rsidRPr="00F2483C">
        <w:rPr>
          <w:rFonts w:ascii="Arial" w:hAnsi="Arial" w:cs="Arial"/>
          <w:sz w:val="24"/>
          <w:szCs w:val="24"/>
        </w:rPr>
        <w:t>E</w:t>
      </w:r>
      <w:r w:rsidR="00A74E74">
        <w:rPr>
          <w:rFonts w:ascii="Arial" w:hAnsi="Arial" w:cs="Arial"/>
          <w:sz w:val="24"/>
          <w:szCs w:val="24"/>
        </w:rPr>
        <w:t>rror (MSE)</w:t>
      </w:r>
      <w:r w:rsidRPr="00F2483C">
        <w:rPr>
          <w:rFonts w:ascii="Arial" w:hAnsi="Arial" w:cs="Arial"/>
          <w:sz w:val="24"/>
          <w:szCs w:val="24"/>
        </w:rPr>
        <w:t xml:space="preserve">. </w:t>
      </w:r>
      <w:r>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Pr>
          <w:rFonts w:ascii="Arial" w:eastAsiaTheme="minorEastAsia" w:hAnsi="Arial" w:cs="Arial"/>
          <w:sz w:val="24"/>
          <w:szCs w:val="24"/>
        </w:rPr>
        <w:t xml:space="preserve"> are reported in </w:t>
      </w:r>
      <w:r w:rsidRPr="00F2483C">
        <w:rPr>
          <w:rFonts w:ascii="Arial" w:hAnsi="Arial" w:cs="Arial"/>
          <w:sz w:val="24"/>
          <w:szCs w:val="24"/>
        </w:rPr>
        <w:t>Table 3</w:t>
      </w:r>
      <w:r w:rsidRPr="00F2483C">
        <w:rPr>
          <w:rFonts w:ascii="Arial" w:eastAsiaTheme="minorEastAsia" w:hAnsi="Arial" w:cs="Arial"/>
          <w:sz w:val="24"/>
          <w:szCs w:val="24"/>
        </w:rPr>
        <w:t xml:space="preserve">. </w:t>
      </w:r>
      <w:proofErr w:type="gramStart"/>
      <w:r w:rsidRPr="00F2483C">
        <w:rPr>
          <w:rFonts w:ascii="Arial" w:eastAsiaTheme="minorEastAsia" w:hAnsi="Arial" w:cs="Arial"/>
          <w:sz w:val="24"/>
          <w:szCs w:val="24"/>
        </w:rPr>
        <w:t xml:space="preserve">All </w:t>
      </w:r>
      <w:r w:rsidR="00E31F02">
        <w:rPr>
          <w:rFonts w:ascii="Arial" w:eastAsiaTheme="minorEastAsia" w:hAnsi="Arial" w:cs="Arial"/>
          <w:sz w:val="24"/>
          <w:szCs w:val="24"/>
        </w:rPr>
        <w:t>of</w:t>
      </w:r>
      <w:proofErr w:type="gramEnd"/>
      <w:r w:rsidR="00E31F02">
        <w:rPr>
          <w:rFonts w:ascii="Arial" w:eastAsiaTheme="minorEastAsia" w:hAnsi="Arial" w:cs="Arial"/>
          <w:sz w:val="24"/>
          <w:szCs w:val="24"/>
        </w:rPr>
        <w:t xml:space="preserve"> </w:t>
      </w:r>
      <w:r w:rsidRPr="00F2483C">
        <w:rPr>
          <w:rFonts w:ascii="Arial" w:eastAsiaTheme="minorEastAsia" w:hAnsi="Arial" w:cs="Arial"/>
          <w:sz w:val="24"/>
          <w:szCs w:val="24"/>
        </w:rPr>
        <w:t xml:space="preserve">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Russia’s Financial sector consists of no mean equation.</w:t>
      </w:r>
    </w:p>
    <w:p w14:paraId="272B8CB1" w14:textId="7952AE96" w:rsidR="00C76FD4" w:rsidRPr="00F2483C" w:rsidRDefault="00C76FD4" w:rsidP="00C76FD4">
      <w:pPr>
        <w:spacing w:line="360" w:lineRule="auto"/>
        <w:rPr>
          <w:rFonts w:ascii="Arial" w:hAnsi="Arial" w:cs="Arial"/>
          <w:sz w:val="24"/>
          <w:szCs w:val="24"/>
          <w:lang w:val="en-US"/>
        </w:rPr>
      </w:pPr>
      <w:r w:rsidRPr="00F2483C">
        <w:rPr>
          <w:rFonts w:ascii="Arial" w:eastAsiaTheme="minorEastAsia" w:hAnsi="Arial" w:cs="Arial"/>
          <w:sz w:val="24"/>
          <w:szCs w:val="24"/>
        </w:rPr>
        <w:t xml:space="preserve">Using the residuals of 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 the regular vine structure is estimated using the procedure described by </w:t>
      </w:r>
      <w:r w:rsidRPr="00F2483C">
        <w:rPr>
          <w:rFonts w:ascii="Arial" w:eastAsiaTheme="minorEastAsia" w:hAnsi="Arial" w:cs="Arial"/>
          <w:noProof/>
          <w:sz w:val="24"/>
          <w:szCs w:val="24"/>
        </w:rPr>
        <w:t xml:space="preserve">Dißmann, Brechmann, &amp; Czado (2013). The </w:t>
      </w:r>
      <w:r>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After this, the </w:t>
      </w:r>
      <w:r w:rsidRPr="00F2483C">
        <w:rPr>
          <w:rFonts w:ascii="Arial" w:hAnsi="Arial" w:cs="Arial"/>
          <w:sz w:val="24"/>
          <w:szCs w:val="24"/>
          <w:lang w:val="en-US"/>
        </w:rPr>
        <w:t>appropriate copula families, given the tree structure, are determined using the AIC criterion. Maximum likelihood</w:t>
      </w:r>
      <w:r>
        <w:rPr>
          <w:rFonts w:ascii="Arial" w:hAnsi="Arial" w:cs="Arial"/>
          <w:sz w:val="24"/>
          <w:szCs w:val="24"/>
          <w:lang w:val="en-US"/>
        </w:rPr>
        <w:t xml:space="preserve"> estimation</w:t>
      </w:r>
      <w:r w:rsidRPr="00F2483C">
        <w:rPr>
          <w:rFonts w:ascii="Arial" w:hAnsi="Arial" w:cs="Arial"/>
          <w:sz w:val="24"/>
          <w:szCs w:val="24"/>
          <w:lang w:val="en-US"/>
        </w:rPr>
        <w:t xml:space="preserve"> is </w:t>
      </w:r>
      <w:r w:rsidRPr="00F2483C">
        <w:rPr>
          <w:rFonts w:ascii="Arial" w:hAnsi="Arial" w:cs="Arial"/>
          <w:sz w:val="24"/>
          <w:szCs w:val="24"/>
          <w:lang w:val="en-US"/>
        </w:rPr>
        <w:lastRenderedPageBreak/>
        <w:t>then used to determine the parameters of each copula. Thirty-nine different copulas were considered for each bivariate copula specification. They are the Gaussian copula, the Student t copula (t-copula), the Frank copula,</w:t>
      </w:r>
      <w:r>
        <w:rPr>
          <w:rFonts w:ascii="Arial" w:hAnsi="Arial" w:cs="Arial"/>
          <w:sz w:val="24"/>
          <w:szCs w:val="24"/>
          <w:lang w:val="en-US"/>
        </w:rPr>
        <w:t xml:space="preserve"> </w:t>
      </w:r>
      <w:r w:rsidRPr="00F2483C">
        <w:rPr>
          <w:rFonts w:ascii="Arial" w:hAnsi="Arial" w:cs="Arial"/>
          <w:sz w:val="24"/>
          <w:szCs w:val="24"/>
          <w:lang w:val="en-US"/>
        </w:rPr>
        <w:t>the Clayton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Gumbel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Joe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BB6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BB7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BB8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and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2 copulas </w:t>
      </w:r>
      <w:r>
        <w:rPr>
          <w:rFonts w:ascii="Arial" w:hAnsi="Arial" w:cs="Arial"/>
          <w:sz w:val="24"/>
          <w:szCs w:val="24"/>
          <w:lang w:val="en-US"/>
        </w:rPr>
        <w:t xml:space="preserve">(standard,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estimated bivariate copulas with their corresponding parameters are displayed in Appendix A for completeness.</w:t>
      </w:r>
    </w:p>
    <w:p w14:paraId="4CC13984" w14:textId="169A9AAE" w:rsidR="00C76FD4" w:rsidRPr="00F2483C" w:rsidRDefault="00C76FD4" w:rsidP="00C76FD4">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Pr>
          <w:rFonts w:ascii="Arial" w:hAnsi="Arial" w:cs="Arial"/>
          <w:sz w:val="24"/>
          <w:szCs w:val="24"/>
          <w:lang w:val="en-US"/>
        </w:rPr>
        <w:t>’s</w:t>
      </w:r>
      <w:r w:rsidRPr="00F2483C">
        <w:rPr>
          <w:rFonts w:ascii="Arial" w:hAnsi="Arial" w:cs="Arial"/>
          <w:sz w:val="24"/>
          <w:szCs w:val="24"/>
          <w:lang w:val="en-US"/>
        </w:rPr>
        <w:t xml:space="preserve">) are estimated using the simulation procedure provided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The lower and upper thresholds </w:t>
      </w:r>
      <w:r w:rsidR="00873650">
        <w:rPr>
          <w:rFonts w:ascii="Arial" w:eastAsiaTheme="minorEastAsia" w:hAnsi="Arial" w:cs="Arial"/>
          <w:sz w:val="24"/>
          <w:szCs w:val="24"/>
          <w:lang w:val="en-US"/>
        </w:rPr>
        <w:t xml:space="preserve">for the TDC’s </w:t>
      </w:r>
      <w:r w:rsidRPr="00F2483C">
        <w:rPr>
          <w:rFonts w:ascii="Arial" w:eastAsiaTheme="minorEastAsia" w:hAnsi="Arial" w:cs="Arial"/>
          <w:sz w:val="24"/>
          <w:szCs w:val="24"/>
          <w:lang w:val="en-US"/>
        </w:rPr>
        <w:t xml:space="preserve">that are considered 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873650">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respectfully.</w:t>
      </w:r>
    </w:p>
    <w:p w14:paraId="1B2C9136" w14:textId="71B6181C" w:rsidR="00C76FD4" w:rsidRPr="00F2483C" w:rsidRDefault="00C76FD4" w:rsidP="00C76FD4">
      <w:pPr>
        <w:spacing w:line="360" w:lineRule="auto"/>
        <w:rPr>
          <w:rFonts w:ascii="Arial" w:hAnsi="Arial" w:cs="Arial"/>
          <w:sz w:val="24"/>
          <w:szCs w:val="24"/>
          <w:lang w:val="en-US"/>
        </w:rPr>
        <w:sectPr w:rsidR="00C76FD4" w:rsidRPr="00F2483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Pr="00F2483C">
        <w:rPr>
          <w:rFonts w:ascii="Arial" w:hAnsi="Arial" w:cs="Arial"/>
          <w:sz w:val="24"/>
          <w:szCs w:val="24"/>
          <w:lang w:val="en-US"/>
        </w:rPr>
        <w:t>. The top right panel of Table 4 shows the upper TDC</w:t>
      </w:r>
      <w:r>
        <w:rPr>
          <w:rFonts w:ascii="Arial" w:hAnsi="Arial" w:cs="Arial"/>
          <w:sz w:val="24"/>
          <w:szCs w:val="24"/>
          <w:lang w:val="en-US"/>
        </w:rPr>
        <w:t>’s</w:t>
      </w:r>
      <w:r w:rsidRPr="00F2483C">
        <w:rPr>
          <w:rFonts w:ascii="Arial" w:hAnsi="Arial" w:cs="Arial"/>
          <w:sz w:val="24"/>
          <w:szCs w:val="24"/>
          <w:lang w:val="en-US"/>
        </w:rPr>
        <w:t>, whereas the lower TDC</w:t>
      </w:r>
      <w:r>
        <w:rPr>
          <w:rFonts w:ascii="Arial" w:hAnsi="Arial" w:cs="Arial"/>
          <w:sz w:val="24"/>
          <w:szCs w:val="24"/>
          <w:lang w:val="en-US"/>
        </w:rPr>
        <w:t>’s</w:t>
      </w:r>
      <w:r w:rsidR="00D76D54">
        <w:rPr>
          <w:rFonts w:ascii="Arial" w:hAnsi="Arial" w:cs="Arial"/>
          <w:sz w:val="24"/>
          <w:szCs w:val="24"/>
          <w:lang w:val="en-US"/>
        </w:rPr>
        <w:t xml:space="preserve"> </w:t>
      </w:r>
      <w:r w:rsidRPr="00F2483C">
        <w:rPr>
          <w:rFonts w:ascii="Arial" w:hAnsi="Arial" w:cs="Arial"/>
          <w:sz w:val="24"/>
          <w:szCs w:val="24"/>
          <w:lang w:val="en-US"/>
        </w:rPr>
        <w:t>are consid</w:t>
      </w:r>
      <w:r w:rsidR="00FF1106">
        <w:rPr>
          <w:rFonts w:ascii="Arial" w:hAnsi="Arial" w:cs="Arial"/>
          <w:sz w:val="24"/>
          <w:szCs w:val="24"/>
          <w:lang w:val="en-US"/>
        </w:rPr>
        <w:t xml:space="preserve">ered in the bottom left panel. To discern between contagion and interdependence, one considers the upper and lower TDC simultaneously. If one observes that both the upper and lower TDC is significantly different from zero, then interdependence is observed since there are strong relationships between the indices regardless of whether </w:t>
      </w:r>
      <w:r w:rsidR="005F3D88">
        <w:rPr>
          <w:rFonts w:ascii="Arial" w:hAnsi="Arial" w:cs="Arial"/>
          <w:sz w:val="24"/>
          <w:szCs w:val="24"/>
          <w:lang w:val="en-US"/>
        </w:rPr>
        <w:t>extreme negative or extreme positive returns are observed</w:t>
      </w:r>
      <w:r w:rsidR="00FF1106">
        <w:rPr>
          <w:rFonts w:ascii="Arial" w:hAnsi="Arial" w:cs="Arial"/>
          <w:sz w:val="24"/>
          <w:szCs w:val="24"/>
          <w:lang w:val="en-US"/>
        </w:rPr>
        <w:t xml:space="preserve">. On the other hand, if only the lower TDC is significant, one can state that contagion is observed since significant correlation is only observed during </w:t>
      </w:r>
      <w:r w:rsidR="00417FBD">
        <w:rPr>
          <w:rFonts w:ascii="Arial" w:hAnsi="Arial" w:cs="Arial"/>
          <w:sz w:val="24"/>
          <w:szCs w:val="24"/>
          <w:lang w:val="en-US"/>
        </w:rPr>
        <w:t>extreme negative returns</w:t>
      </w:r>
      <w:r w:rsidR="00FF1106">
        <w:rPr>
          <w:rFonts w:ascii="Arial" w:hAnsi="Arial" w:cs="Arial"/>
          <w:sz w:val="24"/>
          <w:szCs w:val="24"/>
          <w:lang w:val="en-US"/>
        </w:rPr>
        <w:t>.</w:t>
      </w:r>
      <w:r w:rsidR="00172B12">
        <w:rPr>
          <w:rFonts w:ascii="Arial" w:hAnsi="Arial" w:cs="Arial"/>
          <w:sz w:val="24"/>
          <w:szCs w:val="24"/>
          <w:lang w:val="en-US"/>
        </w:rPr>
        <w:t xml:space="preserve"> </w:t>
      </w:r>
    </w:p>
    <w:p w14:paraId="17CB722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lastRenderedPageBreak/>
        <w:t>Table 4</w:t>
      </w:r>
      <w:r w:rsidRPr="00F2483C">
        <w:rPr>
          <w:rStyle w:val="FootnoteReference"/>
          <w:rFonts w:ascii="Arial" w:hAnsi="Arial" w:cs="Arial"/>
          <w:sz w:val="22"/>
        </w:rPr>
        <w:footnoteReference w:id="1"/>
      </w:r>
      <w:r w:rsidRPr="00F2483C">
        <w:rPr>
          <w:rFonts w:ascii="Arial" w:hAnsi="Arial" w:cs="Arial"/>
          <w:sz w:val="22"/>
        </w:rPr>
        <w:t xml:space="preserve">: Tail dependence coefficients for the 15 indices. </w:t>
      </w:r>
    </w:p>
    <w:p w14:paraId="72E7EC9B"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noProof/>
          <w:lang w:eastAsia="en-ZA"/>
        </w:rPr>
        <w:drawing>
          <wp:inline distT="0" distB="0" distL="0" distR="0" wp14:anchorId="2960CD6F" wp14:editId="01B5E715">
            <wp:extent cx="8863330" cy="2824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2824369"/>
                    </a:xfrm>
                    <a:prstGeom prst="rect">
                      <a:avLst/>
                    </a:prstGeom>
                    <a:noFill/>
                    <a:ln>
                      <a:noFill/>
                    </a:ln>
                  </pic:spPr>
                </pic:pic>
              </a:graphicData>
            </a:graphic>
          </wp:inline>
        </w:drawing>
      </w:r>
    </w:p>
    <w:p w14:paraId="466CE25B" w14:textId="77777777" w:rsidR="00C76FD4" w:rsidRPr="00F2483C" w:rsidRDefault="00C76FD4" w:rsidP="00C76FD4">
      <w:pPr>
        <w:spacing w:line="360" w:lineRule="auto"/>
        <w:rPr>
          <w:rFonts w:ascii="Arial" w:hAnsi="Arial" w:cs="Arial"/>
          <w:sz w:val="24"/>
          <w:szCs w:val="24"/>
          <w:lang w:val="en-US"/>
        </w:rPr>
      </w:pPr>
    </w:p>
    <w:p w14:paraId="5A349433" w14:textId="77777777" w:rsidR="00C76FD4" w:rsidRPr="00F2483C" w:rsidRDefault="00C76FD4" w:rsidP="00C76FD4">
      <w:pPr>
        <w:spacing w:line="360" w:lineRule="auto"/>
        <w:rPr>
          <w:rFonts w:ascii="Arial" w:hAnsi="Arial" w:cs="Arial"/>
          <w:sz w:val="24"/>
          <w:szCs w:val="24"/>
          <w:lang w:val="en-US"/>
        </w:rPr>
      </w:pPr>
    </w:p>
    <w:p w14:paraId="2E264BE2" w14:textId="77777777" w:rsidR="00C76FD4" w:rsidRPr="00F2483C" w:rsidRDefault="00C76FD4" w:rsidP="00C76FD4">
      <w:pPr>
        <w:spacing w:line="360" w:lineRule="auto"/>
        <w:rPr>
          <w:rFonts w:ascii="Arial" w:hAnsi="Arial" w:cs="Arial"/>
          <w:sz w:val="24"/>
          <w:szCs w:val="24"/>
          <w:lang w:val="en-US"/>
        </w:rPr>
      </w:pPr>
    </w:p>
    <w:p w14:paraId="0E39F166" w14:textId="77777777" w:rsidR="00C76FD4" w:rsidRPr="00F2483C" w:rsidRDefault="00C76FD4" w:rsidP="00C76FD4">
      <w:pPr>
        <w:spacing w:line="360" w:lineRule="auto"/>
        <w:rPr>
          <w:rFonts w:ascii="Arial" w:hAnsi="Arial" w:cs="Arial"/>
          <w:sz w:val="24"/>
          <w:szCs w:val="24"/>
          <w:lang w:val="en-US"/>
        </w:rPr>
      </w:pPr>
    </w:p>
    <w:p w14:paraId="5FEE96CB" w14:textId="77777777" w:rsidR="00C76FD4" w:rsidRPr="00F2483C" w:rsidRDefault="00C76FD4" w:rsidP="00C76FD4">
      <w:pPr>
        <w:spacing w:line="360" w:lineRule="auto"/>
        <w:rPr>
          <w:rFonts w:ascii="Arial" w:hAnsi="Arial" w:cs="Arial"/>
          <w:sz w:val="24"/>
          <w:szCs w:val="24"/>
          <w:lang w:val="en-US"/>
        </w:rPr>
      </w:pPr>
    </w:p>
    <w:p w14:paraId="5F1BC130" w14:textId="77777777" w:rsidR="00C76FD4" w:rsidRPr="00F2483C" w:rsidRDefault="00C76FD4" w:rsidP="00C76FD4">
      <w:pPr>
        <w:spacing w:line="360" w:lineRule="auto"/>
        <w:rPr>
          <w:rFonts w:ascii="Arial" w:hAnsi="Arial" w:cs="Arial"/>
          <w:sz w:val="24"/>
          <w:szCs w:val="24"/>
          <w:lang w:val="en-US"/>
        </w:rPr>
        <w:sectPr w:rsidR="00C76FD4" w:rsidRPr="00F2483C" w:rsidSect="00C76FD4">
          <w:pgSz w:w="16838" w:h="11906" w:orient="landscape"/>
          <w:pgMar w:top="1440" w:right="1440" w:bottom="1440" w:left="1440" w:header="708" w:footer="708" w:gutter="0"/>
          <w:cols w:space="708"/>
          <w:docGrid w:linePitch="360"/>
        </w:sectPr>
      </w:pPr>
    </w:p>
    <w:p w14:paraId="71C7CEA6" w14:textId="77777777" w:rsidR="00172B12" w:rsidRPr="00F2483C" w:rsidRDefault="00172B12" w:rsidP="00172B12">
      <w:pPr>
        <w:spacing w:line="360" w:lineRule="auto"/>
        <w:rPr>
          <w:rFonts w:ascii="Arial" w:hAnsi="Arial" w:cs="Arial"/>
          <w:sz w:val="24"/>
          <w:szCs w:val="24"/>
          <w:lang w:val="en-US"/>
        </w:rPr>
      </w:pPr>
      <w:r>
        <w:rPr>
          <w:rFonts w:ascii="Arial" w:hAnsi="Arial" w:cs="Arial"/>
          <w:sz w:val="24"/>
          <w:szCs w:val="24"/>
          <w:lang w:val="en-US"/>
        </w:rPr>
        <w:lastRenderedPageBreak/>
        <w:t>Table 4 shows that most lower TDC’s are significant, whereas most upper TDC’s are insignificant. This implies that we expect to find more cases of contagion than interdependence. Interdependence</w:t>
      </w:r>
      <w:r w:rsidRPr="00F2483C">
        <w:rPr>
          <w:rFonts w:ascii="Arial" w:hAnsi="Arial" w:cs="Arial"/>
          <w:sz w:val="24"/>
          <w:szCs w:val="24"/>
          <w:lang w:val="en-US"/>
        </w:rPr>
        <w:t xml:space="preserve"> </w:t>
      </w:r>
      <w:r>
        <w:rPr>
          <w:rFonts w:ascii="Arial" w:hAnsi="Arial" w:cs="Arial"/>
          <w:sz w:val="24"/>
          <w:szCs w:val="24"/>
          <w:lang w:val="en-US"/>
        </w:rPr>
        <w:t xml:space="preserve">is however observed between </w:t>
      </w:r>
      <w:r w:rsidRPr="00F2483C">
        <w:rPr>
          <w:rFonts w:ascii="Arial" w:hAnsi="Arial" w:cs="Arial"/>
          <w:sz w:val="24"/>
          <w:szCs w:val="24"/>
          <w:lang w:val="en-US"/>
        </w:rPr>
        <w:t>Brazil’s Financial and Industrial sectors, Russia’s Financial and Resource sectors, India’s Financial and Industrial sectors and South Africa’s Financial and Industrial sectors.</w:t>
      </w:r>
      <w:r>
        <w:rPr>
          <w:rFonts w:ascii="Arial" w:hAnsi="Arial" w:cs="Arial"/>
          <w:sz w:val="24"/>
          <w:szCs w:val="24"/>
          <w:lang w:val="en-US"/>
        </w:rPr>
        <w:t xml:space="preserve"> One should note that interdependence is only observed between sectors within the same country. This means that although the BRICS nations are becoming more and more integrated where Financial, Industrial and Manufacturing sectors are concerned </w:t>
      </w:r>
      <w:sdt>
        <w:sdtPr>
          <w:rPr>
            <w:rFonts w:ascii="Arial" w:hAnsi="Arial" w:cs="Arial"/>
            <w:sz w:val="24"/>
            <w:szCs w:val="24"/>
          </w:rPr>
          <w:id w:val="-1903362277"/>
          <w:citation/>
        </w:sdtPr>
        <w:sdtContent>
          <w:r>
            <w:rPr>
              <w:rFonts w:ascii="Arial" w:hAnsi="Arial" w:cs="Arial"/>
              <w:sz w:val="24"/>
              <w:szCs w:val="24"/>
            </w:rPr>
            <w:fldChar w:fldCharType="begin"/>
          </w:r>
          <w:r>
            <w:rPr>
              <w:rFonts w:ascii="Arial" w:hAnsi="Arial" w:cs="Arial"/>
              <w:sz w:val="24"/>
              <w:szCs w:val="24"/>
            </w:rPr>
            <w:instrText xml:space="preserve"> CITATION Inf19 \l 7177 </w:instrText>
          </w:r>
          <w:r>
            <w:rPr>
              <w:rFonts w:ascii="Arial" w:hAnsi="Arial" w:cs="Arial"/>
              <w:sz w:val="24"/>
              <w:szCs w:val="24"/>
            </w:rPr>
            <w:fldChar w:fldCharType="separate"/>
          </w:r>
          <w:r w:rsidRPr="00B0511A">
            <w:rPr>
              <w:rFonts w:ascii="Arial" w:hAnsi="Arial" w:cs="Arial"/>
              <w:noProof/>
              <w:sz w:val="24"/>
              <w:szCs w:val="24"/>
            </w:rPr>
            <w:t>(Info BRICS, 2019)</w:t>
          </w:r>
          <w:r>
            <w:rPr>
              <w:rFonts w:ascii="Arial" w:hAnsi="Arial" w:cs="Arial"/>
              <w:sz w:val="24"/>
              <w:szCs w:val="24"/>
            </w:rPr>
            <w:fldChar w:fldCharType="end"/>
          </w:r>
        </w:sdtContent>
      </w:sdt>
      <w:r>
        <w:rPr>
          <w:rFonts w:ascii="Arial" w:hAnsi="Arial" w:cs="Arial"/>
          <w:sz w:val="24"/>
          <w:szCs w:val="24"/>
          <w:lang w:val="en-US"/>
        </w:rPr>
        <w:t>, one observes that sectors of the nations can still be heterogeneous assets, so long as the sectors are from different countries. Interdependence is also only prominent</w:t>
      </w:r>
      <w:r w:rsidRPr="00F2483C">
        <w:rPr>
          <w:rFonts w:ascii="Arial" w:hAnsi="Arial" w:cs="Arial"/>
          <w:sz w:val="24"/>
          <w:szCs w:val="24"/>
          <w:lang w:val="en-US"/>
        </w:rPr>
        <w:t xml:space="preserve"> </w:t>
      </w:r>
      <w:r>
        <w:rPr>
          <w:rFonts w:ascii="Arial" w:hAnsi="Arial" w:cs="Arial"/>
          <w:sz w:val="24"/>
          <w:szCs w:val="24"/>
          <w:lang w:val="en-US"/>
        </w:rPr>
        <w:t>where the Financial sector of a country is involved</w:t>
      </w:r>
      <w:r w:rsidRPr="00F2483C">
        <w:rPr>
          <w:rFonts w:ascii="Arial" w:hAnsi="Arial" w:cs="Arial"/>
          <w:sz w:val="24"/>
          <w:szCs w:val="24"/>
          <w:lang w:val="en-US"/>
        </w:rPr>
        <w:t xml:space="preserve">. These results indicate that the Financial sectors of </w:t>
      </w:r>
      <w:r>
        <w:rPr>
          <w:rFonts w:ascii="Arial" w:hAnsi="Arial" w:cs="Arial"/>
          <w:sz w:val="24"/>
          <w:szCs w:val="24"/>
          <w:lang w:val="en-US"/>
        </w:rPr>
        <w:t xml:space="preserve">the BRICS </w:t>
      </w:r>
      <w:r w:rsidRPr="00F2483C">
        <w:rPr>
          <w:rFonts w:ascii="Arial" w:hAnsi="Arial" w:cs="Arial"/>
          <w:sz w:val="24"/>
          <w:szCs w:val="24"/>
          <w:lang w:val="en-US"/>
        </w:rPr>
        <w:t xml:space="preserve">countries play a critical role in the growth of other sectors within country. Similar findings are noted by </w:t>
      </w:r>
      <w:proofErr w:type="spellStart"/>
      <w:r w:rsidRPr="00F2483C">
        <w:rPr>
          <w:rFonts w:ascii="Arial" w:hAnsi="Arial" w:cs="Arial"/>
          <w:sz w:val="24"/>
          <w:szCs w:val="24"/>
          <w:lang w:val="en-US"/>
        </w:rPr>
        <w:t>Ariq</w:t>
      </w:r>
      <w:proofErr w:type="spellEnd"/>
      <w:r w:rsidRPr="00F2483C">
        <w:rPr>
          <w:rFonts w:ascii="Arial" w:hAnsi="Arial" w:cs="Arial"/>
          <w:sz w:val="24"/>
          <w:szCs w:val="24"/>
          <w:lang w:val="en-US"/>
        </w:rPr>
        <w:t xml:space="preserve"> (2016) and </w:t>
      </w:r>
      <w:proofErr w:type="spellStart"/>
      <w:r w:rsidRPr="00F2483C">
        <w:rPr>
          <w:rFonts w:ascii="Arial" w:hAnsi="Arial" w:cs="Arial"/>
          <w:sz w:val="24"/>
          <w:szCs w:val="24"/>
          <w:lang w:val="en-US"/>
        </w:rPr>
        <w:t>Mugova</w:t>
      </w:r>
      <w:proofErr w:type="spellEnd"/>
      <w:r w:rsidRPr="00F2483C">
        <w:rPr>
          <w:rFonts w:ascii="Arial" w:hAnsi="Arial" w:cs="Arial"/>
          <w:sz w:val="24"/>
          <w:szCs w:val="24"/>
          <w:lang w:val="en-US"/>
        </w:rPr>
        <w:t xml:space="preserve"> (2017) who found that growth in the financial sector leads to growth in other sectors within the BRICS context.</w:t>
      </w:r>
      <w:r>
        <w:rPr>
          <w:rFonts w:ascii="Arial" w:hAnsi="Arial" w:cs="Arial"/>
          <w:sz w:val="24"/>
          <w:szCs w:val="24"/>
          <w:lang w:val="en-US"/>
        </w:rPr>
        <w:t xml:space="preserve"> From an investor’s </w:t>
      </w:r>
      <w:proofErr w:type="gramStart"/>
      <w:r>
        <w:rPr>
          <w:rFonts w:ascii="Arial" w:hAnsi="Arial" w:cs="Arial"/>
          <w:sz w:val="24"/>
          <w:szCs w:val="24"/>
          <w:lang w:val="en-US"/>
        </w:rPr>
        <w:t>perspective</w:t>
      </w:r>
      <w:proofErr w:type="gramEnd"/>
      <w:r>
        <w:rPr>
          <w:rFonts w:ascii="Arial" w:hAnsi="Arial" w:cs="Arial"/>
          <w:sz w:val="24"/>
          <w:szCs w:val="24"/>
          <w:lang w:val="en-US"/>
        </w:rPr>
        <w:t xml:space="preserve"> it follows that the effects of diversification may be limited if one invests in the Financial Sector and another sector of the same country where interdependence is observed. </w:t>
      </w:r>
    </w:p>
    <w:p w14:paraId="46CF274D" w14:textId="3E483FAF" w:rsidR="00C76FD4"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In contrast with the upper TDC’s, a considerable a</w:t>
      </w:r>
      <w:bookmarkStart w:id="0" w:name="_GoBack"/>
      <w:bookmarkEnd w:id="0"/>
      <w:r w:rsidRPr="00F2483C">
        <w:rPr>
          <w:rFonts w:ascii="Arial" w:hAnsi="Arial" w:cs="Arial"/>
          <w:sz w:val="24"/>
          <w:szCs w:val="24"/>
          <w:lang w:val="en-US"/>
        </w:rPr>
        <w:t>mount of the lower TDC’s are significant at a 1% or 5% level</w:t>
      </w:r>
      <w:r w:rsidR="00AA1F32">
        <w:rPr>
          <w:rFonts w:ascii="Arial" w:hAnsi="Arial" w:cs="Arial"/>
          <w:sz w:val="24"/>
          <w:szCs w:val="24"/>
          <w:lang w:val="en-US"/>
        </w:rPr>
        <w:t>. Even more, in most cases one is observing contagion, i.e. only the lower TDC is significant.</w:t>
      </w:r>
    </w:p>
    <w:p w14:paraId="74BFE314" w14:textId="71D6736D" w:rsidR="007D1232" w:rsidRPr="00F2483C" w:rsidRDefault="007D1232" w:rsidP="00C76FD4">
      <w:pPr>
        <w:spacing w:line="360" w:lineRule="auto"/>
        <w:rPr>
          <w:rFonts w:ascii="Arial" w:hAnsi="Arial" w:cs="Arial"/>
          <w:sz w:val="24"/>
          <w:szCs w:val="24"/>
          <w:lang w:val="en-US"/>
        </w:rPr>
      </w:pPr>
      <w:r>
        <w:rPr>
          <w:rFonts w:ascii="Arial" w:hAnsi="Arial" w:cs="Arial"/>
          <w:sz w:val="24"/>
          <w:szCs w:val="24"/>
          <w:lang w:val="en-US"/>
        </w:rPr>
        <w:t>Contagion is observed between all sectors if the sectors are within the same country and interdependence is not observed. This is to be</w:t>
      </w:r>
    </w:p>
    <w:p w14:paraId="14239F26"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All the countries experience within country sector-to-sector contagion</w:t>
      </w:r>
      <w:r>
        <w:rPr>
          <w:rFonts w:ascii="Arial" w:hAnsi="Arial" w:cs="Arial"/>
          <w:sz w:val="24"/>
          <w:szCs w:val="24"/>
          <w:lang w:val="en-US"/>
        </w:rPr>
        <w:t xml:space="preserve"> during crisis periods</w:t>
      </w:r>
      <w:r w:rsidRPr="00F2483C">
        <w:rPr>
          <w:rFonts w:ascii="Arial" w:hAnsi="Arial" w:cs="Arial"/>
          <w:sz w:val="24"/>
          <w:szCs w:val="24"/>
          <w:lang w:val="en-US"/>
        </w:rPr>
        <w:t xml:space="preserve">. </w:t>
      </w:r>
    </w:p>
    <w:p w14:paraId="359D370B"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Brazil’s Financial and Industrial sector shows strong signs of contagion with all other indices except with the Chinese sector indices. </w:t>
      </w:r>
      <w:commentRangeStart w:id="1"/>
      <w:r w:rsidRPr="00F2483C">
        <w:rPr>
          <w:rFonts w:ascii="Arial" w:hAnsi="Arial" w:cs="Arial"/>
          <w:sz w:val="24"/>
          <w:szCs w:val="24"/>
          <w:lang w:val="en-US"/>
        </w:rPr>
        <w:t xml:space="preserve">It’s Resource sector index however only shows contagion effects with Russia’s Resource sector and India’s Financial sector. </w:t>
      </w:r>
      <w:commentRangeEnd w:id="1"/>
      <w:r>
        <w:rPr>
          <w:rStyle w:val="CommentReference"/>
        </w:rPr>
        <w:commentReference w:id="1"/>
      </w:r>
    </w:p>
    <w:p w14:paraId="6B556A59"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All of Russia’s sectors show a remarkedly similar pattern. Most of the indices experience significant contagion effects with the other sectoral indices in the study, except with the sectoral indices of China.</w:t>
      </w:r>
    </w:p>
    <w:p w14:paraId="46DDD1DE"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lastRenderedPageBreak/>
        <w:t>India’s sectoral indices also have a high level of contagion with the other sectors except for the sectors of China. One clear distinction here is India’s Industrial sector that has no contagion effects with the sectors of South Africa.</w:t>
      </w:r>
    </w:p>
    <w:p w14:paraId="46C8FD1A"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China provides us with very interesting results. Here we do not observe any contagion effects with the other BRICS nations except with South Africa. </w:t>
      </w:r>
      <w:commentRangeStart w:id="2"/>
      <w:r w:rsidRPr="00F2483C">
        <w:rPr>
          <w:rFonts w:ascii="Arial" w:hAnsi="Arial" w:cs="Arial"/>
          <w:sz w:val="24"/>
          <w:szCs w:val="24"/>
          <w:lang w:val="en-US"/>
        </w:rPr>
        <w:t xml:space="preserve">Within sector and cross sector contagion </w:t>
      </w:r>
      <w:commentRangeEnd w:id="2"/>
      <w:r>
        <w:rPr>
          <w:rStyle w:val="CommentReference"/>
        </w:rPr>
        <w:commentReference w:id="2"/>
      </w:r>
      <w:r w:rsidRPr="00F2483C">
        <w:rPr>
          <w:rFonts w:ascii="Arial" w:hAnsi="Arial" w:cs="Arial"/>
          <w:sz w:val="24"/>
          <w:szCs w:val="24"/>
          <w:lang w:val="en-US"/>
        </w:rPr>
        <w:t>is observed between the Financial and Industrial sectors of South Africa and China. Within sector contagion is also observed between the Resource sector of the two countries.</w:t>
      </w:r>
    </w:p>
    <w:p w14:paraId="27A2A4EA" w14:textId="77777777" w:rsidR="00C76FD4" w:rsidRPr="00F2483C" w:rsidRDefault="00C76FD4" w:rsidP="00C76FD4">
      <w:pPr>
        <w:spacing w:line="360" w:lineRule="auto"/>
        <w:rPr>
          <w:rFonts w:ascii="Arial" w:hAnsi="Arial" w:cs="Arial"/>
          <w:sz w:val="24"/>
          <w:szCs w:val="24"/>
          <w:lang w:val="en-US"/>
        </w:rPr>
      </w:pPr>
      <w:commentRangeStart w:id="3"/>
      <w:r w:rsidRPr="00F2483C">
        <w:rPr>
          <w:rFonts w:ascii="Arial" w:hAnsi="Arial" w:cs="Arial"/>
          <w:sz w:val="24"/>
          <w:szCs w:val="24"/>
          <w:lang w:val="en-US"/>
        </w:rPr>
        <w:t>South Africa’s sectoral indices display contagion with most other sectoral indices within the BRICS countries. The strongest contagion effects are observed with Russia. All South Africa’s sectors except South Africa’s Financial and Russia’s Industrial sectors experience contagion</w:t>
      </w:r>
      <w:commentRangeEnd w:id="3"/>
      <w:r>
        <w:rPr>
          <w:rStyle w:val="CommentReference"/>
        </w:rPr>
        <w:commentReference w:id="3"/>
      </w:r>
      <w:r w:rsidRPr="00F2483C">
        <w:rPr>
          <w:rFonts w:ascii="Arial" w:hAnsi="Arial" w:cs="Arial"/>
          <w:sz w:val="24"/>
          <w:szCs w:val="24"/>
          <w:lang w:val="en-US"/>
        </w:rPr>
        <w:t xml:space="preserve">. </w:t>
      </w:r>
    </w:p>
    <w:p w14:paraId="259D7003" w14:textId="77777777" w:rsidR="00C76FD4" w:rsidRPr="00F2483C" w:rsidRDefault="00C76FD4" w:rsidP="00C76FD4">
      <w:pPr>
        <w:spacing w:line="360" w:lineRule="auto"/>
        <w:rPr>
          <w:rFonts w:ascii="Arial" w:hAnsi="Arial" w:cs="Arial"/>
          <w:sz w:val="24"/>
          <w:szCs w:val="24"/>
          <w:lang w:val="en-US"/>
        </w:rPr>
      </w:pPr>
      <w:r w:rsidRPr="00F2483C">
        <w:rPr>
          <w:rFonts w:ascii="Arial" w:hAnsi="Arial" w:cs="Arial"/>
          <w:sz w:val="24"/>
          <w:szCs w:val="24"/>
          <w:lang w:val="en-US"/>
        </w:rPr>
        <w:t xml:space="preserve">The overall results from Table 4 indicate that contagion does occur within the sectors of the BRICS economy but not in an overall setting. China seems to be decoupled from the contagion effects of the different countries. </w:t>
      </w:r>
      <w:commentRangeStart w:id="4"/>
      <w:r w:rsidRPr="00F2483C">
        <w:rPr>
          <w:rFonts w:ascii="Arial" w:hAnsi="Arial" w:cs="Arial"/>
          <w:sz w:val="24"/>
          <w:szCs w:val="24"/>
          <w:lang w:val="en-US"/>
        </w:rPr>
        <w:t>The only notable contagion effects involving China is observed with South Africa.</w:t>
      </w:r>
      <w:commentRangeEnd w:id="4"/>
      <w:r>
        <w:rPr>
          <w:rStyle w:val="CommentReference"/>
        </w:rPr>
        <w:commentReference w:id="4"/>
      </w:r>
      <w:r w:rsidRPr="00F2483C">
        <w:rPr>
          <w:rFonts w:ascii="Arial" w:hAnsi="Arial" w:cs="Arial"/>
          <w:sz w:val="24"/>
          <w:szCs w:val="24"/>
          <w:lang w:val="en-US"/>
        </w:rPr>
        <w:t xml:space="preserve"> Contagion is also observed between the sectors of India and mostly Brazil and Russia, </w:t>
      </w:r>
      <w:commentRangeStart w:id="5"/>
      <w:r w:rsidRPr="00F2483C">
        <w:rPr>
          <w:rFonts w:ascii="Arial" w:hAnsi="Arial" w:cs="Arial"/>
          <w:sz w:val="24"/>
          <w:szCs w:val="24"/>
          <w:lang w:val="en-US"/>
        </w:rPr>
        <w:t xml:space="preserve">but not so much with China and South Africa. </w:t>
      </w:r>
      <w:commentRangeEnd w:id="5"/>
      <w:r>
        <w:rPr>
          <w:rStyle w:val="CommentReference"/>
        </w:rPr>
        <w:commentReference w:id="5"/>
      </w:r>
      <w:r w:rsidRPr="00F2483C">
        <w:rPr>
          <w:rFonts w:ascii="Arial" w:hAnsi="Arial" w:cs="Arial"/>
          <w:sz w:val="24"/>
          <w:szCs w:val="24"/>
          <w:lang w:val="en-US"/>
        </w:rPr>
        <w:t xml:space="preserve">The results in this paper suggest that in some cases BRICS can be considered as a heterogeneous asset class but that care needs to be taken in the selection of what assets to include to ensure a well-diversified portfolio. The results in this paper are in line with the results of </w:t>
      </w:r>
      <w:r w:rsidRPr="00F2483C">
        <w:rPr>
          <w:rFonts w:ascii="Arial" w:hAnsi="Arial" w:cs="Arial"/>
          <w:noProof/>
          <w:sz w:val="24"/>
          <w:szCs w:val="24"/>
        </w:rPr>
        <w:t>Ahmad, Mishra and Daly (2018) who found the BRIC countries to be a heterogeneous asset class and that China and India provide additional opportunities for diversification when compared to the sectors of Brazil and Russia.</w:t>
      </w:r>
    </w:p>
    <w:p w14:paraId="160C3395" w14:textId="77777777" w:rsidR="00C76FD4" w:rsidRDefault="00C76FD4" w:rsidP="00C7150D">
      <w:pPr>
        <w:spacing w:line="360" w:lineRule="auto"/>
        <w:rPr>
          <w:rFonts w:ascii="Arial" w:hAnsi="Arial" w:cs="Arial"/>
          <w:sz w:val="24"/>
          <w:szCs w:val="24"/>
        </w:rPr>
      </w:pPr>
    </w:p>
    <w:p w14:paraId="2F51D1DB" w14:textId="77777777" w:rsidR="00C7150D" w:rsidRDefault="00C7150D">
      <w:pPr>
        <w:rPr>
          <w:rFonts w:ascii="Arial" w:hAnsi="Arial" w:cs="Arial"/>
          <w:sz w:val="24"/>
          <w:szCs w:val="24"/>
        </w:rPr>
      </w:pPr>
      <w:r>
        <w:rPr>
          <w:rFonts w:ascii="Arial" w:hAnsi="Arial" w:cs="Arial"/>
          <w:sz w:val="24"/>
          <w:szCs w:val="24"/>
        </w:rPr>
        <w:br w:type="page"/>
      </w:r>
    </w:p>
    <w:p w14:paraId="4C2FBCAD" w14:textId="0D69CFB4" w:rsidR="00120D21" w:rsidRPr="005B2F2E" w:rsidRDefault="00532EEE" w:rsidP="00AC4F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5B2F2E">
            <w:rPr>
              <w:rFonts w:ascii="Arial" w:hAnsi="Arial" w:cs="Arial"/>
              <w:color w:val="FFFFFF" w:themeColor="background1"/>
              <w:sz w:val="2"/>
              <w:szCs w:val="2"/>
            </w:rPr>
            <w:fldChar w:fldCharType="begin"/>
          </w:r>
          <w:r w:rsidR="00104D3B" w:rsidRPr="005B2F2E">
            <w:rPr>
              <w:rFonts w:ascii="Arial" w:hAnsi="Arial" w:cs="Arial"/>
              <w:color w:val="FFFFFF" w:themeColor="background1"/>
              <w:sz w:val="2"/>
              <w:szCs w:val="2"/>
            </w:rPr>
            <w:instrText xml:space="preserve"> CITATION Fra01 \l 7177 </w:instrText>
          </w:r>
          <w:r w:rsidR="00104D3B"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(Longin &amp; Solnik, 2001)</w:t>
          </w:r>
          <w:r w:rsidR="00104D3B"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5B2F2E">
            <w:rPr>
              <w:rFonts w:ascii="Arial" w:hAnsi="Arial" w:cs="Arial"/>
              <w:color w:val="FFFFFF" w:themeColor="background1"/>
              <w:sz w:val="2"/>
              <w:szCs w:val="2"/>
            </w:rPr>
            <w:fldChar w:fldCharType="begin"/>
          </w:r>
          <w:r w:rsidR="00872587" w:rsidRPr="005B2F2E">
            <w:rPr>
              <w:rFonts w:ascii="Arial" w:hAnsi="Arial" w:cs="Arial"/>
              <w:color w:val="FFFFFF" w:themeColor="background1"/>
              <w:sz w:val="2"/>
              <w:szCs w:val="2"/>
            </w:rPr>
            <w:instrText xml:space="preserve"> CITATION Har52 \l 7177 </w:instrText>
          </w:r>
          <w:r w:rsidR="0087258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(Markowitz, 1952)</w:t>
          </w:r>
          <w:r w:rsidR="00872587"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 CITATION Elt76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(Elton, Gruber, &amp; Padberg, 1976)</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5B2F2E">
            <w:rPr>
              <w:rFonts w:ascii="Arial" w:hAnsi="Arial" w:cs="Arial"/>
              <w:color w:val="FFFFFF" w:themeColor="background1"/>
              <w:sz w:val="2"/>
              <w:szCs w:val="2"/>
            </w:rPr>
            <w:fldChar w:fldCharType="begin"/>
          </w:r>
          <w:r w:rsidR="00651041" w:rsidRPr="005B2F2E">
            <w:rPr>
              <w:rFonts w:ascii="Arial" w:hAnsi="Arial" w:cs="Arial"/>
              <w:color w:val="FFFFFF" w:themeColor="background1"/>
              <w:sz w:val="2"/>
              <w:szCs w:val="2"/>
            </w:rPr>
            <w:instrText xml:space="preserve">CITATION OLe04 \l 7177 </w:instrText>
          </w:r>
          <w:r w:rsidR="0065104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(Ledoit &amp; Wolf, 2004)</w:t>
          </w:r>
          <w:r w:rsidR="00651041"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5B2F2E">
            <w:rPr>
              <w:rFonts w:ascii="Arial" w:hAnsi="Arial" w:cs="Arial"/>
              <w:color w:val="FFFFFF" w:themeColor="background1"/>
              <w:sz w:val="2"/>
              <w:szCs w:val="2"/>
            </w:rPr>
            <w:fldChar w:fldCharType="begin"/>
          </w:r>
          <w:r w:rsidR="00117346" w:rsidRPr="005B2F2E">
            <w:rPr>
              <w:rFonts w:ascii="Arial" w:hAnsi="Arial" w:cs="Arial"/>
              <w:color w:val="FFFFFF" w:themeColor="background1"/>
              <w:sz w:val="2"/>
              <w:szCs w:val="2"/>
            </w:rPr>
            <w:instrText xml:space="preserve"> CITATION And02 \l 7177 </w:instrText>
          </w:r>
          <w:r w:rsidR="00117346"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(Ang &amp; Bekaert, 2002)</w:t>
          </w:r>
          <w:r w:rsidR="00117346"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CITATION Rac02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And021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(Graflund &amp; Nilsson, 2002)</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5B2F2E">
            <w:rPr>
              <w:rFonts w:ascii="Arial" w:hAnsi="Arial" w:cs="Arial"/>
              <w:color w:val="FFFFFF" w:themeColor="background1"/>
              <w:sz w:val="2"/>
              <w:szCs w:val="2"/>
            </w:rPr>
            <w:fldChar w:fldCharType="begin"/>
          </w:r>
          <w:r w:rsidR="008601EC" w:rsidRPr="005B2F2E">
            <w:rPr>
              <w:rFonts w:ascii="Arial" w:hAnsi="Arial" w:cs="Arial"/>
              <w:color w:val="FFFFFF" w:themeColor="background1"/>
              <w:sz w:val="2"/>
              <w:szCs w:val="2"/>
            </w:rPr>
            <w:instrText xml:space="preserve"> CITATION Den06 \l 7177 </w:instrText>
          </w:r>
          <w:r w:rsidR="008601E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(Pelletier, 2006)</w:t>
          </w:r>
          <w:r w:rsidR="008601EC"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Kri02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(Forbes &amp; Rigobon, 2002)</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Boy99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5E15ED" w:rsidRPr="005B2F2E">
            <w:rPr>
              <w:rFonts w:ascii="Arial" w:hAnsi="Arial" w:cs="Arial"/>
              <w:color w:val="FFFFFF" w:themeColor="background1"/>
              <w:sz w:val="2"/>
              <w:szCs w:val="2"/>
            </w:rPr>
            <w:fldChar w:fldCharType="end"/>
          </w:r>
        </w:sdtContent>
      </w:sdt>
      <w:r w:rsidR="005E15E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5B2F2E">
            <w:rPr>
              <w:rFonts w:ascii="Arial" w:hAnsi="Arial" w:cs="Arial"/>
              <w:color w:val="FFFFFF" w:themeColor="background1"/>
              <w:sz w:val="2"/>
              <w:szCs w:val="2"/>
            </w:rPr>
            <w:fldChar w:fldCharType="begin"/>
          </w:r>
          <w:r w:rsidR="005E15ED" w:rsidRPr="005B2F2E">
            <w:rPr>
              <w:rFonts w:ascii="Arial" w:hAnsi="Arial" w:cs="Arial"/>
              <w:color w:val="FFFFFF" w:themeColor="background1"/>
              <w:sz w:val="2"/>
              <w:szCs w:val="2"/>
            </w:rPr>
            <w:instrText xml:space="preserve"> CITATION Lor00 \l 7177 </w:instrText>
          </w:r>
          <w:r w:rsidR="005E15E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(Loretan &amp; English, 2000)</w:t>
          </w:r>
          <w:r w:rsidR="005E15E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Gia05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CITATION Nee06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(Horen, Jager, &amp; Klaassen, 2006)</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Mon05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(Billio, Duca, &amp; Pelizzon, 2005)</w:t>
          </w:r>
          <w:r w:rsidR="00A06523" w:rsidRPr="005B2F2E">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5B2F2E">
            <w:rPr>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Wuy17 \l 7177 </w:instrText>
          </w:r>
          <w:r w:rsidR="00A06523" w:rsidRPr="005B2F2E">
            <w:rPr>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(Ye, Luo, &amp; Liu, Time-varying quantile association regression model with applications to financial contagion and VaR, 2017)</w:t>
          </w:r>
          <w:r w:rsidR="00A06523" w:rsidRPr="005B2F2E">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Lum18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(Bonga-Bonga, 2018)</w:t>
          </w:r>
          <w:r w:rsidR="00A06523" w:rsidRPr="005B2F2E">
            <w:rPr>
              <w:rFonts w:ascii="Arial" w:hAnsi="Arial" w:cs="Arial"/>
              <w:color w:val="FFFFFF" w:themeColor="background1"/>
              <w:sz w:val="2"/>
              <w:szCs w:val="2"/>
            </w:rPr>
            <w:fldChar w:fldCharType="end"/>
          </w:r>
        </w:sdtContent>
      </w:sdt>
      <w:r w:rsidR="00A06523"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5B2F2E">
            <w:rPr>
              <w:rFonts w:ascii="Arial" w:hAnsi="Arial" w:cs="Arial"/>
              <w:color w:val="FFFFFF" w:themeColor="background1"/>
              <w:sz w:val="2"/>
              <w:szCs w:val="2"/>
            </w:rPr>
            <w:fldChar w:fldCharType="begin"/>
          </w:r>
          <w:r w:rsidR="00A06523" w:rsidRPr="005B2F2E">
            <w:rPr>
              <w:rFonts w:ascii="Arial" w:hAnsi="Arial" w:cs="Arial"/>
              <w:color w:val="FFFFFF" w:themeColor="background1"/>
              <w:sz w:val="2"/>
              <w:szCs w:val="2"/>
            </w:rPr>
            <w:instrText xml:space="preserve"> CITATION MdA18 \l 7177 </w:instrText>
          </w:r>
          <w:r w:rsidR="00A06523"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A06523"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Lin06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(Hu, 2006)</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Jua07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Lor09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374BDD" w:rsidRPr="005B2F2E">
            <w:rPr>
              <w:rFonts w:ascii="Arial" w:hAnsi="Arial" w:cs="Arial"/>
              <w:color w:val="FFFFFF" w:themeColor="background1"/>
              <w:sz w:val="2"/>
              <w:szCs w:val="2"/>
            </w:rPr>
            <w:fldChar w:fldCharType="end"/>
          </w:r>
        </w:sdtContent>
      </w:sdt>
      <w:r w:rsidR="00374BDD"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5B2F2E">
            <w:rPr>
              <w:rFonts w:ascii="Arial" w:hAnsi="Arial" w:cs="Arial"/>
              <w:color w:val="FFFFFF" w:themeColor="background1"/>
              <w:sz w:val="2"/>
              <w:szCs w:val="2"/>
            </w:rPr>
            <w:fldChar w:fldCharType="begin"/>
          </w:r>
          <w:r w:rsidR="00374BDD" w:rsidRPr="005B2F2E">
            <w:rPr>
              <w:rFonts w:ascii="Arial" w:hAnsi="Arial" w:cs="Arial"/>
              <w:color w:val="FFFFFF" w:themeColor="background1"/>
              <w:sz w:val="2"/>
              <w:szCs w:val="2"/>
            </w:rPr>
            <w:instrText xml:space="preserve"> CITATION Hor10 \l 7177 </w:instrText>
          </w:r>
          <w:r w:rsidR="00374BD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374BDD"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Arn00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(Costinot, Roncalli, &amp; Teiletche, 2000)</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Jor04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120D21" w:rsidRPr="005B2F2E">
            <w:rPr>
              <w:rFonts w:ascii="Arial" w:hAnsi="Arial" w:cs="Arial"/>
              <w:color w:val="FFFFFF" w:themeColor="background1"/>
              <w:sz w:val="2"/>
              <w:szCs w:val="2"/>
            </w:rPr>
            <w:fldChar w:fldCharType="end"/>
          </w:r>
        </w:sdtContent>
      </w:sdt>
      <w:r w:rsidR="00120D21" w:rsidRPr="005B2F2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5B2F2E">
            <w:rPr>
              <w:rFonts w:ascii="Arial" w:hAnsi="Arial" w:cs="Arial"/>
              <w:color w:val="FFFFFF" w:themeColor="background1"/>
              <w:sz w:val="2"/>
              <w:szCs w:val="2"/>
            </w:rPr>
            <w:fldChar w:fldCharType="begin"/>
          </w:r>
          <w:r w:rsidR="00120D21" w:rsidRPr="005B2F2E">
            <w:rPr>
              <w:rFonts w:ascii="Arial" w:hAnsi="Arial" w:cs="Arial"/>
              <w:color w:val="FFFFFF" w:themeColor="background1"/>
              <w:sz w:val="2"/>
              <w:szCs w:val="2"/>
            </w:rPr>
            <w:instrText xml:space="preserve"> CITATION Jua19 \l 7177 </w:instrText>
          </w:r>
          <w:r w:rsidR="00120D2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120D21" w:rsidRPr="005B2F2E">
            <w:rPr>
              <w:rFonts w:ascii="Arial" w:hAnsi="Arial" w:cs="Arial"/>
              <w:color w:val="FFFFFF" w:themeColor="background1"/>
              <w:sz w:val="2"/>
              <w:szCs w:val="2"/>
            </w:rPr>
            <w:fldChar w:fldCharType="end"/>
          </w:r>
        </w:sdtContent>
      </w:sdt>
      <w:r w:rsidR="0096248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5B2F2E">
            <w:rPr>
              <w:rFonts w:ascii="Arial" w:hAnsi="Arial" w:cs="Arial"/>
              <w:color w:val="FFFFFF" w:themeColor="background1"/>
              <w:sz w:val="2"/>
              <w:szCs w:val="2"/>
            </w:rPr>
            <w:fldChar w:fldCharType="begin"/>
          </w:r>
          <w:r w:rsidR="00962489" w:rsidRPr="005B2F2E">
            <w:rPr>
              <w:rFonts w:ascii="Arial" w:hAnsi="Arial" w:cs="Arial"/>
              <w:color w:val="FFFFFF" w:themeColor="background1"/>
              <w:sz w:val="2"/>
              <w:szCs w:val="2"/>
            </w:rPr>
            <w:instrText xml:space="preserve"> CITATION Mer90 \l 7177 </w:instrText>
          </w:r>
          <w:r w:rsidR="0096248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(King &amp; Wadhwani, 1990)</w:t>
          </w:r>
          <w:r w:rsidR="00962489" w:rsidRPr="005B2F2E">
            <w:rPr>
              <w:rFonts w:ascii="Arial" w:hAnsi="Arial" w:cs="Arial"/>
              <w:color w:val="FFFFFF" w:themeColor="background1"/>
              <w:sz w:val="2"/>
              <w:szCs w:val="2"/>
            </w:rPr>
            <w:fldChar w:fldCharType="end"/>
          </w:r>
        </w:sdtContent>
      </w:sdt>
      <w:r w:rsidR="00507D0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5B2F2E">
            <w:rPr>
              <w:rFonts w:ascii="Arial" w:hAnsi="Arial" w:cs="Arial"/>
              <w:color w:val="FFFFFF" w:themeColor="background1"/>
              <w:sz w:val="2"/>
              <w:szCs w:val="2"/>
            </w:rPr>
            <w:fldChar w:fldCharType="begin"/>
          </w:r>
          <w:r w:rsidR="00507D0C" w:rsidRPr="005B2F2E">
            <w:rPr>
              <w:rFonts w:ascii="Arial" w:hAnsi="Arial" w:cs="Arial"/>
              <w:color w:val="FFFFFF" w:themeColor="background1"/>
              <w:sz w:val="2"/>
              <w:szCs w:val="2"/>
            </w:rPr>
            <w:instrText xml:space="preserve"> CITATION Lee93 \l 7177 </w:instrText>
          </w:r>
          <w:r w:rsidR="00507D0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(Lee &amp; Kim, 1993)</w:t>
          </w:r>
          <w:r w:rsidR="00507D0C" w:rsidRPr="005B2F2E">
            <w:rPr>
              <w:rFonts w:ascii="Arial" w:hAnsi="Arial" w:cs="Arial"/>
              <w:color w:val="FFFFFF" w:themeColor="background1"/>
              <w:sz w:val="2"/>
              <w:szCs w:val="2"/>
            </w:rPr>
            <w:fldChar w:fldCharType="end"/>
          </w:r>
        </w:sdtContent>
      </w:sdt>
      <w:r w:rsidR="00507D0C" w:rsidRPr="005B2F2E">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Boy99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(Boyer, Gibson, &amp; Loretan, 1999)</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Lor00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(Loretan &amp; English, 2000)</w:t>
          </w:r>
          <w:r w:rsidR="00D37F2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5B2F2E">
            <w:rPr>
              <w:rFonts w:ascii="Arial" w:hAnsi="Arial" w:cs="Arial"/>
              <w:color w:val="FFFFFF" w:themeColor="background1"/>
              <w:sz w:val="2"/>
              <w:szCs w:val="2"/>
            </w:rPr>
            <w:fldChar w:fldCharType="begin"/>
          </w:r>
          <w:r w:rsidR="00D37F28" w:rsidRPr="005B2F2E">
            <w:rPr>
              <w:rFonts w:ascii="Arial" w:hAnsi="Arial" w:cs="Arial"/>
              <w:color w:val="FFFFFF" w:themeColor="background1"/>
              <w:sz w:val="2"/>
              <w:szCs w:val="2"/>
            </w:rPr>
            <w:instrText xml:space="preserve"> CITATION Gia05 \l 7177 </w:instrText>
          </w:r>
          <w:r w:rsidR="00D37F2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(Corsetti, Pericoli, &amp; Sbracia, 2005)</w:t>
          </w:r>
          <w:r w:rsidR="00D37F28" w:rsidRPr="005B2F2E">
            <w:rPr>
              <w:rFonts w:ascii="Arial" w:hAnsi="Arial" w:cs="Arial"/>
              <w:color w:val="FFFFFF" w:themeColor="background1"/>
              <w:sz w:val="2"/>
              <w:szCs w:val="2"/>
            </w:rPr>
            <w:fldChar w:fldCharType="end"/>
          </w:r>
        </w:sdtContent>
      </w:sdt>
      <w:r w:rsidR="008512F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5B2F2E">
            <w:rPr>
              <w:rFonts w:ascii="Arial" w:hAnsi="Arial" w:cs="Arial"/>
              <w:color w:val="FFFFFF" w:themeColor="background1"/>
              <w:sz w:val="2"/>
              <w:szCs w:val="2"/>
            </w:rPr>
            <w:fldChar w:fldCharType="begin"/>
          </w:r>
          <w:r w:rsidR="008512F2" w:rsidRPr="005B2F2E">
            <w:rPr>
              <w:rFonts w:ascii="Arial" w:hAnsi="Arial" w:cs="Arial"/>
              <w:color w:val="FFFFFF" w:themeColor="background1"/>
              <w:sz w:val="2"/>
              <w:szCs w:val="2"/>
            </w:rPr>
            <w:instrText xml:space="preserve">CITATION Nee06 \l 7177 </w:instrText>
          </w:r>
          <w:r w:rsidR="008512F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(Horen, Jager, &amp; Klaassen, 2006)</w:t>
          </w:r>
          <w:r w:rsidR="008512F2" w:rsidRPr="005B2F2E">
            <w:rPr>
              <w:rFonts w:ascii="Arial" w:hAnsi="Arial" w:cs="Arial"/>
              <w:color w:val="FFFFFF" w:themeColor="background1"/>
              <w:sz w:val="2"/>
              <w:szCs w:val="2"/>
            </w:rPr>
            <w:fldChar w:fldCharType="end"/>
          </w:r>
        </w:sdtContent>
      </w:sdt>
      <w:r w:rsidR="00B50852"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5B2F2E">
            <w:rPr>
              <w:rFonts w:ascii="Arial" w:hAnsi="Arial" w:cs="Arial"/>
              <w:color w:val="FFFFFF" w:themeColor="background1"/>
              <w:sz w:val="2"/>
              <w:szCs w:val="2"/>
            </w:rPr>
            <w:fldChar w:fldCharType="begin"/>
          </w:r>
          <w:r w:rsidR="00B50852" w:rsidRPr="005B2F2E">
            <w:rPr>
              <w:rFonts w:ascii="Arial" w:hAnsi="Arial" w:cs="Arial"/>
              <w:color w:val="FFFFFF" w:themeColor="background1"/>
              <w:sz w:val="2"/>
              <w:szCs w:val="2"/>
            </w:rPr>
            <w:instrText xml:space="preserve"> CITATION Lan77 \l 7177 </w:instrText>
          </w:r>
          <w:r w:rsidR="00B50852"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(Girton &amp; Roper, 1977)</w:t>
          </w:r>
          <w:r w:rsidR="00B50852" w:rsidRPr="005B2F2E">
            <w:rPr>
              <w:rFonts w:ascii="Arial" w:hAnsi="Arial" w:cs="Arial"/>
              <w:color w:val="FFFFFF" w:themeColor="background1"/>
              <w:sz w:val="2"/>
              <w:szCs w:val="2"/>
            </w:rPr>
            <w:fldChar w:fldCharType="end"/>
          </w:r>
        </w:sdtContent>
      </w:sdt>
      <w:r w:rsidR="00465A71"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5B2F2E">
            <w:rPr>
              <w:rFonts w:ascii="Arial" w:hAnsi="Arial" w:cs="Arial"/>
              <w:color w:val="FFFFFF" w:themeColor="background1"/>
              <w:sz w:val="2"/>
              <w:szCs w:val="2"/>
            </w:rPr>
            <w:fldChar w:fldCharType="begin"/>
          </w:r>
          <w:r w:rsidR="00465A71" w:rsidRPr="005B2F2E">
            <w:rPr>
              <w:rFonts w:ascii="Arial" w:hAnsi="Arial" w:cs="Arial"/>
              <w:color w:val="FFFFFF" w:themeColor="background1"/>
              <w:sz w:val="2"/>
              <w:szCs w:val="2"/>
            </w:rPr>
            <w:instrText xml:space="preserve"> CITATION Mon05 \l 7177 </w:instrText>
          </w:r>
          <w:r w:rsidR="00465A71"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(Billio, Duca, &amp; Pelizzon, 2005)</w:t>
          </w:r>
          <w:r w:rsidR="00465A71"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Lyo18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(Lyocsa &amp; Horvath, 2018)</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Gee05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(Bekhaert, Harvey, &amp; Ng, 2005)</w:t>
          </w:r>
          <w:r w:rsidR="00DA6127" w:rsidRPr="005B2F2E">
            <w:rPr>
              <w:rFonts w:ascii="Arial" w:hAnsi="Arial" w:cs="Arial"/>
              <w:color w:val="FFFFFF" w:themeColor="background1"/>
              <w:sz w:val="2"/>
              <w:szCs w:val="2"/>
            </w:rPr>
            <w:fldChar w:fldCharType="end"/>
          </w:r>
        </w:sdtContent>
      </w:sdt>
      <w:r w:rsidR="00DA6127"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5B2F2E">
            <w:rPr>
              <w:rFonts w:ascii="Arial" w:hAnsi="Arial" w:cs="Arial"/>
              <w:color w:val="FFFFFF" w:themeColor="background1"/>
              <w:sz w:val="2"/>
              <w:szCs w:val="2"/>
            </w:rPr>
            <w:fldChar w:fldCharType="begin"/>
          </w:r>
          <w:r w:rsidR="00DA6127" w:rsidRPr="005B2F2E">
            <w:rPr>
              <w:rFonts w:ascii="Arial" w:hAnsi="Arial" w:cs="Arial"/>
              <w:color w:val="FFFFFF" w:themeColor="background1"/>
              <w:sz w:val="2"/>
              <w:szCs w:val="2"/>
            </w:rPr>
            <w:instrText xml:space="preserve"> CITATION Wuy16 \l 7177 </w:instrText>
          </w:r>
          <w:r w:rsidR="00DA6127"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(Ye, Zhu, Wu, &amp; Miao, 2016)</w:t>
          </w:r>
          <w:r w:rsidR="00DA6127" w:rsidRPr="005B2F2E">
            <w:rPr>
              <w:rFonts w:ascii="Arial" w:hAnsi="Arial" w:cs="Arial"/>
              <w:color w:val="FFFFFF" w:themeColor="background1"/>
              <w:sz w:val="2"/>
              <w:szCs w:val="2"/>
            </w:rPr>
            <w:fldChar w:fldCharType="end"/>
          </w:r>
        </w:sdtContent>
      </w:sdt>
      <w:r w:rsidR="008F1AEF"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5B2F2E">
            <w:rPr>
              <w:rFonts w:ascii="Arial" w:hAnsi="Arial" w:cs="Arial"/>
              <w:color w:val="FFFFFF" w:themeColor="background1"/>
              <w:sz w:val="2"/>
              <w:szCs w:val="2"/>
            </w:rPr>
            <w:fldChar w:fldCharType="begin"/>
          </w:r>
          <w:r w:rsidR="008F1AEF" w:rsidRPr="005B2F2E">
            <w:rPr>
              <w:rFonts w:ascii="Arial" w:hAnsi="Arial" w:cs="Arial"/>
              <w:color w:val="FFFFFF" w:themeColor="background1"/>
              <w:sz w:val="2"/>
              <w:szCs w:val="2"/>
            </w:rPr>
            <w:instrText xml:space="preserve"> CITATION Lum18 \l 7177 </w:instrText>
          </w:r>
          <w:r w:rsidR="008F1AEF"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(Bonga-Bonga, 2018)</w:t>
          </w:r>
          <w:r w:rsidR="008F1AEF" w:rsidRPr="005B2F2E">
            <w:rPr>
              <w:rFonts w:ascii="Arial" w:hAnsi="Arial" w:cs="Arial"/>
              <w:color w:val="FFFFFF" w:themeColor="background1"/>
              <w:sz w:val="2"/>
              <w:szCs w:val="2"/>
            </w:rPr>
            <w:fldChar w:fldCharType="end"/>
          </w:r>
        </w:sdtContent>
      </w:sdt>
      <w:r w:rsidR="00B61C3E"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5B2F2E">
            <w:rPr>
              <w:rFonts w:ascii="Arial" w:hAnsi="Arial" w:cs="Arial"/>
              <w:color w:val="FFFFFF" w:themeColor="background1"/>
              <w:sz w:val="2"/>
              <w:szCs w:val="2"/>
            </w:rPr>
            <w:fldChar w:fldCharType="begin"/>
          </w:r>
          <w:r w:rsidR="00B61C3E" w:rsidRPr="005B2F2E">
            <w:rPr>
              <w:rFonts w:ascii="Arial" w:hAnsi="Arial" w:cs="Arial"/>
              <w:color w:val="FFFFFF" w:themeColor="background1"/>
              <w:sz w:val="2"/>
              <w:szCs w:val="2"/>
            </w:rPr>
            <w:instrText xml:space="preserve"> CITATION MdA18 \l 7177 </w:instrText>
          </w:r>
          <w:r w:rsidR="00B61C3E"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(Akhtaruzzaman &amp; Shamsuddin, 2018)</w:t>
          </w:r>
          <w:r w:rsidR="00B61C3E" w:rsidRPr="005B2F2E">
            <w:rPr>
              <w:rFonts w:ascii="Arial" w:hAnsi="Arial" w:cs="Arial"/>
              <w:color w:val="FFFFFF" w:themeColor="background1"/>
              <w:sz w:val="2"/>
              <w:szCs w:val="2"/>
            </w:rPr>
            <w:fldChar w:fldCharType="end"/>
          </w:r>
        </w:sdtContent>
      </w:sdt>
      <w:r w:rsidR="006C2194"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5B2F2E">
            <w:rPr>
              <w:rFonts w:ascii="Arial" w:hAnsi="Arial" w:cs="Arial"/>
              <w:color w:val="FFFFFF" w:themeColor="background1"/>
              <w:sz w:val="2"/>
              <w:szCs w:val="2"/>
            </w:rPr>
            <w:fldChar w:fldCharType="begin"/>
          </w:r>
          <w:r w:rsidR="006C2194" w:rsidRPr="005B2F2E">
            <w:rPr>
              <w:rFonts w:ascii="Arial" w:hAnsi="Arial" w:cs="Arial"/>
              <w:color w:val="FFFFFF" w:themeColor="background1"/>
              <w:sz w:val="2"/>
              <w:szCs w:val="2"/>
            </w:rPr>
            <w:instrText xml:space="preserve"> CITATION Ken15 \l 7177 </w:instrText>
          </w:r>
          <w:r w:rsidR="006C2194"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(Kenourgios &amp; Dimitriou, 2015)</w:t>
          </w:r>
          <w:r w:rsidR="006C2194"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Arn00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(Costinot, Roncalli, &amp; Teiletche, 2000)</w:t>
          </w:r>
          <w:r w:rsidR="008845C9" w:rsidRPr="005B2F2E">
            <w:rPr>
              <w:rFonts w:ascii="Arial" w:hAnsi="Arial" w:cs="Arial"/>
              <w:color w:val="FFFFFF" w:themeColor="background1"/>
              <w:sz w:val="2"/>
              <w:szCs w:val="2"/>
            </w:rPr>
            <w:fldChar w:fldCharType="end"/>
          </w:r>
        </w:sdtContent>
      </w:sdt>
      <w:r w:rsidR="008845C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5B2F2E">
            <w:rPr>
              <w:rFonts w:ascii="Arial" w:hAnsi="Arial" w:cs="Arial"/>
              <w:color w:val="FFFFFF" w:themeColor="background1"/>
              <w:sz w:val="2"/>
              <w:szCs w:val="2"/>
            </w:rPr>
            <w:fldChar w:fldCharType="begin"/>
          </w:r>
          <w:r w:rsidR="008845C9" w:rsidRPr="005B2F2E">
            <w:rPr>
              <w:rFonts w:ascii="Arial" w:hAnsi="Arial" w:cs="Arial"/>
              <w:color w:val="FFFFFF" w:themeColor="background1"/>
              <w:sz w:val="2"/>
              <w:szCs w:val="2"/>
            </w:rPr>
            <w:instrText xml:space="preserve"> CITATION Jor04 \l 7177 </w:instrText>
          </w:r>
          <w:r w:rsidR="008845C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(Chan-Lau, Mathieson, &amp; Yao, 2004)</w:t>
          </w:r>
          <w:r w:rsidR="008845C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Lin06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(Hu, 2006)</w:t>
          </w:r>
          <w:r w:rsidR="00851A39" w:rsidRPr="005B2F2E">
            <w:rPr>
              <w:rFonts w:ascii="Arial" w:hAnsi="Arial" w:cs="Arial"/>
              <w:color w:val="FFFFFF" w:themeColor="background1"/>
              <w:sz w:val="2"/>
              <w:szCs w:val="2"/>
            </w:rPr>
            <w:fldChar w:fldCharType="end"/>
          </w:r>
        </w:sdtContent>
      </w:sdt>
      <w:r w:rsidR="00851A39"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5B2F2E">
            <w:rPr>
              <w:rFonts w:ascii="Arial" w:hAnsi="Arial" w:cs="Arial"/>
              <w:color w:val="FFFFFF" w:themeColor="background1"/>
              <w:sz w:val="2"/>
              <w:szCs w:val="2"/>
            </w:rPr>
            <w:fldChar w:fldCharType="begin"/>
          </w:r>
          <w:r w:rsidR="00851A39" w:rsidRPr="005B2F2E">
            <w:rPr>
              <w:rFonts w:ascii="Arial" w:hAnsi="Arial" w:cs="Arial"/>
              <w:color w:val="FFFFFF" w:themeColor="background1"/>
              <w:sz w:val="2"/>
              <w:szCs w:val="2"/>
            </w:rPr>
            <w:instrText xml:space="preserve"> CITATION Jua07 \l 7177 </w:instrText>
          </w:r>
          <w:r w:rsidR="00851A39"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(Rodriguez, 2007)</w:t>
          </w:r>
          <w:r w:rsidR="00851A39" w:rsidRPr="005B2F2E">
            <w:rPr>
              <w:rFonts w:ascii="Arial" w:hAnsi="Arial" w:cs="Arial"/>
              <w:color w:val="FFFFFF" w:themeColor="background1"/>
              <w:sz w:val="2"/>
              <w:szCs w:val="2"/>
            </w:rPr>
            <w:fldChar w:fldCharType="end"/>
          </w:r>
        </w:sdtContent>
      </w:sdt>
      <w:r w:rsidR="000F70A5"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5B2F2E">
            <w:rPr>
              <w:rFonts w:ascii="Arial" w:hAnsi="Arial" w:cs="Arial"/>
              <w:color w:val="FFFFFF" w:themeColor="background1"/>
              <w:sz w:val="2"/>
              <w:szCs w:val="2"/>
            </w:rPr>
            <w:fldChar w:fldCharType="begin"/>
          </w:r>
          <w:r w:rsidR="000F70A5" w:rsidRPr="005B2F2E">
            <w:rPr>
              <w:rFonts w:ascii="Arial" w:hAnsi="Arial" w:cs="Arial"/>
              <w:color w:val="FFFFFF" w:themeColor="background1"/>
              <w:sz w:val="2"/>
              <w:szCs w:val="2"/>
            </w:rPr>
            <w:instrText xml:space="preserve"> CITATION Lor09 \l 7177 </w:instrText>
          </w:r>
          <w:r w:rsidR="000F70A5"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(Chollete, Heinen, &amp; Valdesogo, 2009)</w:t>
          </w:r>
          <w:r w:rsidR="000F70A5" w:rsidRPr="005B2F2E">
            <w:rPr>
              <w:rFonts w:ascii="Arial" w:hAnsi="Arial" w:cs="Arial"/>
              <w:color w:val="FFFFFF" w:themeColor="background1"/>
              <w:sz w:val="2"/>
              <w:szCs w:val="2"/>
            </w:rPr>
            <w:fldChar w:fldCharType="end"/>
          </w:r>
        </w:sdtContent>
      </w:sdt>
      <w:r w:rsidR="009B025D"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5B2F2E">
            <w:rPr>
              <w:rFonts w:ascii="Arial" w:hAnsi="Arial" w:cs="Arial"/>
              <w:color w:val="FFFFFF" w:themeColor="background1"/>
              <w:sz w:val="2"/>
              <w:szCs w:val="2"/>
            </w:rPr>
            <w:fldChar w:fldCharType="begin"/>
          </w:r>
          <w:r w:rsidR="009B025D" w:rsidRPr="005B2F2E">
            <w:rPr>
              <w:rFonts w:ascii="Arial" w:hAnsi="Arial" w:cs="Arial"/>
              <w:color w:val="FFFFFF" w:themeColor="background1"/>
              <w:sz w:val="2"/>
              <w:szCs w:val="2"/>
            </w:rPr>
            <w:instrText xml:space="preserve"> CITATION Hor10 \l 7177 </w:instrText>
          </w:r>
          <w:r w:rsidR="009B025D"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(Horta, Mendes, &amp; Vieira, 2010)</w:t>
          </w:r>
          <w:r w:rsidR="009B025D" w:rsidRPr="005B2F2E">
            <w:rPr>
              <w:rFonts w:ascii="Arial" w:hAnsi="Arial" w:cs="Arial"/>
              <w:color w:val="FFFFFF" w:themeColor="background1"/>
              <w:sz w:val="2"/>
              <w:szCs w:val="2"/>
            </w:rPr>
            <w:fldChar w:fldCharType="end"/>
          </w:r>
        </w:sdtContent>
      </w:sdt>
      <w:r w:rsidR="00683D6C"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5B2F2E">
            <w:rPr>
              <w:rFonts w:ascii="Arial" w:hAnsi="Arial" w:cs="Arial"/>
              <w:color w:val="FFFFFF" w:themeColor="background1"/>
              <w:sz w:val="2"/>
              <w:szCs w:val="2"/>
            </w:rPr>
            <w:fldChar w:fldCharType="begin"/>
          </w:r>
          <w:r w:rsidR="00683D6C" w:rsidRPr="005B2F2E">
            <w:rPr>
              <w:rFonts w:ascii="Arial" w:hAnsi="Arial" w:cs="Arial"/>
              <w:color w:val="FFFFFF" w:themeColor="background1"/>
              <w:sz w:val="2"/>
              <w:szCs w:val="2"/>
            </w:rPr>
            <w:instrText xml:space="preserve"> CITATION Ala17 \l 7177 </w:instrText>
          </w:r>
          <w:r w:rsidR="00683D6C"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(Paul &amp; Gideon, 2017)</w:t>
          </w:r>
          <w:r w:rsidR="00683D6C" w:rsidRPr="005B2F2E">
            <w:rPr>
              <w:rFonts w:ascii="Arial" w:hAnsi="Arial" w:cs="Arial"/>
              <w:color w:val="FFFFFF" w:themeColor="background1"/>
              <w:sz w:val="2"/>
              <w:szCs w:val="2"/>
            </w:rPr>
            <w:fldChar w:fldCharType="end"/>
          </w:r>
        </w:sdtContent>
      </w:sdt>
      <w:r w:rsidR="008115B8" w:rsidRPr="005B2F2E">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5B2F2E">
            <w:rPr>
              <w:rFonts w:ascii="Arial" w:hAnsi="Arial" w:cs="Arial"/>
              <w:color w:val="FFFFFF" w:themeColor="background1"/>
              <w:sz w:val="2"/>
              <w:szCs w:val="2"/>
            </w:rPr>
            <w:fldChar w:fldCharType="begin"/>
          </w:r>
          <w:r w:rsidR="008115B8" w:rsidRPr="005B2F2E">
            <w:rPr>
              <w:rFonts w:ascii="Arial" w:hAnsi="Arial" w:cs="Arial"/>
              <w:color w:val="FFFFFF" w:themeColor="background1"/>
              <w:sz w:val="2"/>
              <w:szCs w:val="2"/>
            </w:rPr>
            <w:instrText xml:space="preserve"> CITATION Jua19 \l 7177 </w:instrText>
          </w:r>
          <w:r w:rsidR="008115B8"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(Cubillos-Rocha, Gomez-Gonzalez, &amp; Melo-Velandia, 2019)</w:t>
          </w:r>
          <w:r w:rsidR="008115B8" w:rsidRPr="005B2F2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029555073"/>
          <w:citation/>
        </w:sdtPr>
        <w:sdtContent>
          <w:r w:rsidR="00B0511A" w:rsidRPr="005B2F2E">
            <w:rPr>
              <w:rFonts w:ascii="Arial" w:hAnsi="Arial" w:cs="Arial"/>
              <w:color w:val="FFFFFF" w:themeColor="background1"/>
              <w:sz w:val="2"/>
              <w:szCs w:val="2"/>
            </w:rPr>
            <w:fldChar w:fldCharType="begin"/>
          </w:r>
          <w:r w:rsidR="00B0511A" w:rsidRPr="005B2F2E">
            <w:rPr>
              <w:rFonts w:ascii="Arial" w:hAnsi="Arial" w:cs="Arial"/>
              <w:color w:val="FFFFFF" w:themeColor="background1"/>
              <w:sz w:val="2"/>
              <w:szCs w:val="2"/>
            </w:rPr>
            <w:instrText xml:space="preserve"> CITATION Rac021 \l 7177 </w:instrText>
          </w:r>
          <w:r w:rsidR="00B0511A" w:rsidRPr="005B2F2E">
            <w:rPr>
              <w:rFonts w:ascii="Arial" w:hAnsi="Arial" w:cs="Arial"/>
              <w:color w:val="FFFFFF" w:themeColor="background1"/>
              <w:sz w:val="2"/>
              <w:szCs w:val="2"/>
            </w:rPr>
            <w:fldChar w:fldCharType="separate"/>
          </w:r>
          <w:r w:rsidR="00B0511A" w:rsidRPr="005B2F2E">
            <w:rPr>
              <w:rFonts w:ascii="Arial" w:hAnsi="Arial" w:cs="Arial"/>
              <w:noProof/>
              <w:color w:val="FFFFFF" w:themeColor="background1"/>
              <w:sz w:val="2"/>
              <w:szCs w:val="2"/>
            </w:rPr>
            <w:t xml:space="preserve"> (Campbell, Koedijk, &amp; Kofman, Increased Correlation in Bear Markets, 2002)</w:t>
          </w:r>
          <w:r w:rsidR="00B0511A" w:rsidRPr="005B2F2E">
            <w:rPr>
              <w:rFonts w:ascii="Arial" w:hAnsi="Arial" w:cs="Arial"/>
              <w:color w:val="FFFFFF" w:themeColor="background1"/>
              <w:sz w:val="2"/>
              <w:szCs w:val="2"/>
            </w:rPr>
            <w:fldChar w:fldCharType="end"/>
          </w:r>
        </w:sdtContent>
      </w:sdt>
    </w:p>
    <w:p w14:paraId="4BC5FEBE" w14:textId="77777777" w:rsidR="00DA6127" w:rsidRPr="00B0511A" w:rsidRDefault="00DA6127">
      <w:pPr>
        <w:rPr>
          <w:rFonts w:ascii="Arial" w:hAnsi="Arial" w:cs="Arial"/>
          <w:color w:val="FFFFFF" w:themeColor="background1"/>
          <w:sz w:val="24"/>
          <w:szCs w:val="24"/>
        </w:rPr>
      </w:pPr>
      <w:r w:rsidRPr="00B0511A">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Content>
            <w:p w14:paraId="5AC41F7B" w14:textId="77777777" w:rsidR="00B0511A" w:rsidRDefault="00164FD3" w:rsidP="00B0511A">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B0511A">
                <w:rPr>
                  <w:noProof/>
                  <w:lang w:val="en-US"/>
                </w:rPr>
                <w:t xml:space="preserve">Abad, P., &amp; Chulia, H. (2016). European Government Bond Market Contagion in Turbulent Times. </w:t>
              </w:r>
              <w:r w:rsidR="00B0511A">
                <w:rPr>
                  <w:i/>
                  <w:iCs/>
                  <w:noProof/>
                  <w:lang w:val="en-US"/>
                </w:rPr>
                <w:t>Finance a uver-czech journal of economics and finance</w:t>
              </w:r>
              <w:r w:rsidR="00B0511A">
                <w:rPr>
                  <w:noProof/>
                  <w:lang w:val="en-US"/>
                </w:rPr>
                <w:t>, 263-276.</w:t>
              </w:r>
            </w:p>
            <w:p w14:paraId="30F8A17A" w14:textId="77777777" w:rsidR="00B0511A" w:rsidRDefault="00B0511A" w:rsidP="00B0511A">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4D579F75" w14:textId="77777777" w:rsidR="00B0511A" w:rsidRDefault="00B0511A" w:rsidP="00B0511A">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358D390D" w14:textId="77777777" w:rsidR="00B0511A" w:rsidRDefault="00B0511A" w:rsidP="00B0511A">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05D270A2" w14:textId="77777777" w:rsidR="00B0511A" w:rsidRDefault="00B0511A" w:rsidP="00B0511A">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537A036" w14:textId="77777777" w:rsidR="00B0511A" w:rsidRDefault="00B0511A" w:rsidP="00B0511A">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720A1BA5" w14:textId="77777777" w:rsidR="00B0511A" w:rsidRDefault="00B0511A" w:rsidP="00B0511A">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08D375AB" w14:textId="77777777" w:rsidR="00B0511A" w:rsidRDefault="00B0511A" w:rsidP="00B0511A">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3355C3D0" w14:textId="77777777" w:rsidR="00B0511A" w:rsidRDefault="00B0511A" w:rsidP="00B0511A">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7C45E038" w14:textId="77777777" w:rsidR="00B0511A" w:rsidRDefault="00B0511A" w:rsidP="00B0511A">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1FB7C67F" w14:textId="77777777" w:rsidR="00B0511A" w:rsidRDefault="00B0511A" w:rsidP="00B0511A">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6846BD3E" w14:textId="77777777" w:rsidR="00B0511A" w:rsidRDefault="00B0511A" w:rsidP="00B0511A">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7CD6DBD2"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59BC017F"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1C9248DE" w14:textId="77777777" w:rsidR="00B0511A" w:rsidRDefault="00B0511A" w:rsidP="00B0511A">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33023D6C" w14:textId="77777777" w:rsidR="00B0511A" w:rsidRDefault="00B0511A" w:rsidP="00B0511A">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7FB2ABA" w14:textId="77777777" w:rsidR="00B0511A" w:rsidRDefault="00B0511A" w:rsidP="00B0511A">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79A3213F" w14:textId="77777777" w:rsidR="00B0511A" w:rsidRDefault="00B0511A" w:rsidP="00B0511A">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023F5B83" w14:textId="77777777" w:rsidR="00B0511A" w:rsidRDefault="00B0511A" w:rsidP="00B0511A">
              <w:pPr>
                <w:pStyle w:val="Bibliography"/>
                <w:ind w:left="720" w:hanging="720"/>
                <w:rPr>
                  <w:noProof/>
                  <w:lang w:val="en-US"/>
                </w:rPr>
              </w:pPr>
              <w:r>
                <w:rPr>
                  <w:noProof/>
                  <w:lang w:val="en-US"/>
                </w:rPr>
                <w:lastRenderedPageBreak/>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53A65A2D" w14:textId="77777777" w:rsidR="00B0511A" w:rsidRDefault="00B0511A" w:rsidP="00B0511A">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2FDE42EC" w14:textId="77777777" w:rsidR="00B0511A" w:rsidRDefault="00B0511A" w:rsidP="00B0511A">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CBA28A7" w14:textId="77777777" w:rsidR="00B0511A" w:rsidRDefault="00B0511A" w:rsidP="00B0511A">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0CB69578" w14:textId="77777777" w:rsidR="00B0511A" w:rsidRDefault="00B0511A" w:rsidP="00B0511A">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5390C760" w14:textId="77777777" w:rsidR="00B0511A" w:rsidRDefault="00B0511A" w:rsidP="00B0511A">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43DA336" w14:textId="77777777" w:rsidR="00B0511A" w:rsidRDefault="00B0511A" w:rsidP="00B0511A">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BAB39B0" w14:textId="77777777" w:rsidR="00B0511A" w:rsidRDefault="00B0511A" w:rsidP="00B0511A">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72D10481" w14:textId="77777777" w:rsidR="00B0511A" w:rsidRDefault="00B0511A" w:rsidP="00B0511A">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57A6B489" w14:textId="77777777" w:rsidR="00B0511A" w:rsidRDefault="00B0511A" w:rsidP="00B0511A">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3168C65C" w14:textId="77777777" w:rsidR="00B0511A" w:rsidRDefault="00B0511A" w:rsidP="00B0511A">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B8E820E" w14:textId="77777777" w:rsidR="00B0511A" w:rsidRDefault="00B0511A" w:rsidP="00B0511A">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45200344" w14:textId="77777777" w:rsidR="00B0511A" w:rsidRDefault="00B0511A" w:rsidP="00B0511A">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82A19AC" w14:textId="77777777" w:rsidR="00B0511A" w:rsidRDefault="00B0511A" w:rsidP="00B0511A">
              <w:pPr>
                <w:pStyle w:val="Bibliography"/>
                <w:ind w:left="720" w:hanging="720"/>
                <w:rPr>
                  <w:noProof/>
                  <w:lang w:val="en-US"/>
                </w:rPr>
              </w:pPr>
              <w:r>
                <w:rPr>
                  <w:noProof/>
                  <w:lang w:val="en-US"/>
                </w:rPr>
                <w:t>IMF. (2018, 4 1). World Economic Outlook Database April 2018.</w:t>
              </w:r>
            </w:p>
            <w:p w14:paraId="0227D0C0" w14:textId="77777777" w:rsidR="00B0511A" w:rsidRDefault="00B0511A" w:rsidP="00B0511A">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4C801391" w14:textId="77777777" w:rsidR="00B0511A" w:rsidRDefault="00B0511A" w:rsidP="00B0511A">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687B75E5" w14:textId="77777777" w:rsidR="00B0511A" w:rsidRDefault="00B0511A" w:rsidP="00B0511A">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6366C953" w14:textId="77777777" w:rsidR="00B0511A" w:rsidRDefault="00B0511A" w:rsidP="00B0511A">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79466E02" w14:textId="77777777" w:rsidR="00B0511A" w:rsidRDefault="00B0511A" w:rsidP="00B0511A">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1DF74268" w14:textId="77777777" w:rsidR="00B0511A" w:rsidRDefault="00B0511A" w:rsidP="00B0511A">
              <w:pPr>
                <w:pStyle w:val="Bibliography"/>
                <w:ind w:left="720" w:hanging="720"/>
                <w:rPr>
                  <w:noProof/>
                  <w:lang w:val="en-US"/>
                </w:rPr>
              </w:pPr>
              <w:r>
                <w:rPr>
                  <w:noProof/>
                  <w:lang w:val="en-US"/>
                </w:rPr>
                <w:lastRenderedPageBreak/>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31BB570A" w14:textId="77777777" w:rsidR="00B0511A" w:rsidRDefault="00B0511A" w:rsidP="00B0511A">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7B06EA81" w14:textId="77777777" w:rsidR="00B0511A" w:rsidRDefault="00B0511A" w:rsidP="00B0511A">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535F48D4" w14:textId="77777777" w:rsidR="00B0511A" w:rsidRDefault="00B0511A" w:rsidP="00B0511A">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0979D180" w14:textId="77777777" w:rsidR="00B0511A" w:rsidRDefault="00B0511A" w:rsidP="00B0511A">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2166BEDE" w14:textId="77777777" w:rsidR="00B0511A" w:rsidRDefault="00B0511A" w:rsidP="00B0511A">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7DB51A4B" w14:textId="77777777" w:rsidR="00B0511A" w:rsidRDefault="00B0511A" w:rsidP="00B0511A">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27BEB2AC" w14:textId="77777777" w:rsidR="00B0511A" w:rsidRDefault="00B0511A" w:rsidP="00B0511A">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59D93B09" w14:textId="77777777" w:rsidR="00B0511A" w:rsidRDefault="00B0511A" w:rsidP="00B0511A">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DBABE34" w14:textId="77777777" w:rsidR="00B0511A" w:rsidRDefault="00B0511A" w:rsidP="00B0511A">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01FCD5A" w14:textId="77777777" w:rsidR="00B0511A" w:rsidRDefault="00B0511A" w:rsidP="00B0511A">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5F159DEE" w14:textId="77777777" w:rsidR="00B0511A" w:rsidRDefault="00B0511A" w:rsidP="00B0511A">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5B58A20E" w14:textId="77777777" w:rsidR="00B0511A" w:rsidRDefault="00B0511A" w:rsidP="00B0511A">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724DDF34" w14:textId="77777777" w:rsidR="00B0511A" w:rsidRDefault="00B0511A" w:rsidP="00B0511A">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3078D237" w14:textId="77777777" w:rsidR="00B0511A" w:rsidRDefault="00B0511A" w:rsidP="00B0511A">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625596E" w14:textId="77777777" w:rsidR="00B0511A" w:rsidRDefault="00B0511A" w:rsidP="00B0511A">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01E49573" w14:textId="77777777" w:rsidR="00B0511A" w:rsidRDefault="00B0511A" w:rsidP="00B0511A">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39461101" w14:textId="77777777" w:rsidR="00B0511A" w:rsidRDefault="00B0511A" w:rsidP="00B0511A">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0071DFE" w14:textId="77777777" w:rsidR="00B0511A" w:rsidRDefault="00B0511A" w:rsidP="00B0511A">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3C1686D2" w14:textId="77777777" w:rsidR="00B0511A" w:rsidRDefault="00B0511A" w:rsidP="00B0511A">
              <w:pPr>
                <w:pStyle w:val="Bibliography"/>
                <w:ind w:left="720" w:hanging="720"/>
                <w:rPr>
                  <w:noProof/>
                  <w:lang w:val="en-US"/>
                </w:rPr>
              </w:pPr>
              <w:r>
                <w:rPr>
                  <w:noProof/>
                  <w:lang w:val="en-US"/>
                </w:rPr>
                <w:lastRenderedPageBreak/>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473EEF32" w14:textId="77777777" w:rsidR="00B0511A" w:rsidRDefault="00B0511A" w:rsidP="00B0511A">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B0511A">
              <w:pPr>
                <w:spacing w:line="276" w:lineRule="auto"/>
                <w:rPr>
                  <w:rFonts w:ascii="Arial" w:hAnsi="Arial" w:cs="Arial"/>
                </w:rPr>
              </w:pPr>
              <w:r w:rsidRPr="00971D6E">
                <w:rPr>
                  <w:rFonts w:ascii="Arial" w:hAnsi="Arial" w:cs="Arial"/>
                  <w:b/>
                  <w:bCs/>
                  <w:noProof/>
                </w:rPr>
                <w:fldChar w:fldCharType="end"/>
              </w:r>
            </w:p>
          </w:sdtContent>
        </w:sdt>
      </w:sdtContent>
    </w:sdt>
    <w:p w14:paraId="50176EB7" w14:textId="77777777" w:rsidR="00197ED7" w:rsidRDefault="00197ED7">
      <w:pPr>
        <w:rPr>
          <w:rFonts w:ascii="Arial" w:eastAsiaTheme="majorEastAsia" w:hAnsi="Arial" w:cs="Arial"/>
          <w:color w:val="2E74B5" w:themeColor="accent1" w:themeShade="BF"/>
          <w:sz w:val="32"/>
          <w:szCs w:val="32"/>
          <w:lang w:val="en-US"/>
        </w:rPr>
      </w:pPr>
      <w:r>
        <w:rPr>
          <w:rFonts w:ascii="Arial" w:hAnsi="Arial" w:cs="Arial"/>
        </w:rPr>
        <w:br w:type="page"/>
      </w:r>
    </w:p>
    <w:p w14:paraId="188D0B23" w14:textId="09D1C8F7" w:rsidR="00197ED7" w:rsidRDefault="00197ED7" w:rsidP="00197ED7">
      <w:pPr>
        <w:pStyle w:val="Heading1"/>
        <w:rPr>
          <w:rFonts w:ascii="Arial" w:hAnsi="Arial" w:cs="Arial"/>
        </w:rPr>
      </w:pPr>
      <w:r>
        <w:rPr>
          <w:rFonts w:ascii="Arial" w:hAnsi="Arial" w:cs="Arial"/>
        </w:rPr>
        <w:lastRenderedPageBreak/>
        <w:t>Appendix A</w:t>
      </w:r>
    </w:p>
    <w:tbl>
      <w:tblPr>
        <w:tblW w:w="8040" w:type="dxa"/>
        <w:tblLook w:val="04A0" w:firstRow="1" w:lastRow="0" w:firstColumn="1" w:lastColumn="0" w:noHBand="0" w:noVBand="1"/>
      </w:tblPr>
      <w:tblGrid>
        <w:gridCol w:w="1040"/>
        <w:gridCol w:w="4460"/>
        <w:gridCol w:w="1300"/>
        <w:gridCol w:w="1240"/>
      </w:tblGrid>
      <w:tr w:rsidR="00197ED7" w14:paraId="49DA71CE"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5F105B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Indices</w:t>
            </w:r>
          </w:p>
        </w:tc>
        <w:tc>
          <w:tcPr>
            <w:tcW w:w="4460" w:type="dxa"/>
            <w:tcBorders>
              <w:top w:val="nil"/>
              <w:left w:val="nil"/>
              <w:bottom w:val="single" w:sz="4" w:space="0" w:color="auto"/>
              <w:right w:val="nil"/>
            </w:tcBorders>
            <w:shd w:val="clear" w:color="auto" w:fill="FFFFFF"/>
            <w:noWrap/>
            <w:vAlign w:val="bottom"/>
            <w:hideMark/>
          </w:tcPr>
          <w:p w14:paraId="3A7553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Copula Family</w:t>
            </w:r>
          </w:p>
        </w:tc>
        <w:tc>
          <w:tcPr>
            <w:tcW w:w="1300" w:type="dxa"/>
            <w:tcBorders>
              <w:top w:val="nil"/>
              <w:left w:val="nil"/>
              <w:bottom w:val="single" w:sz="4" w:space="0" w:color="auto"/>
              <w:right w:val="nil"/>
            </w:tcBorders>
            <w:shd w:val="clear" w:color="auto" w:fill="FFFFFF"/>
            <w:noWrap/>
            <w:vAlign w:val="bottom"/>
            <w:hideMark/>
          </w:tcPr>
          <w:p w14:paraId="41FF6F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Param1</w:t>
            </w:r>
          </w:p>
        </w:tc>
        <w:tc>
          <w:tcPr>
            <w:tcW w:w="1240" w:type="dxa"/>
            <w:tcBorders>
              <w:top w:val="nil"/>
              <w:left w:val="nil"/>
              <w:bottom w:val="single" w:sz="4" w:space="0" w:color="auto"/>
              <w:right w:val="nil"/>
            </w:tcBorders>
            <w:shd w:val="clear" w:color="auto" w:fill="FFFFFF"/>
            <w:noWrap/>
            <w:vAlign w:val="bottom"/>
            <w:hideMark/>
          </w:tcPr>
          <w:p w14:paraId="7F6111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Param2</w:t>
            </w:r>
          </w:p>
        </w:tc>
      </w:tr>
      <w:tr w:rsidR="00197ED7" w14:paraId="66B5E33B" w14:textId="77777777" w:rsidTr="005F3D88">
        <w:trPr>
          <w:trHeight w:val="288"/>
        </w:trPr>
        <w:tc>
          <w:tcPr>
            <w:tcW w:w="1040" w:type="dxa"/>
            <w:shd w:val="clear" w:color="auto" w:fill="FFFFFF"/>
            <w:noWrap/>
            <w:vAlign w:val="bottom"/>
            <w:hideMark/>
          </w:tcPr>
          <w:p w14:paraId="5C4CD7C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I</w:t>
            </w:r>
          </w:p>
        </w:tc>
        <w:tc>
          <w:tcPr>
            <w:tcW w:w="4460" w:type="dxa"/>
            <w:shd w:val="clear" w:color="auto" w:fill="FFFFFF"/>
            <w:noWrap/>
            <w:vAlign w:val="bottom"/>
            <w:hideMark/>
          </w:tcPr>
          <w:p w14:paraId="0AFFF03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7AF944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0.403920025</w:t>
            </w:r>
          </w:p>
        </w:tc>
        <w:tc>
          <w:tcPr>
            <w:tcW w:w="1240" w:type="dxa"/>
            <w:shd w:val="clear" w:color="auto" w:fill="FFFFFF"/>
            <w:noWrap/>
            <w:vAlign w:val="bottom"/>
            <w:hideMark/>
          </w:tcPr>
          <w:p w14:paraId="45D7110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E3926F5" w14:textId="77777777" w:rsidTr="005F3D88">
        <w:trPr>
          <w:trHeight w:val="288"/>
        </w:trPr>
        <w:tc>
          <w:tcPr>
            <w:tcW w:w="1040" w:type="dxa"/>
            <w:shd w:val="clear" w:color="auto" w:fill="FFFFFF"/>
            <w:noWrap/>
            <w:vAlign w:val="bottom"/>
            <w:hideMark/>
          </w:tcPr>
          <w:p w14:paraId="6ADB41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B R</w:t>
            </w:r>
          </w:p>
        </w:tc>
        <w:tc>
          <w:tcPr>
            <w:tcW w:w="4460" w:type="dxa"/>
            <w:shd w:val="clear" w:color="auto" w:fill="FFFFFF"/>
            <w:noWrap/>
            <w:vAlign w:val="bottom"/>
            <w:hideMark/>
          </w:tcPr>
          <w:p w14:paraId="786D8B8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8E3F1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0.030603436</w:t>
            </w:r>
          </w:p>
        </w:tc>
        <w:tc>
          <w:tcPr>
            <w:tcW w:w="1240" w:type="dxa"/>
            <w:shd w:val="clear" w:color="auto" w:fill="FFFFFF"/>
            <w:noWrap/>
            <w:vAlign w:val="bottom"/>
            <w:hideMark/>
          </w:tcPr>
          <w:p w14:paraId="751629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14.47559428</w:t>
            </w:r>
          </w:p>
        </w:tc>
      </w:tr>
      <w:tr w:rsidR="00197ED7" w14:paraId="0B9CE6D5" w14:textId="77777777" w:rsidTr="005F3D88">
        <w:trPr>
          <w:trHeight w:val="288"/>
        </w:trPr>
        <w:tc>
          <w:tcPr>
            <w:tcW w:w="1040" w:type="dxa"/>
            <w:shd w:val="clear" w:color="auto" w:fill="FFFFFF"/>
            <w:noWrap/>
            <w:vAlign w:val="bottom"/>
            <w:hideMark/>
          </w:tcPr>
          <w:p w14:paraId="2198738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F</w:t>
            </w:r>
          </w:p>
        </w:tc>
        <w:tc>
          <w:tcPr>
            <w:tcW w:w="4460" w:type="dxa"/>
            <w:shd w:val="clear" w:color="auto" w:fill="FFFFFF"/>
            <w:noWrap/>
            <w:vAlign w:val="bottom"/>
            <w:hideMark/>
          </w:tcPr>
          <w:p w14:paraId="7094B28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Bb8 Copula (180 Degrees; “survival Bb8”)</w:t>
            </w:r>
          </w:p>
        </w:tc>
        <w:tc>
          <w:tcPr>
            <w:tcW w:w="1300" w:type="dxa"/>
            <w:shd w:val="clear" w:color="auto" w:fill="FFFFFF"/>
            <w:noWrap/>
            <w:vAlign w:val="bottom"/>
            <w:hideMark/>
          </w:tcPr>
          <w:p w14:paraId="1391862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1.11884267</w:t>
            </w:r>
          </w:p>
        </w:tc>
        <w:tc>
          <w:tcPr>
            <w:tcW w:w="1240" w:type="dxa"/>
            <w:shd w:val="clear" w:color="auto" w:fill="FFFFFF"/>
            <w:noWrap/>
            <w:vAlign w:val="bottom"/>
            <w:hideMark/>
          </w:tcPr>
          <w:p w14:paraId="50D4B7D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0.932875171</w:t>
            </w:r>
          </w:p>
        </w:tc>
      </w:tr>
      <w:tr w:rsidR="00197ED7" w14:paraId="129BBD78" w14:textId="77777777" w:rsidTr="005F3D88">
        <w:trPr>
          <w:trHeight w:val="288"/>
        </w:trPr>
        <w:tc>
          <w:tcPr>
            <w:tcW w:w="1040" w:type="dxa"/>
            <w:shd w:val="clear" w:color="auto" w:fill="FFFFFF"/>
            <w:noWrap/>
            <w:vAlign w:val="bottom"/>
            <w:hideMark/>
          </w:tcPr>
          <w:p w14:paraId="1D5030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I</w:t>
            </w:r>
          </w:p>
        </w:tc>
        <w:tc>
          <w:tcPr>
            <w:tcW w:w="4460" w:type="dxa"/>
            <w:shd w:val="clear" w:color="auto" w:fill="FFFFFF"/>
            <w:noWrap/>
            <w:vAlign w:val="bottom"/>
            <w:hideMark/>
          </w:tcPr>
          <w:p w14:paraId="2859D94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9F17A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0.089196284</w:t>
            </w:r>
          </w:p>
        </w:tc>
        <w:tc>
          <w:tcPr>
            <w:tcW w:w="1240" w:type="dxa"/>
            <w:shd w:val="clear" w:color="auto" w:fill="FFFFFF"/>
            <w:noWrap/>
            <w:vAlign w:val="bottom"/>
            <w:hideMark/>
          </w:tcPr>
          <w:p w14:paraId="60009D3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D546B85" w14:textId="77777777" w:rsidTr="005F3D88">
        <w:trPr>
          <w:trHeight w:val="288"/>
        </w:trPr>
        <w:tc>
          <w:tcPr>
            <w:tcW w:w="1040" w:type="dxa"/>
            <w:shd w:val="clear" w:color="auto" w:fill="FFFFFF"/>
            <w:noWrap/>
            <w:vAlign w:val="bottom"/>
            <w:hideMark/>
          </w:tcPr>
          <w:p w14:paraId="7BC055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C R</w:t>
            </w:r>
          </w:p>
        </w:tc>
        <w:tc>
          <w:tcPr>
            <w:tcW w:w="4460" w:type="dxa"/>
            <w:shd w:val="clear" w:color="auto" w:fill="FFFFFF"/>
            <w:noWrap/>
            <w:vAlign w:val="bottom"/>
            <w:hideMark/>
          </w:tcPr>
          <w:p w14:paraId="1C9AE0B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CAC82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0.645094952</w:t>
            </w:r>
          </w:p>
        </w:tc>
        <w:tc>
          <w:tcPr>
            <w:tcW w:w="1240" w:type="dxa"/>
            <w:shd w:val="clear" w:color="auto" w:fill="FFFFFF"/>
            <w:noWrap/>
            <w:vAlign w:val="bottom"/>
            <w:hideMark/>
          </w:tcPr>
          <w:p w14:paraId="0126EC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053296" w14:textId="77777777" w:rsidTr="005F3D88">
        <w:trPr>
          <w:trHeight w:val="288"/>
        </w:trPr>
        <w:tc>
          <w:tcPr>
            <w:tcW w:w="1040" w:type="dxa"/>
            <w:shd w:val="clear" w:color="auto" w:fill="FFFFFF"/>
            <w:noWrap/>
            <w:vAlign w:val="bottom"/>
            <w:hideMark/>
          </w:tcPr>
          <w:p w14:paraId="3AAD9F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F</w:t>
            </w:r>
          </w:p>
        </w:tc>
        <w:tc>
          <w:tcPr>
            <w:tcW w:w="4460" w:type="dxa"/>
            <w:shd w:val="clear" w:color="auto" w:fill="FFFFFF"/>
            <w:noWrap/>
            <w:vAlign w:val="bottom"/>
            <w:hideMark/>
          </w:tcPr>
          <w:p w14:paraId="31DBB33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Bb1 Copula</w:t>
            </w:r>
          </w:p>
        </w:tc>
        <w:tc>
          <w:tcPr>
            <w:tcW w:w="1300" w:type="dxa"/>
            <w:shd w:val="clear" w:color="auto" w:fill="FFFFFF"/>
            <w:noWrap/>
            <w:vAlign w:val="bottom"/>
            <w:hideMark/>
          </w:tcPr>
          <w:p w14:paraId="5477001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0.080271125</w:t>
            </w:r>
          </w:p>
        </w:tc>
        <w:tc>
          <w:tcPr>
            <w:tcW w:w="1240" w:type="dxa"/>
            <w:shd w:val="clear" w:color="auto" w:fill="FFFFFF"/>
            <w:noWrap/>
            <w:vAlign w:val="bottom"/>
            <w:hideMark/>
          </w:tcPr>
          <w:p w14:paraId="744BA4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1.053000587</w:t>
            </w:r>
          </w:p>
        </w:tc>
      </w:tr>
      <w:tr w:rsidR="00197ED7" w14:paraId="64BE6787" w14:textId="77777777" w:rsidTr="005F3D88">
        <w:trPr>
          <w:trHeight w:val="288"/>
        </w:trPr>
        <w:tc>
          <w:tcPr>
            <w:tcW w:w="1040" w:type="dxa"/>
            <w:shd w:val="clear" w:color="auto" w:fill="FFFFFF"/>
            <w:noWrap/>
            <w:vAlign w:val="bottom"/>
            <w:hideMark/>
          </w:tcPr>
          <w:p w14:paraId="037272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F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58A4E8B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980F7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1.03732215</w:t>
            </w:r>
          </w:p>
        </w:tc>
        <w:tc>
          <w:tcPr>
            <w:tcW w:w="1240" w:type="dxa"/>
            <w:shd w:val="clear" w:color="auto" w:fill="FFFFFF"/>
            <w:noWrap/>
            <w:vAlign w:val="bottom"/>
            <w:hideMark/>
          </w:tcPr>
          <w:p w14:paraId="73AA3B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BAC8D50" w14:textId="77777777" w:rsidTr="005F3D88">
        <w:trPr>
          <w:trHeight w:val="288"/>
        </w:trPr>
        <w:tc>
          <w:tcPr>
            <w:tcW w:w="1040" w:type="dxa"/>
            <w:shd w:val="clear" w:color="auto" w:fill="FFFFFF"/>
            <w:noWrap/>
            <w:vAlign w:val="bottom"/>
            <w:hideMark/>
          </w:tcPr>
          <w:p w14:paraId="779690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I R</w:t>
            </w:r>
          </w:p>
        </w:tc>
        <w:tc>
          <w:tcPr>
            <w:tcW w:w="4460" w:type="dxa"/>
            <w:shd w:val="clear" w:color="auto" w:fill="FFFFFF"/>
            <w:noWrap/>
            <w:vAlign w:val="bottom"/>
            <w:hideMark/>
          </w:tcPr>
          <w:p w14:paraId="662D36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6F89CF6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-0.07725637</w:t>
            </w:r>
          </w:p>
        </w:tc>
        <w:tc>
          <w:tcPr>
            <w:tcW w:w="1240" w:type="dxa"/>
            <w:shd w:val="clear" w:color="auto" w:fill="FFFFFF"/>
            <w:noWrap/>
            <w:vAlign w:val="bottom"/>
            <w:hideMark/>
          </w:tcPr>
          <w:p w14:paraId="14E6F75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272EAF" w14:textId="77777777" w:rsidTr="005F3D88">
        <w:trPr>
          <w:trHeight w:val="288"/>
        </w:trPr>
        <w:tc>
          <w:tcPr>
            <w:tcW w:w="1040" w:type="dxa"/>
            <w:shd w:val="clear" w:color="auto" w:fill="FFFFFF"/>
            <w:noWrap/>
            <w:vAlign w:val="bottom"/>
            <w:hideMark/>
          </w:tcPr>
          <w:p w14:paraId="25B630C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F</w:t>
            </w:r>
          </w:p>
        </w:tc>
        <w:tc>
          <w:tcPr>
            <w:tcW w:w="4460" w:type="dxa"/>
            <w:shd w:val="clear" w:color="auto" w:fill="FFFFFF"/>
            <w:noWrap/>
            <w:vAlign w:val="bottom"/>
            <w:hideMark/>
          </w:tcPr>
          <w:p w14:paraId="597AC9F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6A2E9F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0.002086074</w:t>
            </w:r>
          </w:p>
        </w:tc>
        <w:tc>
          <w:tcPr>
            <w:tcW w:w="1240" w:type="dxa"/>
            <w:shd w:val="clear" w:color="auto" w:fill="FFFFFF"/>
            <w:noWrap/>
            <w:vAlign w:val="bottom"/>
            <w:hideMark/>
          </w:tcPr>
          <w:p w14:paraId="42F75F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24.61601211</w:t>
            </w:r>
          </w:p>
        </w:tc>
      </w:tr>
      <w:tr w:rsidR="00197ED7" w14:paraId="6B47B0C4" w14:textId="77777777" w:rsidTr="005F3D88">
        <w:trPr>
          <w:trHeight w:val="288"/>
        </w:trPr>
        <w:tc>
          <w:tcPr>
            <w:tcW w:w="1040" w:type="dxa"/>
            <w:shd w:val="clear" w:color="auto" w:fill="FFFFFF"/>
            <w:noWrap/>
            <w:vAlign w:val="bottom"/>
            <w:hideMark/>
          </w:tcPr>
          <w:p w14:paraId="2536BC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R I</w:t>
            </w:r>
          </w:p>
        </w:tc>
        <w:tc>
          <w:tcPr>
            <w:tcW w:w="4460" w:type="dxa"/>
            <w:shd w:val="clear" w:color="auto" w:fill="FFFFFF"/>
            <w:noWrap/>
            <w:vAlign w:val="bottom"/>
            <w:hideMark/>
          </w:tcPr>
          <w:p w14:paraId="3FEB4F6D"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4152CD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1.246222193</w:t>
            </w:r>
          </w:p>
        </w:tc>
        <w:tc>
          <w:tcPr>
            <w:tcW w:w="1240" w:type="dxa"/>
            <w:shd w:val="clear" w:color="auto" w:fill="FFFFFF"/>
            <w:noWrap/>
            <w:vAlign w:val="bottom"/>
            <w:hideMark/>
          </w:tcPr>
          <w:p w14:paraId="20B217C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0.030254288</w:t>
            </w:r>
          </w:p>
        </w:tc>
      </w:tr>
      <w:tr w:rsidR="00197ED7" w14:paraId="216EDC12" w14:textId="77777777" w:rsidTr="005F3D88">
        <w:trPr>
          <w:trHeight w:val="288"/>
        </w:trPr>
        <w:tc>
          <w:tcPr>
            <w:tcW w:w="1040" w:type="dxa"/>
            <w:shd w:val="clear" w:color="auto" w:fill="FFFFFF"/>
            <w:noWrap/>
            <w:vAlign w:val="bottom"/>
            <w:hideMark/>
          </w:tcPr>
          <w:p w14:paraId="3855503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BF3B9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013FA1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0.199508218</w:t>
            </w:r>
          </w:p>
        </w:tc>
        <w:tc>
          <w:tcPr>
            <w:tcW w:w="1240" w:type="dxa"/>
            <w:shd w:val="clear" w:color="auto" w:fill="FFFFFF"/>
            <w:noWrap/>
            <w:vAlign w:val="bottom"/>
            <w:hideMark/>
          </w:tcPr>
          <w:p w14:paraId="696D4E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1924F27" w14:textId="77777777" w:rsidTr="005F3D88">
        <w:trPr>
          <w:trHeight w:val="288"/>
        </w:trPr>
        <w:tc>
          <w:tcPr>
            <w:tcW w:w="1040" w:type="dxa"/>
            <w:shd w:val="clear" w:color="auto" w:fill="FFFFFF"/>
            <w:noWrap/>
            <w:vAlign w:val="bottom"/>
            <w:hideMark/>
          </w:tcPr>
          <w:p w14:paraId="34FD66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F</w:t>
            </w:r>
          </w:p>
        </w:tc>
        <w:tc>
          <w:tcPr>
            <w:tcW w:w="4460" w:type="dxa"/>
            <w:shd w:val="clear" w:color="auto" w:fill="FFFFFF"/>
            <w:noWrap/>
            <w:vAlign w:val="bottom"/>
            <w:hideMark/>
          </w:tcPr>
          <w:p w14:paraId="786510E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846B7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0.202117017</w:t>
            </w:r>
          </w:p>
        </w:tc>
        <w:tc>
          <w:tcPr>
            <w:tcW w:w="1240" w:type="dxa"/>
            <w:shd w:val="clear" w:color="auto" w:fill="FFFFFF"/>
            <w:noWrap/>
            <w:vAlign w:val="bottom"/>
            <w:hideMark/>
          </w:tcPr>
          <w:p w14:paraId="2BF6AE8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72A25E7" w14:textId="77777777" w:rsidTr="005F3D88">
        <w:trPr>
          <w:trHeight w:val="288"/>
        </w:trPr>
        <w:tc>
          <w:tcPr>
            <w:tcW w:w="1040" w:type="dxa"/>
            <w:shd w:val="clear" w:color="auto" w:fill="FFFFFF"/>
            <w:noWrap/>
            <w:vAlign w:val="bottom"/>
            <w:hideMark/>
          </w:tcPr>
          <w:p w14:paraId="54F36A6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I</w:t>
            </w:r>
          </w:p>
        </w:tc>
        <w:tc>
          <w:tcPr>
            <w:tcW w:w="4460" w:type="dxa"/>
            <w:shd w:val="clear" w:color="auto" w:fill="FFFFFF"/>
            <w:noWrap/>
            <w:vAlign w:val="bottom"/>
            <w:hideMark/>
          </w:tcPr>
          <w:p w14:paraId="1945C6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 (180 Degrees)</w:t>
            </w:r>
          </w:p>
        </w:tc>
        <w:tc>
          <w:tcPr>
            <w:tcW w:w="1300" w:type="dxa"/>
            <w:shd w:val="clear" w:color="auto" w:fill="FFFFFF"/>
            <w:noWrap/>
            <w:vAlign w:val="bottom"/>
            <w:hideMark/>
          </w:tcPr>
          <w:p w14:paraId="24CD1D9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1.235167256</w:t>
            </w:r>
          </w:p>
        </w:tc>
        <w:tc>
          <w:tcPr>
            <w:tcW w:w="1240" w:type="dxa"/>
            <w:shd w:val="clear" w:color="auto" w:fill="FFFFFF"/>
            <w:noWrap/>
            <w:vAlign w:val="bottom"/>
            <w:hideMark/>
          </w:tcPr>
          <w:p w14:paraId="6BF453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0.305559754</w:t>
            </w:r>
          </w:p>
        </w:tc>
      </w:tr>
      <w:tr w:rsidR="00197ED7" w14:paraId="53F83040" w14:textId="77777777" w:rsidTr="005F3D88">
        <w:trPr>
          <w:trHeight w:val="288"/>
        </w:trPr>
        <w:tc>
          <w:tcPr>
            <w:tcW w:w="1040" w:type="dxa"/>
            <w:shd w:val="clear" w:color="auto" w:fill="FFFFFF"/>
            <w:noWrap/>
            <w:vAlign w:val="bottom"/>
            <w:hideMark/>
          </w:tcPr>
          <w:p w14:paraId="46FCC1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F and S R</w:t>
            </w:r>
          </w:p>
        </w:tc>
        <w:tc>
          <w:tcPr>
            <w:tcW w:w="4460" w:type="dxa"/>
            <w:shd w:val="clear" w:color="auto" w:fill="FFFFFF"/>
            <w:noWrap/>
            <w:vAlign w:val="bottom"/>
            <w:hideMark/>
          </w:tcPr>
          <w:p w14:paraId="698C706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BC220E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0.376102886</w:t>
            </w:r>
          </w:p>
        </w:tc>
        <w:tc>
          <w:tcPr>
            <w:tcW w:w="1240" w:type="dxa"/>
            <w:shd w:val="clear" w:color="auto" w:fill="FFFFFF"/>
            <w:noWrap/>
            <w:vAlign w:val="bottom"/>
            <w:hideMark/>
          </w:tcPr>
          <w:p w14:paraId="7175EC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8.286966777</w:t>
            </w:r>
          </w:p>
        </w:tc>
      </w:tr>
      <w:tr w:rsidR="00197ED7" w14:paraId="337D1B89" w14:textId="77777777" w:rsidTr="005F3D88">
        <w:trPr>
          <w:trHeight w:val="288"/>
        </w:trPr>
        <w:tc>
          <w:tcPr>
            <w:tcW w:w="1040" w:type="dxa"/>
            <w:shd w:val="clear" w:color="auto" w:fill="FFFFFF"/>
            <w:noWrap/>
            <w:vAlign w:val="bottom"/>
            <w:hideMark/>
          </w:tcPr>
          <w:p w14:paraId="735FEA1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B R</w:t>
            </w:r>
          </w:p>
        </w:tc>
        <w:tc>
          <w:tcPr>
            <w:tcW w:w="4460" w:type="dxa"/>
            <w:shd w:val="clear" w:color="auto" w:fill="FFFFFF"/>
            <w:noWrap/>
            <w:vAlign w:val="bottom"/>
            <w:hideMark/>
          </w:tcPr>
          <w:p w14:paraId="41A3F1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974E5F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0.044355553</w:t>
            </w:r>
          </w:p>
        </w:tc>
        <w:tc>
          <w:tcPr>
            <w:tcW w:w="1240" w:type="dxa"/>
            <w:shd w:val="clear" w:color="auto" w:fill="FFFFFF"/>
            <w:noWrap/>
            <w:vAlign w:val="bottom"/>
            <w:hideMark/>
          </w:tcPr>
          <w:p w14:paraId="24A6F1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F917CD" w14:textId="77777777" w:rsidTr="005F3D88">
        <w:trPr>
          <w:trHeight w:val="288"/>
        </w:trPr>
        <w:tc>
          <w:tcPr>
            <w:tcW w:w="1040" w:type="dxa"/>
            <w:shd w:val="clear" w:color="auto" w:fill="FFFFFF"/>
            <w:noWrap/>
            <w:vAlign w:val="bottom"/>
            <w:hideMark/>
          </w:tcPr>
          <w:p w14:paraId="6196387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F</w:t>
            </w:r>
          </w:p>
        </w:tc>
        <w:tc>
          <w:tcPr>
            <w:tcW w:w="4460" w:type="dxa"/>
            <w:shd w:val="clear" w:color="auto" w:fill="FFFFFF"/>
            <w:noWrap/>
            <w:vAlign w:val="bottom"/>
            <w:hideMark/>
          </w:tcPr>
          <w:p w14:paraId="5B0174C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61E951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-1.011923726</w:t>
            </w:r>
          </w:p>
        </w:tc>
        <w:tc>
          <w:tcPr>
            <w:tcW w:w="1240" w:type="dxa"/>
            <w:shd w:val="clear" w:color="auto" w:fill="FFFFFF"/>
            <w:noWrap/>
            <w:vAlign w:val="bottom"/>
            <w:hideMark/>
          </w:tcPr>
          <w:p w14:paraId="4EF6F3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177DEF9" w14:textId="77777777" w:rsidTr="005F3D88">
        <w:trPr>
          <w:trHeight w:val="288"/>
        </w:trPr>
        <w:tc>
          <w:tcPr>
            <w:tcW w:w="1040" w:type="dxa"/>
            <w:shd w:val="clear" w:color="auto" w:fill="FFFFFF"/>
            <w:noWrap/>
            <w:vAlign w:val="bottom"/>
            <w:hideMark/>
          </w:tcPr>
          <w:p w14:paraId="5912F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I</w:t>
            </w:r>
          </w:p>
        </w:tc>
        <w:tc>
          <w:tcPr>
            <w:tcW w:w="4460" w:type="dxa"/>
            <w:shd w:val="clear" w:color="auto" w:fill="FFFFFF"/>
            <w:noWrap/>
            <w:vAlign w:val="bottom"/>
            <w:hideMark/>
          </w:tcPr>
          <w:p w14:paraId="478B57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7B31B0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0.036834099</w:t>
            </w:r>
          </w:p>
        </w:tc>
        <w:tc>
          <w:tcPr>
            <w:tcW w:w="1240" w:type="dxa"/>
            <w:shd w:val="clear" w:color="auto" w:fill="FFFFFF"/>
            <w:noWrap/>
            <w:vAlign w:val="bottom"/>
            <w:hideMark/>
          </w:tcPr>
          <w:p w14:paraId="3D1FA13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E358A6" w14:textId="77777777" w:rsidTr="005F3D88">
        <w:trPr>
          <w:trHeight w:val="288"/>
        </w:trPr>
        <w:tc>
          <w:tcPr>
            <w:tcW w:w="1040" w:type="dxa"/>
            <w:shd w:val="clear" w:color="auto" w:fill="FFFFFF"/>
            <w:noWrap/>
            <w:vAlign w:val="bottom"/>
            <w:hideMark/>
          </w:tcPr>
          <w:p w14:paraId="6EB1A7D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C R</w:t>
            </w:r>
          </w:p>
        </w:tc>
        <w:tc>
          <w:tcPr>
            <w:tcW w:w="4460" w:type="dxa"/>
            <w:shd w:val="clear" w:color="auto" w:fill="FFFFFF"/>
            <w:noWrap/>
            <w:vAlign w:val="bottom"/>
            <w:hideMark/>
          </w:tcPr>
          <w:p w14:paraId="30808B1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(180 Degrees; “survival Clayton”)</w:t>
            </w:r>
          </w:p>
        </w:tc>
        <w:tc>
          <w:tcPr>
            <w:tcW w:w="1300" w:type="dxa"/>
            <w:shd w:val="clear" w:color="auto" w:fill="FFFFFF"/>
            <w:noWrap/>
            <w:vAlign w:val="bottom"/>
            <w:hideMark/>
          </w:tcPr>
          <w:p w14:paraId="4E65E32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0.021582103</w:t>
            </w:r>
          </w:p>
        </w:tc>
        <w:tc>
          <w:tcPr>
            <w:tcW w:w="1240" w:type="dxa"/>
            <w:shd w:val="clear" w:color="auto" w:fill="FFFFFF"/>
            <w:noWrap/>
            <w:vAlign w:val="bottom"/>
            <w:hideMark/>
          </w:tcPr>
          <w:p w14:paraId="35C72BA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AACDF38" w14:textId="77777777" w:rsidTr="005F3D88">
        <w:trPr>
          <w:trHeight w:val="288"/>
        </w:trPr>
        <w:tc>
          <w:tcPr>
            <w:tcW w:w="1040" w:type="dxa"/>
            <w:shd w:val="clear" w:color="auto" w:fill="FFFFFF"/>
            <w:noWrap/>
            <w:vAlign w:val="bottom"/>
            <w:hideMark/>
          </w:tcPr>
          <w:p w14:paraId="10CCB91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F</w:t>
            </w:r>
          </w:p>
        </w:tc>
        <w:tc>
          <w:tcPr>
            <w:tcW w:w="4460" w:type="dxa"/>
            <w:shd w:val="clear" w:color="auto" w:fill="FFFFFF"/>
            <w:noWrap/>
            <w:vAlign w:val="bottom"/>
            <w:hideMark/>
          </w:tcPr>
          <w:p w14:paraId="18E65B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584134C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0.025240385</w:t>
            </w:r>
          </w:p>
        </w:tc>
        <w:tc>
          <w:tcPr>
            <w:tcW w:w="1240" w:type="dxa"/>
            <w:shd w:val="clear" w:color="auto" w:fill="FFFFFF"/>
            <w:noWrap/>
            <w:vAlign w:val="bottom"/>
            <w:hideMark/>
          </w:tcPr>
          <w:p w14:paraId="5891C1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30790F4" w14:textId="77777777" w:rsidTr="005F3D88">
        <w:trPr>
          <w:trHeight w:val="288"/>
        </w:trPr>
        <w:tc>
          <w:tcPr>
            <w:tcW w:w="1040" w:type="dxa"/>
            <w:shd w:val="clear" w:color="auto" w:fill="FFFFFF"/>
            <w:noWrap/>
            <w:vAlign w:val="bottom"/>
            <w:hideMark/>
          </w:tcPr>
          <w:p w14:paraId="04FC5B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60514C3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29E6074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-1.676139656</w:t>
            </w:r>
          </w:p>
        </w:tc>
        <w:tc>
          <w:tcPr>
            <w:tcW w:w="1240" w:type="dxa"/>
            <w:shd w:val="clear" w:color="auto" w:fill="FFFFFF"/>
            <w:noWrap/>
            <w:vAlign w:val="bottom"/>
            <w:hideMark/>
          </w:tcPr>
          <w:p w14:paraId="78B280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0.006214324</w:t>
            </w:r>
          </w:p>
        </w:tc>
      </w:tr>
      <w:tr w:rsidR="00197ED7" w14:paraId="63695F8A" w14:textId="77777777" w:rsidTr="005F3D88">
        <w:trPr>
          <w:trHeight w:val="288"/>
        </w:trPr>
        <w:tc>
          <w:tcPr>
            <w:tcW w:w="1040" w:type="dxa"/>
            <w:shd w:val="clear" w:color="auto" w:fill="FFFFFF"/>
            <w:noWrap/>
            <w:vAlign w:val="bottom"/>
            <w:hideMark/>
          </w:tcPr>
          <w:p w14:paraId="0450D0A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I R</w:t>
            </w:r>
          </w:p>
        </w:tc>
        <w:tc>
          <w:tcPr>
            <w:tcW w:w="4460" w:type="dxa"/>
            <w:shd w:val="clear" w:color="auto" w:fill="FFFFFF"/>
            <w:noWrap/>
            <w:vAlign w:val="bottom"/>
            <w:hideMark/>
          </w:tcPr>
          <w:p w14:paraId="2B61AC27"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5D1615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1.14667525</w:t>
            </w:r>
          </w:p>
        </w:tc>
        <w:tc>
          <w:tcPr>
            <w:tcW w:w="1240" w:type="dxa"/>
            <w:shd w:val="clear" w:color="auto" w:fill="FFFFFF"/>
            <w:noWrap/>
            <w:vAlign w:val="bottom"/>
            <w:hideMark/>
          </w:tcPr>
          <w:p w14:paraId="33551DE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0.019567307</w:t>
            </w:r>
          </w:p>
        </w:tc>
      </w:tr>
      <w:tr w:rsidR="00197ED7" w14:paraId="094CBD42" w14:textId="77777777" w:rsidTr="005F3D88">
        <w:trPr>
          <w:trHeight w:val="288"/>
        </w:trPr>
        <w:tc>
          <w:tcPr>
            <w:tcW w:w="1040" w:type="dxa"/>
            <w:shd w:val="clear" w:color="auto" w:fill="FFFFFF"/>
            <w:noWrap/>
            <w:vAlign w:val="bottom"/>
            <w:hideMark/>
          </w:tcPr>
          <w:p w14:paraId="5C83208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R F</w:t>
            </w:r>
          </w:p>
        </w:tc>
        <w:tc>
          <w:tcPr>
            <w:tcW w:w="4460" w:type="dxa"/>
            <w:shd w:val="clear" w:color="auto" w:fill="FFFFFF"/>
            <w:noWrap/>
            <w:vAlign w:val="bottom"/>
            <w:hideMark/>
          </w:tcPr>
          <w:p w14:paraId="2D849EE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53D01FE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1.363159099</w:t>
            </w:r>
          </w:p>
        </w:tc>
        <w:tc>
          <w:tcPr>
            <w:tcW w:w="1240" w:type="dxa"/>
            <w:shd w:val="clear" w:color="auto" w:fill="FFFFFF"/>
            <w:noWrap/>
            <w:vAlign w:val="bottom"/>
            <w:hideMark/>
          </w:tcPr>
          <w:p w14:paraId="726434D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0.004994213</w:t>
            </w:r>
          </w:p>
        </w:tc>
      </w:tr>
      <w:tr w:rsidR="00197ED7" w14:paraId="2AF8688C" w14:textId="77777777" w:rsidTr="005F3D88">
        <w:trPr>
          <w:trHeight w:val="288"/>
        </w:trPr>
        <w:tc>
          <w:tcPr>
            <w:tcW w:w="1040" w:type="dxa"/>
            <w:shd w:val="clear" w:color="auto" w:fill="FFFFFF"/>
            <w:noWrap/>
            <w:vAlign w:val="bottom"/>
            <w:hideMark/>
          </w:tcPr>
          <w:p w14:paraId="60053E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R</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444176EB"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E7BDE9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-0.026159735</w:t>
            </w:r>
          </w:p>
        </w:tc>
        <w:tc>
          <w:tcPr>
            <w:tcW w:w="1240" w:type="dxa"/>
            <w:shd w:val="clear" w:color="auto" w:fill="FFFFFF"/>
            <w:noWrap/>
            <w:vAlign w:val="bottom"/>
            <w:hideMark/>
          </w:tcPr>
          <w:p w14:paraId="1116990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21.61340004</w:t>
            </w:r>
          </w:p>
        </w:tc>
      </w:tr>
      <w:tr w:rsidR="00197ED7" w14:paraId="425481E8" w14:textId="77777777" w:rsidTr="005F3D88">
        <w:trPr>
          <w:trHeight w:val="288"/>
        </w:trPr>
        <w:tc>
          <w:tcPr>
            <w:tcW w:w="1040" w:type="dxa"/>
            <w:shd w:val="clear" w:color="auto" w:fill="FFFFFF"/>
            <w:noWrap/>
            <w:vAlign w:val="bottom"/>
            <w:hideMark/>
          </w:tcPr>
          <w:p w14:paraId="16CF8A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3068FD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CA0CC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0.0328779</w:t>
            </w:r>
          </w:p>
        </w:tc>
        <w:tc>
          <w:tcPr>
            <w:tcW w:w="1240" w:type="dxa"/>
            <w:shd w:val="clear" w:color="auto" w:fill="FFFFFF"/>
            <w:noWrap/>
            <w:vAlign w:val="bottom"/>
            <w:hideMark/>
          </w:tcPr>
          <w:p w14:paraId="6B58A23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20.60547115</w:t>
            </w:r>
          </w:p>
        </w:tc>
      </w:tr>
      <w:tr w:rsidR="00197ED7" w14:paraId="7ECF503D" w14:textId="77777777" w:rsidTr="005F3D88">
        <w:trPr>
          <w:trHeight w:val="288"/>
        </w:trPr>
        <w:tc>
          <w:tcPr>
            <w:tcW w:w="1040" w:type="dxa"/>
            <w:shd w:val="clear" w:color="auto" w:fill="FFFFFF"/>
            <w:noWrap/>
            <w:vAlign w:val="bottom"/>
            <w:hideMark/>
          </w:tcPr>
          <w:p w14:paraId="3F087E6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F</w:t>
            </w:r>
          </w:p>
        </w:tc>
        <w:tc>
          <w:tcPr>
            <w:tcW w:w="4460" w:type="dxa"/>
            <w:shd w:val="clear" w:color="auto" w:fill="FFFFFF"/>
            <w:noWrap/>
            <w:vAlign w:val="bottom"/>
            <w:hideMark/>
          </w:tcPr>
          <w:p w14:paraId="43E6A03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019E4E6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1.067597973</w:t>
            </w:r>
          </w:p>
        </w:tc>
        <w:tc>
          <w:tcPr>
            <w:tcW w:w="1240" w:type="dxa"/>
            <w:shd w:val="clear" w:color="auto" w:fill="FFFFFF"/>
            <w:noWrap/>
            <w:vAlign w:val="bottom"/>
            <w:hideMark/>
          </w:tcPr>
          <w:p w14:paraId="3132A4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0.110723167</w:t>
            </w:r>
          </w:p>
        </w:tc>
      </w:tr>
      <w:tr w:rsidR="00197ED7" w14:paraId="5A16B4DD" w14:textId="77777777" w:rsidTr="005F3D88">
        <w:trPr>
          <w:trHeight w:val="288"/>
        </w:trPr>
        <w:tc>
          <w:tcPr>
            <w:tcW w:w="1040" w:type="dxa"/>
            <w:shd w:val="clear" w:color="auto" w:fill="FFFFFF"/>
            <w:noWrap/>
            <w:vAlign w:val="bottom"/>
            <w:hideMark/>
          </w:tcPr>
          <w:p w14:paraId="7246401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0C15814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00C7EC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0.039460244</w:t>
            </w:r>
          </w:p>
        </w:tc>
        <w:tc>
          <w:tcPr>
            <w:tcW w:w="1240" w:type="dxa"/>
            <w:shd w:val="clear" w:color="auto" w:fill="FFFFFF"/>
            <w:noWrap/>
            <w:vAlign w:val="bottom"/>
            <w:hideMark/>
          </w:tcPr>
          <w:p w14:paraId="6A6905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15.01529267</w:t>
            </w:r>
          </w:p>
        </w:tc>
      </w:tr>
      <w:tr w:rsidR="00197ED7" w14:paraId="6758BE4F" w14:textId="77777777" w:rsidTr="005F3D88">
        <w:trPr>
          <w:trHeight w:val="288"/>
        </w:trPr>
        <w:tc>
          <w:tcPr>
            <w:tcW w:w="1040" w:type="dxa"/>
            <w:shd w:val="clear" w:color="auto" w:fill="FFFFFF"/>
            <w:noWrap/>
            <w:vAlign w:val="bottom"/>
            <w:hideMark/>
          </w:tcPr>
          <w:p w14:paraId="34255DD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I and S R</w:t>
            </w:r>
          </w:p>
        </w:tc>
        <w:tc>
          <w:tcPr>
            <w:tcW w:w="4460" w:type="dxa"/>
            <w:shd w:val="clear" w:color="auto" w:fill="FFFFFF"/>
            <w:noWrap/>
            <w:vAlign w:val="bottom"/>
            <w:hideMark/>
          </w:tcPr>
          <w:p w14:paraId="188E265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061057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0.645701136</w:t>
            </w:r>
          </w:p>
        </w:tc>
        <w:tc>
          <w:tcPr>
            <w:tcW w:w="1240" w:type="dxa"/>
            <w:shd w:val="clear" w:color="auto" w:fill="FFFFFF"/>
            <w:noWrap/>
            <w:vAlign w:val="bottom"/>
            <w:hideMark/>
          </w:tcPr>
          <w:p w14:paraId="451C3C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2.854077527</w:t>
            </w:r>
          </w:p>
        </w:tc>
      </w:tr>
      <w:tr w:rsidR="00197ED7" w14:paraId="392EAF3C" w14:textId="77777777" w:rsidTr="005F3D88">
        <w:trPr>
          <w:trHeight w:val="288"/>
        </w:trPr>
        <w:tc>
          <w:tcPr>
            <w:tcW w:w="1040" w:type="dxa"/>
            <w:shd w:val="clear" w:color="auto" w:fill="FFFFFF"/>
            <w:noWrap/>
            <w:vAlign w:val="bottom"/>
            <w:hideMark/>
          </w:tcPr>
          <w:p w14:paraId="5289C17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F</w:t>
            </w:r>
          </w:p>
        </w:tc>
        <w:tc>
          <w:tcPr>
            <w:tcW w:w="4460" w:type="dxa"/>
            <w:shd w:val="clear" w:color="auto" w:fill="FFFFFF"/>
            <w:noWrap/>
            <w:vAlign w:val="bottom"/>
            <w:hideMark/>
          </w:tcPr>
          <w:p w14:paraId="09D04AE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6D725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0.039152401</w:t>
            </w:r>
          </w:p>
        </w:tc>
        <w:tc>
          <w:tcPr>
            <w:tcW w:w="1240" w:type="dxa"/>
            <w:shd w:val="clear" w:color="auto" w:fill="FFFFFF"/>
            <w:noWrap/>
            <w:vAlign w:val="bottom"/>
            <w:hideMark/>
          </w:tcPr>
          <w:p w14:paraId="56BD59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C870378" w14:textId="77777777" w:rsidTr="005F3D88">
        <w:trPr>
          <w:trHeight w:val="288"/>
        </w:trPr>
        <w:tc>
          <w:tcPr>
            <w:tcW w:w="1040" w:type="dxa"/>
            <w:shd w:val="clear" w:color="auto" w:fill="FFFFFF"/>
            <w:noWrap/>
            <w:vAlign w:val="bottom"/>
            <w:hideMark/>
          </w:tcPr>
          <w:p w14:paraId="4F0573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I</w:t>
            </w:r>
          </w:p>
        </w:tc>
        <w:tc>
          <w:tcPr>
            <w:tcW w:w="4460" w:type="dxa"/>
            <w:shd w:val="clear" w:color="auto" w:fill="FFFFFF"/>
            <w:noWrap/>
            <w:vAlign w:val="bottom"/>
            <w:hideMark/>
          </w:tcPr>
          <w:p w14:paraId="1F1D92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4C815B8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-1.017875021</w:t>
            </w:r>
          </w:p>
        </w:tc>
        <w:tc>
          <w:tcPr>
            <w:tcW w:w="1240" w:type="dxa"/>
            <w:shd w:val="clear" w:color="auto" w:fill="FFFFFF"/>
            <w:noWrap/>
            <w:vAlign w:val="bottom"/>
            <w:hideMark/>
          </w:tcPr>
          <w:p w14:paraId="19A00FB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95A6FFD" w14:textId="77777777" w:rsidTr="005F3D88">
        <w:trPr>
          <w:trHeight w:val="288"/>
        </w:trPr>
        <w:tc>
          <w:tcPr>
            <w:tcW w:w="1040" w:type="dxa"/>
            <w:shd w:val="clear" w:color="auto" w:fill="FFFFFF"/>
            <w:noWrap/>
            <w:vAlign w:val="bottom"/>
            <w:hideMark/>
          </w:tcPr>
          <w:p w14:paraId="529CEA5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C R</w:t>
            </w:r>
          </w:p>
        </w:tc>
        <w:tc>
          <w:tcPr>
            <w:tcW w:w="4460" w:type="dxa"/>
            <w:shd w:val="clear" w:color="auto" w:fill="FFFFFF"/>
            <w:noWrap/>
            <w:vAlign w:val="bottom"/>
            <w:hideMark/>
          </w:tcPr>
          <w:p w14:paraId="68D6B3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FB58E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1.007096811</w:t>
            </w:r>
          </w:p>
        </w:tc>
        <w:tc>
          <w:tcPr>
            <w:tcW w:w="1240" w:type="dxa"/>
            <w:shd w:val="clear" w:color="auto" w:fill="FFFFFF"/>
            <w:noWrap/>
            <w:vAlign w:val="bottom"/>
            <w:hideMark/>
          </w:tcPr>
          <w:p w14:paraId="4318CC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81A518F" w14:textId="77777777" w:rsidTr="005F3D88">
        <w:trPr>
          <w:trHeight w:val="288"/>
        </w:trPr>
        <w:tc>
          <w:tcPr>
            <w:tcW w:w="1040" w:type="dxa"/>
            <w:shd w:val="clear" w:color="auto" w:fill="FFFFFF"/>
            <w:noWrap/>
            <w:vAlign w:val="bottom"/>
            <w:hideMark/>
          </w:tcPr>
          <w:p w14:paraId="0D870A6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F</w:t>
            </w:r>
          </w:p>
        </w:tc>
        <w:tc>
          <w:tcPr>
            <w:tcW w:w="4460" w:type="dxa"/>
            <w:shd w:val="clear" w:color="auto" w:fill="FFFFFF"/>
            <w:noWrap/>
            <w:vAlign w:val="bottom"/>
            <w:hideMark/>
          </w:tcPr>
          <w:p w14:paraId="10A64AC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68EE9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1.015388137</w:t>
            </w:r>
          </w:p>
        </w:tc>
        <w:tc>
          <w:tcPr>
            <w:tcW w:w="1240" w:type="dxa"/>
            <w:shd w:val="clear" w:color="auto" w:fill="FFFFFF"/>
            <w:noWrap/>
            <w:vAlign w:val="bottom"/>
            <w:hideMark/>
          </w:tcPr>
          <w:p w14:paraId="43A6FB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F77F630" w14:textId="77777777" w:rsidTr="005F3D88">
        <w:trPr>
          <w:trHeight w:val="288"/>
        </w:trPr>
        <w:tc>
          <w:tcPr>
            <w:tcW w:w="1040" w:type="dxa"/>
            <w:shd w:val="clear" w:color="auto" w:fill="FFFFFF"/>
            <w:noWrap/>
            <w:vAlign w:val="bottom"/>
            <w:hideMark/>
          </w:tcPr>
          <w:p w14:paraId="24B7E53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R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3DE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(90 Degrees)</w:t>
            </w:r>
          </w:p>
        </w:tc>
        <w:tc>
          <w:tcPr>
            <w:tcW w:w="1300" w:type="dxa"/>
            <w:shd w:val="clear" w:color="auto" w:fill="FFFFFF"/>
            <w:noWrap/>
            <w:vAlign w:val="bottom"/>
            <w:hideMark/>
          </w:tcPr>
          <w:p w14:paraId="64F2B6B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-2.729205887</w:t>
            </w:r>
          </w:p>
        </w:tc>
        <w:tc>
          <w:tcPr>
            <w:tcW w:w="1240" w:type="dxa"/>
            <w:shd w:val="clear" w:color="auto" w:fill="FFFFFF"/>
            <w:noWrap/>
            <w:vAlign w:val="bottom"/>
            <w:hideMark/>
          </w:tcPr>
          <w:p w14:paraId="4E5860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0.002036801</w:t>
            </w:r>
          </w:p>
        </w:tc>
      </w:tr>
      <w:tr w:rsidR="00197ED7" w14:paraId="1A5A6C39" w14:textId="77777777" w:rsidTr="005F3D88">
        <w:trPr>
          <w:trHeight w:val="288"/>
        </w:trPr>
        <w:tc>
          <w:tcPr>
            <w:tcW w:w="1040" w:type="dxa"/>
            <w:shd w:val="clear" w:color="auto" w:fill="FFFFFF"/>
            <w:noWrap/>
            <w:vAlign w:val="bottom"/>
            <w:hideMark/>
          </w:tcPr>
          <w:p w14:paraId="282C58F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I R</w:t>
            </w:r>
          </w:p>
        </w:tc>
        <w:tc>
          <w:tcPr>
            <w:tcW w:w="4460" w:type="dxa"/>
            <w:shd w:val="clear" w:color="auto" w:fill="FFFFFF"/>
            <w:noWrap/>
            <w:vAlign w:val="bottom"/>
            <w:hideMark/>
          </w:tcPr>
          <w:p w14:paraId="485CF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316F747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-0.007363907</w:t>
            </w:r>
          </w:p>
        </w:tc>
        <w:tc>
          <w:tcPr>
            <w:tcW w:w="1240" w:type="dxa"/>
            <w:shd w:val="clear" w:color="auto" w:fill="FFFFFF"/>
            <w:noWrap/>
            <w:vAlign w:val="bottom"/>
            <w:hideMark/>
          </w:tcPr>
          <w:p w14:paraId="1BD375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70C4C7" w14:textId="77777777" w:rsidTr="005F3D88">
        <w:trPr>
          <w:trHeight w:val="288"/>
        </w:trPr>
        <w:tc>
          <w:tcPr>
            <w:tcW w:w="1040" w:type="dxa"/>
            <w:shd w:val="clear" w:color="auto" w:fill="FFFFFF"/>
            <w:noWrap/>
            <w:vAlign w:val="bottom"/>
            <w:hideMark/>
          </w:tcPr>
          <w:p w14:paraId="19F696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F</w:t>
            </w:r>
          </w:p>
        </w:tc>
        <w:tc>
          <w:tcPr>
            <w:tcW w:w="4460" w:type="dxa"/>
            <w:shd w:val="clear" w:color="auto" w:fill="FFFFFF"/>
            <w:noWrap/>
            <w:vAlign w:val="bottom"/>
            <w:hideMark/>
          </w:tcPr>
          <w:p w14:paraId="23EA5E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13877F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0.112707181</w:t>
            </w:r>
          </w:p>
        </w:tc>
        <w:tc>
          <w:tcPr>
            <w:tcW w:w="1240" w:type="dxa"/>
            <w:shd w:val="clear" w:color="auto" w:fill="FFFFFF"/>
            <w:noWrap/>
            <w:vAlign w:val="bottom"/>
            <w:hideMark/>
          </w:tcPr>
          <w:p w14:paraId="1E60322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5F015DD" w14:textId="77777777" w:rsidTr="005F3D88">
        <w:trPr>
          <w:trHeight w:val="288"/>
        </w:trPr>
        <w:tc>
          <w:tcPr>
            <w:tcW w:w="1040" w:type="dxa"/>
            <w:shd w:val="clear" w:color="auto" w:fill="FFFFFF"/>
            <w:noWrap/>
            <w:vAlign w:val="bottom"/>
            <w:hideMark/>
          </w:tcPr>
          <w:p w14:paraId="6039F27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R I</w:t>
            </w:r>
          </w:p>
        </w:tc>
        <w:tc>
          <w:tcPr>
            <w:tcW w:w="4460" w:type="dxa"/>
            <w:shd w:val="clear" w:color="auto" w:fill="FFFFFF"/>
            <w:noWrap/>
            <w:vAlign w:val="bottom"/>
            <w:hideMark/>
          </w:tcPr>
          <w:p w14:paraId="2A188A5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0A7FF8C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0.041680522</w:t>
            </w:r>
          </w:p>
        </w:tc>
        <w:tc>
          <w:tcPr>
            <w:tcW w:w="1240" w:type="dxa"/>
            <w:shd w:val="clear" w:color="auto" w:fill="FFFFFF"/>
            <w:noWrap/>
            <w:vAlign w:val="bottom"/>
            <w:hideMark/>
          </w:tcPr>
          <w:p w14:paraId="6A77EDF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C885B3" w14:textId="77777777" w:rsidTr="005F3D88">
        <w:trPr>
          <w:trHeight w:val="288"/>
        </w:trPr>
        <w:tc>
          <w:tcPr>
            <w:tcW w:w="1040" w:type="dxa"/>
            <w:shd w:val="clear" w:color="auto" w:fill="FFFFFF"/>
            <w:noWrap/>
            <w:vAlign w:val="bottom"/>
            <w:hideMark/>
          </w:tcPr>
          <w:p w14:paraId="368374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B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C1B7168"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3DA8C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0.008215401</w:t>
            </w:r>
          </w:p>
        </w:tc>
        <w:tc>
          <w:tcPr>
            <w:tcW w:w="1240" w:type="dxa"/>
            <w:shd w:val="clear" w:color="auto" w:fill="FFFFFF"/>
            <w:noWrap/>
            <w:vAlign w:val="bottom"/>
            <w:hideMark/>
          </w:tcPr>
          <w:p w14:paraId="224756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16.45959515</w:t>
            </w:r>
          </w:p>
        </w:tc>
      </w:tr>
      <w:tr w:rsidR="00197ED7" w14:paraId="6428545C" w14:textId="77777777" w:rsidTr="005F3D88">
        <w:trPr>
          <w:trHeight w:val="288"/>
        </w:trPr>
        <w:tc>
          <w:tcPr>
            <w:tcW w:w="1040" w:type="dxa"/>
            <w:shd w:val="clear" w:color="auto" w:fill="FFFFFF"/>
            <w:noWrap/>
            <w:vAlign w:val="bottom"/>
            <w:hideMark/>
          </w:tcPr>
          <w:p w14:paraId="18BDF70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F</w:t>
            </w:r>
          </w:p>
        </w:tc>
        <w:tc>
          <w:tcPr>
            <w:tcW w:w="4460" w:type="dxa"/>
            <w:shd w:val="clear" w:color="auto" w:fill="FFFFFF"/>
            <w:noWrap/>
            <w:vAlign w:val="bottom"/>
            <w:hideMark/>
          </w:tcPr>
          <w:p w14:paraId="4ABB6B1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308222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0.010267215</w:t>
            </w:r>
          </w:p>
        </w:tc>
        <w:tc>
          <w:tcPr>
            <w:tcW w:w="1240" w:type="dxa"/>
            <w:shd w:val="clear" w:color="auto" w:fill="FFFFFF"/>
            <w:noWrap/>
            <w:vAlign w:val="bottom"/>
            <w:hideMark/>
          </w:tcPr>
          <w:p w14:paraId="3A121E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18.16715116</w:t>
            </w:r>
          </w:p>
        </w:tc>
      </w:tr>
      <w:tr w:rsidR="00197ED7" w14:paraId="6C144A0E" w14:textId="77777777" w:rsidTr="005F3D88">
        <w:trPr>
          <w:trHeight w:val="288"/>
        </w:trPr>
        <w:tc>
          <w:tcPr>
            <w:tcW w:w="1040" w:type="dxa"/>
            <w:shd w:val="clear" w:color="auto" w:fill="FFFFFF"/>
            <w:noWrap/>
            <w:vAlign w:val="bottom"/>
            <w:hideMark/>
          </w:tcPr>
          <w:p w14:paraId="7A393B0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I</w:t>
            </w:r>
          </w:p>
        </w:tc>
        <w:tc>
          <w:tcPr>
            <w:tcW w:w="4460" w:type="dxa"/>
            <w:shd w:val="clear" w:color="auto" w:fill="FFFFFF"/>
            <w:noWrap/>
            <w:vAlign w:val="bottom"/>
            <w:hideMark/>
          </w:tcPr>
          <w:p w14:paraId="009AE4E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14B0A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-0.008259976</w:t>
            </w:r>
          </w:p>
        </w:tc>
        <w:tc>
          <w:tcPr>
            <w:tcW w:w="1240" w:type="dxa"/>
            <w:shd w:val="clear" w:color="auto" w:fill="FFFFFF"/>
            <w:noWrap/>
            <w:vAlign w:val="bottom"/>
            <w:hideMark/>
          </w:tcPr>
          <w:p w14:paraId="46E8CD2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14.06650985</w:t>
            </w:r>
          </w:p>
        </w:tc>
      </w:tr>
      <w:tr w:rsidR="00197ED7" w14:paraId="31ABCCA2" w14:textId="77777777" w:rsidTr="005F3D88">
        <w:trPr>
          <w:trHeight w:val="288"/>
        </w:trPr>
        <w:tc>
          <w:tcPr>
            <w:tcW w:w="1040" w:type="dxa"/>
            <w:shd w:val="clear" w:color="auto" w:fill="FFFFFF"/>
            <w:noWrap/>
            <w:vAlign w:val="bottom"/>
            <w:hideMark/>
          </w:tcPr>
          <w:p w14:paraId="6169EDF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 R and S R</w:t>
            </w:r>
          </w:p>
        </w:tc>
        <w:tc>
          <w:tcPr>
            <w:tcW w:w="4460" w:type="dxa"/>
            <w:shd w:val="clear" w:color="auto" w:fill="FFFFFF"/>
            <w:noWrap/>
            <w:vAlign w:val="bottom"/>
            <w:hideMark/>
          </w:tcPr>
          <w:p w14:paraId="37DA6E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1D3BB4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-0.053243771</w:t>
            </w:r>
          </w:p>
        </w:tc>
        <w:tc>
          <w:tcPr>
            <w:tcW w:w="1240" w:type="dxa"/>
            <w:shd w:val="clear" w:color="auto" w:fill="FFFFFF"/>
            <w:noWrap/>
            <w:vAlign w:val="bottom"/>
            <w:hideMark/>
          </w:tcPr>
          <w:p w14:paraId="42C599D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5.717344532</w:t>
            </w:r>
          </w:p>
        </w:tc>
      </w:tr>
      <w:tr w:rsidR="00197ED7" w14:paraId="1348B0FD" w14:textId="77777777" w:rsidTr="005F3D88">
        <w:trPr>
          <w:trHeight w:val="288"/>
        </w:trPr>
        <w:tc>
          <w:tcPr>
            <w:tcW w:w="1040" w:type="dxa"/>
            <w:shd w:val="clear" w:color="auto" w:fill="FFFFFF"/>
            <w:noWrap/>
            <w:vAlign w:val="bottom"/>
            <w:hideMark/>
          </w:tcPr>
          <w:p w14:paraId="26D6428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I</w:t>
            </w:r>
          </w:p>
        </w:tc>
        <w:tc>
          <w:tcPr>
            <w:tcW w:w="4460" w:type="dxa"/>
            <w:shd w:val="clear" w:color="auto" w:fill="FFFFFF"/>
            <w:noWrap/>
            <w:vAlign w:val="bottom"/>
            <w:hideMark/>
          </w:tcPr>
          <w:p w14:paraId="04C359E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(90 Degrees)</w:t>
            </w:r>
          </w:p>
        </w:tc>
        <w:tc>
          <w:tcPr>
            <w:tcW w:w="1300" w:type="dxa"/>
            <w:shd w:val="clear" w:color="auto" w:fill="FFFFFF"/>
            <w:noWrap/>
            <w:vAlign w:val="bottom"/>
            <w:hideMark/>
          </w:tcPr>
          <w:p w14:paraId="555C2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-1.018483618</w:t>
            </w:r>
          </w:p>
        </w:tc>
        <w:tc>
          <w:tcPr>
            <w:tcW w:w="1240" w:type="dxa"/>
            <w:shd w:val="clear" w:color="auto" w:fill="FFFFFF"/>
            <w:noWrap/>
            <w:vAlign w:val="bottom"/>
            <w:hideMark/>
          </w:tcPr>
          <w:p w14:paraId="4AEA22D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7DB50EA" w14:textId="77777777" w:rsidTr="005F3D88">
        <w:trPr>
          <w:trHeight w:val="288"/>
        </w:trPr>
        <w:tc>
          <w:tcPr>
            <w:tcW w:w="1040" w:type="dxa"/>
            <w:shd w:val="clear" w:color="auto" w:fill="FFFFFF"/>
            <w:noWrap/>
            <w:vAlign w:val="bottom"/>
          </w:tcPr>
          <w:p w14:paraId="66BA8391" w14:textId="77777777" w:rsidR="00197ED7" w:rsidRDefault="00197ED7" w:rsidP="005F3D88">
            <w:pPr>
              <w:spacing w:after="0" w:line="240" w:lineRule="auto"/>
              <w:rPr>
                <w:rFonts w:ascii="Arial" w:eastAsia="Times New Roman" w:hAnsi="Arial" w:cs="Arial"/>
                <w:color w:val="000000"/>
                <w:sz w:val="16"/>
                <w:szCs w:val="16"/>
                <w:lang w:eastAsia="en-ZA"/>
              </w:rPr>
            </w:pPr>
          </w:p>
          <w:p w14:paraId="1C56519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Appendix A continued</w:t>
            </w:r>
          </w:p>
        </w:tc>
        <w:tc>
          <w:tcPr>
            <w:tcW w:w="4460" w:type="dxa"/>
            <w:shd w:val="clear" w:color="auto" w:fill="FFFFFF"/>
            <w:noWrap/>
            <w:vAlign w:val="bottom"/>
          </w:tcPr>
          <w:p w14:paraId="368476EE" w14:textId="77777777" w:rsidR="00197ED7" w:rsidRDefault="00197ED7" w:rsidP="005F3D88">
            <w:pPr>
              <w:spacing w:after="0" w:line="240" w:lineRule="auto"/>
              <w:rPr>
                <w:rFonts w:ascii="Arial" w:eastAsia="Times New Roman" w:hAnsi="Arial" w:cs="Arial"/>
                <w:color w:val="000000"/>
                <w:sz w:val="16"/>
                <w:szCs w:val="16"/>
                <w:lang w:eastAsia="en-ZA"/>
              </w:rPr>
            </w:pPr>
          </w:p>
        </w:tc>
        <w:tc>
          <w:tcPr>
            <w:tcW w:w="1300" w:type="dxa"/>
            <w:shd w:val="clear" w:color="auto" w:fill="FFFFFF"/>
            <w:noWrap/>
            <w:vAlign w:val="bottom"/>
          </w:tcPr>
          <w:p w14:paraId="12D34BF9"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c>
          <w:tcPr>
            <w:tcW w:w="1240" w:type="dxa"/>
            <w:shd w:val="clear" w:color="auto" w:fill="FFFFFF"/>
            <w:noWrap/>
            <w:vAlign w:val="bottom"/>
          </w:tcPr>
          <w:p w14:paraId="4F165C2F" w14:textId="77777777" w:rsidR="00197ED7" w:rsidRDefault="00197ED7" w:rsidP="005F3D88">
            <w:pPr>
              <w:spacing w:after="0" w:line="240" w:lineRule="auto"/>
              <w:jc w:val="right"/>
              <w:rPr>
                <w:rFonts w:ascii="Arial" w:eastAsia="Times New Roman" w:hAnsi="Arial" w:cs="Arial"/>
                <w:color w:val="000000"/>
                <w:sz w:val="16"/>
                <w:szCs w:val="16"/>
                <w:lang w:eastAsia="en-ZA"/>
              </w:rPr>
            </w:pPr>
          </w:p>
        </w:tc>
      </w:tr>
      <w:tr w:rsidR="00197ED7" w14:paraId="3BDDB5A3" w14:textId="77777777" w:rsidTr="005F3D88">
        <w:trPr>
          <w:trHeight w:val="288"/>
        </w:trPr>
        <w:tc>
          <w:tcPr>
            <w:tcW w:w="1040" w:type="dxa"/>
            <w:shd w:val="clear" w:color="auto" w:fill="FFFFFF"/>
            <w:noWrap/>
            <w:vAlign w:val="bottom"/>
            <w:hideMark/>
          </w:tcPr>
          <w:p w14:paraId="23BBF2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C R</w:t>
            </w:r>
          </w:p>
        </w:tc>
        <w:tc>
          <w:tcPr>
            <w:tcW w:w="4460" w:type="dxa"/>
            <w:shd w:val="clear" w:color="auto" w:fill="FFFFFF"/>
            <w:noWrap/>
            <w:vAlign w:val="bottom"/>
            <w:hideMark/>
          </w:tcPr>
          <w:p w14:paraId="7C59D69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(90 Degrees)</w:t>
            </w:r>
          </w:p>
        </w:tc>
        <w:tc>
          <w:tcPr>
            <w:tcW w:w="1300" w:type="dxa"/>
            <w:shd w:val="clear" w:color="auto" w:fill="FFFFFF"/>
            <w:noWrap/>
            <w:vAlign w:val="bottom"/>
            <w:hideMark/>
          </w:tcPr>
          <w:p w14:paraId="1D8AA02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-0.028955752</w:t>
            </w:r>
          </w:p>
        </w:tc>
        <w:tc>
          <w:tcPr>
            <w:tcW w:w="1240" w:type="dxa"/>
            <w:shd w:val="clear" w:color="auto" w:fill="FFFFFF"/>
            <w:noWrap/>
            <w:vAlign w:val="bottom"/>
            <w:hideMark/>
          </w:tcPr>
          <w:p w14:paraId="6A2F83B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45598D1" w14:textId="77777777" w:rsidTr="005F3D88">
        <w:trPr>
          <w:trHeight w:val="288"/>
        </w:trPr>
        <w:tc>
          <w:tcPr>
            <w:tcW w:w="1040" w:type="dxa"/>
            <w:shd w:val="clear" w:color="auto" w:fill="FFFFFF"/>
            <w:noWrap/>
            <w:vAlign w:val="bottom"/>
            <w:hideMark/>
          </w:tcPr>
          <w:p w14:paraId="438E0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F</w:t>
            </w:r>
          </w:p>
        </w:tc>
        <w:tc>
          <w:tcPr>
            <w:tcW w:w="4460" w:type="dxa"/>
            <w:shd w:val="clear" w:color="auto" w:fill="FFFFFF"/>
            <w:noWrap/>
            <w:vAlign w:val="bottom"/>
            <w:hideMark/>
          </w:tcPr>
          <w:p w14:paraId="3BE6069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0298179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-2.61109149</w:t>
            </w:r>
          </w:p>
        </w:tc>
        <w:tc>
          <w:tcPr>
            <w:tcW w:w="1240" w:type="dxa"/>
            <w:shd w:val="clear" w:color="auto" w:fill="FFFFFF"/>
            <w:noWrap/>
            <w:vAlign w:val="bottom"/>
            <w:hideMark/>
          </w:tcPr>
          <w:p w14:paraId="1FCDC6F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0.003901065</w:t>
            </w:r>
          </w:p>
        </w:tc>
      </w:tr>
      <w:tr w:rsidR="00197ED7" w14:paraId="1DF1EE7C" w14:textId="77777777" w:rsidTr="005F3D88">
        <w:trPr>
          <w:trHeight w:val="288"/>
        </w:trPr>
        <w:tc>
          <w:tcPr>
            <w:tcW w:w="1040" w:type="dxa"/>
            <w:shd w:val="clear" w:color="auto" w:fill="FFFFFF"/>
            <w:noWrap/>
            <w:vAlign w:val="bottom"/>
            <w:hideMark/>
          </w:tcPr>
          <w:p w14:paraId="52D45A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F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379438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4C45A3C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1.022933218</w:t>
            </w:r>
          </w:p>
        </w:tc>
        <w:tc>
          <w:tcPr>
            <w:tcW w:w="1240" w:type="dxa"/>
            <w:shd w:val="clear" w:color="auto" w:fill="FFFFFF"/>
            <w:noWrap/>
            <w:vAlign w:val="bottom"/>
            <w:hideMark/>
          </w:tcPr>
          <w:p w14:paraId="26A834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D952E9B" w14:textId="77777777" w:rsidTr="005F3D88">
        <w:trPr>
          <w:trHeight w:val="288"/>
        </w:trPr>
        <w:tc>
          <w:tcPr>
            <w:tcW w:w="1040" w:type="dxa"/>
            <w:shd w:val="clear" w:color="auto" w:fill="FFFFFF"/>
            <w:noWrap/>
            <w:vAlign w:val="bottom"/>
            <w:hideMark/>
          </w:tcPr>
          <w:p w14:paraId="6556CD6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I R</w:t>
            </w:r>
          </w:p>
        </w:tc>
        <w:tc>
          <w:tcPr>
            <w:tcW w:w="4460" w:type="dxa"/>
            <w:shd w:val="clear" w:color="auto" w:fill="FFFFFF"/>
            <w:noWrap/>
            <w:vAlign w:val="bottom"/>
            <w:hideMark/>
          </w:tcPr>
          <w:p w14:paraId="4E13F29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E4F625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0.014514778</w:t>
            </w:r>
          </w:p>
        </w:tc>
        <w:tc>
          <w:tcPr>
            <w:tcW w:w="1240" w:type="dxa"/>
            <w:shd w:val="clear" w:color="auto" w:fill="FFFFFF"/>
            <w:noWrap/>
            <w:vAlign w:val="bottom"/>
            <w:hideMark/>
          </w:tcPr>
          <w:p w14:paraId="767BFC9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23.69426226</w:t>
            </w:r>
          </w:p>
        </w:tc>
      </w:tr>
      <w:tr w:rsidR="00197ED7" w14:paraId="43C0D8EF" w14:textId="77777777" w:rsidTr="005F3D88">
        <w:trPr>
          <w:trHeight w:val="288"/>
        </w:trPr>
        <w:tc>
          <w:tcPr>
            <w:tcW w:w="1040" w:type="dxa"/>
            <w:shd w:val="clear" w:color="auto" w:fill="FFFFFF"/>
            <w:noWrap/>
            <w:vAlign w:val="bottom"/>
            <w:hideMark/>
          </w:tcPr>
          <w:p w14:paraId="2F29A16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F</w:t>
            </w:r>
          </w:p>
        </w:tc>
        <w:tc>
          <w:tcPr>
            <w:tcW w:w="4460" w:type="dxa"/>
            <w:shd w:val="clear" w:color="auto" w:fill="FFFFFF"/>
            <w:noWrap/>
            <w:vAlign w:val="bottom"/>
            <w:hideMark/>
          </w:tcPr>
          <w:p w14:paraId="6B212BD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29B4E3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0.010238621</w:t>
            </w:r>
          </w:p>
        </w:tc>
        <w:tc>
          <w:tcPr>
            <w:tcW w:w="1240" w:type="dxa"/>
            <w:shd w:val="clear" w:color="auto" w:fill="FFFFFF"/>
            <w:noWrap/>
            <w:vAlign w:val="bottom"/>
            <w:hideMark/>
          </w:tcPr>
          <w:p w14:paraId="4B1370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12.08934695</w:t>
            </w:r>
          </w:p>
        </w:tc>
      </w:tr>
      <w:tr w:rsidR="00197ED7" w14:paraId="581CD969" w14:textId="77777777" w:rsidTr="005F3D88">
        <w:trPr>
          <w:trHeight w:val="288"/>
        </w:trPr>
        <w:tc>
          <w:tcPr>
            <w:tcW w:w="1040" w:type="dxa"/>
            <w:shd w:val="clear" w:color="auto" w:fill="FFFFFF"/>
            <w:noWrap/>
            <w:vAlign w:val="bottom"/>
            <w:hideMark/>
          </w:tcPr>
          <w:p w14:paraId="584F1ED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R I</w:t>
            </w:r>
          </w:p>
        </w:tc>
        <w:tc>
          <w:tcPr>
            <w:tcW w:w="4460" w:type="dxa"/>
            <w:shd w:val="clear" w:color="auto" w:fill="FFFFFF"/>
            <w:noWrap/>
            <w:vAlign w:val="bottom"/>
            <w:hideMark/>
          </w:tcPr>
          <w:p w14:paraId="6E5F0C0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4F5D2D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1.029362866</w:t>
            </w:r>
          </w:p>
        </w:tc>
        <w:tc>
          <w:tcPr>
            <w:tcW w:w="1240" w:type="dxa"/>
            <w:shd w:val="clear" w:color="auto" w:fill="FFFFFF"/>
            <w:noWrap/>
            <w:vAlign w:val="bottom"/>
            <w:hideMark/>
          </w:tcPr>
          <w:p w14:paraId="44B7BEB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184F5BE" w14:textId="77777777" w:rsidTr="005F3D88">
        <w:trPr>
          <w:trHeight w:val="288"/>
        </w:trPr>
        <w:tc>
          <w:tcPr>
            <w:tcW w:w="1040" w:type="dxa"/>
            <w:shd w:val="clear" w:color="auto" w:fill="FFFFFF"/>
            <w:noWrap/>
            <w:vAlign w:val="bottom"/>
            <w:hideMark/>
          </w:tcPr>
          <w:p w14:paraId="65CD63F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137FE361"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C42B7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-0.023189068</w:t>
            </w:r>
          </w:p>
        </w:tc>
        <w:tc>
          <w:tcPr>
            <w:tcW w:w="1240" w:type="dxa"/>
            <w:shd w:val="clear" w:color="auto" w:fill="FFFFFF"/>
            <w:noWrap/>
            <w:vAlign w:val="bottom"/>
            <w:hideMark/>
          </w:tcPr>
          <w:p w14:paraId="1673BF7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20.67145807</w:t>
            </w:r>
          </w:p>
        </w:tc>
      </w:tr>
      <w:tr w:rsidR="00197ED7" w14:paraId="22101D09" w14:textId="77777777" w:rsidTr="005F3D88">
        <w:trPr>
          <w:trHeight w:val="288"/>
        </w:trPr>
        <w:tc>
          <w:tcPr>
            <w:tcW w:w="1040" w:type="dxa"/>
            <w:shd w:val="clear" w:color="auto" w:fill="FFFFFF"/>
            <w:noWrap/>
            <w:vAlign w:val="bottom"/>
            <w:hideMark/>
          </w:tcPr>
          <w:p w14:paraId="14D47F19"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F</w:t>
            </w:r>
          </w:p>
        </w:tc>
        <w:tc>
          <w:tcPr>
            <w:tcW w:w="4460" w:type="dxa"/>
            <w:shd w:val="clear" w:color="auto" w:fill="FFFFFF"/>
            <w:noWrap/>
            <w:vAlign w:val="bottom"/>
            <w:hideMark/>
          </w:tcPr>
          <w:p w14:paraId="371CAC5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620C394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1.020254233</w:t>
            </w:r>
          </w:p>
        </w:tc>
        <w:tc>
          <w:tcPr>
            <w:tcW w:w="1240" w:type="dxa"/>
            <w:shd w:val="clear" w:color="auto" w:fill="FFFFFF"/>
            <w:noWrap/>
            <w:vAlign w:val="bottom"/>
            <w:hideMark/>
          </w:tcPr>
          <w:p w14:paraId="09FF4BE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0.052501965</w:t>
            </w:r>
          </w:p>
        </w:tc>
      </w:tr>
      <w:tr w:rsidR="00197ED7" w14:paraId="733D5DE5" w14:textId="77777777" w:rsidTr="005F3D88">
        <w:trPr>
          <w:trHeight w:val="288"/>
        </w:trPr>
        <w:tc>
          <w:tcPr>
            <w:tcW w:w="1040" w:type="dxa"/>
            <w:shd w:val="clear" w:color="auto" w:fill="FFFFFF"/>
            <w:noWrap/>
            <w:vAlign w:val="bottom"/>
            <w:hideMark/>
          </w:tcPr>
          <w:p w14:paraId="5F36B19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I</w:t>
            </w:r>
          </w:p>
        </w:tc>
        <w:tc>
          <w:tcPr>
            <w:tcW w:w="4460" w:type="dxa"/>
            <w:shd w:val="clear" w:color="auto" w:fill="FFFFFF"/>
            <w:noWrap/>
            <w:vAlign w:val="bottom"/>
            <w:hideMark/>
          </w:tcPr>
          <w:p w14:paraId="5048E1F3"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711022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0.093014122</w:t>
            </w:r>
          </w:p>
        </w:tc>
        <w:tc>
          <w:tcPr>
            <w:tcW w:w="1240" w:type="dxa"/>
            <w:shd w:val="clear" w:color="auto" w:fill="FFFFFF"/>
            <w:noWrap/>
            <w:vAlign w:val="bottom"/>
            <w:hideMark/>
          </w:tcPr>
          <w:p w14:paraId="028CEBC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23.13967843</w:t>
            </w:r>
          </w:p>
        </w:tc>
      </w:tr>
      <w:tr w:rsidR="00197ED7" w14:paraId="6D597A3D" w14:textId="77777777" w:rsidTr="005F3D88">
        <w:trPr>
          <w:trHeight w:val="288"/>
        </w:trPr>
        <w:tc>
          <w:tcPr>
            <w:tcW w:w="1040" w:type="dxa"/>
            <w:shd w:val="clear" w:color="auto" w:fill="FFFFFF"/>
            <w:noWrap/>
            <w:vAlign w:val="bottom"/>
            <w:hideMark/>
          </w:tcPr>
          <w:p w14:paraId="1448140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F and S R</w:t>
            </w:r>
          </w:p>
        </w:tc>
        <w:tc>
          <w:tcPr>
            <w:tcW w:w="4460" w:type="dxa"/>
            <w:shd w:val="clear" w:color="auto" w:fill="FFFFFF"/>
            <w:noWrap/>
            <w:vAlign w:val="bottom"/>
            <w:hideMark/>
          </w:tcPr>
          <w:p w14:paraId="2C35286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E5D06A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0.751829137</w:t>
            </w:r>
          </w:p>
        </w:tc>
        <w:tc>
          <w:tcPr>
            <w:tcW w:w="1240" w:type="dxa"/>
            <w:shd w:val="clear" w:color="auto" w:fill="FFFFFF"/>
            <w:noWrap/>
            <w:vAlign w:val="bottom"/>
            <w:hideMark/>
          </w:tcPr>
          <w:p w14:paraId="21D46C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3.440027276</w:t>
            </w:r>
          </w:p>
        </w:tc>
      </w:tr>
      <w:tr w:rsidR="00197ED7" w14:paraId="3B2C1584" w14:textId="77777777" w:rsidTr="005F3D88">
        <w:trPr>
          <w:trHeight w:val="288"/>
        </w:trPr>
        <w:tc>
          <w:tcPr>
            <w:tcW w:w="1040" w:type="dxa"/>
            <w:shd w:val="clear" w:color="auto" w:fill="FFFFFF"/>
            <w:noWrap/>
            <w:vAlign w:val="bottom"/>
            <w:hideMark/>
          </w:tcPr>
          <w:p w14:paraId="1CB3771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C R</w:t>
            </w:r>
          </w:p>
        </w:tc>
        <w:tc>
          <w:tcPr>
            <w:tcW w:w="4460" w:type="dxa"/>
            <w:shd w:val="clear" w:color="auto" w:fill="FFFFFF"/>
            <w:noWrap/>
            <w:vAlign w:val="bottom"/>
            <w:hideMark/>
          </w:tcPr>
          <w:p w14:paraId="2BED5E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4C4527A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0.056518384</w:t>
            </w:r>
          </w:p>
        </w:tc>
        <w:tc>
          <w:tcPr>
            <w:tcW w:w="1240" w:type="dxa"/>
            <w:shd w:val="clear" w:color="auto" w:fill="FFFFFF"/>
            <w:noWrap/>
            <w:vAlign w:val="bottom"/>
            <w:hideMark/>
          </w:tcPr>
          <w:p w14:paraId="140FBF5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FBB1A82" w14:textId="77777777" w:rsidTr="005F3D88">
        <w:trPr>
          <w:trHeight w:val="288"/>
        </w:trPr>
        <w:tc>
          <w:tcPr>
            <w:tcW w:w="1040" w:type="dxa"/>
            <w:shd w:val="clear" w:color="auto" w:fill="FFFFFF"/>
            <w:noWrap/>
            <w:vAlign w:val="bottom"/>
            <w:hideMark/>
          </w:tcPr>
          <w:p w14:paraId="25424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F</w:t>
            </w:r>
          </w:p>
        </w:tc>
        <w:tc>
          <w:tcPr>
            <w:tcW w:w="4460" w:type="dxa"/>
            <w:shd w:val="clear" w:color="auto" w:fill="FFFFFF"/>
            <w:noWrap/>
            <w:vAlign w:val="bottom"/>
            <w:hideMark/>
          </w:tcPr>
          <w:p w14:paraId="7B0BEBC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 (90 Degrees)</w:t>
            </w:r>
          </w:p>
        </w:tc>
        <w:tc>
          <w:tcPr>
            <w:tcW w:w="1300" w:type="dxa"/>
            <w:shd w:val="clear" w:color="auto" w:fill="FFFFFF"/>
            <w:noWrap/>
            <w:vAlign w:val="bottom"/>
            <w:hideMark/>
          </w:tcPr>
          <w:p w14:paraId="136117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-8.05343661</w:t>
            </w:r>
          </w:p>
        </w:tc>
        <w:tc>
          <w:tcPr>
            <w:tcW w:w="1240" w:type="dxa"/>
            <w:shd w:val="clear" w:color="auto" w:fill="FFFFFF"/>
            <w:noWrap/>
            <w:vAlign w:val="bottom"/>
            <w:hideMark/>
          </w:tcPr>
          <w:p w14:paraId="0ECC53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0.002429346</w:t>
            </w:r>
          </w:p>
        </w:tc>
      </w:tr>
      <w:tr w:rsidR="00197ED7" w14:paraId="77751CBC" w14:textId="77777777" w:rsidTr="005F3D88">
        <w:trPr>
          <w:trHeight w:val="288"/>
        </w:trPr>
        <w:tc>
          <w:tcPr>
            <w:tcW w:w="1040" w:type="dxa"/>
            <w:shd w:val="clear" w:color="auto" w:fill="FFFFFF"/>
            <w:noWrap/>
            <w:vAlign w:val="bottom"/>
            <w:hideMark/>
          </w:tcPr>
          <w:p w14:paraId="57F4CE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659F5C2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(270 Degrees)</w:t>
            </w:r>
          </w:p>
        </w:tc>
        <w:tc>
          <w:tcPr>
            <w:tcW w:w="1300" w:type="dxa"/>
            <w:shd w:val="clear" w:color="auto" w:fill="FFFFFF"/>
            <w:noWrap/>
            <w:vAlign w:val="bottom"/>
            <w:hideMark/>
          </w:tcPr>
          <w:p w14:paraId="2D9FEF8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-1.022025887</w:t>
            </w:r>
          </w:p>
        </w:tc>
        <w:tc>
          <w:tcPr>
            <w:tcW w:w="1240" w:type="dxa"/>
            <w:shd w:val="clear" w:color="auto" w:fill="FFFFFF"/>
            <w:noWrap/>
            <w:vAlign w:val="bottom"/>
            <w:hideMark/>
          </w:tcPr>
          <w:p w14:paraId="6BB41A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E620E23" w14:textId="77777777" w:rsidTr="005F3D88">
        <w:trPr>
          <w:trHeight w:val="288"/>
        </w:trPr>
        <w:tc>
          <w:tcPr>
            <w:tcW w:w="1040" w:type="dxa"/>
            <w:shd w:val="clear" w:color="auto" w:fill="FFFFFF"/>
            <w:noWrap/>
            <w:vAlign w:val="bottom"/>
            <w:hideMark/>
          </w:tcPr>
          <w:p w14:paraId="62DC58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I R</w:t>
            </w:r>
          </w:p>
        </w:tc>
        <w:tc>
          <w:tcPr>
            <w:tcW w:w="4460" w:type="dxa"/>
            <w:shd w:val="clear" w:color="auto" w:fill="FFFFFF"/>
            <w:noWrap/>
            <w:vAlign w:val="bottom"/>
            <w:hideMark/>
          </w:tcPr>
          <w:p w14:paraId="3A41B7F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Joe Copula (180 Degrees; “survival Joe”)</w:t>
            </w:r>
          </w:p>
        </w:tc>
        <w:tc>
          <w:tcPr>
            <w:tcW w:w="1300" w:type="dxa"/>
            <w:shd w:val="clear" w:color="auto" w:fill="FFFFFF"/>
            <w:noWrap/>
            <w:vAlign w:val="bottom"/>
            <w:hideMark/>
          </w:tcPr>
          <w:p w14:paraId="063C3D0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1.016380552</w:t>
            </w:r>
          </w:p>
        </w:tc>
        <w:tc>
          <w:tcPr>
            <w:tcW w:w="1240" w:type="dxa"/>
            <w:shd w:val="clear" w:color="auto" w:fill="FFFFFF"/>
            <w:noWrap/>
            <w:vAlign w:val="bottom"/>
            <w:hideMark/>
          </w:tcPr>
          <w:p w14:paraId="4FFE006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D609EC" w14:textId="77777777" w:rsidTr="005F3D88">
        <w:trPr>
          <w:trHeight w:val="288"/>
        </w:trPr>
        <w:tc>
          <w:tcPr>
            <w:tcW w:w="1040" w:type="dxa"/>
            <w:shd w:val="clear" w:color="auto" w:fill="FFFFFF"/>
            <w:noWrap/>
            <w:vAlign w:val="bottom"/>
            <w:hideMark/>
          </w:tcPr>
          <w:p w14:paraId="72C540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R F</w:t>
            </w:r>
          </w:p>
        </w:tc>
        <w:tc>
          <w:tcPr>
            <w:tcW w:w="4460" w:type="dxa"/>
            <w:shd w:val="clear" w:color="auto" w:fill="FFFFFF"/>
            <w:noWrap/>
            <w:vAlign w:val="bottom"/>
            <w:hideMark/>
          </w:tcPr>
          <w:p w14:paraId="144F6F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Clayton Copula (270 Degrees)</w:t>
            </w:r>
          </w:p>
        </w:tc>
        <w:tc>
          <w:tcPr>
            <w:tcW w:w="1300" w:type="dxa"/>
            <w:shd w:val="clear" w:color="auto" w:fill="FFFFFF"/>
            <w:noWrap/>
            <w:vAlign w:val="bottom"/>
            <w:hideMark/>
          </w:tcPr>
          <w:p w14:paraId="468709E8"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-0.006504063</w:t>
            </w:r>
          </w:p>
        </w:tc>
        <w:tc>
          <w:tcPr>
            <w:tcW w:w="1240" w:type="dxa"/>
            <w:shd w:val="clear" w:color="auto" w:fill="FFFFFF"/>
            <w:noWrap/>
            <w:vAlign w:val="bottom"/>
            <w:hideMark/>
          </w:tcPr>
          <w:p w14:paraId="4593E5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3A6BAB10" w14:textId="77777777" w:rsidTr="005F3D88">
        <w:trPr>
          <w:trHeight w:val="288"/>
        </w:trPr>
        <w:tc>
          <w:tcPr>
            <w:tcW w:w="1040" w:type="dxa"/>
            <w:shd w:val="clear" w:color="auto" w:fill="FFFFFF"/>
            <w:noWrap/>
            <w:vAlign w:val="bottom"/>
            <w:hideMark/>
          </w:tcPr>
          <w:p w14:paraId="0F4795D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R</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484B997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74C487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0.055738487</w:t>
            </w:r>
          </w:p>
        </w:tc>
        <w:tc>
          <w:tcPr>
            <w:tcW w:w="1240" w:type="dxa"/>
            <w:shd w:val="clear" w:color="auto" w:fill="FFFFFF"/>
            <w:noWrap/>
            <w:vAlign w:val="bottom"/>
            <w:hideMark/>
          </w:tcPr>
          <w:p w14:paraId="648416C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6.372028273</w:t>
            </w:r>
          </w:p>
        </w:tc>
      </w:tr>
      <w:tr w:rsidR="00197ED7" w14:paraId="4DE69CAA" w14:textId="77777777" w:rsidTr="005F3D88">
        <w:trPr>
          <w:trHeight w:val="288"/>
        </w:trPr>
        <w:tc>
          <w:tcPr>
            <w:tcW w:w="1040" w:type="dxa"/>
            <w:shd w:val="clear" w:color="auto" w:fill="FFFFFF"/>
            <w:noWrap/>
            <w:vAlign w:val="bottom"/>
            <w:hideMark/>
          </w:tcPr>
          <w:p w14:paraId="4F8E509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21B596A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(270 Degrees)</w:t>
            </w:r>
          </w:p>
        </w:tc>
        <w:tc>
          <w:tcPr>
            <w:tcW w:w="1300" w:type="dxa"/>
            <w:shd w:val="clear" w:color="auto" w:fill="FFFFFF"/>
            <w:noWrap/>
            <w:vAlign w:val="bottom"/>
            <w:hideMark/>
          </w:tcPr>
          <w:p w14:paraId="4E61658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-2.475535154</w:t>
            </w:r>
          </w:p>
        </w:tc>
        <w:tc>
          <w:tcPr>
            <w:tcW w:w="1240" w:type="dxa"/>
            <w:shd w:val="clear" w:color="auto" w:fill="FFFFFF"/>
            <w:noWrap/>
            <w:vAlign w:val="bottom"/>
            <w:hideMark/>
          </w:tcPr>
          <w:p w14:paraId="0981A6B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0.007238073</w:t>
            </w:r>
          </w:p>
        </w:tc>
      </w:tr>
      <w:tr w:rsidR="00197ED7" w14:paraId="76D88AD7" w14:textId="77777777" w:rsidTr="005F3D88">
        <w:trPr>
          <w:trHeight w:val="288"/>
        </w:trPr>
        <w:tc>
          <w:tcPr>
            <w:tcW w:w="1040" w:type="dxa"/>
            <w:shd w:val="clear" w:color="auto" w:fill="FFFFFF"/>
            <w:noWrap/>
            <w:vAlign w:val="bottom"/>
            <w:hideMark/>
          </w:tcPr>
          <w:p w14:paraId="2315173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F</w:t>
            </w:r>
          </w:p>
        </w:tc>
        <w:tc>
          <w:tcPr>
            <w:tcW w:w="4460" w:type="dxa"/>
            <w:shd w:val="clear" w:color="auto" w:fill="FFFFFF"/>
            <w:noWrap/>
            <w:vAlign w:val="bottom"/>
            <w:hideMark/>
          </w:tcPr>
          <w:p w14:paraId="7B27D983"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42D07C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1.34089995</w:t>
            </w:r>
          </w:p>
        </w:tc>
        <w:tc>
          <w:tcPr>
            <w:tcW w:w="1240" w:type="dxa"/>
            <w:shd w:val="clear" w:color="auto" w:fill="FFFFFF"/>
            <w:noWrap/>
            <w:vAlign w:val="bottom"/>
            <w:hideMark/>
          </w:tcPr>
          <w:p w14:paraId="5347717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0.015552624</w:t>
            </w:r>
          </w:p>
        </w:tc>
      </w:tr>
      <w:tr w:rsidR="00197ED7" w14:paraId="177C4E3C" w14:textId="77777777" w:rsidTr="005F3D88">
        <w:trPr>
          <w:trHeight w:val="288"/>
        </w:trPr>
        <w:tc>
          <w:tcPr>
            <w:tcW w:w="1040" w:type="dxa"/>
            <w:shd w:val="clear" w:color="auto" w:fill="FFFFFF"/>
            <w:noWrap/>
            <w:vAlign w:val="bottom"/>
            <w:hideMark/>
          </w:tcPr>
          <w:p w14:paraId="6C53452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5191BEE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F5602A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0.978559193</w:t>
            </w:r>
          </w:p>
        </w:tc>
        <w:tc>
          <w:tcPr>
            <w:tcW w:w="1240" w:type="dxa"/>
            <w:shd w:val="clear" w:color="auto" w:fill="FFFFFF"/>
            <w:noWrap/>
            <w:vAlign w:val="bottom"/>
            <w:hideMark/>
          </w:tcPr>
          <w:p w14:paraId="01B1A7B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BE6D828" w14:textId="77777777" w:rsidTr="005F3D88">
        <w:trPr>
          <w:trHeight w:val="288"/>
        </w:trPr>
        <w:tc>
          <w:tcPr>
            <w:tcW w:w="1040" w:type="dxa"/>
            <w:shd w:val="clear" w:color="auto" w:fill="FFFFFF"/>
            <w:noWrap/>
            <w:vAlign w:val="bottom"/>
            <w:hideMark/>
          </w:tcPr>
          <w:p w14:paraId="16D2081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I and S R</w:t>
            </w:r>
          </w:p>
        </w:tc>
        <w:tc>
          <w:tcPr>
            <w:tcW w:w="4460" w:type="dxa"/>
            <w:shd w:val="clear" w:color="auto" w:fill="FFFFFF"/>
            <w:noWrap/>
            <w:vAlign w:val="bottom"/>
            <w:hideMark/>
          </w:tcPr>
          <w:p w14:paraId="128D8FA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shd w:val="clear" w:color="auto" w:fill="FFFFFF"/>
            <w:noWrap/>
            <w:vAlign w:val="bottom"/>
            <w:hideMark/>
          </w:tcPr>
          <w:p w14:paraId="5BCDF5E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1.218176216</w:t>
            </w:r>
          </w:p>
        </w:tc>
        <w:tc>
          <w:tcPr>
            <w:tcW w:w="1240" w:type="dxa"/>
            <w:shd w:val="clear" w:color="auto" w:fill="FFFFFF"/>
            <w:noWrap/>
            <w:vAlign w:val="bottom"/>
            <w:hideMark/>
          </w:tcPr>
          <w:p w14:paraId="07607EA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0.293824006</w:t>
            </w:r>
          </w:p>
        </w:tc>
      </w:tr>
      <w:tr w:rsidR="00197ED7" w14:paraId="26CB4751" w14:textId="77777777" w:rsidTr="005F3D88">
        <w:trPr>
          <w:trHeight w:val="288"/>
        </w:trPr>
        <w:tc>
          <w:tcPr>
            <w:tcW w:w="1040" w:type="dxa"/>
            <w:shd w:val="clear" w:color="auto" w:fill="FFFFFF"/>
            <w:noWrap/>
            <w:vAlign w:val="bottom"/>
            <w:hideMark/>
          </w:tcPr>
          <w:p w14:paraId="01FF3F1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F</w:t>
            </w:r>
          </w:p>
        </w:tc>
        <w:tc>
          <w:tcPr>
            <w:tcW w:w="4460" w:type="dxa"/>
            <w:shd w:val="clear" w:color="auto" w:fill="FFFFFF"/>
            <w:noWrap/>
            <w:vAlign w:val="bottom"/>
            <w:hideMark/>
          </w:tcPr>
          <w:p w14:paraId="38231C0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5F83D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-0.007877647</w:t>
            </w:r>
          </w:p>
        </w:tc>
        <w:tc>
          <w:tcPr>
            <w:tcW w:w="1240" w:type="dxa"/>
            <w:shd w:val="clear" w:color="auto" w:fill="FFFFFF"/>
            <w:noWrap/>
            <w:vAlign w:val="bottom"/>
            <w:hideMark/>
          </w:tcPr>
          <w:p w14:paraId="0F64BD9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19.6655432</w:t>
            </w:r>
          </w:p>
        </w:tc>
      </w:tr>
      <w:tr w:rsidR="00197ED7" w14:paraId="6062E8BC" w14:textId="77777777" w:rsidTr="005F3D88">
        <w:trPr>
          <w:trHeight w:val="288"/>
        </w:trPr>
        <w:tc>
          <w:tcPr>
            <w:tcW w:w="1040" w:type="dxa"/>
            <w:shd w:val="clear" w:color="auto" w:fill="FFFFFF"/>
            <w:noWrap/>
            <w:vAlign w:val="bottom"/>
            <w:hideMark/>
          </w:tcPr>
          <w:p w14:paraId="5F7BBDF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R and </w:t>
            </w:r>
            <w:proofErr w:type="gramStart"/>
            <w:r>
              <w:rPr>
                <w:rFonts w:ascii="Arial" w:eastAsia="Times New Roman" w:hAnsi="Arial" w:cs="Arial"/>
                <w:color w:val="000000"/>
                <w:sz w:val="16"/>
                <w:szCs w:val="16"/>
                <w:lang w:eastAsia="en-ZA"/>
              </w:rPr>
              <w:t>I</w:t>
            </w:r>
            <w:proofErr w:type="gramEnd"/>
            <w:r>
              <w:rPr>
                <w:rFonts w:ascii="Arial" w:eastAsia="Times New Roman" w:hAnsi="Arial" w:cs="Arial"/>
                <w:color w:val="000000"/>
                <w:sz w:val="16"/>
                <w:szCs w:val="16"/>
                <w:lang w:eastAsia="en-ZA"/>
              </w:rPr>
              <w:t xml:space="preserve">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2934DC1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6BEC533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0.016407826</w:t>
            </w:r>
          </w:p>
        </w:tc>
        <w:tc>
          <w:tcPr>
            <w:tcW w:w="1240" w:type="dxa"/>
            <w:shd w:val="clear" w:color="auto" w:fill="FFFFFF"/>
            <w:noWrap/>
            <w:vAlign w:val="bottom"/>
            <w:hideMark/>
          </w:tcPr>
          <w:p w14:paraId="6442592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62953A7" w14:textId="77777777" w:rsidTr="005F3D88">
        <w:trPr>
          <w:trHeight w:val="288"/>
        </w:trPr>
        <w:tc>
          <w:tcPr>
            <w:tcW w:w="1040" w:type="dxa"/>
            <w:shd w:val="clear" w:color="auto" w:fill="FFFFFF"/>
            <w:noWrap/>
            <w:vAlign w:val="bottom"/>
            <w:hideMark/>
          </w:tcPr>
          <w:p w14:paraId="4D875DA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I R</w:t>
            </w:r>
          </w:p>
        </w:tc>
        <w:tc>
          <w:tcPr>
            <w:tcW w:w="4460" w:type="dxa"/>
            <w:shd w:val="clear" w:color="auto" w:fill="FFFFFF"/>
            <w:noWrap/>
            <w:vAlign w:val="bottom"/>
            <w:hideMark/>
          </w:tcPr>
          <w:p w14:paraId="5D206B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FCD5C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1.018302107</w:t>
            </w:r>
          </w:p>
        </w:tc>
        <w:tc>
          <w:tcPr>
            <w:tcW w:w="1240" w:type="dxa"/>
            <w:shd w:val="clear" w:color="auto" w:fill="FFFFFF"/>
            <w:noWrap/>
            <w:vAlign w:val="bottom"/>
            <w:hideMark/>
          </w:tcPr>
          <w:p w14:paraId="446AF44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1F0F9A2E" w14:textId="77777777" w:rsidTr="005F3D88">
        <w:trPr>
          <w:trHeight w:val="288"/>
        </w:trPr>
        <w:tc>
          <w:tcPr>
            <w:tcW w:w="1040" w:type="dxa"/>
            <w:shd w:val="clear" w:color="auto" w:fill="FFFFFF"/>
            <w:noWrap/>
            <w:vAlign w:val="bottom"/>
            <w:hideMark/>
          </w:tcPr>
          <w:p w14:paraId="0A7B190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F</w:t>
            </w:r>
          </w:p>
        </w:tc>
        <w:tc>
          <w:tcPr>
            <w:tcW w:w="4460" w:type="dxa"/>
            <w:shd w:val="clear" w:color="auto" w:fill="FFFFFF"/>
            <w:noWrap/>
            <w:vAlign w:val="bottom"/>
            <w:hideMark/>
          </w:tcPr>
          <w:p w14:paraId="2F7C79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(270 Degrees)</w:t>
            </w:r>
          </w:p>
        </w:tc>
        <w:tc>
          <w:tcPr>
            <w:tcW w:w="1300" w:type="dxa"/>
            <w:shd w:val="clear" w:color="auto" w:fill="FFFFFF"/>
            <w:noWrap/>
            <w:vAlign w:val="bottom"/>
            <w:hideMark/>
          </w:tcPr>
          <w:p w14:paraId="555336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-1.008281415</w:t>
            </w:r>
          </w:p>
        </w:tc>
        <w:tc>
          <w:tcPr>
            <w:tcW w:w="1240" w:type="dxa"/>
            <w:shd w:val="clear" w:color="auto" w:fill="FFFFFF"/>
            <w:noWrap/>
            <w:vAlign w:val="bottom"/>
            <w:hideMark/>
          </w:tcPr>
          <w:p w14:paraId="7459409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C45EDC5" w14:textId="77777777" w:rsidTr="005F3D88">
        <w:trPr>
          <w:trHeight w:val="288"/>
        </w:trPr>
        <w:tc>
          <w:tcPr>
            <w:tcW w:w="1040" w:type="dxa"/>
            <w:shd w:val="clear" w:color="auto" w:fill="FFFFFF"/>
            <w:noWrap/>
            <w:vAlign w:val="bottom"/>
            <w:hideMark/>
          </w:tcPr>
          <w:p w14:paraId="349A88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R I</w:t>
            </w:r>
          </w:p>
        </w:tc>
        <w:tc>
          <w:tcPr>
            <w:tcW w:w="4460" w:type="dxa"/>
            <w:shd w:val="clear" w:color="auto" w:fill="FFFFFF"/>
            <w:noWrap/>
            <w:vAlign w:val="bottom"/>
            <w:hideMark/>
          </w:tcPr>
          <w:p w14:paraId="2774E7F5"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Clayton Copula</w:t>
            </w:r>
          </w:p>
        </w:tc>
        <w:tc>
          <w:tcPr>
            <w:tcW w:w="1300" w:type="dxa"/>
            <w:shd w:val="clear" w:color="auto" w:fill="FFFFFF"/>
            <w:noWrap/>
            <w:vAlign w:val="bottom"/>
            <w:hideMark/>
          </w:tcPr>
          <w:p w14:paraId="4AF362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0.021887166</w:t>
            </w:r>
          </w:p>
        </w:tc>
        <w:tc>
          <w:tcPr>
            <w:tcW w:w="1240" w:type="dxa"/>
            <w:shd w:val="clear" w:color="auto" w:fill="FFFFFF"/>
            <w:noWrap/>
            <w:vAlign w:val="bottom"/>
            <w:hideMark/>
          </w:tcPr>
          <w:p w14:paraId="76288A1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556D9306" w14:textId="77777777" w:rsidTr="005F3D88">
        <w:trPr>
          <w:trHeight w:val="288"/>
        </w:trPr>
        <w:tc>
          <w:tcPr>
            <w:tcW w:w="1040" w:type="dxa"/>
            <w:shd w:val="clear" w:color="auto" w:fill="FFFFFF"/>
            <w:noWrap/>
            <w:vAlign w:val="bottom"/>
            <w:hideMark/>
          </w:tcPr>
          <w:p w14:paraId="71BF63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C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565BE3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1E2FE0E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1.855424958</w:t>
            </w:r>
          </w:p>
        </w:tc>
        <w:tc>
          <w:tcPr>
            <w:tcW w:w="1240" w:type="dxa"/>
            <w:shd w:val="clear" w:color="auto" w:fill="FFFFFF"/>
            <w:noWrap/>
            <w:vAlign w:val="bottom"/>
            <w:hideMark/>
          </w:tcPr>
          <w:p w14:paraId="2DD4BD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0.004988647</w:t>
            </w:r>
          </w:p>
        </w:tc>
      </w:tr>
      <w:tr w:rsidR="00197ED7" w14:paraId="19E1D34C" w14:textId="77777777" w:rsidTr="005F3D88">
        <w:trPr>
          <w:trHeight w:val="288"/>
        </w:trPr>
        <w:tc>
          <w:tcPr>
            <w:tcW w:w="1040" w:type="dxa"/>
            <w:shd w:val="clear" w:color="auto" w:fill="FFFFFF"/>
            <w:noWrap/>
            <w:vAlign w:val="bottom"/>
            <w:hideMark/>
          </w:tcPr>
          <w:p w14:paraId="67AE254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F</w:t>
            </w:r>
          </w:p>
        </w:tc>
        <w:tc>
          <w:tcPr>
            <w:tcW w:w="4460" w:type="dxa"/>
            <w:shd w:val="clear" w:color="auto" w:fill="FFFFFF"/>
            <w:noWrap/>
            <w:vAlign w:val="bottom"/>
            <w:hideMark/>
          </w:tcPr>
          <w:p w14:paraId="1ED99F7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DC75D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0.05061469</w:t>
            </w:r>
          </w:p>
        </w:tc>
        <w:tc>
          <w:tcPr>
            <w:tcW w:w="1240" w:type="dxa"/>
            <w:shd w:val="clear" w:color="auto" w:fill="FFFFFF"/>
            <w:noWrap/>
            <w:vAlign w:val="bottom"/>
            <w:hideMark/>
          </w:tcPr>
          <w:p w14:paraId="0453B20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9.644426446</w:t>
            </w:r>
          </w:p>
        </w:tc>
      </w:tr>
      <w:tr w:rsidR="00197ED7" w14:paraId="0A8CDB0F" w14:textId="77777777" w:rsidTr="005F3D88">
        <w:trPr>
          <w:trHeight w:val="288"/>
        </w:trPr>
        <w:tc>
          <w:tcPr>
            <w:tcW w:w="1040" w:type="dxa"/>
            <w:shd w:val="clear" w:color="auto" w:fill="FFFFFF"/>
            <w:noWrap/>
            <w:vAlign w:val="bottom"/>
            <w:hideMark/>
          </w:tcPr>
          <w:p w14:paraId="0773BDC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I</w:t>
            </w:r>
          </w:p>
        </w:tc>
        <w:tc>
          <w:tcPr>
            <w:tcW w:w="4460" w:type="dxa"/>
            <w:shd w:val="clear" w:color="auto" w:fill="FFFFFF"/>
            <w:noWrap/>
            <w:vAlign w:val="bottom"/>
            <w:hideMark/>
          </w:tcPr>
          <w:p w14:paraId="7E44A42E"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A5B629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0.03488207</w:t>
            </w:r>
          </w:p>
        </w:tc>
        <w:tc>
          <w:tcPr>
            <w:tcW w:w="1240" w:type="dxa"/>
            <w:shd w:val="clear" w:color="auto" w:fill="FFFFFF"/>
            <w:noWrap/>
            <w:vAlign w:val="bottom"/>
            <w:hideMark/>
          </w:tcPr>
          <w:p w14:paraId="0EE1E14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17.55473206</w:t>
            </w:r>
          </w:p>
        </w:tc>
      </w:tr>
      <w:tr w:rsidR="00197ED7" w14:paraId="1796C3AC" w14:textId="77777777" w:rsidTr="005F3D88">
        <w:trPr>
          <w:trHeight w:val="288"/>
        </w:trPr>
        <w:tc>
          <w:tcPr>
            <w:tcW w:w="1040" w:type="dxa"/>
            <w:shd w:val="clear" w:color="auto" w:fill="FFFFFF"/>
            <w:noWrap/>
            <w:vAlign w:val="bottom"/>
            <w:hideMark/>
          </w:tcPr>
          <w:p w14:paraId="58BC75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C R and S R</w:t>
            </w:r>
          </w:p>
        </w:tc>
        <w:tc>
          <w:tcPr>
            <w:tcW w:w="4460" w:type="dxa"/>
            <w:shd w:val="clear" w:color="auto" w:fill="FFFFFF"/>
            <w:noWrap/>
            <w:vAlign w:val="bottom"/>
            <w:hideMark/>
          </w:tcPr>
          <w:p w14:paraId="50F9C7F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979B2E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0.256311535</w:t>
            </w:r>
          </w:p>
        </w:tc>
        <w:tc>
          <w:tcPr>
            <w:tcW w:w="1240" w:type="dxa"/>
            <w:shd w:val="clear" w:color="auto" w:fill="FFFFFF"/>
            <w:noWrap/>
            <w:vAlign w:val="bottom"/>
            <w:hideMark/>
          </w:tcPr>
          <w:p w14:paraId="6CD08BF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2.437292831</w:t>
            </w:r>
          </w:p>
        </w:tc>
      </w:tr>
      <w:tr w:rsidR="00197ED7" w14:paraId="490F6DCE" w14:textId="77777777" w:rsidTr="005F3D88">
        <w:trPr>
          <w:trHeight w:val="288"/>
        </w:trPr>
        <w:tc>
          <w:tcPr>
            <w:tcW w:w="1040" w:type="dxa"/>
            <w:shd w:val="clear" w:color="auto" w:fill="FFFFFF"/>
            <w:noWrap/>
            <w:vAlign w:val="bottom"/>
            <w:hideMark/>
          </w:tcPr>
          <w:p w14:paraId="0DDD6CD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F and I </w:t>
            </w:r>
            <w:proofErr w:type="spellStart"/>
            <w:r>
              <w:rPr>
                <w:rFonts w:ascii="Arial" w:eastAsia="Times New Roman" w:hAnsi="Arial" w:cs="Arial"/>
                <w:color w:val="000000"/>
                <w:sz w:val="16"/>
                <w:szCs w:val="16"/>
                <w:lang w:eastAsia="en-ZA"/>
              </w:rPr>
              <w:t>I</w:t>
            </w:r>
            <w:proofErr w:type="spellEnd"/>
          </w:p>
        </w:tc>
        <w:tc>
          <w:tcPr>
            <w:tcW w:w="4460" w:type="dxa"/>
            <w:shd w:val="clear" w:color="auto" w:fill="FFFFFF"/>
            <w:noWrap/>
            <w:vAlign w:val="bottom"/>
            <w:hideMark/>
          </w:tcPr>
          <w:p w14:paraId="02A50EEF"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113A9B5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1.183842438</w:t>
            </w:r>
          </w:p>
        </w:tc>
        <w:tc>
          <w:tcPr>
            <w:tcW w:w="1240" w:type="dxa"/>
            <w:shd w:val="clear" w:color="auto" w:fill="FFFFFF"/>
            <w:noWrap/>
            <w:vAlign w:val="bottom"/>
            <w:hideMark/>
          </w:tcPr>
          <w:p w14:paraId="10668BD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0.014341739</w:t>
            </w:r>
          </w:p>
        </w:tc>
      </w:tr>
      <w:tr w:rsidR="00197ED7" w14:paraId="425A49EC" w14:textId="77777777" w:rsidTr="005F3D88">
        <w:trPr>
          <w:trHeight w:val="288"/>
        </w:trPr>
        <w:tc>
          <w:tcPr>
            <w:tcW w:w="1040" w:type="dxa"/>
            <w:shd w:val="clear" w:color="auto" w:fill="FFFFFF"/>
            <w:noWrap/>
            <w:vAlign w:val="bottom"/>
            <w:hideMark/>
          </w:tcPr>
          <w:p w14:paraId="6FF442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I R</w:t>
            </w:r>
          </w:p>
        </w:tc>
        <w:tc>
          <w:tcPr>
            <w:tcW w:w="4460" w:type="dxa"/>
            <w:shd w:val="clear" w:color="auto" w:fill="FFFFFF"/>
            <w:noWrap/>
            <w:vAlign w:val="bottom"/>
            <w:hideMark/>
          </w:tcPr>
          <w:p w14:paraId="089E062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315F313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8.827424789</w:t>
            </w:r>
          </w:p>
        </w:tc>
        <w:tc>
          <w:tcPr>
            <w:tcW w:w="1240" w:type="dxa"/>
            <w:shd w:val="clear" w:color="auto" w:fill="FFFFFF"/>
            <w:noWrap/>
            <w:vAlign w:val="bottom"/>
            <w:hideMark/>
          </w:tcPr>
          <w:p w14:paraId="2BF072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0.0001</w:t>
            </w:r>
          </w:p>
        </w:tc>
      </w:tr>
      <w:tr w:rsidR="00197ED7" w14:paraId="57396436" w14:textId="77777777" w:rsidTr="005F3D88">
        <w:trPr>
          <w:trHeight w:val="288"/>
        </w:trPr>
        <w:tc>
          <w:tcPr>
            <w:tcW w:w="1040" w:type="dxa"/>
            <w:shd w:val="clear" w:color="auto" w:fill="FFFFFF"/>
            <w:noWrap/>
            <w:vAlign w:val="bottom"/>
            <w:hideMark/>
          </w:tcPr>
          <w:p w14:paraId="1CD2C77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F</w:t>
            </w:r>
          </w:p>
        </w:tc>
        <w:tc>
          <w:tcPr>
            <w:tcW w:w="4460" w:type="dxa"/>
            <w:shd w:val="clear" w:color="auto" w:fill="FFFFFF"/>
            <w:noWrap/>
            <w:vAlign w:val="bottom"/>
            <w:hideMark/>
          </w:tcPr>
          <w:p w14:paraId="5D39F25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(90 Degrees)</w:t>
            </w:r>
          </w:p>
        </w:tc>
        <w:tc>
          <w:tcPr>
            <w:tcW w:w="1300" w:type="dxa"/>
            <w:shd w:val="clear" w:color="auto" w:fill="FFFFFF"/>
            <w:noWrap/>
            <w:vAlign w:val="bottom"/>
            <w:hideMark/>
          </w:tcPr>
          <w:p w14:paraId="13121D7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-1.006228603</w:t>
            </w:r>
          </w:p>
        </w:tc>
        <w:tc>
          <w:tcPr>
            <w:tcW w:w="1240" w:type="dxa"/>
            <w:shd w:val="clear" w:color="auto" w:fill="FFFFFF"/>
            <w:noWrap/>
            <w:vAlign w:val="bottom"/>
            <w:hideMark/>
          </w:tcPr>
          <w:p w14:paraId="39002FE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0B8163" w14:textId="77777777" w:rsidTr="005F3D88">
        <w:trPr>
          <w:trHeight w:val="288"/>
        </w:trPr>
        <w:tc>
          <w:tcPr>
            <w:tcW w:w="1040" w:type="dxa"/>
            <w:shd w:val="clear" w:color="auto" w:fill="FFFFFF"/>
            <w:noWrap/>
            <w:vAlign w:val="bottom"/>
            <w:hideMark/>
          </w:tcPr>
          <w:p w14:paraId="4FC662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R I</w:t>
            </w:r>
          </w:p>
        </w:tc>
        <w:tc>
          <w:tcPr>
            <w:tcW w:w="4460" w:type="dxa"/>
            <w:shd w:val="clear" w:color="auto" w:fill="FFFFFF"/>
            <w:noWrap/>
            <w:vAlign w:val="bottom"/>
            <w:hideMark/>
          </w:tcPr>
          <w:p w14:paraId="08BEB90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17CBF45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1.050875371</w:t>
            </w:r>
          </w:p>
        </w:tc>
        <w:tc>
          <w:tcPr>
            <w:tcW w:w="1240" w:type="dxa"/>
            <w:shd w:val="clear" w:color="auto" w:fill="FFFFFF"/>
            <w:noWrap/>
            <w:vAlign w:val="bottom"/>
            <w:hideMark/>
          </w:tcPr>
          <w:p w14:paraId="06688D9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49F6896E" w14:textId="77777777" w:rsidTr="005F3D88">
        <w:trPr>
          <w:trHeight w:val="288"/>
        </w:trPr>
        <w:tc>
          <w:tcPr>
            <w:tcW w:w="1040" w:type="dxa"/>
            <w:shd w:val="clear" w:color="auto" w:fill="FFFFFF"/>
            <w:noWrap/>
            <w:vAlign w:val="bottom"/>
            <w:hideMark/>
          </w:tcPr>
          <w:p w14:paraId="786F9604"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BDB1C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FEAD0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0.040084804</w:t>
            </w:r>
          </w:p>
        </w:tc>
        <w:tc>
          <w:tcPr>
            <w:tcW w:w="1240" w:type="dxa"/>
            <w:shd w:val="clear" w:color="auto" w:fill="FFFFFF"/>
            <w:noWrap/>
            <w:vAlign w:val="bottom"/>
            <w:hideMark/>
          </w:tcPr>
          <w:p w14:paraId="7E60284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6.818085721</w:t>
            </w:r>
          </w:p>
        </w:tc>
      </w:tr>
      <w:tr w:rsidR="00197ED7" w14:paraId="7C458B25" w14:textId="77777777" w:rsidTr="005F3D88">
        <w:trPr>
          <w:trHeight w:val="288"/>
        </w:trPr>
        <w:tc>
          <w:tcPr>
            <w:tcW w:w="1040" w:type="dxa"/>
            <w:shd w:val="clear" w:color="auto" w:fill="FFFFFF"/>
            <w:noWrap/>
            <w:vAlign w:val="bottom"/>
            <w:hideMark/>
          </w:tcPr>
          <w:p w14:paraId="1203263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F</w:t>
            </w:r>
          </w:p>
        </w:tc>
        <w:tc>
          <w:tcPr>
            <w:tcW w:w="4460" w:type="dxa"/>
            <w:shd w:val="clear" w:color="auto" w:fill="FFFFFF"/>
            <w:noWrap/>
            <w:vAlign w:val="bottom"/>
            <w:hideMark/>
          </w:tcPr>
          <w:p w14:paraId="1DDCE87D"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3ECFD03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0.113162789</w:t>
            </w:r>
          </w:p>
        </w:tc>
        <w:tc>
          <w:tcPr>
            <w:tcW w:w="1240" w:type="dxa"/>
            <w:shd w:val="clear" w:color="auto" w:fill="FFFFFF"/>
            <w:noWrap/>
            <w:vAlign w:val="bottom"/>
            <w:hideMark/>
          </w:tcPr>
          <w:p w14:paraId="457388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9.46199281</w:t>
            </w:r>
          </w:p>
        </w:tc>
      </w:tr>
      <w:tr w:rsidR="00197ED7" w14:paraId="08352B72" w14:textId="77777777" w:rsidTr="005F3D88">
        <w:trPr>
          <w:trHeight w:val="288"/>
        </w:trPr>
        <w:tc>
          <w:tcPr>
            <w:tcW w:w="1040" w:type="dxa"/>
            <w:shd w:val="clear" w:color="auto" w:fill="FFFFFF"/>
            <w:noWrap/>
            <w:vAlign w:val="bottom"/>
            <w:hideMark/>
          </w:tcPr>
          <w:p w14:paraId="12F80A9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I</w:t>
            </w:r>
          </w:p>
        </w:tc>
        <w:tc>
          <w:tcPr>
            <w:tcW w:w="4460" w:type="dxa"/>
            <w:shd w:val="clear" w:color="auto" w:fill="FFFFFF"/>
            <w:noWrap/>
            <w:vAlign w:val="bottom"/>
            <w:hideMark/>
          </w:tcPr>
          <w:p w14:paraId="50BA4DE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64B0F4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0.133018357</w:t>
            </w:r>
          </w:p>
        </w:tc>
        <w:tc>
          <w:tcPr>
            <w:tcW w:w="1240" w:type="dxa"/>
            <w:shd w:val="clear" w:color="auto" w:fill="FFFFFF"/>
            <w:noWrap/>
            <w:vAlign w:val="bottom"/>
            <w:hideMark/>
          </w:tcPr>
          <w:p w14:paraId="5895DC6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11.64262989</w:t>
            </w:r>
          </w:p>
        </w:tc>
      </w:tr>
      <w:tr w:rsidR="00197ED7" w14:paraId="4ECF5225" w14:textId="77777777" w:rsidTr="005F3D88">
        <w:trPr>
          <w:trHeight w:val="288"/>
        </w:trPr>
        <w:tc>
          <w:tcPr>
            <w:tcW w:w="1040" w:type="dxa"/>
            <w:shd w:val="clear" w:color="auto" w:fill="FFFFFF"/>
            <w:noWrap/>
            <w:vAlign w:val="bottom"/>
            <w:hideMark/>
          </w:tcPr>
          <w:p w14:paraId="7AD0679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F and S R</w:t>
            </w:r>
          </w:p>
        </w:tc>
        <w:tc>
          <w:tcPr>
            <w:tcW w:w="4460" w:type="dxa"/>
            <w:shd w:val="clear" w:color="auto" w:fill="FFFFFF"/>
            <w:noWrap/>
            <w:vAlign w:val="bottom"/>
            <w:hideMark/>
          </w:tcPr>
          <w:p w14:paraId="2822E805"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5E2BCB7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0.629355849</w:t>
            </w:r>
          </w:p>
        </w:tc>
        <w:tc>
          <w:tcPr>
            <w:tcW w:w="1240" w:type="dxa"/>
            <w:shd w:val="clear" w:color="auto" w:fill="FFFFFF"/>
            <w:noWrap/>
            <w:vAlign w:val="bottom"/>
            <w:hideMark/>
          </w:tcPr>
          <w:p w14:paraId="5129E1F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2.520445939</w:t>
            </w:r>
          </w:p>
        </w:tc>
      </w:tr>
      <w:tr w:rsidR="00197ED7" w14:paraId="137F0F40" w14:textId="77777777" w:rsidTr="005F3D88">
        <w:trPr>
          <w:trHeight w:val="288"/>
        </w:trPr>
        <w:tc>
          <w:tcPr>
            <w:tcW w:w="1040" w:type="dxa"/>
            <w:shd w:val="clear" w:color="auto" w:fill="FFFFFF"/>
            <w:noWrap/>
            <w:vAlign w:val="bottom"/>
            <w:hideMark/>
          </w:tcPr>
          <w:p w14:paraId="028F27D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I R</w:t>
            </w:r>
          </w:p>
        </w:tc>
        <w:tc>
          <w:tcPr>
            <w:tcW w:w="4460" w:type="dxa"/>
            <w:shd w:val="clear" w:color="auto" w:fill="FFFFFF"/>
            <w:noWrap/>
            <w:vAlign w:val="bottom"/>
            <w:hideMark/>
          </w:tcPr>
          <w:p w14:paraId="48F91B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17A5E1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1.282286544</w:t>
            </w:r>
          </w:p>
        </w:tc>
        <w:tc>
          <w:tcPr>
            <w:tcW w:w="1240" w:type="dxa"/>
            <w:shd w:val="clear" w:color="auto" w:fill="FFFFFF"/>
            <w:noWrap/>
            <w:vAlign w:val="bottom"/>
            <w:hideMark/>
          </w:tcPr>
          <w:p w14:paraId="51BE7AE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0.013653209</w:t>
            </w:r>
          </w:p>
        </w:tc>
      </w:tr>
      <w:tr w:rsidR="00197ED7" w14:paraId="34158730" w14:textId="77777777" w:rsidTr="005F3D88">
        <w:trPr>
          <w:trHeight w:val="288"/>
        </w:trPr>
        <w:tc>
          <w:tcPr>
            <w:tcW w:w="1040" w:type="dxa"/>
            <w:shd w:val="clear" w:color="auto" w:fill="FFFFFF"/>
            <w:noWrap/>
            <w:vAlign w:val="bottom"/>
            <w:hideMark/>
          </w:tcPr>
          <w:p w14:paraId="0C78B7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F</w:t>
            </w:r>
          </w:p>
        </w:tc>
        <w:tc>
          <w:tcPr>
            <w:tcW w:w="4460" w:type="dxa"/>
            <w:shd w:val="clear" w:color="auto" w:fill="FFFFFF"/>
            <w:noWrap/>
            <w:vAlign w:val="bottom"/>
            <w:hideMark/>
          </w:tcPr>
          <w:p w14:paraId="0E1F053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Bb7 Copula</w:t>
            </w:r>
          </w:p>
        </w:tc>
        <w:tc>
          <w:tcPr>
            <w:tcW w:w="1300" w:type="dxa"/>
            <w:shd w:val="clear" w:color="auto" w:fill="FFFFFF"/>
            <w:noWrap/>
            <w:vAlign w:val="bottom"/>
            <w:hideMark/>
          </w:tcPr>
          <w:p w14:paraId="5718AD3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1.013234882</w:t>
            </w:r>
          </w:p>
        </w:tc>
        <w:tc>
          <w:tcPr>
            <w:tcW w:w="1240" w:type="dxa"/>
            <w:shd w:val="clear" w:color="auto" w:fill="FFFFFF"/>
            <w:noWrap/>
            <w:vAlign w:val="bottom"/>
            <w:hideMark/>
          </w:tcPr>
          <w:p w14:paraId="68B99EF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0.037440962</w:t>
            </w:r>
          </w:p>
        </w:tc>
      </w:tr>
      <w:tr w:rsidR="00197ED7" w14:paraId="6A3C8415" w14:textId="77777777" w:rsidTr="005F3D88">
        <w:trPr>
          <w:trHeight w:val="288"/>
        </w:trPr>
        <w:tc>
          <w:tcPr>
            <w:tcW w:w="1040" w:type="dxa"/>
            <w:shd w:val="clear" w:color="auto" w:fill="FFFFFF"/>
            <w:noWrap/>
            <w:vAlign w:val="bottom"/>
            <w:hideMark/>
          </w:tcPr>
          <w:p w14:paraId="38EFFB2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I</w:t>
            </w:r>
          </w:p>
        </w:tc>
        <w:tc>
          <w:tcPr>
            <w:tcW w:w="4460" w:type="dxa"/>
            <w:shd w:val="clear" w:color="auto" w:fill="FFFFFF"/>
            <w:noWrap/>
            <w:vAlign w:val="bottom"/>
            <w:hideMark/>
          </w:tcPr>
          <w:p w14:paraId="6982E247"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1 Copula</w:t>
            </w:r>
          </w:p>
        </w:tc>
        <w:tc>
          <w:tcPr>
            <w:tcW w:w="1300" w:type="dxa"/>
            <w:shd w:val="clear" w:color="auto" w:fill="FFFFFF"/>
            <w:noWrap/>
            <w:vAlign w:val="bottom"/>
            <w:hideMark/>
          </w:tcPr>
          <w:p w14:paraId="5D2FB93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1.087640836</w:t>
            </w:r>
          </w:p>
        </w:tc>
        <w:tc>
          <w:tcPr>
            <w:tcW w:w="1240" w:type="dxa"/>
            <w:shd w:val="clear" w:color="auto" w:fill="FFFFFF"/>
            <w:noWrap/>
            <w:vAlign w:val="bottom"/>
            <w:hideMark/>
          </w:tcPr>
          <w:p w14:paraId="0AE0B99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0.124663101</w:t>
            </w:r>
          </w:p>
        </w:tc>
      </w:tr>
      <w:tr w:rsidR="00197ED7" w14:paraId="4D113952" w14:textId="77777777" w:rsidTr="005F3D88">
        <w:trPr>
          <w:trHeight w:val="288"/>
        </w:trPr>
        <w:tc>
          <w:tcPr>
            <w:tcW w:w="1040" w:type="dxa"/>
            <w:shd w:val="clear" w:color="auto" w:fill="FFFFFF"/>
            <w:noWrap/>
            <w:vAlign w:val="bottom"/>
            <w:hideMark/>
          </w:tcPr>
          <w:p w14:paraId="2EA41C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68EA2D4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7AD764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1.162547078</w:t>
            </w:r>
          </w:p>
        </w:tc>
        <w:tc>
          <w:tcPr>
            <w:tcW w:w="1240" w:type="dxa"/>
            <w:shd w:val="clear" w:color="auto" w:fill="FFFFFF"/>
            <w:noWrap/>
            <w:vAlign w:val="bottom"/>
            <w:hideMark/>
          </w:tcPr>
          <w:p w14:paraId="3426BC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0.097068671</w:t>
            </w:r>
          </w:p>
        </w:tc>
      </w:tr>
      <w:tr w:rsidR="00197ED7" w14:paraId="43ACF9EB" w14:textId="77777777" w:rsidTr="005F3D88">
        <w:trPr>
          <w:trHeight w:val="288"/>
        </w:trPr>
        <w:tc>
          <w:tcPr>
            <w:tcW w:w="1040" w:type="dxa"/>
            <w:shd w:val="clear" w:color="auto" w:fill="FFFFFF"/>
            <w:noWrap/>
            <w:vAlign w:val="bottom"/>
            <w:hideMark/>
          </w:tcPr>
          <w:p w14:paraId="28D0D69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F</w:t>
            </w:r>
          </w:p>
        </w:tc>
        <w:tc>
          <w:tcPr>
            <w:tcW w:w="4460" w:type="dxa"/>
            <w:shd w:val="clear" w:color="auto" w:fill="FFFFFF"/>
            <w:noWrap/>
            <w:vAlign w:val="bottom"/>
            <w:hideMark/>
          </w:tcPr>
          <w:p w14:paraId="6EC5CD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356F553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1.026229334</w:t>
            </w:r>
          </w:p>
        </w:tc>
        <w:tc>
          <w:tcPr>
            <w:tcW w:w="1240" w:type="dxa"/>
            <w:shd w:val="clear" w:color="auto" w:fill="FFFFFF"/>
            <w:noWrap/>
            <w:vAlign w:val="bottom"/>
            <w:hideMark/>
          </w:tcPr>
          <w:p w14:paraId="0B25C96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B5DA2C2" w14:textId="77777777" w:rsidTr="005F3D88">
        <w:trPr>
          <w:trHeight w:val="288"/>
        </w:trPr>
        <w:tc>
          <w:tcPr>
            <w:tcW w:w="1040" w:type="dxa"/>
            <w:shd w:val="clear" w:color="auto" w:fill="FFFFFF"/>
            <w:noWrap/>
            <w:vAlign w:val="bottom"/>
            <w:hideMark/>
          </w:tcPr>
          <w:p w14:paraId="5DFC835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I</w:t>
            </w:r>
          </w:p>
        </w:tc>
        <w:tc>
          <w:tcPr>
            <w:tcW w:w="4460" w:type="dxa"/>
            <w:shd w:val="clear" w:color="auto" w:fill="FFFFFF"/>
            <w:noWrap/>
            <w:vAlign w:val="bottom"/>
            <w:hideMark/>
          </w:tcPr>
          <w:p w14:paraId="3B485C3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206136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0.166189097</w:t>
            </w:r>
          </w:p>
        </w:tc>
        <w:tc>
          <w:tcPr>
            <w:tcW w:w="1240" w:type="dxa"/>
            <w:shd w:val="clear" w:color="auto" w:fill="FFFFFF"/>
            <w:noWrap/>
            <w:vAlign w:val="bottom"/>
            <w:hideMark/>
          </w:tcPr>
          <w:p w14:paraId="1E2422F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5.282905213</w:t>
            </w:r>
          </w:p>
        </w:tc>
      </w:tr>
      <w:tr w:rsidR="00197ED7" w14:paraId="25BFAF4D" w14:textId="77777777" w:rsidTr="005F3D88">
        <w:trPr>
          <w:trHeight w:val="288"/>
        </w:trPr>
        <w:tc>
          <w:tcPr>
            <w:tcW w:w="1040" w:type="dxa"/>
            <w:shd w:val="clear" w:color="auto" w:fill="FFFFFF"/>
            <w:noWrap/>
            <w:vAlign w:val="bottom"/>
            <w:hideMark/>
          </w:tcPr>
          <w:p w14:paraId="0239EE8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lastRenderedPageBreak/>
              <w:t xml:space="preserve">I </w:t>
            </w:r>
            <w:proofErr w:type="spellStart"/>
            <w:r>
              <w:rPr>
                <w:rFonts w:ascii="Arial" w:eastAsia="Times New Roman" w:hAnsi="Arial" w:cs="Arial"/>
                <w:color w:val="000000"/>
                <w:sz w:val="16"/>
                <w:szCs w:val="16"/>
                <w:lang w:eastAsia="en-ZA"/>
              </w:rPr>
              <w:t>I</w:t>
            </w:r>
            <w:proofErr w:type="spellEnd"/>
            <w:r>
              <w:rPr>
                <w:rFonts w:ascii="Arial" w:eastAsia="Times New Roman" w:hAnsi="Arial" w:cs="Arial"/>
                <w:color w:val="000000"/>
                <w:sz w:val="16"/>
                <w:szCs w:val="16"/>
                <w:lang w:eastAsia="en-ZA"/>
              </w:rPr>
              <w:t xml:space="preserve"> and S R</w:t>
            </w:r>
          </w:p>
        </w:tc>
        <w:tc>
          <w:tcPr>
            <w:tcW w:w="4460" w:type="dxa"/>
            <w:shd w:val="clear" w:color="auto" w:fill="FFFFFF"/>
            <w:noWrap/>
            <w:vAlign w:val="bottom"/>
            <w:hideMark/>
          </w:tcPr>
          <w:p w14:paraId="03817DA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19BE2EC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0.308628466</w:t>
            </w:r>
          </w:p>
        </w:tc>
        <w:tc>
          <w:tcPr>
            <w:tcW w:w="1240" w:type="dxa"/>
            <w:shd w:val="clear" w:color="auto" w:fill="FFFFFF"/>
            <w:noWrap/>
            <w:vAlign w:val="bottom"/>
            <w:hideMark/>
          </w:tcPr>
          <w:p w14:paraId="3014B71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5.616249778</w:t>
            </w:r>
          </w:p>
        </w:tc>
      </w:tr>
      <w:tr w:rsidR="00197ED7" w14:paraId="51C89857" w14:textId="77777777" w:rsidTr="005F3D88">
        <w:trPr>
          <w:trHeight w:val="288"/>
        </w:trPr>
        <w:tc>
          <w:tcPr>
            <w:tcW w:w="1040" w:type="dxa"/>
            <w:shd w:val="clear" w:color="auto" w:fill="FFFFFF"/>
            <w:noWrap/>
            <w:vAlign w:val="bottom"/>
            <w:hideMark/>
          </w:tcPr>
          <w:p w14:paraId="45B4EDE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F</w:t>
            </w:r>
          </w:p>
        </w:tc>
        <w:tc>
          <w:tcPr>
            <w:tcW w:w="4460" w:type="dxa"/>
            <w:shd w:val="clear" w:color="auto" w:fill="FFFFFF"/>
            <w:noWrap/>
            <w:vAlign w:val="bottom"/>
            <w:hideMark/>
          </w:tcPr>
          <w:p w14:paraId="4918BA8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54B9E21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0.427204119</w:t>
            </w:r>
          </w:p>
        </w:tc>
        <w:tc>
          <w:tcPr>
            <w:tcW w:w="1240" w:type="dxa"/>
            <w:shd w:val="clear" w:color="auto" w:fill="FFFFFF"/>
            <w:noWrap/>
            <w:vAlign w:val="bottom"/>
            <w:hideMark/>
          </w:tcPr>
          <w:p w14:paraId="7A23FD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3066FA" w14:textId="77777777" w:rsidTr="005F3D88">
        <w:trPr>
          <w:trHeight w:val="288"/>
        </w:trPr>
        <w:tc>
          <w:tcPr>
            <w:tcW w:w="1040" w:type="dxa"/>
            <w:shd w:val="clear" w:color="auto" w:fill="FFFFFF"/>
            <w:noWrap/>
            <w:vAlign w:val="bottom"/>
            <w:hideMark/>
          </w:tcPr>
          <w:p w14:paraId="1789130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R I</w:t>
            </w:r>
          </w:p>
        </w:tc>
        <w:tc>
          <w:tcPr>
            <w:tcW w:w="4460" w:type="dxa"/>
            <w:shd w:val="clear" w:color="auto" w:fill="FFFFFF"/>
            <w:noWrap/>
            <w:vAlign w:val="bottom"/>
            <w:hideMark/>
          </w:tcPr>
          <w:p w14:paraId="00ACC49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7EFDEFA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0.333206727</w:t>
            </w:r>
          </w:p>
        </w:tc>
        <w:tc>
          <w:tcPr>
            <w:tcW w:w="1240" w:type="dxa"/>
            <w:shd w:val="clear" w:color="auto" w:fill="FFFFFF"/>
            <w:noWrap/>
            <w:vAlign w:val="bottom"/>
            <w:hideMark/>
          </w:tcPr>
          <w:p w14:paraId="6EDEBE1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10A5D42" w14:textId="77777777" w:rsidTr="005F3D88">
        <w:trPr>
          <w:trHeight w:val="288"/>
        </w:trPr>
        <w:tc>
          <w:tcPr>
            <w:tcW w:w="1040" w:type="dxa"/>
            <w:shd w:val="clear" w:color="auto" w:fill="FFFFFF"/>
            <w:noWrap/>
            <w:vAlign w:val="bottom"/>
            <w:hideMark/>
          </w:tcPr>
          <w:p w14:paraId="45EB7C2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I R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7607D82F"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25FD7D5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0.07597931</w:t>
            </w:r>
          </w:p>
        </w:tc>
        <w:tc>
          <w:tcPr>
            <w:tcW w:w="1240" w:type="dxa"/>
            <w:shd w:val="clear" w:color="auto" w:fill="FFFFFF"/>
            <w:noWrap/>
            <w:vAlign w:val="bottom"/>
            <w:hideMark/>
          </w:tcPr>
          <w:p w14:paraId="08BEF6A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0BE87E4F" w14:textId="77777777" w:rsidTr="005F3D88">
        <w:trPr>
          <w:trHeight w:val="288"/>
        </w:trPr>
        <w:tc>
          <w:tcPr>
            <w:tcW w:w="1040" w:type="dxa"/>
            <w:shd w:val="clear" w:color="auto" w:fill="FFFFFF"/>
            <w:noWrap/>
            <w:vAlign w:val="bottom"/>
            <w:hideMark/>
          </w:tcPr>
          <w:p w14:paraId="25A883F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F</w:t>
            </w:r>
          </w:p>
        </w:tc>
        <w:tc>
          <w:tcPr>
            <w:tcW w:w="4460" w:type="dxa"/>
            <w:shd w:val="clear" w:color="auto" w:fill="FFFFFF"/>
            <w:noWrap/>
            <w:vAlign w:val="bottom"/>
            <w:hideMark/>
          </w:tcPr>
          <w:p w14:paraId="4CDB968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Gaussian Copula</w:t>
            </w:r>
          </w:p>
        </w:tc>
        <w:tc>
          <w:tcPr>
            <w:tcW w:w="1300" w:type="dxa"/>
            <w:shd w:val="clear" w:color="auto" w:fill="FFFFFF"/>
            <w:noWrap/>
            <w:vAlign w:val="bottom"/>
            <w:hideMark/>
          </w:tcPr>
          <w:p w14:paraId="1F29FC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0.069935135</w:t>
            </w:r>
          </w:p>
        </w:tc>
        <w:tc>
          <w:tcPr>
            <w:tcW w:w="1240" w:type="dxa"/>
            <w:shd w:val="clear" w:color="auto" w:fill="FFFFFF"/>
            <w:noWrap/>
            <w:vAlign w:val="bottom"/>
            <w:hideMark/>
          </w:tcPr>
          <w:p w14:paraId="28BA3DF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DD5508E" w14:textId="77777777" w:rsidTr="005F3D88">
        <w:trPr>
          <w:trHeight w:val="288"/>
        </w:trPr>
        <w:tc>
          <w:tcPr>
            <w:tcW w:w="1040" w:type="dxa"/>
            <w:shd w:val="clear" w:color="auto" w:fill="FFFFFF"/>
            <w:noWrap/>
            <w:vAlign w:val="bottom"/>
            <w:hideMark/>
          </w:tcPr>
          <w:p w14:paraId="7142520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I</w:t>
            </w:r>
          </w:p>
        </w:tc>
        <w:tc>
          <w:tcPr>
            <w:tcW w:w="4460" w:type="dxa"/>
            <w:shd w:val="clear" w:color="auto" w:fill="FFFFFF"/>
            <w:noWrap/>
            <w:vAlign w:val="bottom"/>
            <w:hideMark/>
          </w:tcPr>
          <w:p w14:paraId="18527CCA"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F8A108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0.109032685</w:t>
            </w:r>
          </w:p>
        </w:tc>
        <w:tc>
          <w:tcPr>
            <w:tcW w:w="1240" w:type="dxa"/>
            <w:shd w:val="clear" w:color="auto" w:fill="FFFFFF"/>
            <w:noWrap/>
            <w:vAlign w:val="bottom"/>
            <w:hideMark/>
          </w:tcPr>
          <w:p w14:paraId="5EA9A96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30</w:t>
            </w:r>
          </w:p>
        </w:tc>
      </w:tr>
      <w:tr w:rsidR="00197ED7" w14:paraId="2D964159" w14:textId="77777777" w:rsidTr="005F3D88">
        <w:trPr>
          <w:trHeight w:val="288"/>
        </w:trPr>
        <w:tc>
          <w:tcPr>
            <w:tcW w:w="1040" w:type="dxa"/>
            <w:shd w:val="clear" w:color="auto" w:fill="FFFFFF"/>
            <w:noWrap/>
            <w:vAlign w:val="bottom"/>
            <w:hideMark/>
          </w:tcPr>
          <w:p w14:paraId="6B80138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I R and S R</w:t>
            </w:r>
          </w:p>
        </w:tc>
        <w:tc>
          <w:tcPr>
            <w:tcW w:w="4460" w:type="dxa"/>
            <w:shd w:val="clear" w:color="auto" w:fill="FFFFFF"/>
            <w:noWrap/>
            <w:vAlign w:val="bottom"/>
            <w:hideMark/>
          </w:tcPr>
          <w:p w14:paraId="2B7A07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38CCA2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0.268114297</w:t>
            </w:r>
          </w:p>
        </w:tc>
        <w:tc>
          <w:tcPr>
            <w:tcW w:w="1240" w:type="dxa"/>
            <w:shd w:val="clear" w:color="auto" w:fill="FFFFFF"/>
            <w:noWrap/>
            <w:vAlign w:val="bottom"/>
            <w:hideMark/>
          </w:tcPr>
          <w:p w14:paraId="4B3439B2"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6.147600194</w:t>
            </w:r>
          </w:p>
        </w:tc>
      </w:tr>
      <w:tr w:rsidR="00197ED7" w14:paraId="15409407" w14:textId="77777777" w:rsidTr="005F3D88">
        <w:trPr>
          <w:trHeight w:val="288"/>
        </w:trPr>
        <w:tc>
          <w:tcPr>
            <w:tcW w:w="1040" w:type="dxa"/>
            <w:shd w:val="clear" w:color="auto" w:fill="FFFFFF"/>
            <w:noWrap/>
            <w:vAlign w:val="bottom"/>
            <w:hideMark/>
          </w:tcPr>
          <w:p w14:paraId="7855CB7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R I</w:t>
            </w:r>
          </w:p>
        </w:tc>
        <w:tc>
          <w:tcPr>
            <w:tcW w:w="4460" w:type="dxa"/>
            <w:shd w:val="clear" w:color="auto" w:fill="FFFFFF"/>
            <w:noWrap/>
            <w:vAlign w:val="bottom"/>
            <w:hideMark/>
          </w:tcPr>
          <w:p w14:paraId="0E6AC5A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312C9D0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0.30653249</w:t>
            </w:r>
          </w:p>
        </w:tc>
        <w:tc>
          <w:tcPr>
            <w:tcW w:w="1240" w:type="dxa"/>
            <w:shd w:val="clear" w:color="auto" w:fill="FFFFFF"/>
            <w:noWrap/>
            <w:vAlign w:val="bottom"/>
            <w:hideMark/>
          </w:tcPr>
          <w:p w14:paraId="179048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209F125" w14:textId="77777777" w:rsidTr="005F3D88">
        <w:trPr>
          <w:trHeight w:val="288"/>
        </w:trPr>
        <w:tc>
          <w:tcPr>
            <w:tcW w:w="1040" w:type="dxa"/>
            <w:shd w:val="clear" w:color="auto" w:fill="FFFFFF"/>
            <w:noWrap/>
            <w:vAlign w:val="bottom"/>
            <w:hideMark/>
          </w:tcPr>
          <w:p w14:paraId="697B841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F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4287655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Gumbel Copula (180 Degrees; “survival Gumbel”)</w:t>
            </w:r>
          </w:p>
        </w:tc>
        <w:tc>
          <w:tcPr>
            <w:tcW w:w="1300" w:type="dxa"/>
            <w:shd w:val="clear" w:color="auto" w:fill="FFFFFF"/>
            <w:noWrap/>
            <w:vAlign w:val="bottom"/>
            <w:hideMark/>
          </w:tcPr>
          <w:p w14:paraId="5F484FB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1.023122846</w:t>
            </w:r>
          </w:p>
        </w:tc>
        <w:tc>
          <w:tcPr>
            <w:tcW w:w="1240" w:type="dxa"/>
            <w:shd w:val="clear" w:color="auto" w:fill="FFFFFF"/>
            <w:noWrap/>
            <w:vAlign w:val="bottom"/>
            <w:hideMark/>
          </w:tcPr>
          <w:p w14:paraId="742607E6"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D625817" w14:textId="77777777" w:rsidTr="005F3D88">
        <w:trPr>
          <w:trHeight w:val="288"/>
        </w:trPr>
        <w:tc>
          <w:tcPr>
            <w:tcW w:w="1040" w:type="dxa"/>
            <w:shd w:val="clear" w:color="auto" w:fill="FFFFFF"/>
            <w:noWrap/>
            <w:vAlign w:val="bottom"/>
            <w:hideMark/>
          </w:tcPr>
          <w:p w14:paraId="02751C8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F</w:t>
            </w:r>
          </w:p>
        </w:tc>
        <w:tc>
          <w:tcPr>
            <w:tcW w:w="4460" w:type="dxa"/>
            <w:shd w:val="clear" w:color="auto" w:fill="FFFFFF"/>
            <w:noWrap/>
            <w:vAlign w:val="bottom"/>
            <w:hideMark/>
          </w:tcPr>
          <w:p w14:paraId="61D4BCF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Rotated </w:t>
            </w: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 (180 Degrees)</w:t>
            </w:r>
          </w:p>
        </w:tc>
        <w:tc>
          <w:tcPr>
            <w:tcW w:w="1300" w:type="dxa"/>
            <w:shd w:val="clear" w:color="auto" w:fill="FFFFFF"/>
            <w:noWrap/>
            <w:vAlign w:val="bottom"/>
            <w:hideMark/>
          </w:tcPr>
          <w:p w14:paraId="3962199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1.139386431</w:t>
            </w:r>
          </w:p>
        </w:tc>
        <w:tc>
          <w:tcPr>
            <w:tcW w:w="1240" w:type="dxa"/>
            <w:shd w:val="clear" w:color="auto" w:fill="FFFFFF"/>
            <w:noWrap/>
            <w:vAlign w:val="bottom"/>
            <w:hideMark/>
          </w:tcPr>
          <w:p w14:paraId="037D6A4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0.209515627</w:t>
            </w:r>
          </w:p>
        </w:tc>
      </w:tr>
      <w:tr w:rsidR="00197ED7" w14:paraId="3141D396" w14:textId="77777777" w:rsidTr="005F3D88">
        <w:trPr>
          <w:trHeight w:val="288"/>
        </w:trPr>
        <w:tc>
          <w:tcPr>
            <w:tcW w:w="1040" w:type="dxa"/>
            <w:shd w:val="clear" w:color="auto" w:fill="FFFFFF"/>
            <w:noWrap/>
            <w:vAlign w:val="bottom"/>
            <w:hideMark/>
          </w:tcPr>
          <w:p w14:paraId="40DA5CB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I</w:t>
            </w:r>
          </w:p>
        </w:tc>
        <w:tc>
          <w:tcPr>
            <w:tcW w:w="4460" w:type="dxa"/>
            <w:shd w:val="clear" w:color="auto" w:fill="FFFFFF"/>
            <w:noWrap/>
            <w:vAlign w:val="bottom"/>
            <w:hideMark/>
          </w:tcPr>
          <w:p w14:paraId="1422F9B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1CD2041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0.699789335</w:t>
            </w:r>
          </w:p>
        </w:tc>
        <w:tc>
          <w:tcPr>
            <w:tcW w:w="1240" w:type="dxa"/>
            <w:shd w:val="clear" w:color="auto" w:fill="FFFFFF"/>
            <w:noWrap/>
            <w:vAlign w:val="bottom"/>
            <w:hideMark/>
          </w:tcPr>
          <w:p w14:paraId="3FF4E6AA"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25514C26" w14:textId="77777777" w:rsidTr="005F3D88">
        <w:trPr>
          <w:trHeight w:val="288"/>
        </w:trPr>
        <w:tc>
          <w:tcPr>
            <w:tcW w:w="1040" w:type="dxa"/>
            <w:shd w:val="clear" w:color="auto" w:fill="FFFFFF"/>
            <w:noWrap/>
            <w:vAlign w:val="bottom"/>
            <w:hideMark/>
          </w:tcPr>
          <w:p w14:paraId="455EF470"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F and S R</w:t>
            </w:r>
          </w:p>
        </w:tc>
        <w:tc>
          <w:tcPr>
            <w:tcW w:w="4460" w:type="dxa"/>
            <w:shd w:val="clear" w:color="auto" w:fill="FFFFFF"/>
            <w:noWrap/>
            <w:vAlign w:val="bottom"/>
            <w:hideMark/>
          </w:tcPr>
          <w:p w14:paraId="66D44972"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91295A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0.330077652</w:t>
            </w:r>
          </w:p>
        </w:tc>
        <w:tc>
          <w:tcPr>
            <w:tcW w:w="1240" w:type="dxa"/>
            <w:shd w:val="clear" w:color="auto" w:fill="FFFFFF"/>
            <w:noWrap/>
            <w:vAlign w:val="bottom"/>
            <w:hideMark/>
          </w:tcPr>
          <w:p w14:paraId="5904B99B"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6.978830796</w:t>
            </w:r>
          </w:p>
        </w:tc>
      </w:tr>
      <w:tr w:rsidR="00197ED7" w14:paraId="49230971" w14:textId="77777777" w:rsidTr="005F3D88">
        <w:trPr>
          <w:trHeight w:val="288"/>
        </w:trPr>
        <w:tc>
          <w:tcPr>
            <w:tcW w:w="1040" w:type="dxa"/>
            <w:shd w:val="clear" w:color="auto" w:fill="FFFFFF"/>
            <w:noWrap/>
            <w:vAlign w:val="bottom"/>
            <w:hideMark/>
          </w:tcPr>
          <w:p w14:paraId="3AE3034E"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I and R </w:t>
            </w:r>
            <w:proofErr w:type="spellStart"/>
            <w:r>
              <w:rPr>
                <w:rFonts w:ascii="Arial" w:eastAsia="Times New Roman" w:hAnsi="Arial" w:cs="Arial"/>
                <w:color w:val="000000"/>
                <w:sz w:val="16"/>
                <w:szCs w:val="16"/>
                <w:lang w:eastAsia="en-ZA"/>
              </w:rPr>
              <w:t>R</w:t>
            </w:r>
            <w:proofErr w:type="spellEnd"/>
          </w:p>
        </w:tc>
        <w:tc>
          <w:tcPr>
            <w:tcW w:w="4460" w:type="dxa"/>
            <w:shd w:val="clear" w:color="auto" w:fill="FFFFFF"/>
            <w:noWrap/>
            <w:vAlign w:val="bottom"/>
            <w:hideMark/>
          </w:tcPr>
          <w:p w14:paraId="3202955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2827E174"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0.036117273</w:t>
            </w:r>
          </w:p>
        </w:tc>
        <w:tc>
          <w:tcPr>
            <w:tcW w:w="1240" w:type="dxa"/>
            <w:shd w:val="clear" w:color="auto" w:fill="FFFFFF"/>
            <w:noWrap/>
            <w:vAlign w:val="bottom"/>
            <w:hideMark/>
          </w:tcPr>
          <w:p w14:paraId="1D00F77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14.33584958</w:t>
            </w:r>
          </w:p>
        </w:tc>
      </w:tr>
      <w:tr w:rsidR="00197ED7" w14:paraId="0BFF45AC" w14:textId="77777777" w:rsidTr="005F3D88">
        <w:trPr>
          <w:trHeight w:val="288"/>
        </w:trPr>
        <w:tc>
          <w:tcPr>
            <w:tcW w:w="1040" w:type="dxa"/>
            <w:shd w:val="clear" w:color="auto" w:fill="FFFFFF"/>
            <w:noWrap/>
            <w:vAlign w:val="bottom"/>
            <w:hideMark/>
          </w:tcPr>
          <w:p w14:paraId="602E132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F</w:t>
            </w:r>
          </w:p>
        </w:tc>
        <w:tc>
          <w:tcPr>
            <w:tcW w:w="4460" w:type="dxa"/>
            <w:shd w:val="clear" w:color="auto" w:fill="FFFFFF"/>
            <w:noWrap/>
            <w:vAlign w:val="bottom"/>
            <w:hideMark/>
          </w:tcPr>
          <w:p w14:paraId="62A0EC72" w14:textId="77777777" w:rsidR="00197ED7" w:rsidRDefault="00197ED7" w:rsidP="005F3D88">
            <w:pPr>
              <w:spacing w:after="0" w:line="240" w:lineRule="auto"/>
              <w:rPr>
                <w:rFonts w:ascii="Arial" w:eastAsia="Times New Roman" w:hAnsi="Arial" w:cs="Arial"/>
                <w:color w:val="000000"/>
                <w:sz w:val="16"/>
                <w:szCs w:val="16"/>
                <w:lang w:eastAsia="en-ZA"/>
              </w:rPr>
            </w:pPr>
            <w:proofErr w:type="spellStart"/>
            <w:r>
              <w:rPr>
                <w:rFonts w:ascii="Arial" w:eastAsia="Times New Roman" w:hAnsi="Arial" w:cs="Arial"/>
                <w:color w:val="000000"/>
                <w:sz w:val="16"/>
                <w:szCs w:val="16"/>
                <w:lang w:eastAsia="en-ZA"/>
              </w:rPr>
              <w:t>Tawn</w:t>
            </w:r>
            <w:proofErr w:type="spellEnd"/>
            <w:r>
              <w:rPr>
                <w:rFonts w:ascii="Arial" w:eastAsia="Times New Roman" w:hAnsi="Arial" w:cs="Arial"/>
                <w:color w:val="000000"/>
                <w:sz w:val="16"/>
                <w:szCs w:val="16"/>
                <w:lang w:eastAsia="en-ZA"/>
              </w:rPr>
              <w:t xml:space="preserve"> Type 2 Copula</w:t>
            </w:r>
          </w:p>
        </w:tc>
        <w:tc>
          <w:tcPr>
            <w:tcW w:w="1300" w:type="dxa"/>
            <w:shd w:val="clear" w:color="auto" w:fill="FFFFFF"/>
            <w:noWrap/>
            <w:vAlign w:val="bottom"/>
            <w:hideMark/>
          </w:tcPr>
          <w:p w14:paraId="529BBD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1.085166713</w:t>
            </w:r>
          </w:p>
        </w:tc>
        <w:tc>
          <w:tcPr>
            <w:tcW w:w="1240" w:type="dxa"/>
            <w:shd w:val="clear" w:color="auto" w:fill="FFFFFF"/>
            <w:noWrap/>
            <w:vAlign w:val="bottom"/>
            <w:hideMark/>
          </w:tcPr>
          <w:p w14:paraId="3BB78F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0.237980917</w:t>
            </w:r>
          </w:p>
        </w:tc>
      </w:tr>
      <w:tr w:rsidR="00197ED7" w14:paraId="12C0665C" w14:textId="77777777" w:rsidTr="005F3D88">
        <w:trPr>
          <w:trHeight w:val="288"/>
        </w:trPr>
        <w:tc>
          <w:tcPr>
            <w:tcW w:w="1040" w:type="dxa"/>
            <w:shd w:val="clear" w:color="auto" w:fill="FFFFFF"/>
            <w:noWrap/>
            <w:vAlign w:val="bottom"/>
            <w:hideMark/>
          </w:tcPr>
          <w:p w14:paraId="5B208C8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I and </w:t>
            </w:r>
            <w:proofErr w:type="gramStart"/>
            <w:r>
              <w:rPr>
                <w:rFonts w:ascii="Arial" w:eastAsia="Times New Roman" w:hAnsi="Arial" w:cs="Arial"/>
                <w:color w:val="000000"/>
                <w:sz w:val="16"/>
                <w:szCs w:val="16"/>
                <w:lang w:eastAsia="en-ZA"/>
              </w:rPr>
              <w:t>S</w:t>
            </w:r>
            <w:proofErr w:type="gramEnd"/>
            <w:r>
              <w:rPr>
                <w:rFonts w:ascii="Arial" w:eastAsia="Times New Roman" w:hAnsi="Arial" w:cs="Arial"/>
                <w:color w:val="000000"/>
                <w:sz w:val="16"/>
                <w:szCs w:val="16"/>
                <w:lang w:eastAsia="en-ZA"/>
              </w:rPr>
              <w:t xml:space="preserve"> I</w:t>
            </w:r>
          </w:p>
        </w:tc>
        <w:tc>
          <w:tcPr>
            <w:tcW w:w="4460" w:type="dxa"/>
            <w:shd w:val="clear" w:color="auto" w:fill="FFFFFF"/>
            <w:noWrap/>
            <w:vAlign w:val="bottom"/>
            <w:hideMark/>
          </w:tcPr>
          <w:p w14:paraId="0ABC2E54"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7049F5B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0.085546055</w:t>
            </w:r>
          </w:p>
        </w:tc>
        <w:tc>
          <w:tcPr>
            <w:tcW w:w="1240" w:type="dxa"/>
            <w:shd w:val="clear" w:color="auto" w:fill="FFFFFF"/>
            <w:noWrap/>
            <w:vAlign w:val="bottom"/>
            <w:hideMark/>
          </w:tcPr>
          <w:p w14:paraId="6064B6A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14.81416199</w:t>
            </w:r>
          </w:p>
        </w:tc>
      </w:tr>
      <w:tr w:rsidR="00197ED7" w14:paraId="1E4AB1BA" w14:textId="77777777" w:rsidTr="005F3D88">
        <w:trPr>
          <w:trHeight w:val="288"/>
        </w:trPr>
        <w:tc>
          <w:tcPr>
            <w:tcW w:w="1040" w:type="dxa"/>
            <w:shd w:val="clear" w:color="auto" w:fill="FFFFFF"/>
            <w:noWrap/>
            <w:vAlign w:val="bottom"/>
            <w:hideMark/>
          </w:tcPr>
          <w:p w14:paraId="7A239FA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 I and S R</w:t>
            </w:r>
          </w:p>
        </w:tc>
        <w:tc>
          <w:tcPr>
            <w:tcW w:w="4460" w:type="dxa"/>
            <w:shd w:val="clear" w:color="auto" w:fill="FFFFFF"/>
            <w:noWrap/>
            <w:vAlign w:val="bottom"/>
            <w:hideMark/>
          </w:tcPr>
          <w:p w14:paraId="43B0A767"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6B12FD3F"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0.13424499</w:t>
            </w:r>
          </w:p>
        </w:tc>
        <w:tc>
          <w:tcPr>
            <w:tcW w:w="1240" w:type="dxa"/>
            <w:shd w:val="clear" w:color="auto" w:fill="FFFFFF"/>
            <w:noWrap/>
            <w:vAlign w:val="bottom"/>
            <w:hideMark/>
          </w:tcPr>
          <w:p w14:paraId="528A4A21"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9.150443647</w:t>
            </w:r>
          </w:p>
        </w:tc>
      </w:tr>
      <w:tr w:rsidR="00197ED7" w14:paraId="6F042967" w14:textId="77777777" w:rsidTr="005F3D88">
        <w:trPr>
          <w:trHeight w:val="288"/>
        </w:trPr>
        <w:tc>
          <w:tcPr>
            <w:tcW w:w="1040" w:type="dxa"/>
            <w:shd w:val="clear" w:color="auto" w:fill="FFFFFF"/>
            <w:noWrap/>
            <w:vAlign w:val="bottom"/>
            <w:hideMark/>
          </w:tcPr>
          <w:p w14:paraId="3290E8F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F</w:t>
            </w:r>
          </w:p>
        </w:tc>
        <w:tc>
          <w:tcPr>
            <w:tcW w:w="4460" w:type="dxa"/>
            <w:shd w:val="clear" w:color="auto" w:fill="FFFFFF"/>
            <w:noWrap/>
            <w:vAlign w:val="bottom"/>
            <w:hideMark/>
          </w:tcPr>
          <w:p w14:paraId="7C460EA3"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Frank Copula</w:t>
            </w:r>
          </w:p>
        </w:tc>
        <w:tc>
          <w:tcPr>
            <w:tcW w:w="1300" w:type="dxa"/>
            <w:shd w:val="clear" w:color="auto" w:fill="FFFFFF"/>
            <w:noWrap/>
            <w:vAlign w:val="bottom"/>
            <w:hideMark/>
          </w:tcPr>
          <w:p w14:paraId="26AC8B49"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0.596633966</w:t>
            </w:r>
          </w:p>
        </w:tc>
        <w:tc>
          <w:tcPr>
            <w:tcW w:w="1240" w:type="dxa"/>
            <w:shd w:val="clear" w:color="auto" w:fill="FFFFFF"/>
            <w:noWrap/>
            <w:vAlign w:val="bottom"/>
            <w:hideMark/>
          </w:tcPr>
          <w:p w14:paraId="446843F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67DF374F" w14:textId="77777777" w:rsidTr="005F3D88">
        <w:trPr>
          <w:trHeight w:val="288"/>
        </w:trPr>
        <w:tc>
          <w:tcPr>
            <w:tcW w:w="1040" w:type="dxa"/>
            <w:shd w:val="clear" w:color="auto" w:fill="FFFFFF"/>
            <w:noWrap/>
            <w:vAlign w:val="bottom"/>
            <w:hideMark/>
          </w:tcPr>
          <w:p w14:paraId="0DB549FC"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I</w:t>
            </w:r>
          </w:p>
        </w:tc>
        <w:tc>
          <w:tcPr>
            <w:tcW w:w="4460" w:type="dxa"/>
            <w:shd w:val="clear" w:color="auto" w:fill="FFFFFF"/>
            <w:noWrap/>
            <w:vAlign w:val="bottom"/>
            <w:hideMark/>
          </w:tcPr>
          <w:p w14:paraId="7EE3FBDF"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B42841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0.102220225</w:t>
            </w:r>
          </w:p>
        </w:tc>
        <w:tc>
          <w:tcPr>
            <w:tcW w:w="1240" w:type="dxa"/>
            <w:shd w:val="clear" w:color="auto" w:fill="FFFFFF"/>
            <w:noWrap/>
            <w:vAlign w:val="bottom"/>
            <w:hideMark/>
          </w:tcPr>
          <w:p w14:paraId="11D307C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15.67180519</w:t>
            </w:r>
          </w:p>
        </w:tc>
      </w:tr>
      <w:tr w:rsidR="00197ED7" w14:paraId="3F6D889A" w14:textId="77777777" w:rsidTr="005F3D88">
        <w:trPr>
          <w:trHeight w:val="288"/>
        </w:trPr>
        <w:tc>
          <w:tcPr>
            <w:tcW w:w="1040" w:type="dxa"/>
            <w:shd w:val="clear" w:color="auto" w:fill="FFFFFF"/>
            <w:noWrap/>
            <w:vAlign w:val="bottom"/>
            <w:hideMark/>
          </w:tcPr>
          <w:p w14:paraId="7959CAD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xml:space="preserve">R </w:t>
            </w:r>
            <w:proofErr w:type="spellStart"/>
            <w:r>
              <w:rPr>
                <w:rFonts w:ascii="Arial" w:eastAsia="Times New Roman" w:hAnsi="Arial" w:cs="Arial"/>
                <w:color w:val="000000"/>
                <w:sz w:val="16"/>
                <w:szCs w:val="16"/>
                <w:lang w:eastAsia="en-ZA"/>
              </w:rPr>
              <w:t>R</w:t>
            </w:r>
            <w:proofErr w:type="spellEnd"/>
            <w:r>
              <w:rPr>
                <w:rFonts w:ascii="Arial" w:eastAsia="Times New Roman" w:hAnsi="Arial" w:cs="Arial"/>
                <w:color w:val="000000"/>
                <w:sz w:val="16"/>
                <w:szCs w:val="16"/>
                <w:lang w:eastAsia="en-ZA"/>
              </w:rPr>
              <w:t xml:space="preserve"> and S R</w:t>
            </w:r>
          </w:p>
        </w:tc>
        <w:tc>
          <w:tcPr>
            <w:tcW w:w="4460" w:type="dxa"/>
            <w:shd w:val="clear" w:color="auto" w:fill="FFFFFF"/>
            <w:noWrap/>
            <w:vAlign w:val="bottom"/>
            <w:hideMark/>
          </w:tcPr>
          <w:p w14:paraId="04C828C0"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0DD0048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0.470385299</w:t>
            </w:r>
          </w:p>
        </w:tc>
        <w:tc>
          <w:tcPr>
            <w:tcW w:w="1240" w:type="dxa"/>
            <w:shd w:val="clear" w:color="auto" w:fill="FFFFFF"/>
            <w:noWrap/>
            <w:vAlign w:val="bottom"/>
            <w:hideMark/>
          </w:tcPr>
          <w:p w14:paraId="004A5A0E"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2.113051916</w:t>
            </w:r>
          </w:p>
        </w:tc>
      </w:tr>
      <w:tr w:rsidR="00197ED7" w14:paraId="7354CC86" w14:textId="77777777" w:rsidTr="005F3D88">
        <w:trPr>
          <w:trHeight w:val="288"/>
        </w:trPr>
        <w:tc>
          <w:tcPr>
            <w:tcW w:w="1040" w:type="dxa"/>
            <w:shd w:val="clear" w:color="auto" w:fill="FFFFFF"/>
            <w:noWrap/>
            <w:vAlign w:val="bottom"/>
            <w:hideMark/>
          </w:tcPr>
          <w:p w14:paraId="681E5AA7"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I</w:t>
            </w:r>
          </w:p>
        </w:tc>
        <w:tc>
          <w:tcPr>
            <w:tcW w:w="4460" w:type="dxa"/>
            <w:shd w:val="clear" w:color="auto" w:fill="FFFFFF"/>
            <w:noWrap/>
            <w:vAlign w:val="bottom"/>
            <w:hideMark/>
          </w:tcPr>
          <w:p w14:paraId="6F88B7AB"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Gumbel Copula</w:t>
            </w:r>
          </w:p>
        </w:tc>
        <w:tc>
          <w:tcPr>
            <w:tcW w:w="1300" w:type="dxa"/>
            <w:shd w:val="clear" w:color="auto" w:fill="FFFFFF"/>
            <w:noWrap/>
            <w:vAlign w:val="bottom"/>
            <w:hideMark/>
          </w:tcPr>
          <w:p w14:paraId="6AFB16C0"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1.024622742</w:t>
            </w:r>
          </w:p>
        </w:tc>
        <w:tc>
          <w:tcPr>
            <w:tcW w:w="1240" w:type="dxa"/>
            <w:shd w:val="clear" w:color="auto" w:fill="FFFFFF"/>
            <w:noWrap/>
            <w:vAlign w:val="bottom"/>
            <w:hideMark/>
          </w:tcPr>
          <w:p w14:paraId="3DA4B8DD"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w:t>
            </w:r>
          </w:p>
        </w:tc>
      </w:tr>
      <w:tr w:rsidR="00197ED7" w14:paraId="74E43786" w14:textId="77777777" w:rsidTr="005F3D88">
        <w:trPr>
          <w:trHeight w:val="288"/>
        </w:trPr>
        <w:tc>
          <w:tcPr>
            <w:tcW w:w="1040" w:type="dxa"/>
            <w:shd w:val="clear" w:color="auto" w:fill="FFFFFF"/>
            <w:noWrap/>
            <w:vAlign w:val="bottom"/>
            <w:hideMark/>
          </w:tcPr>
          <w:p w14:paraId="17373382"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F and S R</w:t>
            </w:r>
          </w:p>
        </w:tc>
        <w:tc>
          <w:tcPr>
            <w:tcW w:w="4460" w:type="dxa"/>
            <w:shd w:val="clear" w:color="auto" w:fill="FFFFFF"/>
            <w:noWrap/>
            <w:vAlign w:val="bottom"/>
            <w:hideMark/>
          </w:tcPr>
          <w:p w14:paraId="3BBFBB66" w14:textId="77777777" w:rsidR="00197ED7" w:rsidRPr="002C0CA8" w:rsidRDefault="00197ED7" w:rsidP="005F3D88">
            <w:pPr>
              <w:spacing w:after="0" w:line="240" w:lineRule="auto"/>
              <w:rPr>
                <w:rFonts w:ascii="Arial" w:eastAsia="Times New Roman" w:hAnsi="Arial" w:cs="Arial"/>
                <w:color w:val="000000"/>
                <w:sz w:val="16"/>
                <w:szCs w:val="16"/>
                <w:lang w:val="fr-FR" w:eastAsia="en-ZA"/>
              </w:rPr>
            </w:pPr>
            <w:proofErr w:type="spellStart"/>
            <w:r w:rsidRPr="002C0CA8">
              <w:rPr>
                <w:rFonts w:ascii="Arial" w:eastAsia="Times New Roman" w:hAnsi="Arial" w:cs="Arial"/>
                <w:color w:val="000000"/>
                <w:sz w:val="16"/>
                <w:szCs w:val="16"/>
                <w:lang w:val="fr-FR" w:eastAsia="en-ZA"/>
              </w:rPr>
              <w:t>Student</w:t>
            </w:r>
            <w:proofErr w:type="spellEnd"/>
            <w:r w:rsidRPr="002C0CA8">
              <w:rPr>
                <w:rFonts w:ascii="Arial" w:eastAsia="Times New Roman" w:hAnsi="Arial" w:cs="Arial"/>
                <w:color w:val="000000"/>
                <w:sz w:val="16"/>
                <w:szCs w:val="16"/>
                <w:lang w:val="fr-FR" w:eastAsia="en-ZA"/>
              </w:rPr>
              <w:t xml:space="preserve"> T Copula (t-copula)</w:t>
            </w:r>
          </w:p>
        </w:tc>
        <w:tc>
          <w:tcPr>
            <w:tcW w:w="1300" w:type="dxa"/>
            <w:shd w:val="clear" w:color="auto" w:fill="FFFFFF"/>
            <w:noWrap/>
            <w:vAlign w:val="bottom"/>
            <w:hideMark/>
          </w:tcPr>
          <w:p w14:paraId="4585023C"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0.224322574</w:t>
            </w:r>
          </w:p>
        </w:tc>
        <w:tc>
          <w:tcPr>
            <w:tcW w:w="1240" w:type="dxa"/>
            <w:shd w:val="clear" w:color="auto" w:fill="FFFFFF"/>
            <w:noWrap/>
            <w:vAlign w:val="bottom"/>
            <w:hideMark/>
          </w:tcPr>
          <w:p w14:paraId="1AB38AE5"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9.408960547</w:t>
            </w:r>
          </w:p>
        </w:tc>
      </w:tr>
      <w:tr w:rsidR="00197ED7" w14:paraId="67A6DD5B" w14:textId="77777777" w:rsidTr="005F3D88">
        <w:trPr>
          <w:trHeight w:val="288"/>
        </w:trPr>
        <w:tc>
          <w:tcPr>
            <w:tcW w:w="1040" w:type="dxa"/>
            <w:tcBorders>
              <w:top w:val="nil"/>
              <w:left w:val="nil"/>
              <w:bottom w:val="single" w:sz="4" w:space="0" w:color="auto"/>
              <w:right w:val="nil"/>
            </w:tcBorders>
            <w:shd w:val="clear" w:color="auto" w:fill="FFFFFF"/>
            <w:noWrap/>
            <w:vAlign w:val="bottom"/>
            <w:hideMark/>
          </w:tcPr>
          <w:p w14:paraId="723302B1"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S I and S R</w:t>
            </w:r>
          </w:p>
        </w:tc>
        <w:tc>
          <w:tcPr>
            <w:tcW w:w="4460" w:type="dxa"/>
            <w:tcBorders>
              <w:top w:val="nil"/>
              <w:left w:val="nil"/>
              <w:bottom w:val="single" w:sz="4" w:space="0" w:color="auto"/>
              <w:right w:val="nil"/>
            </w:tcBorders>
            <w:shd w:val="clear" w:color="auto" w:fill="FFFFFF"/>
            <w:noWrap/>
            <w:vAlign w:val="bottom"/>
            <w:hideMark/>
          </w:tcPr>
          <w:p w14:paraId="29FB399D"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Rotated Bb7 Copula (180 Degrees; “survival Bb7”)</w:t>
            </w:r>
          </w:p>
        </w:tc>
        <w:tc>
          <w:tcPr>
            <w:tcW w:w="1300" w:type="dxa"/>
            <w:tcBorders>
              <w:top w:val="nil"/>
              <w:left w:val="nil"/>
              <w:bottom w:val="single" w:sz="4" w:space="0" w:color="auto"/>
              <w:right w:val="nil"/>
            </w:tcBorders>
            <w:shd w:val="clear" w:color="auto" w:fill="FFFFFF"/>
            <w:noWrap/>
            <w:vAlign w:val="bottom"/>
            <w:hideMark/>
          </w:tcPr>
          <w:p w14:paraId="25DDF283"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1.21153283</w:t>
            </w:r>
          </w:p>
        </w:tc>
        <w:tc>
          <w:tcPr>
            <w:tcW w:w="1240" w:type="dxa"/>
            <w:tcBorders>
              <w:top w:val="nil"/>
              <w:left w:val="nil"/>
              <w:bottom w:val="single" w:sz="4" w:space="0" w:color="auto"/>
              <w:right w:val="nil"/>
            </w:tcBorders>
            <w:shd w:val="clear" w:color="auto" w:fill="FFFFFF"/>
            <w:noWrap/>
            <w:vAlign w:val="bottom"/>
            <w:hideMark/>
          </w:tcPr>
          <w:p w14:paraId="4EAD4117" w14:textId="77777777" w:rsidR="00197ED7" w:rsidRDefault="00197ED7" w:rsidP="005F3D88">
            <w:pPr>
              <w:spacing w:after="0" w:line="240" w:lineRule="auto"/>
              <w:jc w:val="right"/>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0.284703839</w:t>
            </w:r>
          </w:p>
        </w:tc>
      </w:tr>
      <w:tr w:rsidR="00197ED7" w14:paraId="69014513" w14:textId="77777777" w:rsidTr="005F3D88">
        <w:trPr>
          <w:trHeight w:val="288"/>
        </w:trPr>
        <w:tc>
          <w:tcPr>
            <w:tcW w:w="1040" w:type="dxa"/>
            <w:shd w:val="clear" w:color="auto" w:fill="FFFFFF"/>
            <w:noWrap/>
            <w:vAlign w:val="bottom"/>
            <w:hideMark/>
          </w:tcPr>
          <w:p w14:paraId="0786C946"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4460" w:type="dxa"/>
            <w:shd w:val="clear" w:color="auto" w:fill="FFFFFF"/>
            <w:noWrap/>
            <w:vAlign w:val="bottom"/>
            <w:hideMark/>
          </w:tcPr>
          <w:p w14:paraId="58E4346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300" w:type="dxa"/>
            <w:shd w:val="clear" w:color="auto" w:fill="FFFFFF"/>
            <w:noWrap/>
            <w:vAlign w:val="bottom"/>
            <w:hideMark/>
          </w:tcPr>
          <w:p w14:paraId="45BB598A"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c>
          <w:tcPr>
            <w:tcW w:w="1240" w:type="dxa"/>
            <w:shd w:val="clear" w:color="auto" w:fill="FFFFFF"/>
            <w:noWrap/>
            <w:vAlign w:val="bottom"/>
            <w:hideMark/>
          </w:tcPr>
          <w:p w14:paraId="3F66E238" w14:textId="77777777" w:rsidR="00197ED7" w:rsidRDefault="00197ED7" w:rsidP="005F3D88">
            <w:pPr>
              <w:spacing w:after="0" w:line="240" w:lineRule="auto"/>
              <w:rPr>
                <w:rFonts w:ascii="Arial" w:eastAsia="Times New Roman" w:hAnsi="Arial" w:cs="Arial"/>
                <w:color w:val="000000"/>
                <w:sz w:val="16"/>
                <w:szCs w:val="16"/>
                <w:lang w:eastAsia="en-ZA"/>
              </w:rPr>
            </w:pPr>
            <w:r>
              <w:rPr>
                <w:rFonts w:ascii="Arial" w:eastAsia="Times New Roman" w:hAnsi="Arial" w:cs="Arial"/>
                <w:color w:val="000000"/>
                <w:sz w:val="16"/>
                <w:szCs w:val="16"/>
                <w:lang w:eastAsia="en-ZA"/>
              </w:rPr>
              <w:t> </w:t>
            </w:r>
          </w:p>
        </w:tc>
      </w:tr>
    </w:tbl>
    <w:p w14:paraId="70C3D5B9" w14:textId="77777777" w:rsidR="00197ED7" w:rsidRDefault="00197ED7" w:rsidP="00197ED7">
      <w:pPr>
        <w:rPr>
          <w:rFonts w:ascii="Arial" w:hAnsi="Arial" w:cs="Arial"/>
          <w:lang w:val="en-US"/>
        </w:rPr>
      </w:pPr>
    </w:p>
    <w:p w14:paraId="23EB02A9" w14:textId="77777777" w:rsidR="00197ED7" w:rsidRDefault="00197ED7" w:rsidP="00197ED7"/>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onga-Bonga, Lumengo" w:date="2019-06-06T18:32:00Z" w:initials="BL">
    <w:p w14:paraId="46E48897" w14:textId="77777777" w:rsidR="00532EEE" w:rsidRDefault="00532EEE" w:rsidP="00C76FD4">
      <w:pPr>
        <w:pStyle w:val="CommentText"/>
      </w:pPr>
      <w:r>
        <w:rPr>
          <w:rStyle w:val="CommentReference"/>
        </w:rPr>
        <w:annotationRef/>
      </w:r>
      <w:r>
        <w:t>comment results!!!!</w:t>
      </w:r>
    </w:p>
  </w:comment>
  <w:comment w:id="2" w:author="Bonga-Bonga, Lumengo" w:date="2019-06-06T18:33:00Z" w:initials="BL">
    <w:p w14:paraId="4858DE20" w14:textId="77777777" w:rsidR="00532EEE" w:rsidRDefault="00532EEE" w:rsidP="00C76FD4">
      <w:pPr>
        <w:pStyle w:val="CommentText"/>
      </w:pPr>
      <w:r>
        <w:rPr>
          <w:rStyle w:val="CommentReference"/>
        </w:rPr>
        <w:annotationRef/>
      </w:r>
      <w:r>
        <w:t>????</w:t>
      </w:r>
    </w:p>
  </w:comment>
  <w:comment w:id="3" w:author="Bonga-Bonga, Lumengo" w:date="2019-06-06T18:33:00Z" w:initials="BL">
    <w:p w14:paraId="144E403A" w14:textId="77777777" w:rsidR="00532EEE" w:rsidRDefault="00532EEE" w:rsidP="00C76FD4">
      <w:pPr>
        <w:pStyle w:val="CommentText"/>
      </w:pPr>
      <w:r>
        <w:rPr>
          <w:rStyle w:val="CommentReference"/>
        </w:rPr>
        <w:annotationRef/>
      </w:r>
      <w:r>
        <w:t>support your findings with some facts!!!!!</w:t>
      </w:r>
    </w:p>
  </w:comment>
  <w:comment w:id="4" w:author="Bonga-Bonga, Lumengo" w:date="2019-06-06T18:35:00Z" w:initials="BL">
    <w:p w14:paraId="1902B94E" w14:textId="77777777" w:rsidR="00532EEE" w:rsidRDefault="00532EEE" w:rsidP="00C76FD4">
      <w:pPr>
        <w:pStyle w:val="CommentText"/>
      </w:pPr>
      <w:r>
        <w:rPr>
          <w:rStyle w:val="CommentReference"/>
        </w:rPr>
        <w:annotationRef/>
      </w:r>
      <w:r>
        <w:t xml:space="preserve">is it due to </w:t>
      </w:r>
      <w:proofErr w:type="spellStart"/>
      <w:r>
        <w:t>chnia</w:t>
      </w:r>
      <w:proofErr w:type="spellEnd"/>
      <w:r>
        <w:t xml:space="preserve"> dependence for resources? what about Russia?</w:t>
      </w:r>
    </w:p>
  </w:comment>
  <w:comment w:id="5" w:author="Bonga-Bonga, Lumengo" w:date="2019-06-06T18:35:00Z" w:initials="BL">
    <w:p w14:paraId="188B9CB6" w14:textId="77777777" w:rsidR="00532EEE" w:rsidRDefault="00532EEE" w:rsidP="00C76FD4">
      <w:pPr>
        <w:pStyle w:val="CommentText"/>
      </w:pPr>
      <w:r>
        <w:rPr>
          <w:rStyle w:val="CommentReference"/>
        </w:rPr>
        <w:annotationRef/>
      </w:r>
      <w:r>
        <w:t>??? 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E48897" w15:done="0"/>
  <w15:commentEx w15:paraId="4858DE20" w15:done="0"/>
  <w15:commentEx w15:paraId="144E403A" w15:done="0"/>
  <w15:commentEx w15:paraId="1902B94E" w15:done="0"/>
  <w15:commentEx w15:paraId="188B9CB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B42A4" w14:textId="77777777" w:rsidR="000D0EBD" w:rsidRDefault="000D0EBD" w:rsidP="001F2480">
      <w:pPr>
        <w:spacing w:after="0" w:line="240" w:lineRule="auto"/>
      </w:pPr>
      <w:r>
        <w:separator/>
      </w:r>
    </w:p>
  </w:endnote>
  <w:endnote w:type="continuationSeparator" w:id="0">
    <w:p w14:paraId="5394F7D5" w14:textId="77777777" w:rsidR="000D0EBD" w:rsidRDefault="000D0EBD"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BC958" w14:textId="77777777" w:rsidR="00532EEE" w:rsidRDefault="00532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CDA9" w14:textId="77777777" w:rsidR="00532EEE" w:rsidRDefault="00532E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2BE83" w14:textId="77777777" w:rsidR="00532EEE" w:rsidRDefault="0053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339DB" w14:textId="77777777" w:rsidR="000D0EBD" w:rsidRDefault="000D0EBD" w:rsidP="001F2480">
      <w:pPr>
        <w:spacing w:after="0" w:line="240" w:lineRule="auto"/>
      </w:pPr>
      <w:r>
        <w:separator/>
      </w:r>
    </w:p>
  </w:footnote>
  <w:footnote w:type="continuationSeparator" w:id="0">
    <w:p w14:paraId="55C3D32F" w14:textId="77777777" w:rsidR="000D0EBD" w:rsidRDefault="000D0EBD" w:rsidP="001F2480">
      <w:pPr>
        <w:spacing w:after="0" w:line="240" w:lineRule="auto"/>
      </w:pPr>
      <w:r>
        <w:continuationSeparator/>
      </w:r>
    </w:p>
  </w:footnote>
  <w:footnote w:id="1">
    <w:p w14:paraId="3F07AE83" w14:textId="77777777" w:rsidR="00532EEE" w:rsidRDefault="00532EEE" w:rsidP="00C76FD4">
      <w:pPr>
        <w:pStyle w:val="FootnoteText"/>
      </w:pPr>
      <w:r>
        <w:rPr>
          <w:rStyle w:val="FootnoteReference"/>
        </w:rPr>
        <w:footnoteRef/>
      </w:r>
      <w:r>
        <w:t xml:space="preserve"> The significance levels that were considered are 10%, 5% and 1% and are indicated by one, two or three asterisks,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A279" w14:textId="77777777" w:rsidR="00532EEE" w:rsidRDefault="0053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02EB" w14:textId="77777777" w:rsidR="00532EEE" w:rsidRDefault="00532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480E" w14:textId="77777777" w:rsidR="00532EEE" w:rsidRDefault="00532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2"/>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ga-Bonga, Lumengo">
    <w15:presenceInfo w15:providerId="AD" w15:userId="S-1-5-21-3649537337-976512606-3729627444-7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07052"/>
    <w:rsid w:val="00010593"/>
    <w:rsid w:val="000153D1"/>
    <w:rsid w:val="00020DA1"/>
    <w:rsid w:val="00032300"/>
    <w:rsid w:val="00035494"/>
    <w:rsid w:val="00042946"/>
    <w:rsid w:val="000629E9"/>
    <w:rsid w:val="00064199"/>
    <w:rsid w:val="00074A71"/>
    <w:rsid w:val="000815C8"/>
    <w:rsid w:val="00087F71"/>
    <w:rsid w:val="000915ED"/>
    <w:rsid w:val="00091CD9"/>
    <w:rsid w:val="0009343C"/>
    <w:rsid w:val="00097AE9"/>
    <w:rsid w:val="000A1B39"/>
    <w:rsid w:val="000A3D31"/>
    <w:rsid w:val="000A5050"/>
    <w:rsid w:val="000B25EF"/>
    <w:rsid w:val="000B2DCD"/>
    <w:rsid w:val="000D0EBD"/>
    <w:rsid w:val="000E0526"/>
    <w:rsid w:val="000E24DB"/>
    <w:rsid w:val="000F1636"/>
    <w:rsid w:val="000F70A5"/>
    <w:rsid w:val="00104D3B"/>
    <w:rsid w:val="00106CD7"/>
    <w:rsid w:val="0011015D"/>
    <w:rsid w:val="00112C16"/>
    <w:rsid w:val="00117346"/>
    <w:rsid w:val="00117691"/>
    <w:rsid w:val="00120D21"/>
    <w:rsid w:val="001320E0"/>
    <w:rsid w:val="001349E9"/>
    <w:rsid w:val="00141638"/>
    <w:rsid w:val="00142905"/>
    <w:rsid w:val="001432A1"/>
    <w:rsid w:val="00152957"/>
    <w:rsid w:val="001562FF"/>
    <w:rsid w:val="00162E90"/>
    <w:rsid w:val="00164FD3"/>
    <w:rsid w:val="00172B12"/>
    <w:rsid w:val="00180B6A"/>
    <w:rsid w:val="00182E08"/>
    <w:rsid w:val="00185BFF"/>
    <w:rsid w:val="0019110C"/>
    <w:rsid w:val="00197B9A"/>
    <w:rsid w:val="00197ED7"/>
    <w:rsid w:val="001A0891"/>
    <w:rsid w:val="001A7F0F"/>
    <w:rsid w:val="001B2138"/>
    <w:rsid w:val="001B5E22"/>
    <w:rsid w:val="001C4AF4"/>
    <w:rsid w:val="001D339A"/>
    <w:rsid w:val="001D47E5"/>
    <w:rsid w:val="001F2480"/>
    <w:rsid w:val="001F4E53"/>
    <w:rsid w:val="0020596D"/>
    <w:rsid w:val="002147D8"/>
    <w:rsid w:val="002168A0"/>
    <w:rsid w:val="0023080C"/>
    <w:rsid w:val="00245EB1"/>
    <w:rsid w:val="00252436"/>
    <w:rsid w:val="002532DA"/>
    <w:rsid w:val="00256EA5"/>
    <w:rsid w:val="00257A05"/>
    <w:rsid w:val="00275288"/>
    <w:rsid w:val="00285422"/>
    <w:rsid w:val="002A5105"/>
    <w:rsid w:val="002D041A"/>
    <w:rsid w:val="002D29DA"/>
    <w:rsid w:val="002F00CA"/>
    <w:rsid w:val="002F0858"/>
    <w:rsid w:val="002F1FBE"/>
    <w:rsid w:val="002F479B"/>
    <w:rsid w:val="002F5FC6"/>
    <w:rsid w:val="002F65BF"/>
    <w:rsid w:val="0030531F"/>
    <w:rsid w:val="003165EC"/>
    <w:rsid w:val="00317358"/>
    <w:rsid w:val="00325755"/>
    <w:rsid w:val="00327AAF"/>
    <w:rsid w:val="00330699"/>
    <w:rsid w:val="00336F71"/>
    <w:rsid w:val="00337529"/>
    <w:rsid w:val="003412E8"/>
    <w:rsid w:val="00352295"/>
    <w:rsid w:val="0035288A"/>
    <w:rsid w:val="003575DD"/>
    <w:rsid w:val="00364B53"/>
    <w:rsid w:val="00374BDD"/>
    <w:rsid w:val="00392F7A"/>
    <w:rsid w:val="003939CF"/>
    <w:rsid w:val="003A7B1B"/>
    <w:rsid w:val="003B4E5F"/>
    <w:rsid w:val="003C1400"/>
    <w:rsid w:val="003C204B"/>
    <w:rsid w:val="003E0F75"/>
    <w:rsid w:val="003E6F75"/>
    <w:rsid w:val="00417FBD"/>
    <w:rsid w:val="00432680"/>
    <w:rsid w:val="00433349"/>
    <w:rsid w:val="0043787C"/>
    <w:rsid w:val="004551F1"/>
    <w:rsid w:val="004607DD"/>
    <w:rsid w:val="0046172A"/>
    <w:rsid w:val="00465A71"/>
    <w:rsid w:val="004812F5"/>
    <w:rsid w:val="004833BC"/>
    <w:rsid w:val="004A046B"/>
    <w:rsid w:val="004B4E28"/>
    <w:rsid w:val="004C1E5C"/>
    <w:rsid w:val="004D2EB8"/>
    <w:rsid w:val="004E6D74"/>
    <w:rsid w:val="00500BE7"/>
    <w:rsid w:val="00507D0C"/>
    <w:rsid w:val="005154E0"/>
    <w:rsid w:val="00524E2E"/>
    <w:rsid w:val="00532EEE"/>
    <w:rsid w:val="00553E04"/>
    <w:rsid w:val="005624BD"/>
    <w:rsid w:val="00563F16"/>
    <w:rsid w:val="00565A76"/>
    <w:rsid w:val="00565AF1"/>
    <w:rsid w:val="00565F7A"/>
    <w:rsid w:val="00571194"/>
    <w:rsid w:val="00571F0D"/>
    <w:rsid w:val="005745AB"/>
    <w:rsid w:val="00577439"/>
    <w:rsid w:val="00577B72"/>
    <w:rsid w:val="00585EFD"/>
    <w:rsid w:val="005923DF"/>
    <w:rsid w:val="00595F94"/>
    <w:rsid w:val="005A6031"/>
    <w:rsid w:val="005B1F8C"/>
    <w:rsid w:val="005B2F2E"/>
    <w:rsid w:val="005B3757"/>
    <w:rsid w:val="005B52B1"/>
    <w:rsid w:val="005D0F8F"/>
    <w:rsid w:val="005D3E4F"/>
    <w:rsid w:val="005D63A0"/>
    <w:rsid w:val="005E15ED"/>
    <w:rsid w:val="005F0604"/>
    <w:rsid w:val="005F3D88"/>
    <w:rsid w:val="00602521"/>
    <w:rsid w:val="006063C6"/>
    <w:rsid w:val="00617FD2"/>
    <w:rsid w:val="006408A0"/>
    <w:rsid w:val="006433EC"/>
    <w:rsid w:val="006454B6"/>
    <w:rsid w:val="00646FED"/>
    <w:rsid w:val="00651041"/>
    <w:rsid w:val="00651251"/>
    <w:rsid w:val="00656CFB"/>
    <w:rsid w:val="00660A82"/>
    <w:rsid w:val="00671899"/>
    <w:rsid w:val="006718F4"/>
    <w:rsid w:val="00676A0B"/>
    <w:rsid w:val="00683D6C"/>
    <w:rsid w:val="00693EF7"/>
    <w:rsid w:val="00697532"/>
    <w:rsid w:val="006A0AC9"/>
    <w:rsid w:val="006A5B2A"/>
    <w:rsid w:val="006B2556"/>
    <w:rsid w:val="006C2194"/>
    <w:rsid w:val="006C682C"/>
    <w:rsid w:val="007117D6"/>
    <w:rsid w:val="00712582"/>
    <w:rsid w:val="00715F62"/>
    <w:rsid w:val="00716482"/>
    <w:rsid w:val="00720E92"/>
    <w:rsid w:val="00726696"/>
    <w:rsid w:val="007348BB"/>
    <w:rsid w:val="007658FC"/>
    <w:rsid w:val="00771FC5"/>
    <w:rsid w:val="0077335A"/>
    <w:rsid w:val="007B6EF1"/>
    <w:rsid w:val="007B7689"/>
    <w:rsid w:val="007C2DAE"/>
    <w:rsid w:val="007D00EF"/>
    <w:rsid w:val="007D1184"/>
    <w:rsid w:val="007D1232"/>
    <w:rsid w:val="007D5BD1"/>
    <w:rsid w:val="007D7C64"/>
    <w:rsid w:val="007E006A"/>
    <w:rsid w:val="007E18C2"/>
    <w:rsid w:val="007E7610"/>
    <w:rsid w:val="00803B49"/>
    <w:rsid w:val="0081040F"/>
    <w:rsid w:val="008115B8"/>
    <w:rsid w:val="00830CD4"/>
    <w:rsid w:val="00841BF3"/>
    <w:rsid w:val="00843F3C"/>
    <w:rsid w:val="00845388"/>
    <w:rsid w:val="008512F2"/>
    <w:rsid w:val="00851A39"/>
    <w:rsid w:val="008538CE"/>
    <w:rsid w:val="00853CBF"/>
    <w:rsid w:val="008554F4"/>
    <w:rsid w:val="008601EC"/>
    <w:rsid w:val="00861874"/>
    <w:rsid w:val="00872587"/>
    <w:rsid w:val="00873650"/>
    <w:rsid w:val="00873EA7"/>
    <w:rsid w:val="008843C5"/>
    <w:rsid w:val="008845C9"/>
    <w:rsid w:val="0088543B"/>
    <w:rsid w:val="008961A0"/>
    <w:rsid w:val="00897146"/>
    <w:rsid w:val="008B06D4"/>
    <w:rsid w:val="008B0EB1"/>
    <w:rsid w:val="008B15AE"/>
    <w:rsid w:val="008D1513"/>
    <w:rsid w:val="008D3110"/>
    <w:rsid w:val="008E178B"/>
    <w:rsid w:val="008E6607"/>
    <w:rsid w:val="008E6FEE"/>
    <w:rsid w:val="008F0BE0"/>
    <w:rsid w:val="008F1AEF"/>
    <w:rsid w:val="008F5296"/>
    <w:rsid w:val="00911F73"/>
    <w:rsid w:val="0093156E"/>
    <w:rsid w:val="00940086"/>
    <w:rsid w:val="009433CC"/>
    <w:rsid w:val="009479FC"/>
    <w:rsid w:val="00952C91"/>
    <w:rsid w:val="00955D07"/>
    <w:rsid w:val="00962489"/>
    <w:rsid w:val="00963C2B"/>
    <w:rsid w:val="0097116A"/>
    <w:rsid w:val="00971D6E"/>
    <w:rsid w:val="0097552F"/>
    <w:rsid w:val="00976C01"/>
    <w:rsid w:val="00977EC4"/>
    <w:rsid w:val="00982A0E"/>
    <w:rsid w:val="009877B8"/>
    <w:rsid w:val="00993167"/>
    <w:rsid w:val="009935DF"/>
    <w:rsid w:val="0099478A"/>
    <w:rsid w:val="009A29D9"/>
    <w:rsid w:val="009A7659"/>
    <w:rsid w:val="009B025D"/>
    <w:rsid w:val="009E143D"/>
    <w:rsid w:val="009E1D9C"/>
    <w:rsid w:val="009F4E15"/>
    <w:rsid w:val="00A000C5"/>
    <w:rsid w:val="00A02986"/>
    <w:rsid w:val="00A06523"/>
    <w:rsid w:val="00A17132"/>
    <w:rsid w:val="00A2314F"/>
    <w:rsid w:val="00A252A4"/>
    <w:rsid w:val="00A32508"/>
    <w:rsid w:val="00A3361D"/>
    <w:rsid w:val="00A3442F"/>
    <w:rsid w:val="00A56E49"/>
    <w:rsid w:val="00A61B20"/>
    <w:rsid w:val="00A64517"/>
    <w:rsid w:val="00A65C28"/>
    <w:rsid w:val="00A6607C"/>
    <w:rsid w:val="00A74E74"/>
    <w:rsid w:val="00A83943"/>
    <w:rsid w:val="00A85E16"/>
    <w:rsid w:val="00AA1F32"/>
    <w:rsid w:val="00AA5837"/>
    <w:rsid w:val="00AB4D4C"/>
    <w:rsid w:val="00AB613F"/>
    <w:rsid w:val="00AC0319"/>
    <w:rsid w:val="00AC3281"/>
    <w:rsid w:val="00AC4F00"/>
    <w:rsid w:val="00AE08A0"/>
    <w:rsid w:val="00AE30BC"/>
    <w:rsid w:val="00AF5A97"/>
    <w:rsid w:val="00AF7214"/>
    <w:rsid w:val="00B0511A"/>
    <w:rsid w:val="00B14453"/>
    <w:rsid w:val="00B37184"/>
    <w:rsid w:val="00B416E7"/>
    <w:rsid w:val="00B42CEB"/>
    <w:rsid w:val="00B47022"/>
    <w:rsid w:val="00B50852"/>
    <w:rsid w:val="00B548F3"/>
    <w:rsid w:val="00B61C3E"/>
    <w:rsid w:val="00B751B6"/>
    <w:rsid w:val="00B8468E"/>
    <w:rsid w:val="00B94A67"/>
    <w:rsid w:val="00BA5DA6"/>
    <w:rsid w:val="00BB1311"/>
    <w:rsid w:val="00BC21BB"/>
    <w:rsid w:val="00BC2C5A"/>
    <w:rsid w:val="00BD0B7D"/>
    <w:rsid w:val="00BD7834"/>
    <w:rsid w:val="00BE03F5"/>
    <w:rsid w:val="00BE2A8E"/>
    <w:rsid w:val="00BE429F"/>
    <w:rsid w:val="00BE750D"/>
    <w:rsid w:val="00BE7D2F"/>
    <w:rsid w:val="00BF66DF"/>
    <w:rsid w:val="00C0316E"/>
    <w:rsid w:val="00C04818"/>
    <w:rsid w:val="00C057DE"/>
    <w:rsid w:val="00C22566"/>
    <w:rsid w:val="00C23FD1"/>
    <w:rsid w:val="00C3276C"/>
    <w:rsid w:val="00C40AF7"/>
    <w:rsid w:val="00C61E95"/>
    <w:rsid w:val="00C6460F"/>
    <w:rsid w:val="00C65A9E"/>
    <w:rsid w:val="00C666D0"/>
    <w:rsid w:val="00C7150D"/>
    <w:rsid w:val="00C727A4"/>
    <w:rsid w:val="00C73618"/>
    <w:rsid w:val="00C754F6"/>
    <w:rsid w:val="00C76FD4"/>
    <w:rsid w:val="00C869A5"/>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4951"/>
    <w:rsid w:val="00CE545F"/>
    <w:rsid w:val="00D00B6B"/>
    <w:rsid w:val="00D06227"/>
    <w:rsid w:val="00D066F1"/>
    <w:rsid w:val="00D159FB"/>
    <w:rsid w:val="00D37F28"/>
    <w:rsid w:val="00D405EC"/>
    <w:rsid w:val="00D44A2D"/>
    <w:rsid w:val="00D54CA1"/>
    <w:rsid w:val="00D76D54"/>
    <w:rsid w:val="00D81272"/>
    <w:rsid w:val="00D83B12"/>
    <w:rsid w:val="00DA2455"/>
    <w:rsid w:val="00DA39D5"/>
    <w:rsid w:val="00DA6127"/>
    <w:rsid w:val="00DB677E"/>
    <w:rsid w:val="00DB72C7"/>
    <w:rsid w:val="00DD080A"/>
    <w:rsid w:val="00DE3853"/>
    <w:rsid w:val="00DE7F40"/>
    <w:rsid w:val="00E01AF6"/>
    <w:rsid w:val="00E02AF4"/>
    <w:rsid w:val="00E31F02"/>
    <w:rsid w:val="00E51C22"/>
    <w:rsid w:val="00E64611"/>
    <w:rsid w:val="00E706C2"/>
    <w:rsid w:val="00E732B3"/>
    <w:rsid w:val="00E87C89"/>
    <w:rsid w:val="00E916DE"/>
    <w:rsid w:val="00EA657F"/>
    <w:rsid w:val="00EB1EAC"/>
    <w:rsid w:val="00EB26E5"/>
    <w:rsid w:val="00EB42FD"/>
    <w:rsid w:val="00EB4F0F"/>
    <w:rsid w:val="00EB52F0"/>
    <w:rsid w:val="00EB634A"/>
    <w:rsid w:val="00EC72D9"/>
    <w:rsid w:val="00ED0D14"/>
    <w:rsid w:val="00ED10F3"/>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D5C59"/>
    <w:rsid w:val="00FE17B9"/>
    <w:rsid w:val="00FF1106"/>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64FD3"/>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 w:type="paragraph" w:styleId="Caption">
    <w:name w:val="caption"/>
    <w:basedOn w:val="Normal"/>
    <w:next w:val="Normal"/>
    <w:uiPriority w:val="35"/>
    <w:unhideWhenUsed/>
    <w:qFormat/>
    <w:rsid w:val="00327A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7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AF"/>
  </w:style>
  <w:style w:type="paragraph" w:styleId="Footer">
    <w:name w:val="footer"/>
    <w:basedOn w:val="Normal"/>
    <w:link w:val="FooterChar"/>
    <w:uiPriority w:val="99"/>
    <w:unhideWhenUsed/>
    <w:rsid w:val="00327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AF"/>
  </w:style>
  <w:style w:type="paragraph" w:styleId="EndnoteText">
    <w:name w:val="endnote text"/>
    <w:basedOn w:val="Normal"/>
    <w:link w:val="EndnoteTextChar"/>
    <w:uiPriority w:val="99"/>
    <w:semiHidden/>
    <w:unhideWhenUsed/>
    <w:rsid w:val="00327A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AAF"/>
    <w:rPr>
      <w:sz w:val="20"/>
      <w:szCs w:val="20"/>
    </w:rPr>
  </w:style>
  <w:style w:type="character" w:customStyle="1" w:styleId="FootnoteTextChar">
    <w:name w:val="Footnote Text Char"/>
    <w:basedOn w:val="DefaultParagraphFont"/>
    <w:link w:val="FootnoteText"/>
    <w:uiPriority w:val="99"/>
    <w:semiHidden/>
    <w:rsid w:val="00327AAF"/>
    <w:rPr>
      <w:sz w:val="20"/>
      <w:szCs w:val="20"/>
    </w:rPr>
  </w:style>
  <w:style w:type="paragraph" w:styleId="FootnoteText">
    <w:name w:val="footnote text"/>
    <w:basedOn w:val="Normal"/>
    <w:link w:val="FootnoteTextChar"/>
    <w:uiPriority w:val="99"/>
    <w:semiHidden/>
    <w:unhideWhenUsed/>
    <w:rsid w:val="00327AAF"/>
    <w:pPr>
      <w:spacing w:after="0" w:line="240" w:lineRule="auto"/>
    </w:pPr>
    <w:rPr>
      <w:sz w:val="20"/>
      <w:szCs w:val="20"/>
    </w:rPr>
  </w:style>
  <w:style w:type="paragraph" w:customStyle="1" w:styleId="SectionTitle">
    <w:name w:val="Section Title"/>
    <w:basedOn w:val="Normal"/>
    <w:uiPriority w:val="2"/>
    <w:qFormat/>
    <w:rsid w:val="00327AAF"/>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327AAF"/>
    <w:rPr>
      <w:i/>
      <w:iCs/>
    </w:rPr>
  </w:style>
  <w:style w:type="paragraph" w:customStyle="1" w:styleId="Title2">
    <w:name w:val="Title 2"/>
    <w:basedOn w:val="Normal"/>
    <w:uiPriority w:val="1"/>
    <w:qFormat/>
    <w:rsid w:val="00327AAF"/>
    <w:pPr>
      <w:spacing w:after="0" w:line="480" w:lineRule="auto"/>
      <w:jc w:val="center"/>
    </w:pPr>
    <w:rPr>
      <w:rFonts w:eastAsiaTheme="minorEastAsia"/>
      <w:kern w:val="24"/>
      <w:sz w:val="24"/>
      <w:szCs w:val="24"/>
      <w:lang w:val="en-US" w:eastAsia="ja-JP"/>
    </w:rPr>
  </w:style>
  <w:style w:type="character" w:styleId="PlaceholderText">
    <w:name w:val="Placeholder Text"/>
    <w:basedOn w:val="DefaultParagraphFont"/>
    <w:uiPriority w:val="99"/>
    <w:semiHidden/>
    <w:rsid w:val="008B15AE"/>
    <w:rPr>
      <w:color w:val="808080"/>
    </w:rPr>
  </w:style>
  <w:style w:type="character" w:styleId="FootnoteReference">
    <w:name w:val="footnote reference"/>
    <w:basedOn w:val="DefaultParagraphFont"/>
    <w:uiPriority w:val="99"/>
    <w:semiHidden/>
    <w:unhideWhenUsed/>
    <w:rsid w:val="00C76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39</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34</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40</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25</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17</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37</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33</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41</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42</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36</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43</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44</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45</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31</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24</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46</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21</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32</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18</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19</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20</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22</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23</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35</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30</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26</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27</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29</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28</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47</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48</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49</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50</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51</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52</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53</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54</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55</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56</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57</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58</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14</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38</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27</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28</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29</b:RefOrder>
  </b:Source>
</b:Sources>
</file>

<file path=customXml/itemProps1.xml><?xml version="1.0" encoding="utf-8"?>
<ds:datastoreItem xmlns:ds="http://schemas.openxmlformats.org/officeDocument/2006/customXml" ds:itemID="{319AC8BA-93AB-40AF-91E0-58931179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8336</TotalTime>
  <Pages>30</Pages>
  <Words>9379</Words>
  <Characters>53461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106</cp:revision>
  <dcterms:created xsi:type="dcterms:W3CDTF">2019-07-24T17:55:00Z</dcterms:created>
  <dcterms:modified xsi:type="dcterms:W3CDTF">2019-09-14T01:33:00Z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