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639C631" w14:textId="77777777" w:rsidR="00087F71" w:rsidRPr="00971D6E" w:rsidRDefault="00087F71" w:rsidP="00AC4F00">
      <w:pPr>
        <w:pStyle w:val="Heading1"/>
        <w:rPr>
          <w:rFonts w:ascii="Arial" w:hAnsi="Arial" w:cs="Arial"/>
          <w:b/>
        </w:rPr>
      </w:pPr>
      <w:r w:rsidRPr="00971D6E">
        <w:rPr>
          <w:rFonts w:ascii="Arial" w:hAnsi="Arial" w:cs="Arial"/>
          <w:b/>
        </w:rPr>
        <w:t>Chapter 1 Introduction</w:t>
      </w:r>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r w:rsidRPr="00971D6E">
        <w:rPr>
          <w:rFonts w:ascii="Arial" w:hAnsi="Arial" w:cs="Arial"/>
          <w:b/>
        </w:rPr>
        <w:t>Background and problem statement</w:t>
      </w:r>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3D997876"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 xml:space="preserve">changes in the correlation structure when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bookmarkStart w:id="0" w:name="_GoBack"/>
      <w:bookmarkEnd w:id="0"/>
      <w:r w:rsidR="002D041A">
        <w:rPr>
          <w:rFonts w:ascii="Arial" w:hAnsi="Arial" w:cs="Arial"/>
          <w:sz w:val="24"/>
          <w:szCs w:val="24"/>
        </w:rPr>
        <w:t>For example, time</w:t>
      </w:r>
      <w:r w:rsidR="00B0511A">
        <w:rPr>
          <w:rFonts w:ascii="Arial" w:hAnsi="Arial" w:cs="Arial"/>
          <w:sz w:val="24"/>
          <w:szCs w:val="24"/>
        </w:rPr>
        <w:t>-varying</w:t>
      </w:r>
      <w:r w:rsidR="002D041A">
        <w:rPr>
          <w:rFonts w:ascii="Arial" w:hAnsi="Arial" w:cs="Arial"/>
          <w:sz w:val="24"/>
          <w:szCs w:val="24"/>
        </w:rPr>
        <w:t xml:space="preserve"> correlations have been considered by Campbell, Koedijk and Kofman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6D8210C9"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a number of these studies also determine their asset allocation </w:t>
      </w:r>
      <w:r w:rsidR="00F03FDE">
        <w:rPr>
          <w:rFonts w:ascii="Arial" w:hAnsi="Arial" w:cs="Arial"/>
          <w:sz w:val="24"/>
          <w:szCs w:val="24"/>
        </w:rPr>
        <w:t xml:space="preserve">strategy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Pr>
          <w:rFonts w:ascii="Arial" w:hAnsi="Arial" w:cs="Arial"/>
          <w:sz w:val="24"/>
          <w:szCs w:val="24"/>
        </w:rPr>
        <w:t xml:space="preserve"> and interdependence, whereby </w:t>
      </w:r>
      <w:r w:rsidR="005B52B1">
        <w:rPr>
          <w:rFonts w:ascii="Arial" w:hAnsi="Arial" w:cs="Arial"/>
          <w:sz w:val="24"/>
          <w:szCs w:val="24"/>
        </w:rPr>
        <w:t>the correlation during tranquil and turmoil market regimes are not significantly different</w:t>
      </w:r>
      <w:r>
        <w:rPr>
          <w:rFonts w:ascii="Arial" w:hAnsi="Arial" w:cs="Arial"/>
          <w:sz w:val="24"/>
          <w:szCs w:val="24"/>
        </w:rPr>
        <w:t>.</w:t>
      </w:r>
    </w:p>
    <w:p w14:paraId="4DA0D65C" w14:textId="51E1052E" w:rsidR="00433349"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w:t>
      </w:r>
      <w:r>
        <w:rPr>
          <w:rFonts w:ascii="Arial" w:hAnsi="Arial" w:cs="Arial"/>
          <w:sz w:val="24"/>
          <w:szCs w:val="24"/>
        </w:rPr>
        <w:lastRenderedPageBreak/>
        <w:t xml:space="preserve">concepts. </w:t>
      </w:r>
      <w:r w:rsidR="00671899">
        <w:rPr>
          <w:rFonts w:ascii="Arial" w:hAnsi="Arial" w:cs="Arial"/>
          <w:sz w:val="24"/>
          <w:szCs w:val="24"/>
        </w:rPr>
        <w:t xml:space="preserve">Some </w:t>
      </w:r>
      <w:r>
        <w:rPr>
          <w:rFonts w:ascii="Arial" w:hAnsi="Arial" w:cs="Arial"/>
          <w:sz w:val="24"/>
          <w:szCs w:val="24"/>
        </w:rPr>
        <w:t xml:space="preserve">papers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End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B0511A" w:rsidRPr="00B0511A">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This type of comparison in correlation is in turn critiqued by</w:t>
      </w:r>
      <w:r>
        <w:rPr>
          <w:rFonts w:ascii="Arial" w:hAnsi="Arial" w:cs="Arial"/>
          <w:sz w:val="24"/>
          <w:szCs w:val="24"/>
        </w:rPr>
        <w:t xml:space="preserve"> Forbes &amp; Rigonon (2002) </w:t>
      </w:r>
      <w:r w:rsidR="00845388">
        <w:rPr>
          <w:rFonts w:ascii="Arial" w:hAnsi="Arial" w:cs="Arial"/>
          <w:sz w:val="24"/>
          <w:szCs w:val="24"/>
        </w:rPr>
        <w:t>who</w:t>
      </w:r>
      <w:r>
        <w:rPr>
          <w:rFonts w:ascii="Arial" w:hAnsi="Arial" w:cs="Arial"/>
          <w:sz w:val="24"/>
          <w:szCs w:val="24"/>
        </w:rPr>
        <w:t xml:space="preserve"> 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Other authors like </w:t>
      </w:r>
      <w:r w:rsidR="00A06523">
        <w:rPr>
          <w:rFonts w:ascii="Arial" w:hAnsi="Arial" w:cs="Arial"/>
          <w:noProof/>
          <w:sz w:val="24"/>
          <w:szCs w:val="24"/>
        </w:rPr>
        <w:t>Horen, Jager, &amp; Klaassen (2006)</w:t>
      </w:r>
      <w:r w:rsidR="006C682C">
        <w:rPr>
          <w:rFonts w:ascii="Arial" w:hAnsi="Arial" w:cs="Arial"/>
          <w:sz w:val="24"/>
          <w:szCs w:val="24"/>
        </w:rPr>
        <w:t xml:space="preserve"> focussed on multiple regression techniques whilst others like </w:t>
      </w:r>
      <w:r w:rsidR="00A06523">
        <w:rPr>
          <w:rFonts w:ascii="Arial" w:hAnsi="Arial" w:cs="Arial"/>
          <w:noProof/>
          <w:sz w:val="24"/>
          <w:szCs w:val="24"/>
        </w:rPr>
        <w:t>Billio, Duca, &amp; Pelizzon (2005)</w:t>
      </w:r>
      <w:r w:rsidR="006C682C">
        <w:rPr>
          <w:rFonts w:ascii="Arial" w:hAnsi="Arial" w:cs="Arial"/>
          <w:sz w:val="24"/>
          <w:szCs w:val="24"/>
        </w:rPr>
        <w:t xml:space="preserve"> and </w:t>
      </w:r>
      <w:r w:rsidR="006C682C">
        <w:rPr>
          <w:rFonts w:ascii="Arial" w:hAnsi="Arial" w:cs="Arial"/>
          <w:noProof/>
          <w:sz w:val="24"/>
          <w:szCs w:val="24"/>
        </w:rPr>
        <w:t>Ye, Luo, &amp; Liu</w:t>
      </w:r>
      <w:r w:rsidR="00A06523">
        <w:rPr>
          <w:rFonts w:ascii="Arial" w:hAnsi="Arial" w:cs="Arial"/>
          <w:noProof/>
          <w:sz w:val="24"/>
          <w:szCs w:val="24"/>
        </w:rPr>
        <w:t xml:space="preserve"> (</w:t>
      </w:r>
      <w:r w:rsidR="006C682C">
        <w:rPr>
          <w:rFonts w:ascii="Arial" w:hAnsi="Arial" w:cs="Arial"/>
          <w:noProof/>
          <w:sz w:val="24"/>
          <w:szCs w:val="24"/>
        </w:rPr>
        <w:t>2017)</w:t>
      </w:r>
      <w:r w:rsidR="006C682C">
        <w:rPr>
          <w:rFonts w:ascii="Arial" w:hAnsi="Arial" w:cs="Arial"/>
          <w:sz w:val="24"/>
          <w:szCs w:val="24"/>
        </w:rPr>
        <w:t xml:space="preserve"> considered regime switching models and quantile regression, respectively.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have also been considered by </w:t>
      </w:r>
      <w:r w:rsidR="00A06523">
        <w:rPr>
          <w:rFonts w:ascii="Arial" w:hAnsi="Arial" w:cs="Arial"/>
          <w:noProof/>
          <w:sz w:val="24"/>
          <w:szCs w:val="24"/>
        </w:rPr>
        <w:t>Bonga-Bonga (2018)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sidR="0009343C">
        <w:rPr>
          <w:rFonts w:ascii="Arial" w:hAnsi="Arial" w:cs="Arial"/>
          <w:sz w:val="24"/>
          <w:szCs w:val="24"/>
        </w:rPr>
        <w:t xml:space="preserve">. </w:t>
      </w:r>
      <w:r w:rsidR="008538CE">
        <w:rPr>
          <w:rFonts w:ascii="Arial" w:hAnsi="Arial" w:cs="Arial"/>
          <w:sz w:val="24"/>
          <w:szCs w:val="24"/>
        </w:rPr>
        <w:t xml:space="preserve">By leaning more on extreme value theory, Longin &amp; Solnik (2001) </w:t>
      </w:r>
      <w:r w:rsidR="001562FF">
        <w:rPr>
          <w:rFonts w:ascii="Arial" w:hAnsi="Arial" w:cs="Arial"/>
          <w:sz w:val="24"/>
          <w:szCs w:val="24"/>
        </w:rPr>
        <w:t xml:space="preserve">test for contagion by testing for significant </w:t>
      </w:r>
      <w:r w:rsidR="008538CE">
        <w:rPr>
          <w:rFonts w:ascii="Arial" w:hAnsi="Arial" w:cs="Arial"/>
          <w:sz w:val="24"/>
          <w:szCs w:val="24"/>
        </w:rPr>
        <w:t xml:space="preserve">correlation in the case of extreme returns. </w:t>
      </w:r>
      <w:r w:rsidR="0009343C">
        <w:rPr>
          <w:rFonts w:ascii="Arial" w:hAnsi="Arial" w:cs="Arial"/>
          <w:sz w:val="24"/>
          <w:szCs w:val="24"/>
        </w:rPr>
        <w:t xml:space="preserve">Furthermore, other authors have considered incorporating the copula methodology to measure contagion </w:t>
      </w:r>
      <w:sdt>
        <w:sdtPr>
          <w:rPr>
            <w:rFonts w:ascii="Arial" w:hAnsi="Arial" w:cs="Arial"/>
            <w:sz w:val="24"/>
            <w:szCs w:val="24"/>
          </w:rPr>
          <w:id w:val="-346031145"/>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Arn00 \l 7177 </w:instrText>
          </w:r>
          <w:r w:rsidR="0009343C">
            <w:rPr>
              <w:rFonts w:ascii="Arial" w:hAnsi="Arial" w:cs="Arial"/>
              <w:sz w:val="24"/>
              <w:szCs w:val="24"/>
            </w:rPr>
            <w:fldChar w:fldCharType="separate"/>
          </w:r>
          <w:r w:rsidR="00B0511A" w:rsidRPr="00B0511A">
            <w:rPr>
              <w:rFonts w:ascii="Arial" w:hAnsi="Arial" w:cs="Arial"/>
              <w:noProof/>
              <w:sz w:val="24"/>
              <w:szCs w:val="24"/>
            </w:rPr>
            <w:t>(Costinot, Roncalli, &amp; Teiletche, 2000)</w:t>
          </w:r>
          <w:r w:rsidR="0009343C">
            <w:rPr>
              <w:rFonts w:ascii="Arial" w:hAnsi="Arial" w:cs="Arial"/>
              <w:sz w:val="24"/>
              <w:szCs w:val="24"/>
            </w:rPr>
            <w:fldChar w:fldCharType="end"/>
          </w:r>
        </w:sdtContent>
      </w:sdt>
      <w:r w:rsidR="0009343C">
        <w:rPr>
          <w:rFonts w:ascii="Arial" w:hAnsi="Arial" w:cs="Arial"/>
          <w:sz w:val="24"/>
          <w:szCs w:val="24"/>
        </w:rPr>
        <w:t>. When this methodology is used, it allows the practitioner to determine changes in linear and non-linear correlation structures.</w:t>
      </w:r>
      <w:r w:rsidR="008538CE">
        <w:rPr>
          <w:rFonts w:ascii="Arial" w:hAnsi="Arial" w:cs="Arial"/>
          <w:sz w:val="24"/>
          <w:szCs w:val="24"/>
        </w:rPr>
        <w:t xml:space="preserve"> </w:t>
      </w:r>
      <w:r w:rsidR="00565F7A">
        <w:rPr>
          <w:rFonts w:ascii="Arial" w:hAnsi="Arial" w:cs="Arial"/>
          <w:sz w:val="24"/>
          <w:szCs w:val="24"/>
        </w:rPr>
        <w:t xml:space="preserve">This is important since linear relationships assume that a change in one asset corresponds to a constant change in the other. </w:t>
      </w:r>
      <w:r w:rsidR="00BD7834">
        <w:rPr>
          <w:rFonts w:ascii="Arial" w:hAnsi="Arial" w:cs="Arial"/>
          <w:sz w:val="24"/>
          <w:szCs w:val="24"/>
        </w:rPr>
        <w:t>On the other hand, n</w:t>
      </w:r>
      <w:r w:rsidR="00565F7A">
        <w:rPr>
          <w:rFonts w:ascii="Arial" w:hAnsi="Arial" w:cs="Arial"/>
          <w:sz w:val="24"/>
          <w:szCs w:val="24"/>
        </w:rPr>
        <w:t xml:space="preserve">on-linear relationships allow the relationship between the variables </w:t>
      </w:r>
      <w:r w:rsidR="00BD7834">
        <w:rPr>
          <w:rFonts w:ascii="Arial" w:hAnsi="Arial" w:cs="Arial"/>
          <w:sz w:val="24"/>
          <w:szCs w:val="24"/>
        </w:rPr>
        <w:t>to change as their values change</w:t>
      </w:r>
      <w:r w:rsidR="00565F7A">
        <w:rPr>
          <w:rFonts w:ascii="Arial" w:hAnsi="Arial" w:cs="Arial"/>
          <w:sz w:val="24"/>
          <w:szCs w:val="24"/>
        </w:rPr>
        <w:t xml:space="preserve">. </w:t>
      </w:r>
      <w:r w:rsidR="00E706C2">
        <w:rPr>
          <w:rFonts w:ascii="Arial" w:hAnsi="Arial" w:cs="Arial"/>
          <w:sz w:val="24"/>
          <w:szCs w:val="24"/>
        </w:rPr>
        <w:t xml:space="preserve">By incorporating the </w:t>
      </w:r>
      <w:r w:rsidR="0009343C">
        <w:rPr>
          <w:rFonts w:ascii="Arial" w:hAnsi="Arial" w:cs="Arial"/>
          <w:sz w:val="24"/>
          <w:szCs w:val="24"/>
        </w:rPr>
        <w:t xml:space="preserve">R-Vine copula </w:t>
      </w:r>
      <w:r w:rsidR="00E706C2">
        <w:rPr>
          <w:rFonts w:ascii="Arial" w:hAnsi="Arial" w:cs="Arial"/>
          <w:sz w:val="24"/>
          <w:szCs w:val="24"/>
        </w:rPr>
        <w:t>m</w:t>
      </w:r>
      <w:r w:rsidR="00CA7D39">
        <w:rPr>
          <w:rFonts w:ascii="Arial" w:hAnsi="Arial" w:cs="Arial"/>
          <w:sz w:val="24"/>
          <w:szCs w:val="24"/>
        </w:rPr>
        <w:t>ethodology</w:t>
      </w:r>
      <w:r w:rsidR="0009343C">
        <w:rPr>
          <w:rFonts w:ascii="Arial" w:hAnsi="Arial" w:cs="Arial"/>
          <w:sz w:val="24"/>
          <w:szCs w:val="24"/>
        </w:rPr>
        <w:t xml:space="preserve">, it allows one to find the optimal correlation structure </w:t>
      </w:r>
      <w:r w:rsidR="008538CE">
        <w:rPr>
          <w:rFonts w:ascii="Arial" w:hAnsi="Arial" w:cs="Arial"/>
          <w:sz w:val="24"/>
          <w:szCs w:val="24"/>
        </w:rPr>
        <w:t xml:space="preserve">as well </w:t>
      </w:r>
      <w:sdt>
        <w:sdtPr>
          <w:rPr>
            <w:rFonts w:ascii="Arial" w:hAnsi="Arial" w:cs="Arial"/>
            <w:sz w:val="24"/>
            <w:szCs w:val="24"/>
          </w:rPr>
          <w:id w:val="-715577940"/>
          <w:citation/>
        </w:sdtPr>
        <w:sdtEnd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B0511A" w:rsidRPr="00B0511A">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F2EDB91" w14:textId="575959A2" w:rsidR="00FB1901" w:rsidRDefault="008538CE" w:rsidP="00AC4F00">
      <w:pPr>
        <w:spacing w:line="360" w:lineRule="auto"/>
        <w:rPr>
          <w:rFonts w:ascii="Arial" w:hAnsi="Arial" w:cs="Arial"/>
          <w:sz w:val="24"/>
          <w:szCs w:val="24"/>
        </w:rPr>
      </w:pPr>
      <w:r>
        <w:rPr>
          <w:rFonts w:ascii="Arial" w:hAnsi="Arial" w:cs="Arial"/>
          <w:sz w:val="24"/>
          <w:szCs w:val="24"/>
        </w:rPr>
        <w:t>This study aims to add to this line of literature by proposing a new methodology to distinguish between contagion and interdependence</w:t>
      </w:r>
      <w:r w:rsidR="00845388">
        <w:rPr>
          <w:rFonts w:ascii="Arial" w:hAnsi="Arial" w:cs="Arial"/>
          <w:sz w:val="24"/>
          <w:szCs w:val="24"/>
        </w:rPr>
        <w:t xml:space="preserve"> based on R-vine methodology</w:t>
      </w:r>
      <w:r>
        <w:rPr>
          <w:rFonts w:ascii="Arial" w:hAnsi="Arial" w:cs="Arial"/>
          <w:sz w:val="24"/>
          <w:szCs w:val="24"/>
        </w:rPr>
        <w:t xml:space="preserve">. </w:t>
      </w:r>
      <w:r w:rsidR="00845388">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xml:space="preserve">, mainly represented by the negative tails of joint distributions of different markets or economies, this study will test the </w:t>
      </w:r>
      <w:r w:rsidR="00285422">
        <w:rPr>
          <w:rFonts w:ascii="Arial" w:hAnsi="Arial" w:cs="Arial"/>
          <w:sz w:val="24"/>
          <w:szCs w:val="24"/>
        </w:rPr>
        <w:t xml:space="preserve">significance of the correlation </w:t>
      </w:r>
      <w:r w:rsidR="00845388">
        <w:rPr>
          <w:rFonts w:ascii="Arial" w:hAnsi="Arial" w:cs="Arial"/>
          <w:sz w:val="24"/>
          <w:szCs w:val="24"/>
        </w:rPr>
        <w:t>on the extreme joint distribution of two different markets or economies based on the R-Vine methodology to infer whether there is contagion or interdependence between these markets or economies.</w:t>
      </w:r>
      <w:r w:rsidR="001562FF">
        <w:rPr>
          <w:rFonts w:ascii="Arial" w:hAnsi="Arial" w:cs="Arial"/>
          <w:sz w:val="24"/>
          <w:szCs w:val="24"/>
        </w:rPr>
        <w:t xml:space="preserve"> </w:t>
      </w:r>
    </w:p>
    <w:p w14:paraId="0DBE02ED" w14:textId="05E59680" w:rsidR="00C97E8C" w:rsidRDefault="00CA7D39" w:rsidP="00A17132">
      <w:pPr>
        <w:spacing w:line="360" w:lineRule="auto"/>
        <w:rPr>
          <w:rFonts w:ascii="Arial" w:hAnsi="Arial" w:cs="Arial"/>
          <w:sz w:val="24"/>
          <w:szCs w:val="24"/>
        </w:rPr>
      </w:pPr>
      <w:r>
        <w:rPr>
          <w:rFonts w:ascii="Arial" w:hAnsi="Arial" w:cs="Arial"/>
          <w:sz w:val="24"/>
          <w:szCs w:val="24"/>
        </w:rPr>
        <w:lastRenderedPageBreak/>
        <w:t xml:space="preserve">The developed methodology is </w:t>
      </w:r>
      <w:r w:rsidR="000815C8">
        <w:rPr>
          <w:rFonts w:ascii="Arial" w:hAnsi="Arial" w:cs="Arial"/>
          <w:sz w:val="24"/>
          <w:szCs w:val="24"/>
        </w:rPr>
        <w:t xml:space="preserve">applied to test the degree of contagion and interdependence between the different sectors of BRICS stock exchanges, namely </w:t>
      </w:r>
      <w:r w:rsidR="00A17132">
        <w:rPr>
          <w:rFonts w:ascii="Arial" w:hAnsi="Arial" w:cs="Arial"/>
          <w:sz w:val="24"/>
          <w:szCs w:val="24"/>
        </w:rPr>
        <w:t>Financial, Industrial and Resource</w:t>
      </w:r>
      <w:r>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to </w:t>
      </w:r>
      <w:r w:rsidR="000815C8">
        <w:rPr>
          <w:rFonts w:ascii="Arial" w:hAnsi="Arial" w:cs="Arial"/>
          <w:sz w:val="24"/>
          <w:szCs w:val="24"/>
        </w:rPr>
        <w:t xml:space="preserve">investors </w:t>
      </w:r>
      <w:r w:rsidR="000815C8">
        <w:rPr>
          <w:rFonts w:ascii="Arial" w:hAnsi="Arial" w:cs="Arial"/>
          <w:sz w:val="24"/>
          <w:szCs w:val="24"/>
        </w:rPr>
        <w:t xml:space="preserve">and </w:t>
      </w:r>
      <w:r w:rsidR="0081040F">
        <w:rPr>
          <w:rFonts w:ascii="Arial" w:hAnsi="Arial" w:cs="Arial"/>
          <w:sz w:val="24"/>
          <w:szCs w:val="24"/>
        </w:rPr>
        <w:t xml:space="preserve">asset </w:t>
      </w:r>
      <w:r w:rsidR="000815C8">
        <w:rPr>
          <w:rFonts w:ascii="Arial" w:hAnsi="Arial" w:cs="Arial"/>
          <w:sz w:val="24"/>
          <w:szCs w:val="24"/>
        </w:rPr>
        <w:t xml:space="preserve">managers </w:t>
      </w:r>
      <w:r w:rsidRPr="00971D6E">
        <w:rPr>
          <w:rFonts w:ascii="Arial" w:hAnsi="Arial" w:cs="Arial"/>
          <w:sz w:val="24"/>
          <w:szCs w:val="24"/>
        </w:rPr>
        <w:t xml:space="preserve">since </w:t>
      </w:r>
      <w:r w:rsidR="000815C8">
        <w:rPr>
          <w:rFonts w:ascii="Arial" w:hAnsi="Arial" w:cs="Arial"/>
          <w:sz w:val="24"/>
          <w:szCs w:val="24"/>
        </w:rPr>
        <w:t>the BRICS</w:t>
      </w:r>
      <w:r w:rsidRPr="00971D6E">
        <w:rPr>
          <w:rFonts w:ascii="Arial" w:hAnsi="Arial" w:cs="Arial"/>
          <w:sz w:val="24"/>
          <w:szCs w:val="24"/>
        </w:rPr>
        <w:t xml:space="preserve"> </w:t>
      </w:r>
      <w:r w:rsidR="000815C8">
        <w:rPr>
          <w:rFonts w:ascii="Arial" w:hAnsi="Arial" w:cs="Arial"/>
          <w:sz w:val="24"/>
          <w:szCs w:val="24"/>
        </w:rPr>
        <w:t xml:space="preserve">grouping </w:t>
      </w:r>
      <w:r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IMF18 \l 7177 </w:instrText>
          </w:r>
          <w:r w:rsidRPr="00971D6E">
            <w:rPr>
              <w:rFonts w:ascii="Arial" w:hAnsi="Arial" w:cs="Arial"/>
              <w:sz w:val="24"/>
              <w:szCs w:val="24"/>
            </w:rPr>
            <w:fldChar w:fldCharType="separate"/>
          </w:r>
          <w:r w:rsidR="00B0511A" w:rsidRPr="00B0511A">
            <w:rPr>
              <w:rFonts w:ascii="Arial" w:hAnsi="Arial" w:cs="Arial"/>
              <w:noProof/>
              <w:sz w:val="24"/>
              <w:szCs w:val="24"/>
            </w:rPr>
            <w:t>(IMF, 2018)</w:t>
          </w:r>
          <w:r w:rsidRPr="00971D6E">
            <w:rPr>
              <w:rFonts w:ascii="Arial" w:hAnsi="Arial" w:cs="Arial"/>
              <w:sz w:val="24"/>
              <w:szCs w:val="24"/>
            </w:rPr>
            <w:fldChar w:fldCharType="end"/>
          </w:r>
        </w:sdtContent>
      </w:sdt>
      <w:r>
        <w:rPr>
          <w:rFonts w:ascii="Arial" w:hAnsi="Arial" w:cs="Arial"/>
          <w:sz w:val="24"/>
          <w:szCs w:val="24"/>
        </w:rPr>
        <w:t xml:space="preserve">. Also, since </w:t>
      </w:r>
      <w:r w:rsidRPr="00971D6E">
        <w:rPr>
          <w:rFonts w:ascii="Arial" w:hAnsi="Arial" w:cs="Arial"/>
          <w:sz w:val="24"/>
          <w:szCs w:val="24"/>
        </w:rPr>
        <w:t xml:space="preserve">developed markets tend to have lower costs of capital whilst emerging markets provide a higher return on capital </w:t>
      </w:r>
      <w:sdt>
        <w:sdtPr>
          <w:rPr>
            <w:rFonts w:ascii="Arial" w:hAnsi="Arial" w:cs="Arial"/>
            <w:sz w:val="24"/>
            <w:szCs w:val="24"/>
          </w:rPr>
          <w:id w:val="231900105"/>
          <w:citation/>
        </w:sdtPr>
        <w:sdtEndPr/>
        <w:sdtContent>
          <w:r w:rsidRPr="00971D6E">
            <w:rPr>
              <w:rFonts w:ascii="Arial" w:hAnsi="Arial" w:cs="Arial"/>
              <w:sz w:val="24"/>
              <w:szCs w:val="24"/>
            </w:rPr>
            <w:fldChar w:fldCharType="begin"/>
          </w:r>
          <w:r w:rsidRPr="00971D6E">
            <w:rPr>
              <w:rFonts w:ascii="Arial" w:hAnsi="Arial" w:cs="Arial"/>
              <w:sz w:val="24"/>
              <w:szCs w:val="24"/>
            </w:rPr>
            <w:instrText xml:space="preserve"> CITATION Pet07 \l 7177 </w:instrText>
          </w:r>
          <w:r w:rsidRPr="00971D6E">
            <w:rPr>
              <w:rFonts w:ascii="Arial" w:hAnsi="Arial" w:cs="Arial"/>
              <w:sz w:val="24"/>
              <w:szCs w:val="24"/>
            </w:rPr>
            <w:fldChar w:fldCharType="separate"/>
          </w:r>
          <w:r w:rsidR="00B0511A" w:rsidRPr="00B0511A">
            <w:rPr>
              <w:rFonts w:ascii="Arial" w:hAnsi="Arial" w:cs="Arial"/>
              <w:noProof/>
              <w:sz w:val="24"/>
              <w:szCs w:val="24"/>
            </w:rPr>
            <w:t>(Henry, 2007)</w:t>
          </w:r>
          <w:r w:rsidRPr="00971D6E">
            <w:rPr>
              <w:rFonts w:ascii="Arial" w:hAnsi="Arial" w:cs="Arial"/>
              <w:sz w:val="24"/>
              <w:szCs w:val="24"/>
            </w:rPr>
            <w:fldChar w:fldCharType="end"/>
          </w:r>
        </w:sdtContent>
      </w:sdt>
      <w:r>
        <w:rPr>
          <w:rFonts w:ascii="Arial" w:hAnsi="Arial" w:cs="Arial"/>
          <w:sz w:val="24"/>
          <w:szCs w:val="24"/>
        </w:rPr>
        <w:t xml:space="preserve">, this set of countries should be of heightened interest to investors </w:t>
      </w:r>
      <w:r w:rsidR="0081040F">
        <w:rPr>
          <w:rFonts w:ascii="Arial" w:hAnsi="Arial" w:cs="Arial"/>
          <w:sz w:val="24"/>
          <w:szCs w:val="24"/>
        </w:rPr>
        <w:t>in the context of</w:t>
      </w:r>
      <w:r>
        <w:rPr>
          <w:rFonts w:ascii="Arial" w:hAnsi="Arial" w:cs="Arial"/>
          <w:sz w:val="24"/>
          <w:szCs w:val="24"/>
        </w:rPr>
        <w:t xml:space="preserve"> </w:t>
      </w:r>
      <w:r w:rsidRPr="00971D6E">
        <w:rPr>
          <w:rFonts w:ascii="Arial" w:hAnsi="Arial" w:cs="Arial"/>
          <w:sz w:val="24"/>
          <w:szCs w:val="24"/>
        </w:rPr>
        <w:t xml:space="preserve">international </w:t>
      </w:r>
      <w:r>
        <w:rPr>
          <w:rFonts w:ascii="Arial" w:hAnsi="Arial" w:cs="Arial"/>
          <w:sz w:val="24"/>
          <w:szCs w:val="24"/>
        </w:rPr>
        <w:t>portfolio diversification.</w:t>
      </w:r>
      <w:r w:rsidR="00A17132">
        <w:rPr>
          <w:rFonts w:ascii="Arial" w:hAnsi="Arial" w:cs="Arial"/>
          <w:sz w:val="24"/>
          <w:szCs w:val="24"/>
        </w:rPr>
        <w:t xml:space="preserve"> 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EndPr/>
        <w:sdtContent>
          <w:r w:rsidR="00A17132">
            <w:rPr>
              <w:rFonts w:ascii="Arial" w:hAnsi="Arial" w:cs="Arial"/>
              <w:sz w:val="24"/>
              <w:szCs w:val="24"/>
            </w:rPr>
            <w:fldChar w:fldCharType="begin"/>
          </w:r>
          <w:r w:rsidR="00A17132">
            <w:rPr>
              <w:rFonts w:ascii="Arial" w:hAnsi="Arial" w:cs="Arial"/>
              <w:sz w:val="24"/>
              <w:szCs w:val="24"/>
            </w:rPr>
            <w:instrText xml:space="preserve"> CITATION Inf19 \l 7177 </w:instrText>
          </w:r>
          <w:r w:rsidR="00A17132">
            <w:rPr>
              <w:rFonts w:ascii="Arial" w:hAnsi="Arial" w:cs="Arial"/>
              <w:sz w:val="24"/>
              <w:szCs w:val="24"/>
            </w:rPr>
            <w:fldChar w:fldCharType="separate"/>
          </w:r>
          <w:r w:rsidR="00B0511A" w:rsidRPr="00B0511A">
            <w:rPr>
              <w:rFonts w:ascii="Arial" w:hAnsi="Arial" w:cs="Arial"/>
              <w:noProof/>
              <w:sz w:val="24"/>
              <w:szCs w:val="24"/>
            </w:rPr>
            <w:t>(Info BRICS, 2019)</w:t>
          </w:r>
          <w:r w:rsidR="00A17132">
            <w:rPr>
              <w:rFonts w:ascii="Arial" w:hAnsi="Arial" w:cs="Arial"/>
              <w:sz w:val="24"/>
              <w:szCs w:val="24"/>
            </w:rPr>
            <w:fldChar w:fldCharType="end"/>
          </w:r>
        </w:sdtContent>
      </w:sdt>
      <w:r w:rsidR="00A17132">
        <w:rPr>
          <w:rFonts w:ascii="Arial" w:hAnsi="Arial" w:cs="Arial"/>
          <w:sz w:val="24"/>
          <w:szCs w:val="24"/>
        </w:rPr>
        <w:t>.</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r w:rsidRPr="00971D6E">
        <w:rPr>
          <w:rFonts w:ascii="Arial" w:hAnsi="Arial" w:cs="Arial"/>
          <w:b/>
        </w:rPr>
        <w:t>Research question</w:t>
      </w:r>
    </w:p>
    <w:p w14:paraId="2CD18173" w14:textId="64BF41CB" w:rsidR="00CA7513" w:rsidRDefault="00CA7513" w:rsidP="00AC4F00">
      <w:pPr>
        <w:pStyle w:val="NoSpacing"/>
      </w:pPr>
    </w:p>
    <w:p w14:paraId="39D50389" w14:textId="19276D61" w:rsidR="00715F62" w:rsidRPr="00715F62" w:rsidRDefault="00715F62" w:rsidP="00AC4F00">
      <w:pPr>
        <w:spacing w:line="360" w:lineRule="auto"/>
        <w:rPr>
          <w:rFonts w:ascii="Arial" w:hAnsi="Arial" w:cs="Arial"/>
          <w:sz w:val="24"/>
          <w:szCs w:val="24"/>
        </w:rPr>
      </w:pPr>
      <w:r>
        <w:rPr>
          <w:rFonts w:ascii="Arial" w:hAnsi="Arial" w:cs="Arial"/>
          <w:sz w:val="24"/>
          <w:szCs w:val="24"/>
        </w:rPr>
        <w:t>This study provides a contribution to the literature that distinguishes between contagion and interdependence by proposing the application of the R-Vine methodology in testing the extent of correlation between the extreme joint distribution of the different markets or economies. In doing so, the study aims to provide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4AA47639" w14:textId="7A7DC7DB"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are the extreme joint distributions of the different sectors of BRICS correlated?</w:t>
      </w:r>
    </w:p>
    <w:p w14:paraId="4669077B" w14:textId="62D8D936" w:rsidR="00963C2B" w:rsidRDefault="00963C2B"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 distinguish between interdependence and contagion within the context of the sectors of BRICS?</w:t>
      </w:r>
    </w:p>
    <w:p w14:paraId="3C022D2F" w14:textId="0A8A2780" w:rsidR="00FD3552" w:rsidRPr="009877B8" w:rsidRDefault="00FD3552" w:rsidP="00AC4F00">
      <w:pPr>
        <w:pStyle w:val="Heading2"/>
        <w:numPr>
          <w:ilvl w:val="1"/>
          <w:numId w:val="1"/>
        </w:numPr>
        <w:rPr>
          <w:rFonts w:ascii="Arial" w:hAnsi="Arial" w:cs="Arial"/>
          <w:b/>
        </w:rPr>
      </w:pPr>
      <w:r w:rsidRPr="009877B8">
        <w:rPr>
          <w:rFonts w:ascii="Arial" w:hAnsi="Arial" w:cs="Arial"/>
          <w:b/>
        </w:rPr>
        <w:t>Research methodology</w:t>
      </w:r>
    </w:p>
    <w:p w14:paraId="3A8C41CF" w14:textId="77777777" w:rsidR="00FD3552" w:rsidRPr="003E0F75" w:rsidRDefault="00FD3552" w:rsidP="00AC4F00">
      <w:pPr>
        <w:pStyle w:val="NoSpacing"/>
      </w:pPr>
    </w:p>
    <w:p w14:paraId="31C584F5" w14:textId="631EDDC1"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Pr>
          <w:rFonts w:ascii="Arial" w:hAnsi="Arial" w:cs="Arial"/>
          <w:sz w:val="24"/>
          <w:szCs w:val="24"/>
        </w:rPr>
        <w:t>, who studied 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 proposes that i</w:t>
      </w:r>
      <w:r w:rsidR="003412E8">
        <w:rPr>
          <w:rFonts w:ascii="Arial" w:hAnsi="Arial" w:cs="Arial"/>
          <w:sz w:val="24"/>
          <w:szCs w:val="24"/>
        </w:rPr>
        <w:t xml:space="preserve">f it is found that only the lower </w:t>
      </w:r>
      <w:r w:rsidR="003412E8">
        <w:rPr>
          <w:rFonts w:ascii="Arial" w:hAnsi="Arial" w:cs="Arial"/>
          <w:sz w:val="24"/>
          <w:szCs w:val="24"/>
        </w:rPr>
        <w:lastRenderedPageBreak/>
        <w:t>tail dependence coefficient is significant, then contagion is observed between the two indices. On the other hand, if the lower and upper tail dependence coefficient is significant, then interdependence rather than contagion is observed between the two indices.</w:t>
      </w:r>
    </w:p>
    <w:p w14:paraId="018A6DEB" w14:textId="295E9D65"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This period is chosen as to include major events from a BRICS and an international perspective. The returns are computed using indices registered on the São Paolo Stock Exchange (BOVESPA) for Brazil, Moscow Exchange (MOEX) for Russia, the National Stock Exchange of India (NSE) for India, the Shanghai Stock Exchange (SSE) for China and the Johannesburg Stock Exchange (JSE) for South Africa. </w:t>
      </w:r>
      <w:r w:rsidR="00FD3552">
        <w:rPr>
          <w:rFonts w:ascii="Arial" w:hAnsi="Arial" w:cs="Arial"/>
          <w:sz w:val="24"/>
          <w:szCs w:val="24"/>
        </w:rPr>
        <w:t>A robustness check will also be performed where the sample period will be reduced to exclude the 2007-2009 US financial crisis.</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r>
        <w:rPr>
          <w:rFonts w:ascii="Arial" w:hAnsi="Arial" w:cs="Arial"/>
          <w:b/>
        </w:rPr>
        <w:t>Importance of the study</w:t>
      </w:r>
    </w:p>
    <w:p w14:paraId="427AC13D" w14:textId="77777777" w:rsidR="00971D6E" w:rsidRPr="00971D6E" w:rsidRDefault="00971D6E" w:rsidP="00AC4F00">
      <w:pPr>
        <w:spacing w:line="360" w:lineRule="auto"/>
        <w:rPr>
          <w:rFonts w:ascii="Arial" w:hAnsi="Arial" w:cs="Arial"/>
          <w:sz w:val="24"/>
          <w:szCs w:val="24"/>
        </w:rPr>
      </w:pPr>
    </w:p>
    <w:p w14:paraId="3C670017" w14:textId="119DB15D"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w:t>
      </w:r>
      <w:r w:rsidR="00C23FD1">
        <w:rPr>
          <w:rFonts w:ascii="Arial" w:hAnsi="Arial" w:cs="Arial"/>
          <w:sz w:val="24"/>
          <w:szCs w:val="24"/>
        </w:rPr>
        <w:t xml:space="preserv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w:t>
      </w:r>
      <w:r w:rsidR="00197B9A">
        <w:rPr>
          <w:rFonts w:ascii="Arial" w:hAnsi="Arial" w:cs="Arial"/>
          <w:sz w:val="24"/>
          <w:szCs w:val="24"/>
        </w:rPr>
        <w:t xml:space="preserve">rebalancing </w:t>
      </w:r>
      <w:r w:rsidR="00B751B6">
        <w:rPr>
          <w:rFonts w:ascii="Arial" w:hAnsi="Arial" w:cs="Arial"/>
          <w:sz w:val="24"/>
          <w:szCs w:val="24"/>
        </w:rPr>
        <w:t>strategies</w:t>
      </w:r>
      <w:r w:rsidR="00197B9A">
        <w:rPr>
          <w:rFonts w:ascii="Arial" w:hAnsi="Arial" w:cs="Arial"/>
          <w:sz w:val="24"/>
          <w:szCs w:val="24"/>
        </w:rPr>
        <w:t xml:space="preserve"> since the correlation structure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5C4FC12C" w14:textId="69A9EFA9" w:rsidR="00FD538B" w:rsidRDefault="00FD538B" w:rsidP="00AC4F00">
      <w:pPr>
        <w:spacing w:line="360" w:lineRule="auto"/>
        <w:rPr>
          <w:rFonts w:ascii="Arial" w:hAnsi="Arial" w:cs="Arial"/>
          <w:sz w:val="24"/>
          <w:szCs w:val="24"/>
        </w:rPr>
      </w:pPr>
      <w:r>
        <w:rPr>
          <w:rFonts w:ascii="Arial" w:hAnsi="Arial" w:cs="Arial"/>
          <w:sz w:val="24"/>
          <w:szCs w:val="24"/>
        </w:rPr>
        <w:t xml:space="preserve">Despite the former arguments, </w:t>
      </w:r>
      <w:r w:rsidR="003E0F75">
        <w:rPr>
          <w:rFonts w:ascii="Arial" w:hAnsi="Arial" w:cs="Arial"/>
          <w:sz w:val="24"/>
          <w:szCs w:val="24"/>
        </w:rPr>
        <w:t xml:space="preserve">very </w:t>
      </w:r>
      <w:r>
        <w:rPr>
          <w:rFonts w:ascii="Arial" w:hAnsi="Arial" w:cs="Arial"/>
          <w:sz w:val="24"/>
          <w:szCs w:val="24"/>
        </w:rPr>
        <w:t>few studies have considered the contagion effects between the BRICS countries, let alone on a sectoral level. This study will contribute to this line of literature</w:t>
      </w:r>
      <w:r w:rsidR="00BE2A8E">
        <w:rPr>
          <w:rFonts w:ascii="Arial" w:hAnsi="Arial" w:cs="Arial"/>
          <w:sz w:val="24"/>
          <w:szCs w:val="24"/>
        </w:rPr>
        <w:t xml:space="preserve"> as well</w:t>
      </w:r>
      <w:r>
        <w:rPr>
          <w:rFonts w:ascii="Arial" w:hAnsi="Arial" w:cs="Arial"/>
          <w:sz w:val="24"/>
          <w:szCs w:val="24"/>
        </w:rPr>
        <w:t xml:space="preserve">.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r>
        <w:rPr>
          <w:rFonts w:ascii="Arial" w:hAnsi="Arial" w:cs="Arial"/>
          <w:b/>
        </w:rPr>
        <w:lastRenderedPageBreak/>
        <w:t>Structure of the study</w:t>
      </w:r>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r>
        <w:rPr>
          <w:rFonts w:ascii="Arial" w:hAnsi="Arial" w:cs="Arial"/>
        </w:rPr>
        <w:lastRenderedPageBreak/>
        <w:t xml:space="preserve">Chapter 2 </w:t>
      </w:r>
      <w:r w:rsidRPr="00F2483C">
        <w:rPr>
          <w:rFonts w:ascii="Arial" w:hAnsi="Arial" w:cs="Arial"/>
        </w:rPr>
        <w:t>Literature Review</w:t>
      </w:r>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more often than not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7910D19F" w:rsidR="008554F4" w:rsidRPr="00B0511A" w:rsidRDefault="008554F4" w:rsidP="008554F4">
      <w:pPr>
        <w:spacing w:line="360" w:lineRule="auto"/>
        <w:rPr>
          <w:rFonts w:ascii="Arial" w:hAnsi="Arial" w:cs="Arial"/>
          <w:color w:val="000000" w:themeColor="text1"/>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(CoVaR)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paper utilizes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paper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5293533C" w14:textId="77777777" w:rsidR="008554F4" w:rsidRPr="00B0511A" w:rsidRDefault="008554F4" w:rsidP="00AC4F00">
      <w:pPr>
        <w:spacing w:line="360" w:lineRule="auto"/>
        <w:rPr>
          <w:rFonts w:ascii="Arial" w:hAnsi="Arial" w:cs="Arial"/>
          <w:color w:val="FFFFFF" w:themeColor="background1"/>
          <w:sz w:val="24"/>
          <w:szCs w:val="24"/>
        </w:rPr>
      </w:pPr>
    </w:p>
    <w:p w14:paraId="4C2FBCAD" w14:textId="71E0E0FA" w:rsidR="00120D21" w:rsidRPr="00B0511A" w:rsidRDefault="006B2556" w:rsidP="00AC4F00">
      <w:pPr>
        <w:spacing w:line="360" w:lineRule="auto"/>
        <w:rPr>
          <w:rFonts w:ascii="Arial" w:hAnsi="Arial" w:cs="Arial"/>
          <w:color w:val="FFFFFF" w:themeColor="background1"/>
          <w:sz w:val="24"/>
          <w:szCs w:val="24"/>
        </w:rPr>
      </w:pPr>
      <w:sdt>
        <w:sdtPr>
          <w:rPr>
            <w:rFonts w:ascii="Arial" w:hAnsi="Arial" w:cs="Arial"/>
            <w:color w:val="FFFFFF" w:themeColor="background1"/>
            <w:sz w:val="24"/>
            <w:szCs w:val="24"/>
          </w:rPr>
          <w:id w:val="-1925484508"/>
          <w:citation/>
        </w:sdtPr>
        <w:sdtEndPr/>
        <w:sdtContent>
          <w:r w:rsidR="00104D3B" w:rsidRPr="00B0511A">
            <w:rPr>
              <w:rFonts w:ascii="Arial" w:hAnsi="Arial" w:cs="Arial"/>
              <w:color w:val="FFFFFF" w:themeColor="background1"/>
              <w:sz w:val="24"/>
              <w:szCs w:val="24"/>
            </w:rPr>
            <w:fldChar w:fldCharType="begin"/>
          </w:r>
          <w:r w:rsidR="00104D3B" w:rsidRPr="00B0511A">
            <w:rPr>
              <w:rFonts w:ascii="Arial" w:hAnsi="Arial" w:cs="Arial"/>
              <w:color w:val="FFFFFF" w:themeColor="background1"/>
              <w:sz w:val="24"/>
              <w:szCs w:val="24"/>
            </w:rPr>
            <w:instrText xml:space="preserve"> CITATION Fra01 \l 7177 </w:instrText>
          </w:r>
          <w:r w:rsidR="00104D3B"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(Longin &amp; Solnik, 2001)</w:t>
          </w:r>
          <w:r w:rsidR="00104D3B"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300998961"/>
          <w:citation/>
        </w:sdtPr>
        <w:sdtEndPr/>
        <w:sdtContent>
          <w:r w:rsidR="00872587" w:rsidRPr="00B0511A">
            <w:rPr>
              <w:rFonts w:ascii="Arial" w:hAnsi="Arial" w:cs="Arial"/>
              <w:color w:val="FFFFFF" w:themeColor="background1"/>
              <w:sz w:val="24"/>
              <w:szCs w:val="24"/>
            </w:rPr>
            <w:fldChar w:fldCharType="begin"/>
          </w:r>
          <w:r w:rsidR="00872587" w:rsidRPr="00B0511A">
            <w:rPr>
              <w:rFonts w:ascii="Arial" w:hAnsi="Arial" w:cs="Arial"/>
              <w:color w:val="FFFFFF" w:themeColor="background1"/>
              <w:sz w:val="24"/>
              <w:szCs w:val="24"/>
            </w:rPr>
            <w:instrText xml:space="preserve"> CITATION Har52 \l 7177 </w:instrText>
          </w:r>
          <w:r w:rsidR="00872587"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(Markowitz, 1952)</w:t>
          </w:r>
          <w:r w:rsidR="00872587"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396741225"/>
          <w:citation/>
        </w:sdtPr>
        <w:sdtEndPr/>
        <w:sdtContent>
          <w:r w:rsidR="00651041" w:rsidRPr="00B0511A">
            <w:rPr>
              <w:rFonts w:ascii="Arial" w:hAnsi="Arial" w:cs="Arial"/>
              <w:color w:val="FFFFFF" w:themeColor="background1"/>
              <w:sz w:val="24"/>
              <w:szCs w:val="24"/>
            </w:rPr>
            <w:fldChar w:fldCharType="begin"/>
          </w:r>
          <w:r w:rsidR="00651041" w:rsidRPr="00B0511A">
            <w:rPr>
              <w:rFonts w:ascii="Arial" w:hAnsi="Arial" w:cs="Arial"/>
              <w:color w:val="FFFFFF" w:themeColor="background1"/>
              <w:sz w:val="24"/>
              <w:szCs w:val="24"/>
            </w:rPr>
            <w:instrText xml:space="preserve"> CITATION Elt76 \l 7177 </w:instrText>
          </w:r>
          <w:r w:rsidR="00651041"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(Elton, Gruber, &amp; Padberg, 1976)</w:t>
          </w:r>
          <w:r w:rsidR="00651041"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570382752"/>
          <w:citation/>
        </w:sdtPr>
        <w:sdtEndPr/>
        <w:sdtContent>
          <w:r w:rsidR="00651041" w:rsidRPr="00B0511A">
            <w:rPr>
              <w:rFonts w:ascii="Arial" w:hAnsi="Arial" w:cs="Arial"/>
              <w:color w:val="FFFFFF" w:themeColor="background1"/>
              <w:sz w:val="24"/>
              <w:szCs w:val="24"/>
            </w:rPr>
            <w:fldChar w:fldCharType="begin"/>
          </w:r>
          <w:r w:rsidR="00651041" w:rsidRPr="00B0511A">
            <w:rPr>
              <w:rFonts w:ascii="Arial" w:hAnsi="Arial" w:cs="Arial"/>
              <w:color w:val="FFFFFF" w:themeColor="background1"/>
              <w:sz w:val="24"/>
              <w:szCs w:val="24"/>
            </w:rPr>
            <w:instrText xml:space="preserve">CITATION OLe04 \l 7177 </w:instrText>
          </w:r>
          <w:r w:rsidR="00651041"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(Ledoit &amp; Wolf, 2004)</w:t>
          </w:r>
          <w:r w:rsidR="00651041"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819451850"/>
          <w:citation/>
        </w:sdtPr>
        <w:sdtEndPr/>
        <w:sdtContent>
          <w:r w:rsidR="00117346" w:rsidRPr="00B0511A">
            <w:rPr>
              <w:rFonts w:ascii="Arial" w:hAnsi="Arial" w:cs="Arial"/>
              <w:color w:val="FFFFFF" w:themeColor="background1"/>
              <w:sz w:val="24"/>
              <w:szCs w:val="24"/>
            </w:rPr>
            <w:fldChar w:fldCharType="begin"/>
          </w:r>
          <w:r w:rsidR="00117346" w:rsidRPr="00B0511A">
            <w:rPr>
              <w:rFonts w:ascii="Arial" w:hAnsi="Arial" w:cs="Arial"/>
              <w:color w:val="FFFFFF" w:themeColor="background1"/>
              <w:sz w:val="24"/>
              <w:szCs w:val="24"/>
            </w:rPr>
            <w:instrText xml:space="preserve"> CITATION And02 \l 7177 </w:instrText>
          </w:r>
          <w:r w:rsidR="00117346"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(Ang &amp; Bekaert, 2002)</w:t>
          </w:r>
          <w:r w:rsidR="00117346"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076829128"/>
          <w:citation/>
        </w:sdtPr>
        <w:sdtEndPr/>
        <w:sdtContent>
          <w:r w:rsidR="008601EC" w:rsidRPr="00B0511A">
            <w:rPr>
              <w:rFonts w:ascii="Arial" w:hAnsi="Arial" w:cs="Arial"/>
              <w:color w:val="FFFFFF" w:themeColor="background1"/>
              <w:sz w:val="24"/>
              <w:szCs w:val="24"/>
            </w:rPr>
            <w:fldChar w:fldCharType="begin"/>
          </w:r>
          <w:r w:rsidR="008601EC" w:rsidRPr="00B0511A">
            <w:rPr>
              <w:rFonts w:ascii="Arial" w:hAnsi="Arial" w:cs="Arial"/>
              <w:color w:val="FFFFFF" w:themeColor="background1"/>
              <w:sz w:val="24"/>
              <w:szCs w:val="24"/>
            </w:rPr>
            <w:instrText xml:space="preserve">CITATION Rac02 \l 7177 </w:instrText>
          </w:r>
          <w:r w:rsidR="008601EC"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(Campbell, Koedijk, &amp; Kofman, Increased Correlation in Bear Markets, 2002)</w:t>
          </w:r>
          <w:r w:rsidR="008601EC"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866364692"/>
          <w:citation/>
        </w:sdtPr>
        <w:sdtEndPr/>
        <w:sdtContent>
          <w:r w:rsidR="008601EC" w:rsidRPr="00B0511A">
            <w:rPr>
              <w:rFonts w:ascii="Arial" w:hAnsi="Arial" w:cs="Arial"/>
              <w:color w:val="FFFFFF" w:themeColor="background1"/>
              <w:sz w:val="24"/>
              <w:szCs w:val="24"/>
            </w:rPr>
            <w:fldChar w:fldCharType="begin"/>
          </w:r>
          <w:r w:rsidR="008601EC" w:rsidRPr="00B0511A">
            <w:rPr>
              <w:rFonts w:ascii="Arial" w:hAnsi="Arial" w:cs="Arial"/>
              <w:color w:val="FFFFFF" w:themeColor="background1"/>
              <w:sz w:val="24"/>
              <w:szCs w:val="24"/>
            </w:rPr>
            <w:instrText xml:space="preserve"> CITATION And021 \l 7177 </w:instrText>
          </w:r>
          <w:r w:rsidR="008601EC"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(Graflund &amp; Nilsson, 2002)</w:t>
          </w:r>
          <w:r w:rsidR="008601EC"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275914465"/>
          <w:citation/>
        </w:sdtPr>
        <w:sdtEndPr/>
        <w:sdtContent>
          <w:r w:rsidR="008601EC" w:rsidRPr="00B0511A">
            <w:rPr>
              <w:rFonts w:ascii="Arial" w:hAnsi="Arial" w:cs="Arial"/>
              <w:color w:val="FFFFFF" w:themeColor="background1"/>
              <w:sz w:val="24"/>
              <w:szCs w:val="24"/>
            </w:rPr>
            <w:fldChar w:fldCharType="begin"/>
          </w:r>
          <w:r w:rsidR="008601EC" w:rsidRPr="00B0511A">
            <w:rPr>
              <w:rFonts w:ascii="Arial" w:hAnsi="Arial" w:cs="Arial"/>
              <w:color w:val="FFFFFF" w:themeColor="background1"/>
              <w:sz w:val="24"/>
              <w:szCs w:val="24"/>
            </w:rPr>
            <w:instrText xml:space="preserve"> CITATION Den06 \l 7177 </w:instrText>
          </w:r>
          <w:r w:rsidR="008601EC"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(Pelletier, 2006)</w:t>
          </w:r>
          <w:r w:rsidR="008601EC"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275975595"/>
          <w:citation/>
        </w:sdtPr>
        <w:sdtEndPr/>
        <w:sdtContent>
          <w:r w:rsidR="005E15ED" w:rsidRPr="00B0511A">
            <w:rPr>
              <w:rFonts w:ascii="Arial" w:hAnsi="Arial" w:cs="Arial"/>
              <w:color w:val="FFFFFF" w:themeColor="background1"/>
              <w:sz w:val="24"/>
              <w:szCs w:val="24"/>
            </w:rPr>
            <w:fldChar w:fldCharType="begin"/>
          </w:r>
          <w:r w:rsidR="005E15ED" w:rsidRPr="00B0511A">
            <w:rPr>
              <w:rFonts w:ascii="Arial" w:hAnsi="Arial" w:cs="Arial"/>
              <w:color w:val="FFFFFF" w:themeColor="background1"/>
              <w:sz w:val="24"/>
              <w:szCs w:val="24"/>
            </w:rPr>
            <w:instrText xml:space="preserve"> CITATION Kri02 \l 7177 </w:instrText>
          </w:r>
          <w:r w:rsidR="005E15ED"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(Forbes &amp; Rigobon, 2002)</w:t>
          </w:r>
          <w:r w:rsidR="005E15ED"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776683102"/>
          <w:citation/>
        </w:sdtPr>
        <w:sdtEndPr/>
        <w:sdtContent>
          <w:r w:rsidR="005E15ED" w:rsidRPr="00B0511A">
            <w:rPr>
              <w:rFonts w:ascii="Arial" w:hAnsi="Arial" w:cs="Arial"/>
              <w:color w:val="FFFFFF" w:themeColor="background1"/>
              <w:sz w:val="24"/>
              <w:szCs w:val="24"/>
            </w:rPr>
            <w:fldChar w:fldCharType="begin"/>
          </w:r>
          <w:r w:rsidR="005E15ED" w:rsidRPr="00B0511A">
            <w:rPr>
              <w:rFonts w:ascii="Arial" w:hAnsi="Arial" w:cs="Arial"/>
              <w:color w:val="FFFFFF" w:themeColor="background1"/>
              <w:sz w:val="24"/>
              <w:szCs w:val="24"/>
            </w:rPr>
            <w:instrText xml:space="preserve"> CITATION Boy99 \l 7177 </w:instrText>
          </w:r>
          <w:r w:rsidR="005E15ED"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(Boyer, Gibson, &amp; Loretan, 1999)</w:t>
          </w:r>
          <w:r w:rsidR="005E15ED" w:rsidRPr="00B0511A">
            <w:rPr>
              <w:rFonts w:ascii="Arial" w:hAnsi="Arial" w:cs="Arial"/>
              <w:color w:val="FFFFFF" w:themeColor="background1"/>
              <w:sz w:val="24"/>
              <w:szCs w:val="24"/>
            </w:rPr>
            <w:fldChar w:fldCharType="end"/>
          </w:r>
        </w:sdtContent>
      </w:sdt>
      <w:r w:rsidR="005E15ED"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088044297"/>
          <w:citation/>
        </w:sdtPr>
        <w:sdtEndPr/>
        <w:sdtContent>
          <w:r w:rsidR="005E15ED" w:rsidRPr="00B0511A">
            <w:rPr>
              <w:rFonts w:ascii="Arial" w:hAnsi="Arial" w:cs="Arial"/>
              <w:color w:val="FFFFFF" w:themeColor="background1"/>
              <w:sz w:val="24"/>
              <w:szCs w:val="24"/>
            </w:rPr>
            <w:fldChar w:fldCharType="begin"/>
          </w:r>
          <w:r w:rsidR="005E15ED" w:rsidRPr="00B0511A">
            <w:rPr>
              <w:rFonts w:ascii="Arial" w:hAnsi="Arial" w:cs="Arial"/>
              <w:color w:val="FFFFFF" w:themeColor="background1"/>
              <w:sz w:val="24"/>
              <w:szCs w:val="24"/>
            </w:rPr>
            <w:instrText xml:space="preserve"> CITATION Lor00 \l 7177 </w:instrText>
          </w:r>
          <w:r w:rsidR="005E15ED"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(Loretan &amp; English, 2000)</w:t>
          </w:r>
          <w:r w:rsidR="005E15ED"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126007234"/>
          <w:citation/>
        </w:sdtPr>
        <w:sdtEndPr/>
        <w:sdtContent>
          <w:r w:rsidR="00A06523" w:rsidRPr="00B0511A">
            <w:rPr>
              <w:rFonts w:ascii="Arial" w:hAnsi="Arial" w:cs="Arial"/>
              <w:color w:val="FFFFFF" w:themeColor="background1"/>
              <w:sz w:val="24"/>
              <w:szCs w:val="24"/>
            </w:rPr>
            <w:fldChar w:fldCharType="begin"/>
          </w:r>
          <w:r w:rsidR="00A06523" w:rsidRPr="00B0511A">
            <w:rPr>
              <w:rFonts w:ascii="Arial" w:hAnsi="Arial" w:cs="Arial"/>
              <w:color w:val="FFFFFF" w:themeColor="background1"/>
              <w:sz w:val="24"/>
              <w:szCs w:val="24"/>
            </w:rPr>
            <w:instrText xml:space="preserve"> CITATION Gia05 \l 7177 </w:instrText>
          </w:r>
          <w:r w:rsidR="00A06523"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(Corsetti, Pericoli, &amp; Sbracia, 2005)</w:t>
          </w:r>
          <w:r w:rsidR="00A06523"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64775532"/>
          <w:citation/>
        </w:sdtPr>
        <w:sdtEndPr/>
        <w:sdtContent>
          <w:r w:rsidR="00A06523" w:rsidRPr="00B0511A">
            <w:rPr>
              <w:rFonts w:ascii="Arial" w:hAnsi="Arial" w:cs="Arial"/>
              <w:color w:val="FFFFFF" w:themeColor="background1"/>
              <w:sz w:val="24"/>
              <w:szCs w:val="24"/>
            </w:rPr>
            <w:fldChar w:fldCharType="begin"/>
          </w:r>
          <w:r w:rsidR="00A06523" w:rsidRPr="00B0511A">
            <w:rPr>
              <w:rFonts w:ascii="Arial" w:hAnsi="Arial" w:cs="Arial"/>
              <w:color w:val="FFFFFF" w:themeColor="background1"/>
              <w:sz w:val="24"/>
              <w:szCs w:val="24"/>
            </w:rPr>
            <w:instrText xml:space="preserve">CITATION Nee06 \l 7177 </w:instrText>
          </w:r>
          <w:r w:rsidR="00A06523"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(Horen, Jager, &amp; Klaassen, 2006)</w:t>
          </w:r>
          <w:r w:rsidR="00A06523"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051344962"/>
          <w:citation/>
        </w:sdtPr>
        <w:sdtEndPr/>
        <w:sdtContent>
          <w:r w:rsidR="00A06523" w:rsidRPr="00B0511A">
            <w:rPr>
              <w:rFonts w:ascii="Arial" w:hAnsi="Arial" w:cs="Arial"/>
              <w:color w:val="FFFFFF" w:themeColor="background1"/>
              <w:sz w:val="24"/>
              <w:szCs w:val="24"/>
            </w:rPr>
            <w:fldChar w:fldCharType="begin"/>
          </w:r>
          <w:r w:rsidR="00A06523" w:rsidRPr="00B0511A">
            <w:rPr>
              <w:rFonts w:ascii="Arial" w:hAnsi="Arial" w:cs="Arial"/>
              <w:color w:val="FFFFFF" w:themeColor="background1"/>
              <w:sz w:val="24"/>
              <w:szCs w:val="24"/>
            </w:rPr>
            <w:instrText xml:space="preserve"> CITATION Mon05 \l 7177 </w:instrText>
          </w:r>
          <w:r w:rsidR="00A06523"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 xml:space="preserve">(Billio, </w:t>
          </w:r>
          <w:r w:rsidR="00B0511A" w:rsidRPr="00B0511A">
            <w:rPr>
              <w:rFonts w:ascii="Arial" w:hAnsi="Arial" w:cs="Arial"/>
              <w:noProof/>
              <w:color w:val="FFFFFF" w:themeColor="background1"/>
              <w:sz w:val="24"/>
              <w:szCs w:val="24"/>
            </w:rPr>
            <w:lastRenderedPageBreak/>
            <w:t>Duca, &amp; Pelizzon, 2005)</w:t>
          </w:r>
          <w:r w:rsidR="00A06523" w:rsidRPr="00B0511A">
            <w:rPr>
              <w:rFonts w:ascii="Arial" w:hAnsi="Arial" w:cs="Arial"/>
              <w:color w:val="FFFFFF" w:themeColor="background1"/>
              <w:sz w:val="24"/>
              <w:szCs w:val="24"/>
            </w:rPr>
            <w:fldChar w:fldCharType="end"/>
          </w:r>
        </w:sdtContent>
      </w:sdt>
      <w:sdt>
        <w:sdtPr>
          <w:rPr>
            <w:color w:val="FFFFFF" w:themeColor="background1"/>
            <w:sz w:val="24"/>
            <w:szCs w:val="24"/>
          </w:rPr>
          <w:id w:val="-2125613838"/>
          <w:citation/>
        </w:sdtPr>
        <w:sdtEndPr/>
        <w:sdtContent>
          <w:r w:rsidR="00A06523" w:rsidRPr="00B0511A">
            <w:rPr>
              <w:color w:val="FFFFFF" w:themeColor="background1"/>
              <w:sz w:val="24"/>
              <w:szCs w:val="24"/>
            </w:rPr>
            <w:fldChar w:fldCharType="begin"/>
          </w:r>
          <w:r w:rsidR="00A06523" w:rsidRPr="00B0511A">
            <w:rPr>
              <w:rFonts w:ascii="Arial" w:hAnsi="Arial" w:cs="Arial"/>
              <w:color w:val="FFFFFF" w:themeColor="background1"/>
              <w:sz w:val="24"/>
              <w:szCs w:val="24"/>
            </w:rPr>
            <w:instrText xml:space="preserve"> CITATION Wuy17 \l 7177 </w:instrText>
          </w:r>
          <w:r w:rsidR="00A06523" w:rsidRPr="00B0511A">
            <w:rPr>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(Ye, Luo, &amp; Liu, Time-varying quantile association regression model with applications to financial contagion and VaR, 2017)</w:t>
          </w:r>
          <w:r w:rsidR="00A06523" w:rsidRPr="00B0511A">
            <w:rPr>
              <w:color w:val="FFFFFF" w:themeColor="background1"/>
              <w:sz w:val="24"/>
              <w:szCs w:val="24"/>
            </w:rPr>
            <w:fldChar w:fldCharType="end"/>
          </w:r>
        </w:sdtContent>
      </w:sdt>
      <w:sdt>
        <w:sdtPr>
          <w:rPr>
            <w:rFonts w:ascii="Arial" w:hAnsi="Arial" w:cs="Arial"/>
            <w:color w:val="FFFFFF" w:themeColor="background1"/>
            <w:sz w:val="24"/>
            <w:szCs w:val="24"/>
          </w:rPr>
          <w:id w:val="-384101630"/>
          <w:citation/>
        </w:sdtPr>
        <w:sdtEndPr/>
        <w:sdtContent>
          <w:r w:rsidR="00A06523" w:rsidRPr="00B0511A">
            <w:rPr>
              <w:rFonts w:ascii="Arial" w:hAnsi="Arial" w:cs="Arial"/>
              <w:color w:val="FFFFFF" w:themeColor="background1"/>
              <w:sz w:val="24"/>
              <w:szCs w:val="24"/>
            </w:rPr>
            <w:fldChar w:fldCharType="begin"/>
          </w:r>
          <w:r w:rsidR="00A06523" w:rsidRPr="00B0511A">
            <w:rPr>
              <w:rFonts w:ascii="Arial" w:hAnsi="Arial" w:cs="Arial"/>
              <w:color w:val="FFFFFF" w:themeColor="background1"/>
              <w:sz w:val="24"/>
              <w:szCs w:val="24"/>
            </w:rPr>
            <w:instrText xml:space="preserve"> CITATION Lum18 \l 7177 </w:instrText>
          </w:r>
          <w:r w:rsidR="00A06523"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(Bonga-Bonga, 2018)</w:t>
          </w:r>
          <w:r w:rsidR="00A06523" w:rsidRPr="00B0511A">
            <w:rPr>
              <w:rFonts w:ascii="Arial" w:hAnsi="Arial" w:cs="Arial"/>
              <w:color w:val="FFFFFF" w:themeColor="background1"/>
              <w:sz w:val="24"/>
              <w:szCs w:val="24"/>
            </w:rPr>
            <w:fldChar w:fldCharType="end"/>
          </w:r>
        </w:sdtContent>
      </w:sdt>
      <w:r w:rsidR="00A06523"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997712205"/>
          <w:citation/>
        </w:sdtPr>
        <w:sdtEndPr/>
        <w:sdtContent>
          <w:r w:rsidR="00A06523" w:rsidRPr="00B0511A">
            <w:rPr>
              <w:rFonts w:ascii="Arial" w:hAnsi="Arial" w:cs="Arial"/>
              <w:color w:val="FFFFFF" w:themeColor="background1"/>
              <w:sz w:val="24"/>
              <w:szCs w:val="24"/>
            </w:rPr>
            <w:fldChar w:fldCharType="begin"/>
          </w:r>
          <w:r w:rsidR="00A06523" w:rsidRPr="00B0511A">
            <w:rPr>
              <w:rFonts w:ascii="Arial" w:hAnsi="Arial" w:cs="Arial"/>
              <w:color w:val="FFFFFF" w:themeColor="background1"/>
              <w:sz w:val="24"/>
              <w:szCs w:val="24"/>
            </w:rPr>
            <w:instrText xml:space="preserve"> CITATION MdA18 \l 7177 </w:instrText>
          </w:r>
          <w:r w:rsidR="00A06523"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(Akhtaruzzaman &amp; Shamsuddin, 2018)</w:t>
          </w:r>
          <w:r w:rsidR="00A06523"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808137344"/>
          <w:citation/>
        </w:sdtPr>
        <w:sdtEndPr/>
        <w:sdtContent>
          <w:r w:rsidR="00374BDD" w:rsidRPr="00B0511A">
            <w:rPr>
              <w:rFonts w:ascii="Arial" w:hAnsi="Arial" w:cs="Arial"/>
              <w:color w:val="FFFFFF" w:themeColor="background1"/>
              <w:sz w:val="24"/>
              <w:szCs w:val="24"/>
            </w:rPr>
            <w:fldChar w:fldCharType="begin"/>
          </w:r>
          <w:r w:rsidR="00374BDD" w:rsidRPr="00B0511A">
            <w:rPr>
              <w:rFonts w:ascii="Arial" w:hAnsi="Arial" w:cs="Arial"/>
              <w:color w:val="FFFFFF" w:themeColor="background1"/>
              <w:sz w:val="24"/>
              <w:szCs w:val="24"/>
            </w:rPr>
            <w:instrText xml:space="preserve"> CITATION Lin06 \l 7177 </w:instrText>
          </w:r>
          <w:r w:rsidR="00374BDD"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(Hu, 2006)</w:t>
          </w:r>
          <w:r w:rsidR="00374BDD" w:rsidRPr="00B0511A">
            <w:rPr>
              <w:rFonts w:ascii="Arial" w:hAnsi="Arial" w:cs="Arial"/>
              <w:color w:val="FFFFFF" w:themeColor="background1"/>
              <w:sz w:val="24"/>
              <w:szCs w:val="24"/>
            </w:rPr>
            <w:fldChar w:fldCharType="end"/>
          </w:r>
        </w:sdtContent>
      </w:sdt>
      <w:r w:rsidR="00374BDD"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623377113"/>
          <w:citation/>
        </w:sdtPr>
        <w:sdtEndPr/>
        <w:sdtContent>
          <w:r w:rsidR="00374BDD" w:rsidRPr="00B0511A">
            <w:rPr>
              <w:rFonts w:ascii="Arial" w:hAnsi="Arial" w:cs="Arial"/>
              <w:color w:val="FFFFFF" w:themeColor="background1"/>
              <w:sz w:val="24"/>
              <w:szCs w:val="24"/>
            </w:rPr>
            <w:fldChar w:fldCharType="begin"/>
          </w:r>
          <w:r w:rsidR="00374BDD" w:rsidRPr="00B0511A">
            <w:rPr>
              <w:rFonts w:ascii="Arial" w:hAnsi="Arial" w:cs="Arial"/>
              <w:color w:val="FFFFFF" w:themeColor="background1"/>
              <w:sz w:val="24"/>
              <w:szCs w:val="24"/>
            </w:rPr>
            <w:instrText xml:space="preserve"> CITATION Jua07 \l 7177 </w:instrText>
          </w:r>
          <w:r w:rsidR="00374BDD"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(Rodriguez, 2007)</w:t>
          </w:r>
          <w:r w:rsidR="00374BDD" w:rsidRPr="00B0511A">
            <w:rPr>
              <w:rFonts w:ascii="Arial" w:hAnsi="Arial" w:cs="Arial"/>
              <w:color w:val="FFFFFF" w:themeColor="background1"/>
              <w:sz w:val="24"/>
              <w:szCs w:val="24"/>
            </w:rPr>
            <w:fldChar w:fldCharType="end"/>
          </w:r>
        </w:sdtContent>
      </w:sdt>
      <w:r w:rsidR="00374BDD"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474592060"/>
          <w:citation/>
        </w:sdtPr>
        <w:sdtEndPr/>
        <w:sdtContent>
          <w:r w:rsidR="00374BDD" w:rsidRPr="00B0511A">
            <w:rPr>
              <w:rFonts w:ascii="Arial" w:hAnsi="Arial" w:cs="Arial"/>
              <w:color w:val="FFFFFF" w:themeColor="background1"/>
              <w:sz w:val="24"/>
              <w:szCs w:val="24"/>
            </w:rPr>
            <w:fldChar w:fldCharType="begin"/>
          </w:r>
          <w:r w:rsidR="00374BDD" w:rsidRPr="00B0511A">
            <w:rPr>
              <w:rFonts w:ascii="Arial" w:hAnsi="Arial" w:cs="Arial"/>
              <w:color w:val="FFFFFF" w:themeColor="background1"/>
              <w:sz w:val="24"/>
              <w:szCs w:val="24"/>
            </w:rPr>
            <w:instrText xml:space="preserve"> CITATION Lor09 \l 7177 </w:instrText>
          </w:r>
          <w:r w:rsidR="00374BDD"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(Chollete, Heinen, &amp; Valdesogo, 2009)</w:t>
          </w:r>
          <w:r w:rsidR="00374BDD" w:rsidRPr="00B0511A">
            <w:rPr>
              <w:rFonts w:ascii="Arial" w:hAnsi="Arial" w:cs="Arial"/>
              <w:color w:val="FFFFFF" w:themeColor="background1"/>
              <w:sz w:val="24"/>
              <w:szCs w:val="24"/>
            </w:rPr>
            <w:fldChar w:fldCharType="end"/>
          </w:r>
        </w:sdtContent>
      </w:sdt>
      <w:r w:rsidR="00374BDD" w:rsidRPr="00B0511A">
        <w:rPr>
          <w:rFonts w:ascii="Arial" w:hAnsi="Arial" w:cs="Arial"/>
          <w:color w:val="FFFFFF" w:themeColor="background1"/>
          <w:sz w:val="24"/>
          <w:szCs w:val="24"/>
        </w:rPr>
        <w:t xml:space="preserve"> and </w:t>
      </w:r>
      <w:sdt>
        <w:sdtPr>
          <w:rPr>
            <w:rFonts w:ascii="Arial" w:hAnsi="Arial" w:cs="Arial"/>
            <w:color w:val="FFFFFF" w:themeColor="background1"/>
            <w:sz w:val="24"/>
            <w:szCs w:val="24"/>
          </w:rPr>
          <w:id w:val="-74908874"/>
          <w:citation/>
        </w:sdtPr>
        <w:sdtEndPr/>
        <w:sdtContent>
          <w:r w:rsidR="00374BDD" w:rsidRPr="00B0511A">
            <w:rPr>
              <w:rFonts w:ascii="Arial" w:hAnsi="Arial" w:cs="Arial"/>
              <w:color w:val="FFFFFF" w:themeColor="background1"/>
              <w:sz w:val="24"/>
              <w:szCs w:val="24"/>
            </w:rPr>
            <w:fldChar w:fldCharType="begin"/>
          </w:r>
          <w:r w:rsidR="00374BDD" w:rsidRPr="00B0511A">
            <w:rPr>
              <w:rFonts w:ascii="Arial" w:hAnsi="Arial" w:cs="Arial"/>
              <w:color w:val="FFFFFF" w:themeColor="background1"/>
              <w:sz w:val="24"/>
              <w:szCs w:val="24"/>
            </w:rPr>
            <w:instrText xml:space="preserve"> CITATION Hor10 \l 7177 </w:instrText>
          </w:r>
          <w:r w:rsidR="00374BDD"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(Horta, Mendes, &amp; Vieira, 2010)</w:t>
          </w:r>
          <w:r w:rsidR="00374BDD"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1127540158"/>
          <w:citation/>
        </w:sdtPr>
        <w:sdtEndPr/>
        <w:sdtContent>
          <w:r w:rsidR="00120D21" w:rsidRPr="00B0511A">
            <w:rPr>
              <w:rFonts w:ascii="Arial" w:hAnsi="Arial" w:cs="Arial"/>
              <w:color w:val="FFFFFF" w:themeColor="background1"/>
              <w:sz w:val="24"/>
              <w:szCs w:val="24"/>
            </w:rPr>
            <w:fldChar w:fldCharType="begin"/>
          </w:r>
          <w:r w:rsidR="00120D21" w:rsidRPr="00B0511A">
            <w:rPr>
              <w:rFonts w:ascii="Arial" w:hAnsi="Arial" w:cs="Arial"/>
              <w:color w:val="FFFFFF" w:themeColor="background1"/>
              <w:sz w:val="24"/>
              <w:szCs w:val="24"/>
            </w:rPr>
            <w:instrText xml:space="preserve"> CITATION Arn00 \l 7177 </w:instrText>
          </w:r>
          <w:r w:rsidR="00120D21"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(Costinot, Roncalli, &amp; Teiletche, 2000)</w:t>
          </w:r>
          <w:r w:rsidR="00120D21" w:rsidRPr="00B0511A">
            <w:rPr>
              <w:rFonts w:ascii="Arial" w:hAnsi="Arial" w:cs="Arial"/>
              <w:color w:val="FFFFFF" w:themeColor="background1"/>
              <w:sz w:val="24"/>
              <w:szCs w:val="24"/>
            </w:rPr>
            <w:fldChar w:fldCharType="end"/>
          </w:r>
        </w:sdtContent>
      </w:sdt>
      <w:r w:rsidR="00120D21"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658147946"/>
          <w:citation/>
        </w:sdtPr>
        <w:sdtEndPr/>
        <w:sdtContent>
          <w:r w:rsidR="00120D21" w:rsidRPr="00B0511A">
            <w:rPr>
              <w:rFonts w:ascii="Arial" w:hAnsi="Arial" w:cs="Arial"/>
              <w:color w:val="FFFFFF" w:themeColor="background1"/>
              <w:sz w:val="24"/>
              <w:szCs w:val="24"/>
            </w:rPr>
            <w:fldChar w:fldCharType="begin"/>
          </w:r>
          <w:r w:rsidR="00120D21" w:rsidRPr="00B0511A">
            <w:rPr>
              <w:rFonts w:ascii="Arial" w:hAnsi="Arial" w:cs="Arial"/>
              <w:color w:val="FFFFFF" w:themeColor="background1"/>
              <w:sz w:val="24"/>
              <w:szCs w:val="24"/>
            </w:rPr>
            <w:instrText xml:space="preserve"> CITATION Jor04 \l 7177 </w:instrText>
          </w:r>
          <w:r w:rsidR="00120D21"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(Chan-Lau, Mathieson, &amp; Yao, 2004)</w:t>
          </w:r>
          <w:r w:rsidR="00120D21" w:rsidRPr="00B0511A">
            <w:rPr>
              <w:rFonts w:ascii="Arial" w:hAnsi="Arial" w:cs="Arial"/>
              <w:color w:val="FFFFFF" w:themeColor="background1"/>
              <w:sz w:val="24"/>
              <w:szCs w:val="24"/>
            </w:rPr>
            <w:fldChar w:fldCharType="end"/>
          </w:r>
        </w:sdtContent>
      </w:sdt>
      <w:r w:rsidR="00120D21" w:rsidRPr="00B0511A">
        <w:rPr>
          <w:rFonts w:ascii="Arial" w:hAnsi="Arial" w:cs="Arial"/>
          <w:color w:val="FFFFFF" w:themeColor="background1"/>
          <w:sz w:val="24"/>
          <w:szCs w:val="24"/>
        </w:rPr>
        <w:t xml:space="preserve"> and </w:t>
      </w:r>
      <w:sdt>
        <w:sdtPr>
          <w:rPr>
            <w:rFonts w:ascii="Arial" w:hAnsi="Arial" w:cs="Arial"/>
            <w:color w:val="FFFFFF" w:themeColor="background1"/>
            <w:sz w:val="24"/>
            <w:szCs w:val="24"/>
          </w:rPr>
          <w:id w:val="-344095134"/>
          <w:citation/>
        </w:sdtPr>
        <w:sdtEndPr/>
        <w:sdtContent>
          <w:r w:rsidR="00120D21" w:rsidRPr="00B0511A">
            <w:rPr>
              <w:rFonts w:ascii="Arial" w:hAnsi="Arial" w:cs="Arial"/>
              <w:color w:val="FFFFFF" w:themeColor="background1"/>
              <w:sz w:val="24"/>
              <w:szCs w:val="24"/>
            </w:rPr>
            <w:fldChar w:fldCharType="begin"/>
          </w:r>
          <w:r w:rsidR="00120D21" w:rsidRPr="00B0511A">
            <w:rPr>
              <w:rFonts w:ascii="Arial" w:hAnsi="Arial" w:cs="Arial"/>
              <w:color w:val="FFFFFF" w:themeColor="background1"/>
              <w:sz w:val="24"/>
              <w:szCs w:val="24"/>
            </w:rPr>
            <w:instrText xml:space="preserve"> CITATION Jua19 \l 7177 </w:instrText>
          </w:r>
          <w:r w:rsidR="00120D21"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(Cubillos-Rocha, Gomez-Gonzalez, &amp; Melo-Velandia, 2019)</w:t>
          </w:r>
          <w:r w:rsidR="00120D21" w:rsidRPr="00B0511A">
            <w:rPr>
              <w:rFonts w:ascii="Arial" w:hAnsi="Arial" w:cs="Arial"/>
              <w:color w:val="FFFFFF" w:themeColor="background1"/>
              <w:sz w:val="24"/>
              <w:szCs w:val="24"/>
            </w:rPr>
            <w:fldChar w:fldCharType="end"/>
          </w:r>
        </w:sdtContent>
      </w:sdt>
      <w:r w:rsidR="00962489"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571478497"/>
          <w:citation/>
        </w:sdtPr>
        <w:sdtEndPr/>
        <w:sdtContent>
          <w:r w:rsidR="00962489" w:rsidRPr="00B0511A">
            <w:rPr>
              <w:rFonts w:ascii="Arial" w:hAnsi="Arial" w:cs="Arial"/>
              <w:color w:val="FFFFFF" w:themeColor="background1"/>
              <w:sz w:val="24"/>
              <w:szCs w:val="24"/>
            </w:rPr>
            <w:fldChar w:fldCharType="begin"/>
          </w:r>
          <w:r w:rsidR="00962489" w:rsidRPr="00B0511A">
            <w:rPr>
              <w:rFonts w:ascii="Arial" w:hAnsi="Arial" w:cs="Arial"/>
              <w:color w:val="FFFFFF" w:themeColor="background1"/>
              <w:sz w:val="24"/>
              <w:szCs w:val="24"/>
            </w:rPr>
            <w:instrText xml:space="preserve"> CITATION Mer90 \l 7177 </w:instrText>
          </w:r>
          <w:r w:rsidR="00962489"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(King &amp; Wadhwani, 1990)</w:t>
          </w:r>
          <w:r w:rsidR="00962489" w:rsidRPr="00B0511A">
            <w:rPr>
              <w:rFonts w:ascii="Arial" w:hAnsi="Arial" w:cs="Arial"/>
              <w:color w:val="FFFFFF" w:themeColor="background1"/>
              <w:sz w:val="24"/>
              <w:szCs w:val="24"/>
            </w:rPr>
            <w:fldChar w:fldCharType="end"/>
          </w:r>
        </w:sdtContent>
      </w:sdt>
      <w:r w:rsidR="00507D0C"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523698694"/>
          <w:citation/>
        </w:sdtPr>
        <w:sdtEndPr/>
        <w:sdtContent>
          <w:r w:rsidR="00507D0C" w:rsidRPr="00B0511A">
            <w:rPr>
              <w:rFonts w:ascii="Arial" w:hAnsi="Arial" w:cs="Arial"/>
              <w:color w:val="FFFFFF" w:themeColor="background1"/>
              <w:sz w:val="24"/>
              <w:szCs w:val="24"/>
            </w:rPr>
            <w:fldChar w:fldCharType="begin"/>
          </w:r>
          <w:r w:rsidR="00507D0C" w:rsidRPr="00B0511A">
            <w:rPr>
              <w:rFonts w:ascii="Arial" w:hAnsi="Arial" w:cs="Arial"/>
              <w:color w:val="FFFFFF" w:themeColor="background1"/>
              <w:sz w:val="24"/>
              <w:szCs w:val="24"/>
            </w:rPr>
            <w:instrText xml:space="preserve"> CITATION Lee93 \l 7177 </w:instrText>
          </w:r>
          <w:r w:rsidR="00507D0C"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(Lee &amp; Kim, 1993)</w:t>
          </w:r>
          <w:r w:rsidR="00507D0C" w:rsidRPr="00B0511A">
            <w:rPr>
              <w:rFonts w:ascii="Arial" w:hAnsi="Arial" w:cs="Arial"/>
              <w:color w:val="FFFFFF" w:themeColor="background1"/>
              <w:sz w:val="24"/>
              <w:szCs w:val="24"/>
            </w:rPr>
            <w:fldChar w:fldCharType="end"/>
          </w:r>
        </w:sdtContent>
      </w:sdt>
      <w:r w:rsidR="00507D0C" w:rsidRPr="00B0511A">
        <w:rPr>
          <w:rFonts w:ascii="Arial" w:hAnsi="Arial" w:cs="Arial"/>
          <w:noProof/>
          <w:color w:val="FFFFFF" w:themeColor="background1"/>
          <w:sz w:val="24"/>
          <w:szCs w:val="24"/>
        </w:rPr>
        <w:t>(Forbes &amp; Rigobon, 2002)</w:t>
      </w:r>
      <w:sdt>
        <w:sdtPr>
          <w:rPr>
            <w:rFonts w:ascii="Arial" w:hAnsi="Arial" w:cs="Arial"/>
            <w:color w:val="FFFFFF" w:themeColor="background1"/>
            <w:sz w:val="24"/>
            <w:szCs w:val="24"/>
          </w:rPr>
          <w:id w:val="-1452631448"/>
          <w:citation/>
        </w:sdtPr>
        <w:sdtEndPr/>
        <w:sdtContent>
          <w:r w:rsidR="00D37F28" w:rsidRPr="00B0511A">
            <w:rPr>
              <w:rFonts w:ascii="Arial" w:hAnsi="Arial" w:cs="Arial"/>
              <w:color w:val="FFFFFF" w:themeColor="background1"/>
              <w:sz w:val="24"/>
              <w:szCs w:val="24"/>
            </w:rPr>
            <w:fldChar w:fldCharType="begin"/>
          </w:r>
          <w:r w:rsidR="00D37F28" w:rsidRPr="00B0511A">
            <w:rPr>
              <w:rFonts w:ascii="Arial" w:hAnsi="Arial" w:cs="Arial"/>
              <w:color w:val="FFFFFF" w:themeColor="background1"/>
              <w:sz w:val="24"/>
              <w:szCs w:val="24"/>
            </w:rPr>
            <w:instrText xml:space="preserve"> CITATION Boy99 \l 7177 </w:instrText>
          </w:r>
          <w:r w:rsidR="00D37F28"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(Boyer, Gibson, &amp; Loretan, 1999)</w:t>
          </w:r>
          <w:r w:rsidR="00D37F28"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632407213"/>
          <w:citation/>
        </w:sdtPr>
        <w:sdtEndPr/>
        <w:sdtContent>
          <w:r w:rsidR="00D37F28" w:rsidRPr="00B0511A">
            <w:rPr>
              <w:rFonts w:ascii="Arial" w:hAnsi="Arial" w:cs="Arial"/>
              <w:color w:val="FFFFFF" w:themeColor="background1"/>
              <w:sz w:val="24"/>
              <w:szCs w:val="24"/>
            </w:rPr>
            <w:fldChar w:fldCharType="begin"/>
          </w:r>
          <w:r w:rsidR="00D37F28" w:rsidRPr="00B0511A">
            <w:rPr>
              <w:rFonts w:ascii="Arial" w:hAnsi="Arial" w:cs="Arial"/>
              <w:color w:val="FFFFFF" w:themeColor="background1"/>
              <w:sz w:val="24"/>
              <w:szCs w:val="24"/>
            </w:rPr>
            <w:instrText xml:space="preserve"> CITATION Lor00 \l 7177 </w:instrText>
          </w:r>
          <w:r w:rsidR="00D37F28"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(Loretan &amp; English, 2000)</w:t>
          </w:r>
          <w:r w:rsidR="00D37F28"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719711071"/>
          <w:citation/>
        </w:sdtPr>
        <w:sdtEndPr/>
        <w:sdtContent>
          <w:r w:rsidR="00D37F28" w:rsidRPr="00B0511A">
            <w:rPr>
              <w:rFonts w:ascii="Arial" w:hAnsi="Arial" w:cs="Arial"/>
              <w:color w:val="FFFFFF" w:themeColor="background1"/>
              <w:sz w:val="24"/>
              <w:szCs w:val="24"/>
            </w:rPr>
            <w:fldChar w:fldCharType="begin"/>
          </w:r>
          <w:r w:rsidR="00D37F28" w:rsidRPr="00B0511A">
            <w:rPr>
              <w:rFonts w:ascii="Arial" w:hAnsi="Arial" w:cs="Arial"/>
              <w:color w:val="FFFFFF" w:themeColor="background1"/>
              <w:sz w:val="24"/>
              <w:szCs w:val="24"/>
            </w:rPr>
            <w:instrText xml:space="preserve"> CITATION Gia05 \l 7177 </w:instrText>
          </w:r>
          <w:r w:rsidR="00D37F28" w:rsidRP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(Corsetti, Pericoli, &amp; Sbracia, 2005)</w:t>
          </w:r>
          <w:r w:rsidR="00D37F28" w:rsidRPr="00B0511A">
            <w:rPr>
              <w:rFonts w:ascii="Arial" w:hAnsi="Arial" w:cs="Arial"/>
              <w:color w:val="FFFFFF" w:themeColor="background1"/>
              <w:sz w:val="24"/>
              <w:szCs w:val="24"/>
            </w:rPr>
            <w:fldChar w:fldCharType="end"/>
          </w:r>
        </w:sdtContent>
      </w:sdt>
      <w:r w:rsidR="008512F2"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410279247"/>
          <w:citation/>
        </w:sdtPr>
        <w:sdtEndPr/>
        <w:sdtContent>
          <w:r w:rsidR="008512F2" w:rsidRPr="00B0511A">
            <w:rPr>
              <w:rFonts w:ascii="Arial" w:hAnsi="Arial" w:cs="Arial"/>
              <w:color w:val="FFFFFF" w:themeColor="background1"/>
              <w:sz w:val="24"/>
              <w:szCs w:val="24"/>
            </w:rPr>
            <w:fldChar w:fldCharType="begin"/>
          </w:r>
          <w:r w:rsidR="008512F2" w:rsidRPr="00B0511A">
            <w:rPr>
              <w:rFonts w:ascii="Arial" w:hAnsi="Arial" w:cs="Arial"/>
              <w:color w:val="FFFFFF" w:themeColor="background1"/>
              <w:sz w:val="24"/>
              <w:szCs w:val="24"/>
            </w:rPr>
            <w:instrText xml:space="preserve">CITATION Nee06 \l 7177 </w:instrText>
          </w:r>
          <w:r w:rsidR="008512F2"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(Horen, Jager, &amp; Klaassen, 2006)</w:t>
          </w:r>
          <w:r w:rsidR="008512F2" w:rsidRPr="00B0511A">
            <w:rPr>
              <w:rFonts w:ascii="Arial" w:hAnsi="Arial" w:cs="Arial"/>
              <w:color w:val="FFFFFF" w:themeColor="background1"/>
              <w:sz w:val="24"/>
              <w:szCs w:val="24"/>
            </w:rPr>
            <w:fldChar w:fldCharType="end"/>
          </w:r>
        </w:sdtContent>
      </w:sdt>
      <w:r w:rsidR="00B50852"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20843652"/>
          <w:citation/>
        </w:sdtPr>
        <w:sdtEndPr/>
        <w:sdtContent>
          <w:r w:rsidR="00B50852" w:rsidRPr="00B0511A">
            <w:rPr>
              <w:rFonts w:ascii="Arial" w:hAnsi="Arial" w:cs="Arial"/>
              <w:color w:val="FFFFFF" w:themeColor="background1"/>
              <w:sz w:val="24"/>
              <w:szCs w:val="24"/>
            </w:rPr>
            <w:fldChar w:fldCharType="begin"/>
          </w:r>
          <w:r w:rsidR="00B50852" w:rsidRPr="00B0511A">
            <w:rPr>
              <w:rFonts w:ascii="Arial" w:hAnsi="Arial" w:cs="Arial"/>
              <w:color w:val="FFFFFF" w:themeColor="background1"/>
              <w:sz w:val="24"/>
              <w:szCs w:val="24"/>
            </w:rPr>
            <w:instrText xml:space="preserve"> CITATION Lan77 \l 7177 </w:instrText>
          </w:r>
          <w:r w:rsidR="00B50852"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(Girton &amp; Roper, 1977)</w:t>
          </w:r>
          <w:r w:rsidR="00B50852" w:rsidRPr="00B0511A">
            <w:rPr>
              <w:rFonts w:ascii="Arial" w:hAnsi="Arial" w:cs="Arial"/>
              <w:color w:val="FFFFFF" w:themeColor="background1"/>
              <w:sz w:val="24"/>
              <w:szCs w:val="24"/>
            </w:rPr>
            <w:fldChar w:fldCharType="end"/>
          </w:r>
        </w:sdtContent>
      </w:sdt>
      <w:r w:rsidR="00465A71"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948494430"/>
          <w:citation/>
        </w:sdtPr>
        <w:sdtEndPr/>
        <w:sdtContent>
          <w:r w:rsidR="00465A71" w:rsidRPr="00B0511A">
            <w:rPr>
              <w:rFonts w:ascii="Arial" w:hAnsi="Arial" w:cs="Arial"/>
              <w:color w:val="FFFFFF" w:themeColor="background1"/>
              <w:sz w:val="24"/>
              <w:szCs w:val="24"/>
            </w:rPr>
            <w:fldChar w:fldCharType="begin"/>
          </w:r>
          <w:r w:rsidR="00465A71" w:rsidRPr="00B0511A">
            <w:rPr>
              <w:rFonts w:ascii="Arial" w:hAnsi="Arial" w:cs="Arial"/>
              <w:color w:val="FFFFFF" w:themeColor="background1"/>
              <w:sz w:val="24"/>
              <w:szCs w:val="24"/>
            </w:rPr>
            <w:instrText xml:space="preserve"> CITATION Mon05 \l 7177 </w:instrText>
          </w:r>
          <w:r w:rsidR="00465A71"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(Billio, Duca, &amp; Pelizzon, 2005)</w:t>
          </w:r>
          <w:r w:rsidR="00465A71" w:rsidRPr="00B0511A">
            <w:rPr>
              <w:rFonts w:ascii="Arial" w:hAnsi="Arial" w:cs="Arial"/>
              <w:color w:val="FFFFFF" w:themeColor="background1"/>
              <w:sz w:val="24"/>
              <w:szCs w:val="24"/>
            </w:rPr>
            <w:fldChar w:fldCharType="end"/>
          </w:r>
        </w:sdtContent>
      </w:sdt>
      <w:r w:rsidR="00DA6127"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705911282"/>
          <w:citation/>
        </w:sdtPr>
        <w:sdtEndPr/>
        <w:sdtContent>
          <w:r w:rsidR="00DA6127" w:rsidRPr="00B0511A">
            <w:rPr>
              <w:rFonts w:ascii="Arial" w:hAnsi="Arial" w:cs="Arial"/>
              <w:color w:val="FFFFFF" w:themeColor="background1"/>
              <w:sz w:val="24"/>
              <w:szCs w:val="24"/>
            </w:rPr>
            <w:fldChar w:fldCharType="begin"/>
          </w:r>
          <w:r w:rsidR="00DA6127" w:rsidRPr="00B0511A">
            <w:rPr>
              <w:rFonts w:ascii="Arial" w:hAnsi="Arial" w:cs="Arial"/>
              <w:color w:val="FFFFFF" w:themeColor="background1"/>
              <w:sz w:val="24"/>
              <w:szCs w:val="24"/>
            </w:rPr>
            <w:instrText xml:space="preserve"> CITATION Lyo18 \l 7177 </w:instrText>
          </w:r>
          <w:r w:rsidR="00DA6127"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(Lyocsa &amp; Horvath, 2018)</w:t>
          </w:r>
          <w:r w:rsidR="00DA6127" w:rsidRPr="00B0511A">
            <w:rPr>
              <w:rFonts w:ascii="Arial" w:hAnsi="Arial" w:cs="Arial"/>
              <w:color w:val="FFFFFF" w:themeColor="background1"/>
              <w:sz w:val="24"/>
              <w:szCs w:val="24"/>
            </w:rPr>
            <w:fldChar w:fldCharType="end"/>
          </w:r>
        </w:sdtContent>
      </w:sdt>
      <w:r w:rsidR="00DA6127"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602158262"/>
          <w:citation/>
        </w:sdtPr>
        <w:sdtEndPr/>
        <w:sdtContent>
          <w:r w:rsidR="00DA6127" w:rsidRPr="00B0511A">
            <w:rPr>
              <w:rFonts w:ascii="Arial" w:hAnsi="Arial" w:cs="Arial"/>
              <w:color w:val="FFFFFF" w:themeColor="background1"/>
              <w:sz w:val="24"/>
              <w:szCs w:val="24"/>
            </w:rPr>
            <w:fldChar w:fldCharType="begin"/>
          </w:r>
          <w:r w:rsidR="00DA6127" w:rsidRPr="00B0511A">
            <w:rPr>
              <w:rFonts w:ascii="Arial" w:hAnsi="Arial" w:cs="Arial"/>
              <w:color w:val="FFFFFF" w:themeColor="background1"/>
              <w:sz w:val="24"/>
              <w:szCs w:val="24"/>
            </w:rPr>
            <w:instrText xml:space="preserve"> CITATION Gee05 \l 7177 </w:instrText>
          </w:r>
          <w:r w:rsidR="00DA6127"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(Bekhaert, Harvey, &amp; Ng, 2005)</w:t>
          </w:r>
          <w:r w:rsidR="00DA6127" w:rsidRPr="00B0511A">
            <w:rPr>
              <w:rFonts w:ascii="Arial" w:hAnsi="Arial" w:cs="Arial"/>
              <w:color w:val="FFFFFF" w:themeColor="background1"/>
              <w:sz w:val="24"/>
              <w:szCs w:val="24"/>
            </w:rPr>
            <w:fldChar w:fldCharType="end"/>
          </w:r>
        </w:sdtContent>
      </w:sdt>
      <w:r w:rsidR="00DA6127"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892962213"/>
          <w:citation/>
        </w:sdtPr>
        <w:sdtEndPr/>
        <w:sdtContent>
          <w:r w:rsidR="00DA6127" w:rsidRPr="00B0511A">
            <w:rPr>
              <w:rFonts w:ascii="Arial" w:hAnsi="Arial" w:cs="Arial"/>
              <w:color w:val="FFFFFF" w:themeColor="background1"/>
              <w:sz w:val="24"/>
              <w:szCs w:val="24"/>
            </w:rPr>
            <w:fldChar w:fldCharType="begin"/>
          </w:r>
          <w:r w:rsidR="00DA6127" w:rsidRPr="00B0511A">
            <w:rPr>
              <w:rFonts w:ascii="Arial" w:hAnsi="Arial" w:cs="Arial"/>
              <w:color w:val="FFFFFF" w:themeColor="background1"/>
              <w:sz w:val="24"/>
              <w:szCs w:val="24"/>
            </w:rPr>
            <w:instrText xml:space="preserve"> CITATION Wuy16 \l 7177 </w:instrText>
          </w:r>
          <w:r w:rsidR="00DA6127"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(Ye, Zhu, Wu, &amp; Miao, 2016)</w:t>
          </w:r>
          <w:r w:rsidR="00DA6127" w:rsidRPr="00B0511A">
            <w:rPr>
              <w:rFonts w:ascii="Arial" w:hAnsi="Arial" w:cs="Arial"/>
              <w:color w:val="FFFFFF" w:themeColor="background1"/>
              <w:sz w:val="24"/>
              <w:szCs w:val="24"/>
            </w:rPr>
            <w:fldChar w:fldCharType="end"/>
          </w:r>
        </w:sdtContent>
      </w:sdt>
      <w:r w:rsidR="008F1AEF"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82196782"/>
          <w:citation/>
        </w:sdtPr>
        <w:sdtEndPr/>
        <w:sdtContent>
          <w:r w:rsidR="008F1AEF" w:rsidRPr="00B0511A">
            <w:rPr>
              <w:rFonts w:ascii="Arial" w:hAnsi="Arial" w:cs="Arial"/>
              <w:color w:val="FFFFFF" w:themeColor="background1"/>
              <w:sz w:val="24"/>
              <w:szCs w:val="24"/>
            </w:rPr>
            <w:fldChar w:fldCharType="begin"/>
          </w:r>
          <w:r w:rsidR="008F1AEF" w:rsidRPr="00B0511A">
            <w:rPr>
              <w:rFonts w:ascii="Arial" w:hAnsi="Arial" w:cs="Arial"/>
              <w:color w:val="FFFFFF" w:themeColor="background1"/>
              <w:sz w:val="24"/>
              <w:szCs w:val="24"/>
            </w:rPr>
            <w:instrText xml:space="preserve"> CITATION Lum18 \l 7177 </w:instrText>
          </w:r>
          <w:r w:rsidR="008F1AEF"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(Bonga-Bonga, 2018)</w:t>
          </w:r>
          <w:r w:rsidR="008F1AEF" w:rsidRPr="00B0511A">
            <w:rPr>
              <w:rFonts w:ascii="Arial" w:hAnsi="Arial" w:cs="Arial"/>
              <w:color w:val="FFFFFF" w:themeColor="background1"/>
              <w:sz w:val="24"/>
              <w:szCs w:val="24"/>
            </w:rPr>
            <w:fldChar w:fldCharType="end"/>
          </w:r>
        </w:sdtContent>
      </w:sdt>
      <w:r w:rsidR="00B61C3E"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196810762"/>
          <w:citation/>
        </w:sdtPr>
        <w:sdtEndPr/>
        <w:sdtContent>
          <w:r w:rsidR="00B61C3E" w:rsidRPr="00B0511A">
            <w:rPr>
              <w:rFonts w:ascii="Arial" w:hAnsi="Arial" w:cs="Arial"/>
              <w:color w:val="FFFFFF" w:themeColor="background1"/>
              <w:sz w:val="24"/>
              <w:szCs w:val="24"/>
            </w:rPr>
            <w:fldChar w:fldCharType="begin"/>
          </w:r>
          <w:r w:rsidR="00B61C3E" w:rsidRPr="00B0511A">
            <w:rPr>
              <w:rFonts w:ascii="Arial" w:hAnsi="Arial" w:cs="Arial"/>
              <w:color w:val="FFFFFF" w:themeColor="background1"/>
              <w:sz w:val="24"/>
              <w:szCs w:val="24"/>
            </w:rPr>
            <w:instrText xml:space="preserve"> CITATION MdA18 \l 7177 </w:instrText>
          </w:r>
          <w:r w:rsidR="00B61C3E"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(Akhtaruzzaman &amp; Shamsuddin, 2018)</w:t>
          </w:r>
          <w:r w:rsidR="00B61C3E" w:rsidRPr="00B0511A">
            <w:rPr>
              <w:rFonts w:ascii="Arial" w:hAnsi="Arial" w:cs="Arial"/>
              <w:color w:val="FFFFFF" w:themeColor="background1"/>
              <w:sz w:val="24"/>
              <w:szCs w:val="24"/>
            </w:rPr>
            <w:fldChar w:fldCharType="end"/>
          </w:r>
        </w:sdtContent>
      </w:sdt>
      <w:r w:rsidR="006C2194"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559469923"/>
          <w:citation/>
        </w:sdtPr>
        <w:sdtEndPr/>
        <w:sdtContent>
          <w:r w:rsidR="006C2194" w:rsidRPr="00B0511A">
            <w:rPr>
              <w:rFonts w:ascii="Arial" w:hAnsi="Arial" w:cs="Arial"/>
              <w:color w:val="FFFFFF" w:themeColor="background1"/>
              <w:sz w:val="24"/>
              <w:szCs w:val="24"/>
            </w:rPr>
            <w:fldChar w:fldCharType="begin"/>
          </w:r>
          <w:r w:rsidR="006C2194" w:rsidRPr="00B0511A">
            <w:rPr>
              <w:rFonts w:ascii="Arial" w:hAnsi="Arial" w:cs="Arial"/>
              <w:color w:val="FFFFFF" w:themeColor="background1"/>
              <w:sz w:val="24"/>
              <w:szCs w:val="24"/>
            </w:rPr>
            <w:instrText xml:space="preserve"> CITATION Ken15 \l 7177 </w:instrText>
          </w:r>
          <w:r w:rsidR="006C2194"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(Kenourgios &amp; Dimitriou, 2015)</w:t>
          </w:r>
          <w:r w:rsidR="006C2194" w:rsidRPr="00B0511A">
            <w:rPr>
              <w:rFonts w:ascii="Arial" w:hAnsi="Arial" w:cs="Arial"/>
              <w:color w:val="FFFFFF" w:themeColor="background1"/>
              <w:sz w:val="24"/>
              <w:szCs w:val="24"/>
            </w:rPr>
            <w:fldChar w:fldCharType="end"/>
          </w:r>
        </w:sdtContent>
      </w:sdt>
      <w:r w:rsidR="008845C9"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237408591"/>
          <w:citation/>
        </w:sdtPr>
        <w:sdtEndPr/>
        <w:sdtContent>
          <w:r w:rsidR="008845C9" w:rsidRPr="00B0511A">
            <w:rPr>
              <w:rFonts w:ascii="Arial" w:hAnsi="Arial" w:cs="Arial"/>
              <w:color w:val="FFFFFF" w:themeColor="background1"/>
              <w:sz w:val="24"/>
              <w:szCs w:val="24"/>
            </w:rPr>
            <w:fldChar w:fldCharType="begin"/>
          </w:r>
          <w:r w:rsidR="008845C9" w:rsidRPr="00B0511A">
            <w:rPr>
              <w:rFonts w:ascii="Arial" w:hAnsi="Arial" w:cs="Arial"/>
              <w:color w:val="FFFFFF" w:themeColor="background1"/>
              <w:sz w:val="24"/>
              <w:szCs w:val="24"/>
            </w:rPr>
            <w:instrText xml:space="preserve"> CITATION Arn00 \l 7177 </w:instrText>
          </w:r>
          <w:r w:rsidR="008845C9"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(Costinot, Roncalli, &amp; Teiletche, 2000)</w:t>
          </w:r>
          <w:r w:rsidR="008845C9" w:rsidRPr="00B0511A">
            <w:rPr>
              <w:rFonts w:ascii="Arial" w:hAnsi="Arial" w:cs="Arial"/>
              <w:color w:val="FFFFFF" w:themeColor="background1"/>
              <w:sz w:val="24"/>
              <w:szCs w:val="24"/>
            </w:rPr>
            <w:fldChar w:fldCharType="end"/>
          </w:r>
        </w:sdtContent>
      </w:sdt>
      <w:r w:rsidR="008845C9"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378315243"/>
          <w:citation/>
        </w:sdtPr>
        <w:sdtEndPr/>
        <w:sdtContent>
          <w:r w:rsidR="008845C9" w:rsidRPr="00B0511A">
            <w:rPr>
              <w:rFonts w:ascii="Arial" w:hAnsi="Arial" w:cs="Arial"/>
              <w:color w:val="FFFFFF" w:themeColor="background1"/>
              <w:sz w:val="24"/>
              <w:szCs w:val="24"/>
            </w:rPr>
            <w:fldChar w:fldCharType="begin"/>
          </w:r>
          <w:r w:rsidR="008845C9" w:rsidRPr="00B0511A">
            <w:rPr>
              <w:rFonts w:ascii="Arial" w:hAnsi="Arial" w:cs="Arial"/>
              <w:color w:val="FFFFFF" w:themeColor="background1"/>
              <w:sz w:val="24"/>
              <w:szCs w:val="24"/>
            </w:rPr>
            <w:instrText xml:space="preserve"> CITATION Jor04 \l 7177 </w:instrText>
          </w:r>
          <w:r w:rsidR="008845C9"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(Chan-Lau, Mathieson, &amp; Yao, 2004)</w:t>
          </w:r>
          <w:r w:rsidR="008845C9" w:rsidRPr="00B0511A">
            <w:rPr>
              <w:rFonts w:ascii="Arial" w:hAnsi="Arial" w:cs="Arial"/>
              <w:color w:val="FFFFFF" w:themeColor="background1"/>
              <w:sz w:val="24"/>
              <w:szCs w:val="24"/>
            </w:rPr>
            <w:fldChar w:fldCharType="end"/>
          </w:r>
        </w:sdtContent>
      </w:sdt>
      <w:r w:rsidR="00851A39"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440183959"/>
          <w:citation/>
        </w:sdtPr>
        <w:sdtEndPr/>
        <w:sdtContent>
          <w:r w:rsidR="00851A39" w:rsidRPr="00B0511A">
            <w:rPr>
              <w:rFonts w:ascii="Arial" w:hAnsi="Arial" w:cs="Arial"/>
              <w:color w:val="FFFFFF" w:themeColor="background1"/>
              <w:sz w:val="24"/>
              <w:szCs w:val="24"/>
            </w:rPr>
            <w:fldChar w:fldCharType="begin"/>
          </w:r>
          <w:r w:rsidR="00851A39" w:rsidRPr="00B0511A">
            <w:rPr>
              <w:rFonts w:ascii="Arial" w:hAnsi="Arial" w:cs="Arial"/>
              <w:color w:val="FFFFFF" w:themeColor="background1"/>
              <w:sz w:val="24"/>
              <w:szCs w:val="24"/>
            </w:rPr>
            <w:instrText xml:space="preserve"> CITATION Lin06 \l 7177 </w:instrText>
          </w:r>
          <w:r w:rsidR="00851A39"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(Hu, 2006)</w:t>
          </w:r>
          <w:r w:rsidR="00851A39" w:rsidRPr="00B0511A">
            <w:rPr>
              <w:rFonts w:ascii="Arial" w:hAnsi="Arial" w:cs="Arial"/>
              <w:color w:val="FFFFFF" w:themeColor="background1"/>
              <w:sz w:val="24"/>
              <w:szCs w:val="24"/>
            </w:rPr>
            <w:fldChar w:fldCharType="end"/>
          </w:r>
        </w:sdtContent>
      </w:sdt>
      <w:r w:rsidR="00851A39"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897718851"/>
          <w:citation/>
        </w:sdtPr>
        <w:sdtEndPr/>
        <w:sdtContent>
          <w:r w:rsidR="00851A39" w:rsidRPr="00B0511A">
            <w:rPr>
              <w:rFonts w:ascii="Arial" w:hAnsi="Arial" w:cs="Arial"/>
              <w:color w:val="FFFFFF" w:themeColor="background1"/>
              <w:sz w:val="24"/>
              <w:szCs w:val="24"/>
            </w:rPr>
            <w:fldChar w:fldCharType="begin"/>
          </w:r>
          <w:r w:rsidR="00851A39" w:rsidRPr="00B0511A">
            <w:rPr>
              <w:rFonts w:ascii="Arial" w:hAnsi="Arial" w:cs="Arial"/>
              <w:color w:val="FFFFFF" w:themeColor="background1"/>
              <w:sz w:val="24"/>
              <w:szCs w:val="24"/>
            </w:rPr>
            <w:instrText xml:space="preserve"> CITATION Jua07 \l 7177 </w:instrText>
          </w:r>
          <w:r w:rsidR="00851A39"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(Rodriguez, 2007)</w:t>
          </w:r>
          <w:r w:rsidR="00851A39" w:rsidRPr="00B0511A">
            <w:rPr>
              <w:rFonts w:ascii="Arial" w:hAnsi="Arial" w:cs="Arial"/>
              <w:color w:val="FFFFFF" w:themeColor="background1"/>
              <w:sz w:val="24"/>
              <w:szCs w:val="24"/>
            </w:rPr>
            <w:fldChar w:fldCharType="end"/>
          </w:r>
        </w:sdtContent>
      </w:sdt>
      <w:r w:rsidR="000F70A5"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820234330"/>
          <w:citation/>
        </w:sdtPr>
        <w:sdtEndPr/>
        <w:sdtContent>
          <w:r w:rsidR="000F70A5" w:rsidRPr="00B0511A">
            <w:rPr>
              <w:rFonts w:ascii="Arial" w:hAnsi="Arial" w:cs="Arial"/>
              <w:color w:val="FFFFFF" w:themeColor="background1"/>
              <w:sz w:val="24"/>
              <w:szCs w:val="24"/>
            </w:rPr>
            <w:fldChar w:fldCharType="begin"/>
          </w:r>
          <w:r w:rsidR="000F70A5" w:rsidRPr="00B0511A">
            <w:rPr>
              <w:rFonts w:ascii="Arial" w:hAnsi="Arial" w:cs="Arial"/>
              <w:color w:val="FFFFFF" w:themeColor="background1"/>
              <w:sz w:val="24"/>
              <w:szCs w:val="24"/>
            </w:rPr>
            <w:instrText xml:space="preserve"> CITATION Lor09 \l 7177 </w:instrText>
          </w:r>
          <w:r w:rsidR="000F70A5"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(Chollete, Heinen, &amp; Valdesogo, 2009)</w:t>
          </w:r>
          <w:r w:rsidR="000F70A5" w:rsidRPr="00B0511A">
            <w:rPr>
              <w:rFonts w:ascii="Arial" w:hAnsi="Arial" w:cs="Arial"/>
              <w:color w:val="FFFFFF" w:themeColor="background1"/>
              <w:sz w:val="24"/>
              <w:szCs w:val="24"/>
            </w:rPr>
            <w:fldChar w:fldCharType="end"/>
          </w:r>
        </w:sdtContent>
      </w:sdt>
      <w:r w:rsidR="009B025D"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955211361"/>
          <w:citation/>
        </w:sdtPr>
        <w:sdtEndPr/>
        <w:sdtContent>
          <w:r w:rsidR="009B025D" w:rsidRPr="00B0511A">
            <w:rPr>
              <w:rFonts w:ascii="Arial" w:hAnsi="Arial" w:cs="Arial"/>
              <w:color w:val="FFFFFF" w:themeColor="background1"/>
              <w:sz w:val="24"/>
              <w:szCs w:val="24"/>
            </w:rPr>
            <w:fldChar w:fldCharType="begin"/>
          </w:r>
          <w:r w:rsidR="009B025D" w:rsidRPr="00B0511A">
            <w:rPr>
              <w:rFonts w:ascii="Arial" w:hAnsi="Arial" w:cs="Arial"/>
              <w:color w:val="FFFFFF" w:themeColor="background1"/>
              <w:sz w:val="24"/>
              <w:szCs w:val="24"/>
            </w:rPr>
            <w:instrText xml:space="preserve"> CITATION Hor10 \l 7177 </w:instrText>
          </w:r>
          <w:r w:rsidR="009B025D"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(Horta, Mendes, &amp; Vieira, 2010)</w:t>
          </w:r>
          <w:r w:rsidR="009B025D" w:rsidRPr="00B0511A">
            <w:rPr>
              <w:rFonts w:ascii="Arial" w:hAnsi="Arial" w:cs="Arial"/>
              <w:color w:val="FFFFFF" w:themeColor="background1"/>
              <w:sz w:val="24"/>
              <w:szCs w:val="24"/>
            </w:rPr>
            <w:fldChar w:fldCharType="end"/>
          </w:r>
        </w:sdtContent>
      </w:sdt>
      <w:r w:rsidR="00683D6C"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1369801666"/>
          <w:citation/>
        </w:sdtPr>
        <w:sdtEndPr/>
        <w:sdtContent>
          <w:r w:rsidR="00683D6C" w:rsidRPr="00B0511A">
            <w:rPr>
              <w:rFonts w:ascii="Arial" w:hAnsi="Arial" w:cs="Arial"/>
              <w:color w:val="FFFFFF" w:themeColor="background1"/>
              <w:sz w:val="24"/>
              <w:szCs w:val="24"/>
            </w:rPr>
            <w:fldChar w:fldCharType="begin"/>
          </w:r>
          <w:r w:rsidR="00683D6C" w:rsidRPr="00B0511A">
            <w:rPr>
              <w:rFonts w:ascii="Arial" w:hAnsi="Arial" w:cs="Arial"/>
              <w:color w:val="FFFFFF" w:themeColor="background1"/>
              <w:sz w:val="24"/>
              <w:szCs w:val="24"/>
            </w:rPr>
            <w:instrText xml:space="preserve"> CITATION Ala17 \l 7177 </w:instrText>
          </w:r>
          <w:r w:rsidR="00683D6C"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(Paul &amp; Gideon, 2017)</w:t>
          </w:r>
          <w:r w:rsidR="00683D6C" w:rsidRPr="00B0511A">
            <w:rPr>
              <w:rFonts w:ascii="Arial" w:hAnsi="Arial" w:cs="Arial"/>
              <w:color w:val="FFFFFF" w:themeColor="background1"/>
              <w:sz w:val="24"/>
              <w:szCs w:val="24"/>
            </w:rPr>
            <w:fldChar w:fldCharType="end"/>
          </w:r>
        </w:sdtContent>
      </w:sdt>
      <w:r w:rsidR="008115B8" w:rsidRPr="00B0511A">
        <w:rPr>
          <w:rFonts w:ascii="Arial" w:hAnsi="Arial" w:cs="Arial"/>
          <w:color w:val="FFFFFF" w:themeColor="background1"/>
          <w:sz w:val="24"/>
          <w:szCs w:val="24"/>
        </w:rPr>
        <w:t xml:space="preserve"> </w:t>
      </w:r>
      <w:sdt>
        <w:sdtPr>
          <w:rPr>
            <w:rFonts w:ascii="Arial" w:hAnsi="Arial" w:cs="Arial"/>
            <w:color w:val="FFFFFF" w:themeColor="background1"/>
            <w:sz w:val="24"/>
            <w:szCs w:val="24"/>
          </w:rPr>
          <w:id w:val="-589689120"/>
          <w:citation/>
        </w:sdtPr>
        <w:sdtEndPr/>
        <w:sdtContent>
          <w:r w:rsidR="008115B8" w:rsidRPr="00B0511A">
            <w:rPr>
              <w:rFonts w:ascii="Arial" w:hAnsi="Arial" w:cs="Arial"/>
              <w:color w:val="FFFFFF" w:themeColor="background1"/>
              <w:sz w:val="24"/>
              <w:szCs w:val="24"/>
            </w:rPr>
            <w:fldChar w:fldCharType="begin"/>
          </w:r>
          <w:r w:rsidR="008115B8" w:rsidRPr="00B0511A">
            <w:rPr>
              <w:rFonts w:ascii="Arial" w:hAnsi="Arial" w:cs="Arial"/>
              <w:color w:val="FFFFFF" w:themeColor="background1"/>
              <w:sz w:val="24"/>
              <w:szCs w:val="24"/>
            </w:rPr>
            <w:instrText xml:space="preserve"> CITATION Jua19 \l 7177 </w:instrText>
          </w:r>
          <w:r w:rsidR="008115B8" w:rsidRPr="00B0511A">
            <w:rPr>
              <w:rFonts w:ascii="Arial" w:hAnsi="Arial" w:cs="Arial"/>
              <w:color w:val="FFFFFF" w:themeColor="background1"/>
              <w:sz w:val="24"/>
              <w:szCs w:val="24"/>
            </w:rPr>
            <w:fldChar w:fldCharType="separate"/>
          </w:r>
          <w:r w:rsidR="00B0511A" w:rsidRPr="00B0511A">
            <w:rPr>
              <w:rFonts w:ascii="Arial" w:hAnsi="Arial" w:cs="Arial"/>
              <w:noProof/>
              <w:color w:val="FFFFFF" w:themeColor="background1"/>
              <w:sz w:val="24"/>
              <w:szCs w:val="24"/>
            </w:rPr>
            <w:t>(Cubillos-Rocha, Gomez-Gonzalez, &amp; Melo-Velandia, 2019)</w:t>
          </w:r>
          <w:r w:rsidR="008115B8" w:rsidRPr="00B0511A">
            <w:rPr>
              <w:rFonts w:ascii="Arial" w:hAnsi="Arial" w:cs="Arial"/>
              <w:color w:val="FFFFFF" w:themeColor="background1"/>
              <w:sz w:val="24"/>
              <w:szCs w:val="24"/>
            </w:rPr>
            <w:fldChar w:fldCharType="end"/>
          </w:r>
        </w:sdtContent>
      </w:sdt>
      <w:sdt>
        <w:sdtPr>
          <w:rPr>
            <w:rFonts w:ascii="Arial" w:hAnsi="Arial" w:cs="Arial"/>
            <w:color w:val="FFFFFF" w:themeColor="background1"/>
            <w:sz w:val="24"/>
            <w:szCs w:val="24"/>
          </w:rPr>
          <w:id w:val="-2029555073"/>
          <w:citation/>
        </w:sdtPr>
        <w:sdtEndPr/>
        <w:sdtContent>
          <w:r w:rsidR="00B0511A">
            <w:rPr>
              <w:rFonts w:ascii="Arial" w:hAnsi="Arial" w:cs="Arial"/>
              <w:color w:val="FFFFFF" w:themeColor="background1"/>
              <w:sz w:val="24"/>
              <w:szCs w:val="24"/>
            </w:rPr>
            <w:fldChar w:fldCharType="begin"/>
          </w:r>
          <w:r w:rsidR="00B0511A">
            <w:rPr>
              <w:rFonts w:ascii="Arial" w:hAnsi="Arial" w:cs="Arial"/>
              <w:color w:val="FFFFFF" w:themeColor="background1"/>
              <w:sz w:val="24"/>
              <w:szCs w:val="24"/>
            </w:rPr>
            <w:instrText xml:space="preserve"> CITATION Rac021 \l 7177 </w:instrText>
          </w:r>
          <w:r w:rsidR="00B0511A">
            <w:rPr>
              <w:rFonts w:ascii="Arial" w:hAnsi="Arial" w:cs="Arial"/>
              <w:color w:val="FFFFFF" w:themeColor="background1"/>
              <w:sz w:val="24"/>
              <w:szCs w:val="24"/>
            </w:rPr>
            <w:fldChar w:fldCharType="separate"/>
          </w:r>
          <w:r w:rsidR="00B0511A">
            <w:rPr>
              <w:rFonts w:ascii="Arial" w:hAnsi="Arial" w:cs="Arial"/>
              <w:noProof/>
              <w:color w:val="FFFFFF" w:themeColor="background1"/>
              <w:sz w:val="24"/>
              <w:szCs w:val="24"/>
            </w:rPr>
            <w:t xml:space="preserve"> </w:t>
          </w:r>
          <w:r w:rsidR="00B0511A" w:rsidRPr="00B0511A">
            <w:rPr>
              <w:rFonts w:ascii="Arial" w:hAnsi="Arial" w:cs="Arial"/>
              <w:noProof/>
              <w:color w:val="FFFFFF" w:themeColor="background1"/>
              <w:sz w:val="24"/>
              <w:szCs w:val="24"/>
            </w:rPr>
            <w:t>(Campbell, Koedijk, &amp; Kofman, Increased Correlation in Bear Markets, 2002)</w:t>
          </w:r>
          <w:r w:rsidR="00B0511A">
            <w:rPr>
              <w:rFonts w:ascii="Arial" w:hAnsi="Arial" w:cs="Arial"/>
              <w:color w:val="FFFFFF" w:themeColor="background1"/>
              <w:sz w:val="24"/>
              <w:szCs w:val="24"/>
            </w:rPr>
            <w:fldChar w:fldCharType="end"/>
          </w:r>
        </w:sdtContent>
      </w:sdt>
    </w:p>
    <w:p w14:paraId="4BC5FEBE" w14:textId="77777777" w:rsidR="00DA6127" w:rsidRPr="00B0511A" w:rsidRDefault="00DA6127">
      <w:pPr>
        <w:rPr>
          <w:rFonts w:ascii="Arial" w:hAnsi="Arial" w:cs="Arial"/>
          <w:color w:val="FFFFFF" w:themeColor="background1"/>
          <w:sz w:val="24"/>
          <w:szCs w:val="24"/>
        </w:rPr>
      </w:pPr>
      <w:r w:rsidRPr="00B0511A">
        <w:rPr>
          <w:rFonts w:ascii="Arial" w:hAnsi="Arial" w:cs="Arial"/>
          <w:color w:val="FFFFFF" w:themeColor="background1"/>
          <w:sz w:val="24"/>
          <w:szCs w:val="24"/>
        </w:rPr>
        <w:br w:type="page"/>
      </w:r>
    </w:p>
    <w:sdt>
      <w:sdtPr>
        <w:rPr>
          <w:rFonts w:ascii="Arial" w:eastAsiaTheme="minorHAnsi" w:hAnsi="Arial" w:cs="Arial"/>
          <w:color w:val="auto"/>
          <w:sz w:val="22"/>
          <w:szCs w:val="22"/>
          <w:lang w:val="en-ZA"/>
        </w:rPr>
        <w:id w:val="-396276554"/>
        <w:docPartObj>
          <w:docPartGallery w:val="Bibliographies"/>
          <w:docPartUnique/>
        </w:docPartObj>
      </w:sdtPr>
      <w:sdtEnd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p>
        <w:sdt>
          <w:sdtPr>
            <w:rPr>
              <w:rFonts w:ascii="Arial" w:hAnsi="Arial" w:cs="Arial"/>
            </w:rPr>
            <w:id w:val="111145805"/>
            <w:bibliography/>
          </w:sdtPr>
          <w:sdtEndPr/>
          <w:sdtContent>
            <w:p w14:paraId="5AC41F7B" w14:textId="77777777" w:rsidR="00B0511A" w:rsidRDefault="00164FD3" w:rsidP="00B0511A">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B0511A">
                <w:rPr>
                  <w:noProof/>
                  <w:lang w:val="en-US"/>
                </w:rPr>
                <w:t xml:space="preserve">Abad, P., &amp; Chulia, H. (2016). European Government Bond Market Contagion in Turbulent Times. </w:t>
              </w:r>
              <w:r w:rsidR="00B0511A">
                <w:rPr>
                  <w:i/>
                  <w:iCs/>
                  <w:noProof/>
                  <w:lang w:val="en-US"/>
                </w:rPr>
                <w:t>Finance a uver-czech journal of economics and finance</w:t>
              </w:r>
              <w:r w:rsidR="00B0511A">
                <w:rPr>
                  <w:noProof/>
                  <w:lang w:val="en-US"/>
                </w:rPr>
                <w:t>, 263-276.</w:t>
              </w:r>
            </w:p>
            <w:p w14:paraId="30F8A17A" w14:textId="77777777" w:rsidR="00B0511A" w:rsidRDefault="00B0511A" w:rsidP="00B0511A">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4D579F75" w14:textId="77777777" w:rsidR="00B0511A" w:rsidRDefault="00B0511A" w:rsidP="00B0511A">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358D390D" w14:textId="77777777" w:rsidR="00B0511A" w:rsidRDefault="00B0511A" w:rsidP="00B0511A">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05D270A2" w14:textId="77777777" w:rsidR="00B0511A" w:rsidRDefault="00B0511A" w:rsidP="00B0511A">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537A036" w14:textId="77777777" w:rsidR="00B0511A" w:rsidRDefault="00B0511A" w:rsidP="00B0511A">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720A1BA5" w14:textId="77777777" w:rsidR="00B0511A" w:rsidRDefault="00B0511A" w:rsidP="00B0511A">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08D375AB" w14:textId="77777777" w:rsidR="00B0511A" w:rsidRDefault="00B0511A" w:rsidP="00B0511A">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3355C3D0" w14:textId="77777777" w:rsidR="00B0511A" w:rsidRDefault="00B0511A" w:rsidP="00B0511A">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7C45E038" w14:textId="77777777" w:rsidR="00B0511A" w:rsidRDefault="00B0511A" w:rsidP="00B0511A">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1FB7C67F" w14:textId="77777777" w:rsidR="00B0511A" w:rsidRDefault="00B0511A" w:rsidP="00B0511A">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6846BD3E" w14:textId="77777777" w:rsidR="00B0511A" w:rsidRDefault="00B0511A" w:rsidP="00B0511A">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7CD6DBD2"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59BC017F" w14:textId="77777777" w:rsidR="00B0511A" w:rsidRDefault="00B0511A" w:rsidP="00B0511A">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1C9248DE" w14:textId="77777777" w:rsidR="00B0511A" w:rsidRDefault="00B0511A" w:rsidP="00B0511A">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33023D6C" w14:textId="77777777" w:rsidR="00B0511A" w:rsidRDefault="00B0511A" w:rsidP="00B0511A">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7FB2ABA" w14:textId="77777777" w:rsidR="00B0511A" w:rsidRDefault="00B0511A" w:rsidP="00B0511A">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79A3213F" w14:textId="77777777" w:rsidR="00B0511A" w:rsidRDefault="00B0511A" w:rsidP="00B0511A">
              <w:pPr>
                <w:pStyle w:val="Bibliography"/>
                <w:ind w:left="720" w:hanging="720"/>
                <w:rPr>
                  <w:noProof/>
                  <w:lang w:val="en-US"/>
                </w:rPr>
              </w:pPr>
              <w:r>
                <w:rPr>
                  <w:noProof/>
                  <w:lang w:val="en-US"/>
                </w:rPr>
                <w:t xml:space="preserve">Costinot, A., Roncalli, T., &amp; Teiletche, J. (2000). Revisiting the Dependence between Financial Markets with Copulas. </w:t>
              </w:r>
              <w:r>
                <w:rPr>
                  <w:i/>
                  <w:iCs/>
                  <w:noProof/>
                  <w:lang w:val="en-US"/>
                </w:rPr>
                <w:t>SSRN eLibrary</w:t>
              </w:r>
              <w:r>
                <w:rPr>
                  <w:noProof/>
                  <w:lang w:val="en-US"/>
                </w:rPr>
                <w:t>.</w:t>
              </w:r>
            </w:p>
            <w:p w14:paraId="023F5B83" w14:textId="77777777" w:rsidR="00B0511A" w:rsidRDefault="00B0511A" w:rsidP="00B0511A">
              <w:pPr>
                <w:pStyle w:val="Bibliography"/>
                <w:ind w:left="720" w:hanging="720"/>
                <w:rPr>
                  <w:noProof/>
                  <w:lang w:val="en-US"/>
                </w:rPr>
              </w:pPr>
              <w:r>
                <w:rPr>
                  <w:noProof/>
                  <w:lang w:val="en-US"/>
                </w:rPr>
                <w:lastRenderedPageBreak/>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53A65A2D" w14:textId="77777777" w:rsidR="00B0511A" w:rsidRDefault="00B0511A" w:rsidP="00B0511A">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2FDE42EC" w14:textId="77777777" w:rsidR="00B0511A" w:rsidRDefault="00B0511A" w:rsidP="00B0511A">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7CBA28A7" w14:textId="77777777" w:rsidR="00B0511A" w:rsidRDefault="00B0511A" w:rsidP="00B0511A">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0CB69578" w14:textId="77777777" w:rsidR="00B0511A" w:rsidRDefault="00B0511A" w:rsidP="00B0511A">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5390C760" w14:textId="77777777" w:rsidR="00B0511A" w:rsidRDefault="00B0511A" w:rsidP="00B0511A">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43DA336" w14:textId="77777777" w:rsidR="00B0511A" w:rsidRDefault="00B0511A" w:rsidP="00B0511A">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7BAB39B0" w14:textId="77777777" w:rsidR="00B0511A" w:rsidRDefault="00B0511A" w:rsidP="00B0511A">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2D10481" w14:textId="77777777" w:rsidR="00B0511A" w:rsidRDefault="00B0511A" w:rsidP="00B0511A">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57A6B489" w14:textId="77777777" w:rsidR="00B0511A" w:rsidRDefault="00B0511A" w:rsidP="00B0511A">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3168C65C" w14:textId="77777777" w:rsidR="00B0511A" w:rsidRDefault="00B0511A" w:rsidP="00B0511A">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B8E820E" w14:textId="77777777" w:rsidR="00B0511A" w:rsidRDefault="00B0511A" w:rsidP="00B0511A">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45200344" w14:textId="77777777" w:rsidR="00B0511A" w:rsidRDefault="00B0511A" w:rsidP="00B0511A">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782A19AC" w14:textId="77777777" w:rsidR="00B0511A" w:rsidRDefault="00B0511A" w:rsidP="00B0511A">
              <w:pPr>
                <w:pStyle w:val="Bibliography"/>
                <w:ind w:left="720" w:hanging="720"/>
                <w:rPr>
                  <w:noProof/>
                  <w:lang w:val="en-US"/>
                </w:rPr>
              </w:pPr>
              <w:r>
                <w:rPr>
                  <w:noProof/>
                  <w:lang w:val="en-US"/>
                </w:rPr>
                <w:t>IMF. (2018, 4 1). World Economic Outlook Database April 2018.</w:t>
              </w:r>
            </w:p>
            <w:p w14:paraId="0227D0C0" w14:textId="77777777" w:rsidR="00B0511A" w:rsidRDefault="00B0511A" w:rsidP="00B0511A">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4C801391" w14:textId="77777777" w:rsidR="00B0511A" w:rsidRDefault="00B0511A" w:rsidP="00B0511A">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687B75E5" w14:textId="77777777" w:rsidR="00B0511A" w:rsidRDefault="00B0511A" w:rsidP="00B0511A">
              <w:pPr>
                <w:pStyle w:val="Bibliography"/>
                <w:ind w:left="720" w:hanging="720"/>
                <w:rPr>
                  <w:noProof/>
                  <w:lang w:val="en-US"/>
                </w:rPr>
              </w:pPr>
              <w:r>
                <w:rPr>
                  <w:noProof/>
                  <w:lang w:val="en-US"/>
                </w:rPr>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6366C953" w14:textId="77777777" w:rsidR="00B0511A" w:rsidRDefault="00B0511A" w:rsidP="00B0511A">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79466E02" w14:textId="77777777" w:rsidR="00B0511A" w:rsidRDefault="00B0511A" w:rsidP="00B0511A">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1DF74268" w14:textId="77777777" w:rsidR="00B0511A" w:rsidRDefault="00B0511A" w:rsidP="00B0511A">
              <w:pPr>
                <w:pStyle w:val="Bibliography"/>
                <w:ind w:left="720" w:hanging="720"/>
                <w:rPr>
                  <w:noProof/>
                  <w:lang w:val="en-US"/>
                </w:rPr>
              </w:pPr>
              <w:r>
                <w:rPr>
                  <w:noProof/>
                  <w:lang w:val="en-US"/>
                </w:rPr>
                <w:lastRenderedPageBreak/>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31BB570A" w14:textId="77777777" w:rsidR="00B0511A" w:rsidRDefault="00B0511A" w:rsidP="00B0511A">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7B06EA81" w14:textId="77777777" w:rsidR="00B0511A" w:rsidRDefault="00B0511A" w:rsidP="00B0511A">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535F48D4" w14:textId="77777777" w:rsidR="00B0511A" w:rsidRDefault="00B0511A" w:rsidP="00B0511A">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0979D180" w14:textId="77777777" w:rsidR="00B0511A" w:rsidRDefault="00B0511A" w:rsidP="00B0511A">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2166BEDE" w14:textId="77777777" w:rsidR="00B0511A" w:rsidRDefault="00B0511A" w:rsidP="00B0511A">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7DB51A4B" w14:textId="77777777" w:rsidR="00B0511A" w:rsidRDefault="00B0511A" w:rsidP="00B0511A">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27BEB2AC" w14:textId="77777777" w:rsidR="00B0511A" w:rsidRDefault="00B0511A" w:rsidP="00B0511A">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59D93B09" w14:textId="77777777" w:rsidR="00B0511A" w:rsidRDefault="00B0511A" w:rsidP="00B0511A">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7DBABE34" w14:textId="77777777" w:rsidR="00B0511A" w:rsidRDefault="00B0511A" w:rsidP="00B0511A">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001FCD5A" w14:textId="77777777" w:rsidR="00B0511A" w:rsidRDefault="00B0511A" w:rsidP="00B0511A">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5F159DEE" w14:textId="77777777" w:rsidR="00B0511A" w:rsidRDefault="00B0511A" w:rsidP="00B0511A">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5B58A20E" w14:textId="77777777" w:rsidR="00B0511A" w:rsidRDefault="00B0511A" w:rsidP="00B0511A">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724DDF34" w14:textId="77777777" w:rsidR="00B0511A" w:rsidRDefault="00B0511A" w:rsidP="00B0511A">
              <w:pPr>
                <w:pStyle w:val="Bibliography"/>
                <w:ind w:left="720" w:hanging="720"/>
                <w:rPr>
                  <w:noProof/>
                  <w:lang w:val="en-US"/>
                </w:rPr>
              </w:pPr>
              <w:r>
                <w:rPr>
                  <w:noProof/>
                  <w:lang w:val="en-US"/>
                </w:rPr>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078D237" w14:textId="77777777" w:rsidR="00B0511A" w:rsidRDefault="00B0511A" w:rsidP="00B0511A">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2625596E" w14:textId="77777777" w:rsidR="00B0511A" w:rsidRDefault="00B0511A" w:rsidP="00B0511A">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01E49573" w14:textId="77777777" w:rsidR="00B0511A" w:rsidRDefault="00B0511A" w:rsidP="00B0511A">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39461101" w14:textId="77777777" w:rsidR="00B0511A" w:rsidRDefault="00B0511A" w:rsidP="00B0511A">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50071DFE" w14:textId="77777777" w:rsidR="00B0511A" w:rsidRDefault="00B0511A" w:rsidP="00B0511A">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3C1686D2" w14:textId="77777777" w:rsidR="00B0511A" w:rsidRDefault="00B0511A" w:rsidP="00B0511A">
              <w:pPr>
                <w:pStyle w:val="Bibliography"/>
                <w:ind w:left="720" w:hanging="720"/>
                <w:rPr>
                  <w:noProof/>
                  <w:lang w:val="en-US"/>
                </w:rPr>
              </w:pPr>
              <w:r>
                <w:rPr>
                  <w:noProof/>
                  <w:lang w:val="en-US"/>
                </w:rPr>
                <w:lastRenderedPageBreak/>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3EEF32" w14:textId="77777777" w:rsidR="00B0511A" w:rsidRDefault="00B0511A" w:rsidP="00B0511A">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B0511A">
              <w:pPr>
                <w:spacing w:line="276" w:lineRule="auto"/>
                <w:rPr>
                  <w:rFonts w:ascii="Arial" w:hAnsi="Arial" w:cs="Arial"/>
                </w:rPr>
              </w:pPr>
              <w:r w:rsidRPr="00971D6E">
                <w:rPr>
                  <w:rFonts w:ascii="Arial" w:hAnsi="Arial" w:cs="Arial"/>
                  <w:b/>
                  <w:bCs/>
                  <w:noProof/>
                </w:rPr>
                <w:fldChar w:fldCharType="end"/>
              </w:r>
            </w:p>
          </w:sdtContent>
        </w:sdt>
      </w:sdtContent>
    </w:sdt>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3B63C" w14:textId="77777777" w:rsidR="006B2556" w:rsidRDefault="006B2556" w:rsidP="001F2480">
      <w:pPr>
        <w:spacing w:after="0" w:line="240" w:lineRule="auto"/>
      </w:pPr>
      <w:r>
        <w:separator/>
      </w:r>
    </w:p>
  </w:endnote>
  <w:endnote w:type="continuationSeparator" w:id="0">
    <w:p w14:paraId="45A7FB7D" w14:textId="77777777" w:rsidR="006B2556" w:rsidRDefault="006B2556"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7B87FE" w14:textId="77777777" w:rsidR="006B2556" w:rsidRDefault="006B2556" w:rsidP="001F2480">
      <w:pPr>
        <w:spacing w:after="0" w:line="240" w:lineRule="auto"/>
      </w:pPr>
      <w:r>
        <w:separator/>
      </w:r>
    </w:p>
  </w:footnote>
  <w:footnote w:type="continuationSeparator" w:id="0">
    <w:p w14:paraId="3E42CCC7" w14:textId="77777777" w:rsidR="006B2556" w:rsidRDefault="006B2556" w:rsidP="001F2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10593"/>
    <w:rsid w:val="000153D1"/>
    <w:rsid w:val="00020DA1"/>
    <w:rsid w:val="00032300"/>
    <w:rsid w:val="00035494"/>
    <w:rsid w:val="00042946"/>
    <w:rsid w:val="000629E9"/>
    <w:rsid w:val="00064199"/>
    <w:rsid w:val="00074A71"/>
    <w:rsid w:val="000815C8"/>
    <w:rsid w:val="00087F71"/>
    <w:rsid w:val="000915ED"/>
    <w:rsid w:val="00091CD9"/>
    <w:rsid w:val="0009343C"/>
    <w:rsid w:val="00097AE9"/>
    <w:rsid w:val="000A1B39"/>
    <w:rsid w:val="000A3D31"/>
    <w:rsid w:val="000A5050"/>
    <w:rsid w:val="000B2DCD"/>
    <w:rsid w:val="000E24DB"/>
    <w:rsid w:val="000F1636"/>
    <w:rsid w:val="000F70A5"/>
    <w:rsid w:val="00104D3B"/>
    <w:rsid w:val="00106CD7"/>
    <w:rsid w:val="0011015D"/>
    <w:rsid w:val="00112C16"/>
    <w:rsid w:val="00117346"/>
    <w:rsid w:val="00117691"/>
    <w:rsid w:val="00120D21"/>
    <w:rsid w:val="001320E0"/>
    <w:rsid w:val="001349E9"/>
    <w:rsid w:val="00141638"/>
    <w:rsid w:val="00142905"/>
    <w:rsid w:val="001432A1"/>
    <w:rsid w:val="00152957"/>
    <w:rsid w:val="001562FF"/>
    <w:rsid w:val="00164FD3"/>
    <w:rsid w:val="00180B6A"/>
    <w:rsid w:val="00182E08"/>
    <w:rsid w:val="00185BFF"/>
    <w:rsid w:val="0019110C"/>
    <w:rsid w:val="00197B9A"/>
    <w:rsid w:val="001A7F0F"/>
    <w:rsid w:val="001B2138"/>
    <w:rsid w:val="001B5E22"/>
    <w:rsid w:val="001C4AF4"/>
    <w:rsid w:val="001D339A"/>
    <w:rsid w:val="001D47E5"/>
    <w:rsid w:val="001F2480"/>
    <w:rsid w:val="001F4E53"/>
    <w:rsid w:val="0020596D"/>
    <w:rsid w:val="002168A0"/>
    <w:rsid w:val="0023080C"/>
    <w:rsid w:val="00245EB1"/>
    <w:rsid w:val="00252436"/>
    <w:rsid w:val="002532DA"/>
    <w:rsid w:val="00256EA5"/>
    <w:rsid w:val="00257A05"/>
    <w:rsid w:val="00275288"/>
    <w:rsid w:val="00285422"/>
    <w:rsid w:val="002D041A"/>
    <w:rsid w:val="002D29DA"/>
    <w:rsid w:val="002F00CA"/>
    <w:rsid w:val="002F0858"/>
    <w:rsid w:val="002F1FBE"/>
    <w:rsid w:val="002F479B"/>
    <w:rsid w:val="002F5FC6"/>
    <w:rsid w:val="002F65BF"/>
    <w:rsid w:val="0030531F"/>
    <w:rsid w:val="00317358"/>
    <w:rsid w:val="00325755"/>
    <w:rsid w:val="00330699"/>
    <w:rsid w:val="00336F71"/>
    <w:rsid w:val="00337529"/>
    <w:rsid w:val="003412E8"/>
    <w:rsid w:val="00352295"/>
    <w:rsid w:val="0035288A"/>
    <w:rsid w:val="003575DD"/>
    <w:rsid w:val="00374BDD"/>
    <w:rsid w:val="00392F7A"/>
    <w:rsid w:val="003A7B1B"/>
    <w:rsid w:val="003B4E5F"/>
    <w:rsid w:val="003C1400"/>
    <w:rsid w:val="003C204B"/>
    <w:rsid w:val="003E0F75"/>
    <w:rsid w:val="003E6F75"/>
    <w:rsid w:val="00433349"/>
    <w:rsid w:val="0043787C"/>
    <w:rsid w:val="004551F1"/>
    <w:rsid w:val="004607DD"/>
    <w:rsid w:val="0046172A"/>
    <w:rsid w:val="00465A71"/>
    <w:rsid w:val="004812F5"/>
    <w:rsid w:val="004833BC"/>
    <w:rsid w:val="004A046B"/>
    <w:rsid w:val="004C1E5C"/>
    <w:rsid w:val="004D2EB8"/>
    <w:rsid w:val="004E6D74"/>
    <w:rsid w:val="00500BE7"/>
    <w:rsid w:val="00507D0C"/>
    <w:rsid w:val="005154E0"/>
    <w:rsid w:val="00524E2E"/>
    <w:rsid w:val="00553E04"/>
    <w:rsid w:val="005624BD"/>
    <w:rsid w:val="00563F16"/>
    <w:rsid w:val="00565A76"/>
    <w:rsid w:val="00565AF1"/>
    <w:rsid w:val="00565F7A"/>
    <w:rsid w:val="00571194"/>
    <w:rsid w:val="00571F0D"/>
    <w:rsid w:val="005745AB"/>
    <w:rsid w:val="00577439"/>
    <w:rsid w:val="00577B72"/>
    <w:rsid w:val="00585EFD"/>
    <w:rsid w:val="005923DF"/>
    <w:rsid w:val="00595F94"/>
    <w:rsid w:val="005A6031"/>
    <w:rsid w:val="005B1F8C"/>
    <w:rsid w:val="005B3757"/>
    <w:rsid w:val="005B52B1"/>
    <w:rsid w:val="005D0F8F"/>
    <w:rsid w:val="005D3E4F"/>
    <w:rsid w:val="005D63A0"/>
    <w:rsid w:val="005E15ED"/>
    <w:rsid w:val="00602521"/>
    <w:rsid w:val="00617FD2"/>
    <w:rsid w:val="006408A0"/>
    <w:rsid w:val="006433EC"/>
    <w:rsid w:val="006454B6"/>
    <w:rsid w:val="00646FED"/>
    <w:rsid w:val="00651041"/>
    <w:rsid w:val="00651251"/>
    <w:rsid w:val="00656CFB"/>
    <w:rsid w:val="00660A82"/>
    <w:rsid w:val="00671899"/>
    <w:rsid w:val="006718F4"/>
    <w:rsid w:val="00676A0B"/>
    <w:rsid w:val="00683D6C"/>
    <w:rsid w:val="00693EF7"/>
    <w:rsid w:val="006A0AC9"/>
    <w:rsid w:val="006B2556"/>
    <w:rsid w:val="006C2194"/>
    <w:rsid w:val="006C682C"/>
    <w:rsid w:val="007117D6"/>
    <w:rsid w:val="00712582"/>
    <w:rsid w:val="00715F62"/>
    <w:rsid w:val="00716482"/>
    <w:rsid w:val="00720E92"/>
    <w:rsid w:val="00726696"/>
    <w:rsid w:val="007348BB"/>
    <w:rsid w:val="007658FC"/>
    <w:rsid w:val="00771FC5"/>
    <w:rsid w:val="007B6EF1"/>
    <w:rsid w:val="007B7689"/>
    <w:rsid w:val="007D1184"/>
    <w:rsid w:val="007D5BD1"/>
    <w:rsid w:val="007D7C64"/>
    <w:rsid w:val="007E006A"/>
    <w:rsid w:val="007E18C2"/>
    <w:rsid w:val="00803B49"/>
    <w:rsid w:val="0081040F"/>
    <w:rsid w:val="008115B8"/>
    <w:rsid w:val="00830CD4"/>
    <w:rsid w:val="00841BF3"/>
    <w:rsid w:val="00843F3C"/>
    <w:rsid w:val="00845388"/>
    <w:rsid w:val="008512F2"/>
    <w:rsid w:val="00851A39"/>
    <w:rsid w:val="008538CE"/>
    <w:rsid w:val="00853CBF"/>
    <w:rsid w:val="008554F4"/>
    <w:rsid w:val="008601EC"/>
    <w:rsid w:val="00861874"/>
    <w:rsid w:val="00872587"/>
    <w:rsid w:val="00873EA7"/>
    <w:rsid w:val="008843C5"/>
    <w:rsid w:val="008845C9"/>
    <w:rsid w:val="008961A0"/>
    <w:rsid w:val="00897146"/>
    <w:rsid w:val="008B06D4"/>
    <w:rsid w:val="008B0EB1"/>
    <w:rsid w:val="008D1513"/>
    <w:rsid w:val="008D3110"/>
    <w:rsid w:val="008E6607"/>
    <w:rsid w:val="008F0BE0"/>
    <w:rsid w:val="008F1AEF"/>
    <w:rsid w:val="008F5296"/>
    <w:rsid w:val="00911F73"/>
    <w:rsid w:val="0093156E"/>
    <w:rsid w:val="00940086"/>
    <w:rsid w:val="009433CC"/>
    <w:rsid w:val="009479FC"/>
    <w:rsid w:val="00952C91"/>
    <w:rsid w:val="00955D07"/>
    <w:rsid w:val="00962489"/>
    <w:rsid w:val="00963C2B"/>
    <w:rsid w:val="0097116A"/>
    <w:rsid w:val="00971D6E"/>
    <w:rsid w:val="0097552F"/>
    <w:rsid w:val="00976C01"/>
    <w:rsid w:val="00977EC4"/>
    <w:rsid w:val="00982A0E"/>
    <w:rsid w:val="009877B8"/>
    <w:rsid w:val="00993167"/>
    <w:rsid w:val="009935DF"/>
    <w:rsid w:val="0099478A"/>
    <w:rsid w:val="009A29D9"/>
    <w:rsid w:val="009A7659"/>
    <w:rsid w:val="009B025D"/>
    <w:rsid w:val="009E143D"/>
    <w:rsid w:val="009E1D9C"/>
    <w:rsid w:val="009F4E15"/>
    <w:rsid w:val="00A000C5"/>
    <w:rsid w:val="00A02986"/>
    <w:rsid w:val="00A06523"/>
    <w:rsid w:val="00A17132"/>
    <w:rsid w:val="00A2314F"/>
    <w:rsid w:val="00A252A4"/>
    <w:rsid w:val="00A32508"/>
    <w:rsid w:val="00A3361D"/>
    <w:rsid w:val="00A3442F"/>
    <w:rsid w:val="00A56E49"/>
    <w:rsid w:val="00A61B20"/>
    <w:rsid w:val="00A64517"/>
    <w:rsid w:val="00A65C28"/>
    <w:rsid w:val="00A6607C"/>
    <w:rsid w:val="00A83943"/>
    <w:rsid w:val="00A85E16"/>
    <w:rsid w:val="00AA5837"/>
    <w:rsid w:val="00AB4D4C"/>
    <w:rsid w:val="00AB613F"/>
    <w:rsid w:val="00AC3281"/>
    <w:rsid w:val="00AC4F00"/>
    <w:rsid w:val="00AE08A0"/>
    <w:rsid w:val="00AF5A97"/>
    <w:rsid w:val="00AF7214"/>
    <w:rsid w:val="00B0511A"/>
    <w:rsid w:val="00B14453"/>
    <w:rsid w:val="00B37184"/>
    <w:rsid w:val="00B416E7"/>
    <w:rsid w:val="00B42CEB"/>
    <w:rsid w:val="00B47022"/>
    <w:rsid w:val="00B50852"/>
    <w:rsid w:val="00B548F3"/>
    <w:rsid w:val="00B61C3E"/>
    <w:rsid w:val="00B751B6"/>
    <w:rsid w:val="00B94A67"/>
    <w:rsid w:val="00BA5DA6"/>
    <w:rsid w:val="00BB1311"/>
    <w:rsid w:val="00BC21BB"/>
    <w:rsid w:val="00BD0B7D"/>
    <w:rsid w:val="00BD7834"/>
    <w:rsid w:val="00BE03F5"/>
    <w:rsid w:val="00BE2A8E"/>
    <w:rsid w:val="00BE429F"/>
    <w:rsid w:val="00BE7D2F"/>
    <w:rsid w:val="00C0316E"/>
    <w:rsid w:val="00C04818"/>
    <w:rsid w:val="00C057DE"/>
    <w:rsid w:val="00C22566"/>
    <w:rsid w:val="00C23FD1"/>
    <w:rsid w:val="00C3276C"/>
    <w:rsid w:val="00C40AF7"/>
    <w:rsid w:val="00C61E95"/>
    <w:rsid w:val="00C6460F"/>
    <w:rsid w:val="00C65A9E"/>
    <w:rsid w:val="00C727A4"/>
    <w:rsid w:val="00C73618"/>
    <w:rsid w:val="00C754F6"/>
    <w:rsid w:val="00C869A5"/>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545F"/>
    <w:rsid w:val="00D00B6B"/>
    <w:rsid w:val="00D06227"/>
    <w:rsid w:val="00D066F1"/>
    <w:rsid w:val="00D159FB"/>
    <w:rsid w:val="00D37F28"/>
    <w:rsid w:val="00D405EC"/>
    <w:rsid w:val="00D44A2D"/>
    <w:rsid w:val="00D54CA1"/>
    <w:rsid w:val="00D81272"/>
    <w:rsid w:val="00D83B12"/>
    <w:rsid w:val="00DA2455"/>
    <w:rsid w:val="00DA39D5"/>
    <w:rsid w:val="00DA6127"/>
    <w:rsid w:val="00DD080A"/>
    <w:rsid w:val="00DE7F40"/>
    <w:rsid w:val="00E01AF6"/>
    <w:rsid w:val="00E02AF4"/>
    <w:rsid w:val="00E51C22"/>
    <w:rsid w:val="00E64611"/>
    <w:rsid w:val="00E706C2"/>
    <w:rsid w:val="00E732B3"/>
    <w:rsid w:val="00E87C89"/>
    <w:rsid w:val="00E916DE"/>
    <w:rsid w:val="00EB26E5"/>
    <w:rsid w:val="00EB42FD"/>
    <w:rsid w:val="00EB4F0F"/>
    <w:rsid w:val="00EB52F0"/>
    <w:rsid w:val="00EC72D9"/>
    <w:rsid w:val="00ED0D14"/>
    <w:rsid w:val="00ED10F3"/>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459B6"/>
    <w:rsid w:val="00F5267D"/>
    <w:rsid w:val="00F740EB"/>
    <w:rsid w:val="00FA3353"/>
    <w:rsid w:val="00FA426B"/>
    <w:rsid w:val="00FA5FB6"/>
    <w:rsid w:val="00FB0075"/>
    <w:rsid w:val="00FB1901"/>
    <w:rsid w:val="00FB2B4F"/>
    <w:rsid w:val="00FB79AC"/>
    <w:rsid w:val="00FC5BCC"/>
    <w:rsid w:val="00FC73F0"/>
    <w:rsid w:val="00FD3552"/>
    <w:rsid w:val="00FD538B"/>
    <w:rsid w:val="00FD5C59"/>
    <w:rsid w:val="00FF4A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F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164FD3"/>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39</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34</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40</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25</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17</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37</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33</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41</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42</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36</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43</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44</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45</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31</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24</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46</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3</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21</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32</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18</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19</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20</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22</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23</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35</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4</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30</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26</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27</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29</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28</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10</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47</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48</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49</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50</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51</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52</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9</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53</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54</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55</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56</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57</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58</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11</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12</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1</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13</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2</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16</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15</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14</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38</b:RefOrder>
  </b:Source>
</b:Sources>
</file>

<file path=customXml/itemProps1.xml><?xml version="1.0" encoding="utf-8"?>
<ds:datastoreItem xmlns:ds="http://schemas.openxmlformats.org/officeDocument/2006/customXml" ds:itemID="{3B834A6F-8AB7-4F3E-9D09-55EC4EA2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1556</TotalTime>
  <Pages>16</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65</cp:revision>
  <dcterms:created xsi:type="dcterms:W3CDTF">2019-07-24T17:55:00Z</dcterms:created>
  <dcterms:modified xsi:type="dcterms:W3CDTF">2019-08-17T09:10:00Z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