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Ts miRNA sites for chr1:11856890-11912463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positie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Ts miRNA sites for chr7:5565916-5571096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positie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Ts miRNA sites for chr9:101043363-101060186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positie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Ts miRNA sites for chr11:73880970-73969544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positie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Ts miRNA sites for chr17:7742901-7758320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positie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Ts miRNA sites for chr22:20066607-20100256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positie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