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5A5AA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Besar</w:t>
      </w:r>
      <w:proofErr w:type="spellEnd"/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Rekayasa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Lunak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II</w:t>
      </w:r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Negeri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Batam</w:t>
      </w:r>
      <w:proofErr w:type="spellEnd"/>
    </w:p>
    <w:p w:rsidR="005A5AAD" w:rsidRDefault="005A5A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Hendry Putra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Pratama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(3311811086)</w:t>
      </w:r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Anna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Thresia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(3331181160)</w:t>
      </w:r>
    </w:p>
    <w:p w:rsidR="005A5AAD" w:rsidRDefault="00E734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Ervyl Arwianda (3311811048)</w:t>
      </w:r>
    </w:p>
    <w:p w:rsidR="005A5AAD" w:rsidRDefault="00E734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A5AAD" w:rsidRDefault="00E73484">
      <w:pPr>
        <w:numPr>
          <w:ilvl w:val="0"/>
          <w:numId w:val="1"/>
        </w:numPr>
        <w:tabs>
          <w:tab w:val="clear" w:pos="425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Gambaran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:rsidR="005A5AAD" w:rsidRDefault="00E73484">
      <w:pPr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AIUEO Parking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memarkirkan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</w:t>
      </w:r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memarkirkan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Windows, Mac, Linux, </w:t>
      </w:r>
      <w:proofErr w:type="gramStart"/>
      <w:r>
        <w:rPr>
          <w:rFonts w:ascii="Times New Roman" w:hAnsi="Times New Roman" w:cs="Times New Roman"/>
          <w:sz w:val="24"/>
          <w:szCs w:val="24"/>
        </w:rPr>
        <w:t>iOS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5A5AAD" w:rsidRDefault="005A5AAD">
      <w:pPr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5A5AAD" w:rsidRDefault="00E73484">
      <w:pPr>
        <w:numPr>
          <w:ilvl w:val="0"/>
          <w:numId w:val="1"/>
        </w:numPr>
        <w:tabs>
          <w:tab w:val="clear" w:pos="425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A5AAD">
        <w:trPr>
          <w:trHeight w:val="240"/>
        </w:trPr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(Registered)</w:t>
            </w:r>
          </w:p>
          <w:p w:rsidR="005A5AAD" w:rsidRDefault="00E7348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(Registered)</w:t>
            </w:r>
          </w:p>
          <w:p w:rsidR="005A5AAD" w:rsidRDefault="00E7348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(Registered)</w:t>
            </w:r>
          </w:p>
          <w:p w:rsidR="005A5AAD" w:rsidRDefault="00E7348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 Lain (Unregistered)</w:t>
            </w:r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</w:p>
          <w:p w:rsidR="005A5AAD" w:rsidRDefault="00E7348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(Registered)</w:t>
            </w:r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(Unregistered)</w:t>
            </w:r>
          </w:p>
          <w:p w:rsidR="005A5AAD" w:rsidRDefault="00E7348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card-tapping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(Registered)</w:t>
            </w:r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</w:p>
        </w:tc>
      </w:tr>
    </w:tbl>
    <w:p w:rsidR="005A5AAD" w:rsidRDefault="005A5AAD">
      <w:pPr>
        <w:ind w:firstLine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A5AAD">
        <w:trPr>
          <w:trHeight w:val="240"/>
        </w:trPr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 Case</w:t>
            </w:r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(Registered)</w:t>
            </w:r>
          </w:p>
          <w:p w:rsidR="005A5AAD" w:rsidRDefault="00E7348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(Registered)</w:t>
            </w:r>
          </w:p>
          <w:p w:rsidR="005A5AAD" w:rsidRDefault="00E7348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(Registered)</w:t>
            </w:r>
          </w:p>
          <w:p w:rsidR="005A5AAD" w:rsidRDefault="00E7348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 Lain (Unregistered)</w:t>
            </w:r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</w:p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scan</w:t>
            </w:r>
          </w:p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karcis</w:t>
            </w:r>
            <w:proofErr w:type="spellEnd"/>
          </w:p>
        </w:tc>
      </w:tr>
      <w:tr w:rsidR="005A5AAD"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261" w:type="dxa"/>
          </w:tcPr>
          <w:p w:rsidR="005A5AAD" w:rsidRDefault="00E734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Default="00E73484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:rsidR="005A5AAD" w:rsidRDefault="00E73484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AUIEO Parking System.</w:t>
      </w:r>
    </w:p>
    <w:p w:rsidR="005A5AAD" w:rsidRDefault="005A5AAD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A5AAD" w:rsidRDefault="00E73484" w:rsidP="00E73484">
      <w:pPr>
        <w:numPr>
          <w:ilvl w:val="1"/>
          <w:numId w:val="4"/>
        </w:numPr>
      </w:pPr>
      <w:r w:rsidRPr="00E73484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>
        <w:rPr>
          <w:noProof/>
          <w:lang w:eastAsia="en-US"/>
        </w:rPr>
        <w:drawing>
          <wp:inline distT="0" distB="0" distL="114300" distR="114300">
            <wp:extent cx="5267960" cy="4326890"/>
            <wp:effectExtent l="9525" t="9525" r="18415" b="26035"/>
            <wp:docPr id="2" name="Picture 2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AD" w:rsidRDefault="00E73484">
      <w:r>
        <w:br w:type="page"/>
      </w:r>
    </w:p>
    <w:p w:rsidR="005A5AAD" w:rsidRDefault="00E7348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:rsidR="005A5AAD" w:rsidRDefault="00E73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922645" cy="3903345"/>
            <wp:effectExtent l="0" t="0" r="1905" b="1905"/>
            <wp:docPr id="3" name="Picture 3" descr="Activity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ivity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D" w:rsidRDefault="005A5AAD">
      <w:pPr>
        <w:rPr>
          <w:rFonts w:ascii="Times New Roman" w:hAnsi="Times New Roman" w:cs="Times New Roman"/>
          <w:sz w:val="24"/>
          <w:szCs w:val="24"/>
        </w:rPr>
      </w:pPr>
    </w:p>
    <w:p w:rsidR="005A5AAD" w:rsidRPr="00E73484" w:rsidRDefault="00E73484" w:rsidP="00E7348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484"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4785" cy="4161155"/>
            <wp:effectExtent l="0" t="0" r="12065" b="10795"/>
            <wp:docPr id="4" name="Picture 4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e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D" w:rsidRDefault="00E73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5AAD" w:rsidRDefault="00E7348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5A5AAD" w:rsidRDefault="00E734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3.5pt">
            <v:imagedata r:id="rId9" o:title="ClassDiagram"/>
          </v:shape>
        </w:pict>
      </w:r>
    </w:p>
    <w:sectPr w:rsidR="005A5A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B847BC"/>
    <w:multiLevelType w:val="singleLevel"/>
    <w:tmpl w:val="BAB847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D8B7D9C"/>
    <w:multiLevelType w:val="singleLevel"/>
    <w:tmpl w:val="2D8B7D9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96604DF"/>
    <w:multiLevelType w:val="singleLevel"/>
    <w:tmpl w:val="496604D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E9126AD"/>
    <w:multiLevelType w:val="multilevel"/>
    <w:tmpl w:val="6E9126A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9C260AD"/>
    <w:multiLevelType w:val="singleLevel"/>
    <w:tmpl w:val="79C260A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922BF"/>
    <w:rsid w:val="005A5AAD"/>
    <w:rsid w:val="00E73484"/>
    <w:rsid w:val="1AB6082E"/>
    <w:rsid w:val="1F1D5D63"/>
    <w:rsid w:val="50BC60E9"/>
    <w:rsid w:val="551459F9"/>
    <w:rsid w:val="6A4922BF"/>
    <w:rsid w:val="7E4A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0609A3-C1A3-414A-AE6B-CAA75C9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291</Words>
  <Characters>1665</Characters>
  <Application>Microsoft Office Word</Application>
  <DocSecurity>0</DocSecurity>
  <Lines>13</Lines>
  <Paragraphs>3</Paragraphs>
  <ScaleCrop>false</ScaleCrop>
  <Company>HP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Hendry Putra</dc:creator>
  <cp:lastModifiedBy>Ervyl Arwianda</cp:lastModifiedBy>
  <cp:revision>2</cp:revision>
  <dcterms:created xsi:type="dcterms:W3CDTF">2019-11-08T05:28:00Z</dcterms:created>
  <dcterms:modified xsi:type="dcterms:W3CDTF">2019-11-20T14:51:00Z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