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深圳民生诉求改革：以事项清单锁定分拨责任</w:t>
      </w:r>
    </w:p>
    <w:p>
      <w:pPr>
        <w:spacing w:line="384" w:lineRule="auto"/>
        <w:ind w:firstLine="480"/>
      </w:pPr>
      <w:r>
        <w:t>2022 年以前，深圳的民生诉求分散在数百个渠道里。市民要投诉同一件事，往往得先判断该打哪个电话、找哪个部门；部门职责边界不清，工单在部门之间来回转派的情况并不少见，诉求数据也留在各自系统里，无法归并分析。2022 年 10 月，深圳启动民生诉求综合服务改革，建成「@深圳—民意速办」平台，把分散在各条热线、各个入口的市民诉求汇集到同一处处置。2024 年起，改革又叠加「未诉先办」，处置的起点从市民打来电话，前移到系统在网络平台上发现问题。</w:t>
      </w:r>
    </w:p>
    <w:p>
      <w:pPr>
        <w:spacing w:line="384" w:lineRule="auto"/>
        <w:ind w:firstLine="480"/>
      </w:pPr>
      <w:r>
        <w:t>这次改革调整的是权责关系，统一平台只是承载。具体做法是把「谁办」提前写进规则：全市部门职责被细化为 18 大类 4177 项事项清单，工单产生后依清单直接分拨，一次分拨成功率达 98%。过去分拨依靠受理人员判断和部门之间协商，现在依据一份事先编定、全市共用的清单。与之配套的是四项构件：一个诉求入口、一个信息平台、一项事项清单、一套运行机制，其中清单与机制是权责调整的落点。另一个变化在触发方式，热线等市民打进来，未诉先办则由系统扫描抖音、微博、微信视频号等 42 个网络平台主动找线索，形成「线索发现—内容核实—主动立案—跟踪督办」的闭环，核实后立工单督办。</w:t>
      </w:r>
    </w:p>
    <w:p>
      <w:pPr>
        <w:spacing w:line="384" w:lineRule="auto"/>
        <w:ind w:firstLine="480"/>
      </w:pPr>
      <w:r>
        <w:t>推动这项工作的是市政务服务数据管理局，依托的是全市层面的改革授权。推进顺序大体分三步。第一步清理入口，按「去、改、留」三类办法处置存量渠道，把全市 557 个民生诉求渠道压缩为 23 个；12345 热线保留下来，成为 23 个入口之一，从独立系统变成统一平台的接入端。第二步搭平台、定规则，107 家单位、6.4 万名用户接入同一平台受理办理，同时编制事项清单，把部门职责逐条落成可分拨的条目。第三步是 2024 年的未诉先办，把网络平台的信息收集、核实、立案、督办串成闭环。前两步解决的是诉求进来以后怎么办，第三步解决的是没人投诉时谁来发现。难点集中在第二步：清单要由各部门确认自身职责，部门有把边界写窄的倾向；工单归属出现争议时也需要有人裁决，这正是牵头单位权威起作用的地方。</w:t>
      </w:r>
    </w:p>
    <w:p>
      <w:pPr>
        <w:spacing w:line="384" w:lineRule="auto"/>
        <w:ind w:firstLine="480"/>
      </w:pPr>
      <w:r>
        <w:t>可观察的变化有几个。渠道从 557 个减到 23 个，市民不再需要判断该走哪个入口。按清单分拨后，一次分拨成功率达到 98%，工单在部门之间往返的情况明显减少。未诉先办累计监测线索 17 万条，核实后主动形成工单 5000 余件。个案层面，一位被称为「卷尺哥」的市民反复反映市政设施问题，多数在数日内得到处理，个别当天解决。</w:t>
      </w:r>
    </w:p>
    <w:p>
      <w:pPr>
        <w:spacing w:line="384" w:lineRule="auto"/>
        <w:ind w:firstLine="480"/>
      </w:pPr>
      <w:r>
        <w:t>可以搬走的是三项：入口整合、职责清单、统一流程闭环，这三项与城市规模无关，市级层面即可推动，任何地级市都能编出自己的事项清单；未诉先办的闭环结构同样可以照搬，成本主要是人力和平台运维。搬起来困难的有四处。一是跨部门裁决权，清单由谁编、争议工单由谁定，取决于牵头单位在市级层面的权威，部门话语权较弱的地方，清单容易变成各部门自报职责的汇总，分拨成功率上不去。二是平台底座，百余家单位、数万用户在同一平台办理，背后是统一的数据底座和持续的运维投入，并非一次性上线就能维持。三是全网线索监测，对 42 个网络平台做信息收集分析，涉及数据获取的合规边界与舆情敏感度，各地可操作空间差别较大。四是规模效应，深圳管理人口超 2000 万、商事主体超 400 万，工单量足以支撑同类问题的归并，人口规模较小的城市样本稀疏，归并的统计基础不足。别的城市读这个案例，需要先分清哪一段是机制设计，哪一段依赖特定条件。</w:t>
      </w:r>
    </w:p>
    <w:p>
      <w:pPr>
        <w:spacing w:line="384" w:lineRule="auto"/>
        <w:ind w:firstLine="480"/>
      </w:pPr>
      <w:r>
        <w:t>事项清单如何编制、部门之间对工单归属发生争议时由谁裁决，公开材料交代得很少，而这两处恰是权责调整的实质所在。分拨成功率等数据来自单一报道，未见更多来源印证。结论目前只能停在深圳这一个案。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6c8e9030c9d711f192d82b3d12d82a3d" pid="2" fmtid="{D5CDD505-2E9C-101B-9397-08002B2CF9AE}">
    <vt:lpwstr>CWMKijg9JwTpxTN6bg2x4hkDTiOk1isJsATyouV9vlrBlEBV8Ny7ZCrbf3+sAFSd+dJIM/lY+9HyBdU0UQ+G21LTA==</vt:lpwstr>
  </property>
</Properties>
</file>