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生源变动与义务教育经费的长期演进</w:t>
      </w:r>
    </w:p>
    <w:p>
      <w:pPr>
        <w:pStyle w:val="Subtitle"/>
      </w:pPr>
      <w:r>
        <w:t>1995—2024年最终研究报告  数据核准与历史描述及定量拓展  2026年10月11日</w:t>
      </w:r>
    </w:p>
    <w:p>
      <w:pPr>
        <w:pStyle w:val="Heading1"/>
      </w:pPr>
      <w:r>
        <w:t>摘要</w:t>
      </w:r>
    </w:p>
    <w:p>
      <w:pPr>
        <w:jc w:val="both"/>
      </w:pPr>
      <w:r>
        <w:t>本报告围绕一个问题展开：在生源规模反复变化和财政保障持续扩展的过程中，义务教育经费如何在总量、来源与支出项目之间调整？研究主体为1995—2024年普通小学和初中；1994年仅作条件估算补充。资料来自用户提供的教育统计、教育经费、财政和综合统计年鉴，以及已核准的官方来源。</w:t>
      </w:r>
    </w:p>
    <w:p>
      <w:pPr>
        <w:jc w:val="both"/>
      </w:pPr>
      <w:r>
        <w:t>三十年描述显示，两学段的生源转折并不同步，财政性经费名义金额总体扩张；全国财政性收入占比下降，部分来自举办者收入权重改变。地方隶属学校个人与公用支出合计继续实际增长，但后期增速放缓，局部地区公用支出累计实际下降。总量扩张、比例下降与局部收缩可以同时出现。</w:t>
      </w:r>
    </w:p>
    <w:p>
      <w:pPr>
        <w:jc w:val="both"/>
      </w:pPr>
      <w:r>
        <w:t>在2008—2023年每学段472条完整省年中，初中公用相对个人支出的学生响应差为0.601，四项检验Holm校正p＝0.0144；小学同方向，校正p＝0.0879。将项目进一步拆开，商品服务相对工资福利的学生响应差为0.766（小学）和0.506（初中），该轮四项校正p分别为0.0008、0.0033。结果支持可连接窗口中不同支出项目的条件关联存在差异。</w:t>
      </w:r>
    </w:p>
    <w:p>
      <w:pPr>
        <w:jc w:val="both"/>
      </w:pPr>
      <w:r>
        <w:t>教师、班级和中央补助的解释性拓展均未通过各自四项检验族的5%校正阈值。补助共同样本中，84条自身收入实际下降记录有60条的自身收入与中央补助合计未下降；这是预算背景的并存现象。初中2019—2023年分段结果精度不足，不能将全窗口关联概括为每个时期都稳定的规律。</w:t>
      </w:r>
    </w:p>
    <w:p>
      <w:pPr>
        <w:jc w:val="both"/>
      </w:pPr>
      <w:r>
        <w:t>研究没有统一桥接三十年的全部学校、资金和统计口径，回归为自适应探索；固定效应、聚类自助及数据回读均不构成因果识别。报告因此分别给出历史事实、构成分解、条件关联和尚待验证的机制解释，不推断政策净效应、支出效率或最优资源配置。</w:t>
      </w:r>
    </w:p>
    <w:p>
      <w:pPr>
        <w:pStyle w:val="Caption"/>
        <w:keepNext/>
      </w:pPr>
      <w:r>
        <w:t>表1  主要结论的证据层次</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证据层次</w:t>
            </w:r>
          </w:p>
        </w:tc>
        <w:tc>
          <w:tcPr>
            <w:tcW w:type="dxa" w:w="3264"/>
            <w:shd w:fill="EAEAEA"/>
          </w:tcPr>
          <w:p>
            <w:pPr>
              <w:spacing w:before="80" w:after="80"/>
              <w:jc w:val="center"/>
            </w:pPr>
            <w:r>
              <w:rPr>
                <w:rFonts w:ascii="宋体" w:hAnsi="宋体" w:eastAsia="宋体"/>
                <w:sz w:val="18"/>
              </w:rPr>
              <w:t>本报告能够回答的问题</w:t>
            </w:r>
          </w:p>
        </w:tc>
        <w:tc>
          <w:tcPr>
            <w:tcW w:type="dxa" w:w="3264"/>
            <w:shd w:fill="EAEAEA"/>
          </w:tcPr>
          <w:p>
            <w:pPr>
              <w:spacing w:before="80" w:after="80"/>
              <w:jc w:val="center"/>
            </w:pPr>
            <w:r>
              <w:rPr>
                <w:rFonts w:ascii="宋体" w:hAnsi="宋体" w:eastAsia="宋体"/>
                <w:sz w:val="18"/>
              </w:rPr>
              <w:t>主要限制</w:t>
            </w:r>
          </w:p>
        </w:tc>
      </w:tr>
      <w:tr>
        <w:trPr>
          <w:cantSplit/>
        </w:trPr>
        <w:tc>
          <w:tcPr>
            <w:tcW w:type="dxa" w:w="3264"/>
          </w:tcPr>
          <w:p>
            <w:pPr>
              <w:spacing w:before="80" w:after="80"/>
              <w:jc w:val="center"/>
            </w:pPr>
            <w:r>
              <w:rPr>
                <w:rFonts w:ascii="宋体" w:hAnsi="宋体" w:eastAsia="宋体"/>
                <w:sz w:val="18"/>
              </w:rPr>
              <w:t>长期描述</w:t>
            </w:r>
          </w:p>
        </w:tc>
        <w:tc>
          <w:tcPr>
            <w:tcW w:type="dxa" w:w="3264"/>
          </w:tcPr>
          <w:p>
            <w:pPr>
              <w:spacing w:before="80" w:after="80"/>
              <w:jc w:val="center"/>
            </w:pPr>
            <w:r>
              <w:rPr>
                <w:rFonts w:ascii="宋体" w:hAnsi="宋体" w:eastAsia="宋体"/>
                <w:sz w:val="18"/>
              </w:rPr>
              <w:t>生源、资金来源和支出结构怎样演进</w:t>
            </w:r>
          </w:p>
        </w:tc>
        <w:tc>
          <w:tcPr>
            <w:tcW w:type="dxa" w:w="3264"/>
          </w:tcPr>
          <w:p>
            <w:pPr>
              <w:spacing w:before="80" w:after="80"/>
              <w:jc w:val="center"/>
            </w:pPr>
            <w:r>
              <w:rPr>
                <w:rFonts w:ascii="宋体" w:hAnsi="宋体" w:eastAsia="宋体"/>
                <w:sz w:val="18"/>
              </w:rPr>
              <w:t>保留分类和收支边界</w:t>
            </w:r>
          </w:p>
        </w:tc>
      </w:tr>
      <w:tr>
        <w:trPr>
          <w:cantSplit/>
        </w:trPr>
        <w:tc>
          <w:tcPr>
            <w:tcW w:type="dxa" w:w="3264"/>
          </w:tcPr>
          <w:p>
            <w:pPr>
              <w:spacing w:before="80" w:after="80"/>
              <w:jc w:val="center"/>
            </w:pPr>
            <w:r>
              <w:rPr>
                <w:rFonts w:ascii="宋体" w:hAnsi="宋体" w:eastAsia="宋体"/>
                <w:sz w:val="18"/>
              </w:rPr>
              <w:t>恒等式分解</w:t>
            </w:r>
          </w:p>
        </w:tc>
        <w:tc>
          <w:tcPr>
            <w:tcW w:type="dxa" w:w="3264"/>
          </w:tcPr>
          <w:p>
            <w:pPr>
              <w:spacing w:before="80" w:after="80"/>
              <w:jc w:val="center"/>
            </w:pPr>
            <w:r>
              <w:rPr>
                <w:rFonts w:ascii="宋体" w:hAnsi="宋体" w:eastAsia="宋体"/>
                <w:sz w:val="18"/>
              </w:rPr>
              <w:t>全国占比及分项增长来自哪些账面组成</w:t>
            </w:r>
          </w:p>
        </w:tc>
        <w:tc>
          <w:tcPr>
            <w:tcW w:type="dxa" w:w="3264"/>
          </w:tcPr>
          <w:p>
            <w:pPr>
              <w:spacing w:before="80" w:after="80"/>
              <w:jc w:val="center"/>
            </w:pPr>
            <w:r>
              <w:rPr>
                <w:rFonts w:ascii="宋体" w:hAnsi="宋体" w:eastAsia="宋体"/>
                <w:sz w:val="18"/>
              </w:rPr>
              <w:t>不能解释政策因果贡献</w:t>
            </w:r>
          </w:p>
        </w:tc>
      </w:tr>
      <w:tr>
        <w:trPr>
          <w:cantSplit/>
        </w:trPr>
        <w:tc>
          <w:tcPr>
            <w:tcW w:type="dxa" w:w="3264"/>
          </w:tcPr>
          <w:p>
            <w:pPr>
              <w:spacing w:before="80" w:after="80"/>
              <w:jc w:val="center"/>
            </w:pPr>
            <w:r>
              <w:rPr>
                <w:rFonts w:ascii="宋体" w:hAnsi="宋体" w:eastAsia="宋体"/>
                <w:sz w:val="18"/>
              </w:rPr>
              <w:t>条件关联</w:t>
            </w:r>
          </w:p>
        </w:tc>
        <w:tc>
          <w:tcPr>
            <w:tcW w:type="dxa" w:w="3264"/>
          </w:tcPr>
          <w:p>
            <w:pPr>
              <w:spacing w:before="80" w:after="80"/>
              <w:jc w:val="center"/>
            </w:pPr>
            <w:r>
              <w:rPr>
                <w:rFonts w:ascii="宋体" w:hAnsi="宋体" w:eastAsia="宋体"/>
                <w:sz w:val="18"/>
              </w:rPr>
              <w:t>不同项目与生源、收入变化是否关联不同</w:t>
            </w:r>
          </w:p>
        </w:tc>
        <w:tc>
          <w:tcPr>
            <w:tcW w:type="dxa" w:w="3264"/>
          </w:tcPr>
          <w:p>
            <w:pPr>
              <w:spacing w:before="80" w:after="80"/>
              <w:jc w:val="center"/>
            </w:pPr>
            <w:r>
              <w:rPr>
                <w:rFonts w:ascii="宋体" w:hAnsi="宋体" w:eastAsia="宋体"/>
                <w:sz w:val="18"/>
              </w:rPr>
              <w:t>较短窗口且范围未完全桥接</w:t>
            </w:r>
          </w:p>
        </w:tc>
      </w:tr>
      <w:tr>
        <w:trPr>
          <w:cantSplit/>
        </w:trPr>
        <w:tc>
          <w:tcPr>
            <w:tcW w:type="dxa" w:w="3264"/>
          </w:tcPr>
          <w:p>
            <w:pPr>
              <w:spacing w:before="80" w:after="80"/>
              <w:jc w:val="center"/>
            </w:pPr>
            <w:r>
              <w:rPr>
                <w:rFonts w:ascii="宋体" w:hAnsi="宋体" w:eastAsia="宋体"/>
                <w:sz w:val="18"/>
              </w:rPr>
              <w:t>机制线索</w:t>
            </w:r>
          </w:p>
        </w:tc>
        <w:tc>
          <w:tcPr>
            <w:tcW w:type="dxa" w:w="3264"/>
          </w:tcPr>
          <w:p>
            <w:pPr>
              <w:spacing w:before="80" w:after="80"/>
              <w:jc w:val="center"/>
            </w:pPr>
            <w:r>
              <w:rPr>
                <w:rFonts w:ascii="宋体" w:hAnsi="宋体" w:eastAsia="宋体"/>
                <w:sz w:val="18"/>
              </w:rPr>
              <w:t>资源存量与补助是否提供独立解释</w:t>
            </w:r>
          </w:p>
        </w:tc>
        <w:tc>
          <w:tcPr>
            <w:tcW w:type="dxa" w:w="3264"/>
          </w:tcPr>
          <w:p>
            <w:pPr>
              <w:spacing w:before="80" w:after="80"/>
              <w:jc w:val="center"/>
            </w:pPr>
            <w:r>
              <w:rPr>
                <w:rFonts w:ascii="宋体" w:hAnsi="宋体" w:eastAsia="宋体"/>
                <w:sz w:val="18"/>
              </w:rPr>
              <w:t>内生性及估计精度限制</w:t>
            </w:r>
          </w:p>
        </w:tc>
      </w:tr>
    </w:tbl>
    <w:p>
      <w:pPr>
        <w:spacing w:after="20"/>
      </w:pPr>
    </w:p>
    <w:p>
      <w:pPr>
        <w:jc w:val="both"/>
      </w:pPr>
      <w:r>
        <w:rPr>
          <w:sz w:val="18"/>
        </w:rPr>
        <w:t>阅读顺序为问题与数据、方法、三十年历史、全样本响应、办学资源与支出细项、财政补助、综合判断及方法附录。早期H1/H2及1994年估算单列，保留不利结果和未解决的来源差异。</w:t>
      </w:r>
    </w:p>
    <w:p>
      <w:r>
        <w:br w:type="page"/>
      </w:r>
    </w:p>
    <w:p>
      <w:pPr>
        <w:pStyle w:val="Heading1"/>
      </w:pPr>
      <w:r>
        <w:t>一 研究问题与分析逻辑</w:t>
      </w:r>
    </w:p>
    <w:p>
      <w:pPr>
        <w:jc w:val="both"/>
      </w:pPr>
      <w:r>
        <w:t>学生减少而教育经费增长，不能单独说明配置失当；经费占比下降也不能直接说明保障削弱。义务教育同时面对学段需求变化、学校和人员存量、项目支出以及多来源资金保障。研究需要解释这些维度为何不同步，并辨别全国趋势是否掩盖项目和地区的调整差异。</w:t>
      </w:r>
    </w:p>
    <w:p>
      <w:pPr>
        <w:jc w:val="both"/>
      </w:pPr>
      <w:r>
        <w:t>已有研究提供了两组相关线索。梁文艳等关注人口增减分化地区的师资需求预测；陈坤、秦玉友强调师资预警、供给与调配中的组织约束。李涛、黄嘉欣在乡村小规模学校研究中揭示校产、师资和学校规模调整的困难。蔺海沣、马玲的元分析则提示人口结构与公共教育支出关系存在样本、时期和统计方法差异。[5—8] 这些成果支持考察制度与存量约束，但不能替代本研究的财务数据，也不能直接证明省级支出差异的机制。</w:t>
      </w:r>
    </w:p>
    <w:p>
      <w:pPr>
        <w:jc w:val="both"/>
      </w:pPr>
      <w:r>
        <w:t>本报告的具体增量是将同一研究问题依次放入长期历史、收入构成、支出差异和竞争解释中。研究早期以“持续生源下降叠加自身收入收缩”为条件检验内部调整，结果受财政收缩观察稀疏和收入定义变化限制。之后扩展到全部完整省年，再拆分工资福利、商品服务等细项，以减少宽泛分类对解释的遮蔽。</w:t>
      </w:r>
    </w:p>
    <w:p>
      <w:pPr>
        <w:pStyle w:val="Caption"/>
        <w:keepNext/>
      </w:pPr>
      <w:r>
        <w:t>表2  从描述推进到解释研究的逻辑</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分析环节</w:t>
            </w:r>
          </w:p>
        </w:tc>
        <w:tc>
          <w:tcPr>
            <w:tcW w:type="dxa" w:w="3264"/>
            <w:shd w:fill="EAEAEA"/>
          </w:tcPr>
          <w:p>
            <w:pPr>
              <w:spacing w:before="80" w:after="80"/>
              <w:jc w:val="center"/>
            </w:pPr>
            <w:r>
              <w:rPr>
                <w:rFonts w:ascii="宋体" w:hAnsi="宋体" w:eastAsia="宋体"/>
                <w:sz w:val="18"/>
              </w:rPr>
              <w:t>所解决的问题</w:t>
            </w:r>
          </w:p>
        </w:tc>
        <w:tc>
          <w:tcPr>
            <w:tcW w:type="dxa" w:w="3264"/>
            <w:shd w:fill="EAEAEA"/>
          </w:tcPr>
          <w:p>
            <w:pPr>
              <w:spacing w:before="80" w:after="80"/>
              <w:jc w:val="center"/>
            </w:pPr>
            <w:r>
              <w:rPr>
                <w:rFonts w:ascii="宋体" w:hAnsi="宋体" w:eastAsia="宋体"/>
                <w:sz w:val="18"/>
              </w:rPr>
              <w:t>对下一环节的约束</w:t>
            </w:r>
          </w:p>
        </w:tc>
      </w:tr>
      <w:tr>
        <w:trPr>
          <w:cantSplit/>
        </w:trPr>
        <w:tc>
          <w:tcPr>
            <w:tcW w:type="dxa" w:w="3264"/>
          </w:tcPr>
          <w:p>
            <w:pPr>
              <w:spacing w:before="80" w:after="80"/>
              <w:jc w:val="center"/>
            </w:pPr>
            <w:r>
              <w:rPr>
                <w:rFonts w:ascii="宋体" w:hAnsi="宋体" w:eastAsia="宋体"/>
                <w:sz w:val="18"/>
              </w:rPr>
              <w:t>长期历史</w:t>
            </w:r>
          </w:p>
        </w:tc>
        <w:tc>
          <w:tcPr>
            <w:tcW w:type="dxa" w:w="3264"/>
          </w:tcPr>
          <w:p>
            <w:pPr>
              <w:spacing w:before="80" w:after="80"/>
              <w:jc w:val="center"/>
            </w:pPr>
            <w:r>
              <w:rPr>
                <w:rFonts w:ascii="宋体" w:hAnsi="宋体" w:eastAsia="宋体"/>
                <w:sz w:val="18"/>
              </w:rPr>
              <w:t>变化是否反复、是否存在学段和时期错位</w:t>
            </w:r>
          </w:p>
        </w:tc>
        <w:tc>
          <w:tcPr>
            <w:tcW w:type="dxa" w:w="3264"/>
          </w:tcPr>
          <w:p>
            <w:pPr>
              <w:spacing w:before="80" w:after="80"/>
              <w:jc w:val="center"/>
            </w:pPr>
            <w:r>
              <w:rPr>
                <w:rFonts w:ascii="宋体" w:hAnsi="宋体" w:eastAsia="宋体"/>
                <w:sz w:val="18"/>
              </w:rPr>
              <w:t>不能只围绕最新下降年份</w:t>
            </w:r>
          </w:p>
        </w:tc>
      </w:tr>
      <w:tr>
        <w:trPr>
          <w:cantSplit/>
        </w:trPr>
        <w:tc>
          <w:tcPr>
            <w:tcW w:type="dxa" w:w="3264"/>
          </w:tcPr>
          <w:p>
            <w:pPr>
              <w:spacing w:before="80" w:after="80"/>
              <w:jc w:val="center"/>
            </w:pPr>
            <w:r>
              <w:rPr>
                <w:rFonts w:ascii="宋体" w:hAnsi="宋体" w:eastAsia="宋体"/>
                <w:sz w:val="18"/>
              </w:rPr>
              <w:t>收入与地区分解</w:t>
            </w:r>
          </w:p>
        </w:tc>
        <w:tc>
          <w:tcPr>
            <w:tcW w:type="dxa" w:w="3264"/>
          </w:tcPr>
          <w:p>
            <w:pPr>
              <w:spacing w:before="80" w:after="80"/>
              <w:jc w:val="center"/>
            </w:pPr>
            <w:r>
              <w:rPr>
                <w:rFonts w:ascii="宋体" w:hAnsi="宋体" w:eastAsia="宋体"/>
                <w:sz w:val="18"/>
              </w:rPr>
              <w:t>比例下降、增速放缓来自何种构成</w:t>
            </w:r>
          </w:p>
        </w:tc>
        <w:tc>
          <w:tcPr>
            <w:tcW w:type="dxa" w:w="3264"/>
          </w:tcPr>
          <w:p>
            <w:pPr>
              <w:spacing w:before="80" w:after="80"/>
              <w:jc w:val="center"/>
            </w:pPr>
            <w:r>
              <w:rPr>
                <w:rFonts w:ascii="宋体" w:hAnsi="宋体" w:eastAsia="宋体"/>
                <w:sz w:val="18"/>
              </w:rPr>
              <w:t>区分金额、权重、增长和下降</w:t>
            </w:r>
          </w:p>
        </w:tc>
      </w:tr>
      <w:tr>
        <w:trPr>
          <w:cantSplit/>
        </w:trPr>
        <w:tc>
          <w:tcPr>
            <w:tcW w:type="dxa" w:w="3264"/>
          </w:tcPr>
          <w:p>
            <w:pPr>
              <w:spacing w:before="80" w:after="80"/>
              <w:jc w:val="center"/>
            </w:pPr>
            <w:r>
              <w:rPr>
                <w:rFonts w:ascii="宋体" w:hAnsi="宋体" w:eastAsia="宋体"/>
                <w:sz w:val="18"/>
              </w:rPr>
              <w:t>早期收缩假设</w:t>
            </w:r>
          </w:p>
        </w:tc>
        <w:tc>
          <w:tcPr>
            <w:tcW w:type="dxa" w:w="3264"/>
          </w:tcPr>
          <w:p>
            <w:pPr>
              <w:spacing w:before="80" w:after="80"/>
              <w:jc w:val="center"/>
            </w:pPr>
            <w:r>
              <w:rPr>
                <w:rFonts w:ascii="宋体" w:hAnsi="宋体" w:eastAsia="宋体"/>
                <w:sz w:val="18"/>
              </w:rPr>
              <w:t>双重收缩及阶段交互是否获支持</w:t>
            </w:r>
          </w:p>
        </w:tc>
        <w:tc>
          <w:tcPr>
            <w:tcW w:type="dxa" w:w="3264"/>
          </w:tcPr>
          <w:p>
            <w:pPr>
              <w:spacing w:before="80" w:after="80"/>
              <w:jc w:val="center"/>
            </w:pPr>
            <w:r>
              <w:rPr>
                <w:rFonts w:ascii="宋体" w:hAnsi="宋体" w:eastAsia="宋体"/>
                <w:sz w:val="18"/>
              </w:rPr>
              <w:t>保留弱证据，避免稀疏样本过度解释</w:t>
            </w:r>
          </w:p>
        </w:tc>
      </w:tr>
      <w:tr>
        <w:trPr>
          <w:cantSplit/>
        </w:trPr>
        <w:tc>
          <w:tcPr>
            <w:tcW w:type="dxa" w:w="3264"/>
          </w:tcPr>
          <w:p>
            <w:pPr>
              <w:spacing w:before="80" w:after="80"/>
              <w:jc w:val="center"/>
            </w:pPr>
            <w:r>
              <w:rPr>
                <w:rFonts w:ascii="宋体" w:hAnsi="宋体" w:eastAsia="宋体"/>
                <w:sz w:val="18"/>
              </w:rPr>
              <w:t>全样本直接差异</w:t>
            </w:r>
          </w:p>
        </w:tc>
        <w:tc>
          <w:tcPr>
            <w:tcW w:type="dxa" w:w="3264"/>
          </w:tcPr>
          <w:p>
            <w:pPr>
              <w:spacing w:before="80" w:after="80"/>
              <w:jc w:val="center"/>
            </w:pPr>
            <w:r>
              <w:rPr>
                <w:rFonts w:ascii="宋体" w:hAnsi="宋体" w:eastAsia="宋体"/>
                <w:sz w:val="18"/>
              </w:rPr>
              <w:t>个人与公用是否具有不同条件响应</w:t>
            </w:r>
          </w:p>
        </w:tc>
        <w:tc>
          <w:tcPr>
            <w:tcW w:type="dxa" w:w="3264"/>
          </w:tcPr>
          <w:p>
            <w:pPr>
              <w:spacing w:before="80" w:after="80"/>
              <w:jc w:val="center"/>
            </w:pPr>
            <w:r>
              <w:rPr>
                <w:rFonts w:ascii="宋体" w:hAnsi="宋体" w:eastAsia="宋体"/>
                <w:sz w:val="18"/>
              </w:rPr>
              <w:t>差异必须直接检验</w:t>
            </w:r>
          </w:p>
        </w:tc>
      </w:tr>
      <w:tr>
        <w:trPr>
          <w:cantSplit/>
        </w:trPr>
        <w:tc>
          <w:tcPr>
            <w:tcW w:type="dxa" w:w="3264"/>
          </w:tcPr>
          <w:p>
            <w:pPr>
              <w:spacing w:before="80" w:after="80"/>
              <w:jc w:val="center"/>
            </w:pPr>
            <w:r>
              <w:rPr>
                <w:rFonts w:ascii="宋体" w:hAnsi="宋体" w:eastAsia="宋体"/>
                <w:sz w:val="18"/>
              </w:rPr>
              <w:t>办学资源与细项</w:t>
            </w:r>
          </w:p>
        </w:tc>
        <w:tc>
          <w:tcPr>
            <w:tcW w:type="dxa" w:w="3264"/>
          </w:tcPr>
          <w:p>
            <w:pPr>
              <w:spacing w:before="80" w:after="80"/>
              <w:jc w:val="center"/>
            </w:pPr>
            <w:r>
              <w:rPr>
                <w:rFonts w:ascii="宋体" w:hAnsi="宋体" w:eastAsia="宋体"/>
                <w:sz w:val="18"/>
              </w:rPr>
              <w:t>教师班级或项目构成能否收窄解释</w:t>
            </w:r>
          </w:p>
        </w:tc>
        <w:tc>
          <w:tcPr>
            <w:tcW w:type="dxa" w:w="3264"/>
          </w:tcPr>
          <w:p>
            <w:pPr>
              <w:spacing w:before="80" w:after="80"/>
              <w:jc w:val="center"/>
            </w:pPr>
            <w:r>
              <w:rPr>
                <w:rFonts w:ascii="宋体" w:hAnsi="宋体" w:eastAsia="宋体"/>
                <w:sz w:val="18"/>
              </w:rPr>
              <w:t>区分样本改变与变量进入</w:t>
            </w:r>
          </w:p>
        </w:tc>
      </w:tr>
      <w:tr>
        <w:trPr>
          <w:cantSplit/>
        </w:trPr>
        <w:tc>
          <w:tcPr>
            <w:tcW w:type="dxa" w:w="3264"/>
          </w:tcPr>
          <w:p>
            <w:pPr>
              <w:spacing w:before="80" w:after="80"/>
              <w:jc w:val="center"/>
            </w:pPr>
            <w:r>
              <w:rPr>
                <w:rFonts w:ascii="宋体" w:hAnsi="宋体" w:eastAsia="宋体"/>
                <w:sz w:val="18"/>
              </w:rPr>
              <w:t>补助与时期核查</w:t>
            </w:r>
          </w:p>
        </w:tc>
        <w:tc>
          <w:tcPr>
            <w:tcW w:type="dxa" w:w="3264"/>
          </w:tcPr>
          <w:p>
            <w:pPr>
              <w:spacing w:before="80" w:after="80"/>
              <w:jc w:val="center"/>
            </w:pPr>
            <w:r>
              <w:rPr>
                <w:rFonts w:ascii="宋体" w:hAnsi="宋体" w:eastAsia="宋体"/>
                <w:sz w:val="18"/>
              </w:rPr>
              <w:t>自身收入是否足以代表财政背景</w:t>
            </w:r>
          </w:p>
        </w:tc>
        <w:tc>
          <w:tcPr>
            <w:tcW w:type="dxa" w:w="3264"/>
          </w:tcPr>
          <w:p>
            <w:pPr>
              <w:spacing w:before="80" w:after="80"/>
              <w:jc w:val="center"/>
            </w:pPr>
            <w:r>
              <w:rPr>
                <w:rFonts w:ascii="宋体" w:hAnsi="宋体" w:eastAsia="宋体"/>
                <w:sz w:val="18"/>
              </w:rPr>
              <w:t>保留内生性和历史阶段限制</w:t>
            </w:r>
          </w:p>
        </w:tc>
      </w:tr>
    </w:tbl>
    <w:p>
      <w:pPr>
        <w:spacing w:after="20"/>
      </w:pPr>
    </w:p>
    <w:p>
      <w:pPr>
        <w:jc w:val="both"/>
      </w:pPr>
      <w:r>
        <w:t>核心判断依据证据逐步收窄：总量保障与内部项目调整可以并存；在可连接的2008—2023年窗口，商品服务与工资福利的生源响应不同；人员制度、组织刚性和补助缓冲仍属于需要独立材料验证的解释。研究不以旧假设成立为继续的前提，也不将新增显著结果视为旧假设被验证。</w:t>
      </w:r>
    </w:p>
    <w:p>
      <w:r>
        <w:br w:type="page"/>
      </w:r>
    </w:p>
    <w:p>
      <w:pPr>
        <w:pStyle w:val="Heading1"/>
      </w:pPr>
      <w:r>
        <w:t>二 数据来源与比较范围</w:t>
      </w:r>
    </w:p>
    <w:p>
      <w:pPr>
        <w:jc w:val="both"/>
      </w:pPr>
      <w:r>
        <w:t>研究单位为省级地区×学段×实际数据年。内地31个省级地区包括省、自治区和直辖市；全国行只用于历史总览，不与分省行混作独立观测。教育经费年鉴1996—2025年卷对应的实际年份分别登记，不能把卷年直接当成数据年。[1—4]</w:t>
      </w:r>
    </w:p>
    <w:p>
      <w:pPr>
        <w:pStyle w:val="Caption"/>
        <w:keepNext/>
      </w:pPr>
      <w:r>
        <w:t>表3  数据系列及其分析范围</w:t>
      </w:r>
    </w:p>
    <w:tbl>
      <w:tblPr>
        <w:tblW w:type="auto" w:w="0"/>
        <w:tblLayout w:type="fixed"/>
        <w:tblLook w:firstColumn="1" w:firstRow="1" w:lastColumn="0" w:lastRow="0" w:noHBand="0" w:noVBand="1" w:val="04A0"/>
      </w:tblPr>
      <w:tblGrid>
        <w:gridCol w:w="2484"/>
        <w:gridCol w:w="2484"/>
        <w:gridCol w:w="2484"/>
        <w:gridCol w:w="2484"/>
      </w:tblGrid>
      <w:tr>
        <w:trPr>
          <w:cantSplit/>
        </w:trPr>
        <w:tc>
          <w:tcPr>
            <w:tcW w:type="dxa" w:w="2448"/>
            <w:shd w:fill="EAEAEA"/>
          </w:tcPr>
          <w:p>
            <w:pPr>
              <w:spacing w:before="80" w:after="80"/>
              <w:jc w:val="center"/>
            </w:pPr>
            <w:r>
              <w:rPr>
                <w:rFonts w:ascii="宋体" w:hAnsi="宋体" w:eastAsia="宋体"/>
                <w:sz w:val="18"/>
              </w:rPr>
              <w:t>资料或指标</w:t>
            </w:r>
          </w:p>
        </w:tc>
        <w:tc>
          <w:tcPr>
            <w:tcW w:type="dxa" w:w="2448"/>
            <w:shd w:fill="EAEAEA"/>
          </w:tcPr>
          <w:p>
            <w:pPr>
              <w:spacing w:before="80" w:after="80"/>
              <w:jc w:val="center"/>
            </w:pPr>
            <w:r>
              <w:rPr>
                <w:rFonts w:ascii="宋体" w:hAnsi="宋体" w:eastAsia="宋体"/>
                <w:sz w:val="18"/>
              </w:rPr>
              <w:t>统计对象</w:t>
            </w:r>
          </w:p>
        </w:tc>
        <w:tc>
          <w:tcPr>
            <w:tcW w:type="dxa" w:w="2448"/>
            <w:shd w:fill="EAEAEA"/>
          </w:tcPr>
          <w:p>
            <w:pPr>
              <w:spacing w:before="80" w:after="80"/>
              <w:jc w:val="center"/>
            </w:pPr>
            <w:r>
              <w:rPr>
                <w:rFonts w:ascii="宋体" w:hAnsi="宋体" w:eastAsia="宋体"/>
                <w:sz w:val="18"/>
              </w:rPr>
              <w:t>使用窗口</w:t>
            </w:r>
          </w:p>
        </w:tc>
        <w:tc>
          <w:tcPr>
            <w:tcW w:type="dxa" w:w="2448"/>
            <w:shd w:fill="EAEAEA"/>
          </w:tcPr>
          <w:p>
            <w:pPr>
              <w:spacing w:before="80" w:after="80"/>
              <w:jc w:val="center"/>
            </w:pPr>
            <w:r>
              <w:rPr>
                <w:rFonts w:ascii="宋体" w:hAnsi="宋体" w:eastAsia="宋体"/>
                <w:sz w:val="18"/>
              </w:rPr>
              <w:t>主要用途</w:t>
            </w:r>
          </w:p>
        </w:tc>
      </w:tr>
      <w:tr>
        <w:trPr>
          <w:cantSplit/>
        </w:trPr>
        <w:tc>
          <w:tcPr>
            <w:tcW w:type="dxa" w:w="2448"/>
          </w:tcPr>
          <w:p>
            <w:pPr>
              <w:spacing w:before="80" w:after="80"/>
              <w:jc w:val="center"/>
            </w:pPr>
            <w:r>
              <w:rPr>
                <w:rFonts w:ascii="宋体" w:hAnsi="宋体" w:eastAsia="宋体"/>
                <w:sz w:val="18"/>
              </w:rPr>
              <w:t>在校生S</w:t>
            </w:r>
          </w:p>
        </w:tc>
        <w:tc>
          <w:tcPr>
            <w:tcW w:type="dxa" w:w="2448"/>
          </w:tcPr>
          <w:p>
            <w:pPr>
              <w:spacing w:before="80" w:after="80"/>
              <w:jc w:val="center"/>
            </w:pPr>
            <w:r>
              <w:rPr>
                <w:rFonts w:ascii="宋体" w:hAnsi="宋体" w:eastAsia="宋体"/>
                <w:sz w:val="18"/>
              </w:rPr>
              <w:t>普通小学、初中区域生源</w:t>
            </w:r>
          </w:p>
        </w:tc>
        <w:tc>
          <w:tcPr>
            <w:tcW w:type="dxa" w:w="2448"/>
          </w:tcPr>
          <w:p>
            <w:pPr>
              <w:spacing w:before="80" w:after="80"/>
              <w:jc w:val="center"/>
            </w:pPr>
            <w:r>
              <w:rPr>
                <w:rFonts w:ascii="宋体" w:hAnsi="宋体" w:eastAsia="宋体"/>
                <w:sz w:val="18"/>
              </w:rPr>
              <w:t>1995—2024</w:t>
            </w:r>
          </w:p>
        </w:tc>
        <w:tc>
          <w:tcPr>
            <w:tcW w:type="dxa" w:w="2448"/>
          </w:tcPr>
          <w:p>
            <w:pPr>
              <w:spacing w:before="80" w:after="80"/>
              <w:jc w:val="center"/>
            </w:pPr>
            <w:r>
              <w:rPr>
                <w:rFonts w:ascii="宋体" w:hAnsi="宋体" w:eastAsia="宋体"/>
                <w:sz w:val="18"/>
              </w:rPr>
              <w:t>历史与区域需求背景</w:t>
            </w:r>
          </w:p>
        </w:tc>
      </w:tr>
      <w:tr>
        <w:trPr>
          <w:cantSplit/>
        </w:trPr>
        <w:tc>
          <w:tcPr>
            <w:tcW w:type="dxa" w:w="2448"/>
          </w:tcPr>
          <w:p>
            <w:pPr>
              <w:spacing w:before="80" w:after="80"/>
              <w:jc w:val="center"/>
            </w:pPr>
            <w:r>
              <w:rPr>
                <w:rFonts w:ascii="宋体" w:hAnsi="宋体" w:eastAsia="宋体"/>
                <w:sz w:val="18"/>
              </w:rPr>
              <w:t>财政性收入及早期重建</w:t>
            </w:r>
          </w:p>
        </w:tc>
        <w:tc>
          <w:tcPr>
            <w:tcW w:type="dxa" w:w="2448"/>
          </w:tcPr>
          <w:p>
            <w:pPr>
              <w:spacing w:before="80" w:after="80"/>
              <w:jc w:val="center"/>
            </w:pPr>
            <w:r>
              <w:rPr>
                <w:rFonts w:ascii="宋体" w:hAnsi="宋体" w:eastAsia="宋体"/>
                <w:sz w:val="18"/>
              </w:rPr>
              <w:t>全国同学段不同举办者</w:t>
            </w:r>
          </w:p>
        </w:tc>
        <w:tc>
          <w:tcPr>
            <w:tcW w:type="dxa" w:w="2448"/>
          </w:tcPr>
          <w:p>
            <w:pPr>
              <w:spacing w:before="80" w:after="80"/>
              <w:jc w:val="center"/>
            </w:pPr>
            <w:r>
              <w:rPr>
                <w:rFonts w:ascii="宋体" w:hAnsi="宋体" w:eastAsia="宋体"/>
                <w:sz w:val="18"/>
              </w:rPr>
              <w:t>1995—2024；1994暂估</w:t>
            </w:r>
          </w:p>
        </w:tc>
        <w:tc>
          <w:tcPr>
            <w:tcW w:type="dxa" w:w="2448"/>
          </w:tcPr>
          <w:p>
            <w:pPr>
              <w:spacing w:before="80" w:after="80"/>
              <w:jc w:val="center"/>
            </w:pPr>
            <w:r>
              <w:rPr>
                <w:rFonts w:ascii="宋体" w:hAnsi="宋体" w:eastAsia="宋体"/>
                <w:sz w:val="18"/>
              </w:rPr>
              <w:t>来源金额与占比</w:t>
            </w:r>
          </w:p>
        </w:tc>
      </w:tr>
      <w:tr>
        <w:trPr>
          <w:cantSplit/>
        </w:trPr>
        <w:tc>
          <w:tcPr>
            <w:tcW w:type="dxa" w:w="2448"/>
          </w:tcPr>
          <w:p>
            <w:pPr>
              <w:spacing w:before="80" w:after="80"/>
              <w:jc w:val="center"/>
            </w:pPr>
            <w:r>
              <w:rPr>
                <w:rFonts w:ascii="宋体" w:hAnsi="宋体" w:eastAsia="宋体"/>
                <w:sz w:val="18"/>
              </w:rPr>
              <w:t>地方隶属P、C</w:t>
            </w:r>
          </w:p>
        </w:tc>
        <w:tc>
          <w:tcPr>
            <w:tcW w:type="dxa" w:w="2448"/>
          </w:tcPr>
          <w:p>
            <w:pPr>
              <w:spacing w:before="80" w:after="80"/>
              <w:jc w:val="center"/>
            </w:pPr>
            <w:r>
              <w:rPr>
                <w:rFonts w:ascii="宋体" w:hAnsi="宋体" w:eastAsia="宋体"/>
                <w:sz w:val="18"/>
              </w:rPr>
              <w:t>地方隶属学校全来源支出</w:t>
            </w:r>
          </w:p>
        </w:tc>
        <w:tc>
          <w:tcPr>
            <w:tcW w:type="dxa" w:w="2448"/>
          </w:tcPr>
          <w:p>
            <w:pPr>
              <w:spacing w:before="80" w:after="80"/>
              <w:jc w:val="center"/>
            </w:pPr>
            <w:r>
              <w:rPr>
                <w:rFonts w:ascii="宋体" w:hAnsi="宋体" w:eastAsia="宋体"/>
                <w:sz w:val="18"/>
              </w:rPr>
              <w:t>按分类分段</w:t>
            </w:r>
          </w:p>
        </w:tc>
        <w:tc>
          <w:tcPr>
            <w:tcW w:type="dxa" w:w="2448"/>
          </w:tcPr>
          <w:p>
            <w:pPr>
              <w:spacing w:before="80" w:after="80"/>
              <w:jc w:val="center"/>
            </w:pPr>
            <w:r>
              <w:rPr>
                <w:rFonts w:ascii="宋体" w:hAnsi="宋体" w:eastAsia="宋体"/>
                <w:sz w:val="18"/>
              </w:rPr>
              <w:t>长期地区与结构描述</w:t>
            </w:r>
          </w:p>
        </w:tc>
      </w:tr>
      <w:tr>
        <w:trPr>
          <w:cantSplit/>
        </w:trPr>
        <w:tc>
          <w:tcPr>
            <w:tcW w:type="dxa" w:w="2448"/>
          </w:tcPr>
          <w:p>
            <w:pPr>
              <w:spacing w:before="80" w:after="80"/>
              <w:jc w:val="center"/>
            </w:pPr>
            <w:r>
              <w:rPr>
                <w:rFonts w:ascii="宋体" w:hAnsi="宋体" w:eastAsia="宋体"/>
                <w:sz w:val="18"/>
              </w:rPr>
              <w:t>全隶属P、C</w:t>
            </w:r>
          </w:p>
        </w:tc>
        <w:tc>
          <w:tcPr>
            <w:tcW w:type="dxa" w:w="2448"/>
          </w:tcPr>
          <w:p>
            <w:pPr>
              <w:spacing w:before="80" w:after="80"/>
              <w:jc w:val="center"/>
            </w:pPr>
            <w:r>
              <w:rPr>
                <w:rFonts w:ascii="宋体" w:hAnsi="宋体" w:eastAsia="宋体"/>
                <w:sz w:val="18"/>
              </w:rPr>
              <w:t>全隶属学校全来源支出</w:t>
            </w:r>
          </w:p>
        </w:tc>
        <w:tc>
          <w:tcPr>
            <w:tcW w:type="dxa" w:w="2448"/>
          </w:tcPr>
          <w:p>
            <w:pPr>
              <w:spacing w:before="80" w:after="80"/>
              <w:jc w:val="center"/>
            </w:pPr>
            <w:r>
              <w:rPr>
                <w:rFonts w:ascii="宋体" w:hAnsi="宋体" w:eastAsia="宋体"/>
                <w:sz w:val="18"/>
              </w:rPr>
              <w:t>2007—2023水平</w:t>
            </w:r>
          </w:p>
        </w:tc>
        <w:tc>
          <w:tcPr>
            <w:tcW w:type="dxa" w:w="2448"/>
          </w:tcPr>
          <w:p>
            <w:pPr>
              <w:spacing w:before="80" w:after="80"/>
              <w:jc w:val="center"/>
            </w:pPr>
            <w:r>
              <w:rPr>
                <w:rFonts w:ascii="宋体" w:hAnsi="宋体" w:eastAsia="宋体"/>
                <w:sz w:val="18"/>
              </w:rPr>
              <w:t>2008—2023回归</w:t>
            </w:r>
          </w:p>
        </w:tc>
      </w:tr>
      <w:tr>
        <w:trPr>
          <w:cantSplit/>
        </w:trPr>
        <w:tc>
          <w:tcPr>
            <w:tcW w:type="dxa" w:w="2448"/>
          </w:tcPr>
          <w:p>
            <w:pPr>
              <w:spacing w:before="80" w:after="80"/>
              <w:jc w:val="center"/>
            </w:pPr>
            <w:r>
              <w:rPr>
                <w:rFonts w:ascii="宋体" w:hAnsi="宋体" w:eastAsia="宋体"/>
                <w:sz w:val="18"/>
              </w:rPr>
              <w:t>W、A、G、X</w:t>
            </w:r>
          </w:p>
        </w:tc>
        <w:tc>
          <w:tcPr>
            <w:tcW w:type="dxa" w:w="2448"/>
          </w:tcPr>
          <w:p>
            <w:pPr>
              <w:spacing w:before="80" w:after="80"/>
              <w:jc w:val="center"/>
            </w:pPr>
            <w:r>
              <w:rPr>
                <w:rFonts w:ascii="宋体" w:hAnsi="宋体" w:eastAsia="宋体"/>
                <w:sz w:val="18"/>
              </w:rPr>
              <w:t>个人和公用内部四细项</w:t>
            </w:r>
          </w:p>
        </w:tc>
        <w:tc>
          <w:tcPr>
            <w:tcW w:type="dxa" w:w="2448"/>
          </w:tcPr>
          <w:p>
            <w:pPr>
              <w:spacing w:before="80" w:after="80"/>
              <w:jc w:val="center"/>
            </w:pPr>
            <w:r>
              <w:rPr>
                <w:rFonts w:ascii="宋体" w:hAnsi="宋体" w:eastAsia="宋体"/>
                <w:sz w:val="18"/>
              </w:rPr>
              <w:t>2007—2023水平</w:t>
            </w:r>
          </w:p>
        </w:tc>
        <w:tc>
          <w:tcPr>
            <w:tcW w:type="dxa" w:w="2448"/>
          </w:tcPr>
          <w:p>
            <w:pPr>
              <w:spacing w:before="80" w:after="80"/>
              <w:jc w:val="center"/>
            </w:pPr>
            <w:r>
              <w:rPr>
                <w:rFonts w:ascii="宋体" w:hAnsi="宋体" w:eastAsia="宋体"/>
                <w:sz w:val="18"/>
              </w:rPr>
              <w:t>细项构成与响应</w:t>
            </w:r>
          </w:p>
        </w:tc>
      </w:tr>
      <w:tr>
        <w:trPr>
          <w:cantSplit/>
        </w:trPr>
        <w:tc>
          <w:tcPr>
            <w:tcW w:type="dxa" w:w="2448"/>
          </w:tcPr>
          <w:p>
            <w:pPr>
              <w:spacing w:before="80" w:after="80"/>
              <w:jc w:val="center"/>
            </w:pPr>
            <w:r>
              <w:rPr>
                <w:rFonts w:ascii="宋体" w:hAnsi="宋体" w:eastAsia="宋体"/>
                <w:sz w:val="18"/>
              </w:rPr>
              <w:t>教师、班级、学校</w:t>
            </w:r>
          </w:p>
        </w:tc>
        <w:tc>
          <w:tcPr>
            <w:tcW w:type="dxa" w:w="2448"/>
          </w:tcPr>
          <w:p>
            <w:pPr>
              <w:spacing w:before="80" w:after="80"/>
              <w:jc w:val="center"/>
            </w:pPr>
            <w:r>
              <w:rPr>
                <w:rFonts w:ascii="宋体" w:hAnsi="宋体" w:eastAsia="宋体"/>
                <w:sz w:val="18"/>
              </w:rPr>
              <w:t>区域办学资源</w:t>
            </w:r>
          </w:p>
        </w:tc>
        <w:tc>
          <w:tcPr>
            <w:tcW w:type="dxa" w:w="2448"/>
          </w:tcPr>
          <w:p>
            <w:pPr>
              <w:spacing w:before="80" w:after="80"/>
              <w:jc w:val="center"/>
            </w:pPr>
            <w:r>
              <w:rPr>
                <w:rFonts w:ascii="宋体" w:hAnsi="宋体" w:eastAsia="宋体"/>
                <w:sz w:val="18"/>
              </w:rPr>
              <w:t>2013—2023水平</w:t>
            </w:r>
          </w:p>
        </w:tc>
        <w:tc>
          <w:tcPr>
            <w:tcW w:type="dxa" w:w="2448"/>
          </w:tcPr>
          <w:p>
            <w:pPr>
              <w:spacing w:before="80" w:after="80"/>
              <w:jc w:val="center"/>
            </w:pPr>
            <w:r>
              <w:rPr>
                <w:rFonts w:ascii="宋体" w:hAnsi="宋体" w:eastAsia="宋体"/>
                <w:sz w:val="18"/>
              </w:rPr>
              <w:t>2014—2023资源拓展</w:t>
            </w:r>
          </w:p>
        </w:tc>
      </w:tr>
      <w:tr>
        <w:trPr>
          <w:cantSplit/>
        </w:trPr>
        <w:tc>
          <w:tcPr>
            <w:tcW w:type="dxa" w:w="2448"/>
          </w:tcPr>
          <w:p>
            <w:pPr>
              <w:spacing w:before="80" w:after="80"/>
              <w:jc w:val="center"/>
            </w:pPr>
            <w:r>
              <w:rPr>
                <w:rFonts w:ascii="宋体" w:hAnsi="宋体" w:eastAsia="宋体"/>
                <w:sz w:val="18"/>
              </w:rPr>
              <w:t>自身收入R</w:t>
            </w:r>
          </w:p>
        </w:tc>
        <w:tc>
          <w:tcPr>
            <w:tcW w:type="dxa" w:w="2448"/>
          </w:tcPr>
          <w:p>
            <w:pPr>
              <w:spacing w:before="80" w:after="80"/>
              <w:jc w:val="center"/>
            </w:pPr>
            <w:r>
              <w:rPr>
                <w:rFonts w:ascii="宋体" w:hAnsi="宋体" w:eastAsia="宋体"/>
                <w:sz w:val="18"/>
              </w:rPr>
              <w:t>一般预算或一般公共预算收入</w:t>
            </w:r>
          </w:p>
        </w:tc>
        <w:tc>
          <w:tcPr>
            <w:tcW w:type="dxa" w:w="2448"/>
          </w:tcPr>
          <w:p>
            <w:pPr>
              <w:spacing w:before="80" w:after="80"/>
              <w:jc w:val="center"/>
            </w:pPr>
            <w:r>
              <w:rPr>
                <w:rFonts w:ascii="宋体" w:hAnsi="宋体" w:eastAsia="宋体"/>
                <w:sz w:val="18"/>
              </w:rPr>
              <w:t>相邻年度核准后使用</w:t>
            </w:r>
          </w:p>
        </w:tc>
        <w:tc>
          <w:tcPr>
            <w:tcW w:type="dxa" w:w="2448"/>
          </w:tcPr>
          <w:p>
            <w:pPr>
              <w:spacing w:before="80" w:after="80"/>
              <w:jc w:val="center"/>
            </w:pPr>
            <w:r>
              <w:rPr>
                <w:rFonts w:ascii="宋体" w:hAnsi="宋体" w:eastAsia="宋体"/>
                <w:sz w:val="18"/>
              </w:rPr>
              <w:t>区域财政背景</w:t>
            </w:r>
          </w:p>
        </w:tc>
      </w:tr>
      <w:tr>
        <w:trPr>
          <w:cantSplit/>
        </w:trPr>
        <w:tc>
          <w:tcPr>
            <w:tcW w:type="dxa" w:w="2448"/>
          </w:tcPr>
          <w:p>
            <w:pPr>
              <w:spacing w:before="80" w:after="80"/>
              <w:jc w:val="center"/>
            </w:pPr>
            <w:r>
              <w:rPr>
                <w:rFonts w:ascii="宋体" w:hAnsi="宋体" w:eastAsia="宋体"/>
                <w:sz w:val="18"/>
              </w:rPr>
              <w:t>中央补助B</w:t>
            </w:r>
          </w:p>
        </w:tc>
        <w:tc>
          <w:tcPr>
            <w:tcW w:type="dxa" w:w="2448"/>
          </w:tcPr>
          <w:p>
            <w:pPr>
              <w:spacing w:before="80" w:after="80"/>
              <w:jc w:val="center"/>
            </w:pPr>
            <w:r>
              <w:rPr>
                <w:rFonts w:ascii="宋体" w:hAnsi="宋体" w:eastAsia="宋体"/>
                <w:sz w:val="18"/>
              </w:rPr>
              <w:t>决算表中央补助总项</w:t>
            </w:r>
          </w:p>
        </w:tc>
        <w:tc>
          <w:tcPr>
            <w:tcW w:type="dxa" w:w="2448"/>
          </w:tcPr>
          <w:p>
            <w:pPr>
              <w:spacing w:before="80" w:after="80"/>
              <w:jc w:val="center"/>
            </w:pPr>
            <w:r>
              <w:rPr>
                <w:rFonts w:ascii="宋体" w:hAnsi="宋体" w:eastAsia="宋体"/>
                <w:sz w:val="18"/>
              </w:rPr>
              <w:t>2007—2023可得记录</w:t>
            </w:r>
          </w:p>
        </w:tc>
        <w:tc>
          <w:tcPr>
            <w:tcW w:type="dxa" w:w="2448"/>
          </w:tcPr>
          <w:p>
            <w:pPr>
              <w:spacing w:before="80" w:after="80"/>
              <w:jc w:val="center"/>
            </w:pPr>
            <w:r>
              <w:rPr>
                <w:rFonts w:ascii="宋体" w:hAnsi="宋体" w:eastAsia="宋体"/>
                <w:sz w:val="18"/>
              </w:rPr>
              <w:t>合计指标与解释拓展</w:t>
            </w:r>
          </w:p>
        </w:tc>
      </w:tr>
    </w:tbl>
    <w:p>
      <w:pPr>
        <w:spacing w:after="20"/>
      </w:pPr>
    </w:p>
    <w:p>
      <w:pPr>
        <w:jc w:val="both"/>
      </w:pPr>
      <w:r>
        <w:t>历史支出图采用地方隶属学校，回归采用全隶属全来源支出；两者回答不同范围的问题。财政性收入也不同于全来源支出。学生、资源与经费的学校覆盖和统计时点尚未全部对应，因此不计算生均支出，不将回归系数称为严格同范围需求弹性。</w:t>
      </w:r>
    </w:p>
    <w:p>
      <w:pPr>
        <w:jc w:val="both"/>
      </w:pPr>
      <w:r>
        <w:t>原始资料处理分为来源登记、原值提取、数值核对和范围评估。每条金额保留档案、表、工作表、行列坐标、原单位、标签和文件哈希；修正值另存，不覆盖原值。金额内部加总通过，只能证明原表数值关系，不能自动证明跨年或跨来源口径可比。</w:t>
      </w:r>
    </w:p>
    <w:p>
      <w:pPr>
        <w:jc w:val="both"/>
      </w:pPr>
      <w:r>
        <w:rPr>
          <w:sz w:val="18"/>
        </w:rPr>
        <w:t>2016年广东初二本地转换值少了首位“1”，经教育部原表和城乡项交叉核对，核准为1,140,343人；2006年全国经费未显式显示单位的表，按千元换算并经全国合计交叉核实后恢复。个别财政表多省混装、页脚单位或中英文混排均按具体块回读。它们是来源修正，不能据此将全部待核范围取消。</w:t>
      </w:r>
    </w:p>
    <w:p>
      <w:r>
        <w:br w:type="page"/>
      </w:r>
    </w:p>
    <w:p>
      <w:pPr>
        <w:pStyle w:val="Heading1"/>
      </w:pPr>
      <w:r>
        <w:t>三 指标构造与推断方法</w:t>
      </w:r>
    </w:p>
    <w:p>
      <w:pPr>
        <w:jc w:val="both"/>
      </w:pPr>
      <w:r>
        <w:t>实际累计增长以期末和期初名义金额比除以区间CPI连乘系数；复合年均增长再按间隔年数开方。省级CPI以上年为100，只近似扣除一般物价变化，不代表学校投入品专属成本。地区中位数、等权省年均值与全国金额加权增长分别命名。</w:t>
      </w:r>
    </w:p>
    <w:p>
      <w:pPr>
        <w:jc w:val="both"/>
      </w:pPr>
      <w:r>
        <w:t>实际对数变化为Δln X实际＝ln(X当年/X上年)−ln(CPI当年/100)。各学段主模型为：Δln Y实际＝βS×Δln S＋βR×Δln R实际＋α省＋λ年＋ε；Y分别取个人P、公用C，α和λ为省份、年份固定效应，ε为剩余项。直接差模型以D＝Δln C−Δln P为结果，解释变量不变，系数等于C模型减P模型，共同价格项抵消。资源模型加教师及班级变化，补助模型加Δln B实际或以R＋B替代R。</w:t>
      </w:r>
    </w:p>
    <w:p>
      <w:pPr>
        <w:jc w:val="both"/>
      </w:pPr>
      <w:r>
        <w:t>收入比例分解设某类学校收入权重为w、组内财政性比例为f，全国比例为Σwf。两时点变化＝ΣΔw×平均f＋ΣΔf×平均w。公用增长贡献则按同一省份前期C作分母，分别计算G、X实际金额变化。它们属于恒等式分解，不作因果分解。</w:t>
      </w:r>
    </w:p>
    <w:p>
      <w:pPr>
        <w:pStyle w:val="Caption"/>
        <w:keepNext/>
      </w:pPr>
      <w:r>
        <w:t>表4  回归窗口与共同样本</w:t>
      </w:r>
    </w:p>
    <w:tbl>
      <w:tblPr>
        <w:tblW w:type="auto" w:w="0"/>
        <w:tblLayout w:type="fixed"/>
        <w:tblLook w:firstColumn="1" w:firstRow="1" w:lastColumn="0" w:lastRow="0" w:noHBand="0" w:noVBand="1" w:val="04A0"/>
      </w:tblPr>
      <w:tblGrid>
        <w:gridCol w:w="2484"/>
        <w:gridCol w:w="2484"/>
        <w:gridCol w:w="2484"/>
        <w:gridCol w:w="2484"/>
      </w:tblGrid>
      <w:tr>
        <w:trPr>
          <w:cantSplit/>
        </w:trPr>
        <w:tc>
          <w:tcPr>
            <w:tcW w:type="dxa" w:w="2448"/>
            <w:shd w:fill="EAEAEA"/>
          </w:tcPr>
          <w:p>
            <w:pPr>
              <w:spacing w:before="80" w:after="80"/>
              <w:jc w:val="center"/>
            </w:pPr>
            <w:r>
              <w:rPr>
                <w:rFonts w:ascii="宋体" w:hAnsi="宋体" w:eastAsia="宋体"/>
                <w:sz w:val="18"/>
              </w:rPr>
              <w:t>回归层次</w:t>
            </w:r>
          </w:p>
        </w:tc>
        <w:tc>
          <w:tcPr>
            <w:tcW w:type="dxa" w:w="2448"/>
            <w:shd w:fill="EAEAEA"/>
          </w:tcPr>
          <w:p>
            <w:pPr>
              <w:spacing w:before="80" w:after="80"/>
              <w:jc w:val="center"/>
            </w:pPr>
            <w:r>
              <w:rPr>
                <w:rFonts w:ascii="宋体" w:hAnsi="宋体" w:eastAsia="宋体"/>
                <w:sz w:val="18"/>
              </w:rPr>
              <w:t>变化窗口</w:t>
            </w:r>
          </w:p>
        </w:tc>
        <w:tc>
          <w:tcPr>
            <w:tcW w:type="dxa" w:w="2448"/>
            <w:shd w:fill="EAEAEA"/>
          </w:tcPr>
          <w:p>
            <w:pPr>
              <w:spacing w:before="80" w:after="80"/>
              <w:jc w:val="center"/>
            </w:pPr>
            <w:r>
              <w:rPr>
                <w:rFonts w:ascii="宋体" w:hAnsi="宋体" w:eastAsia="宋体"/>
                <w:sz w:val="18"/>
              </w:rPr>
              <w:t>每学段样本</w:t>
            </w:r>
          </w:p>
        </w:tc>
        <w:tc>
          <w:tcPr>
            <w:tcW w:type="dxa" w:w="2448"/>
            <w:shd w:fill="EAEAEA"/>
          </w:tcPr>
          <w:p>
            <w:pPr>
              <w:spacing w:before="80" w:after="80"/>
              <w:jc w:val="center"/>
            </w:pPr>
            <w:r>
              <w:rPr>
                <w:rFonts w:ascii="宋体" w:hAnsi="宋体" w:eastAsia="宋体"/>
                <w:sz w:val="18"/>
              </w:rPr>
              <w:t>比较原则</w:t>
            </w:r>
          </w:p>
        </w:tc>
      </w:tr>
      <w:tr>
        <w:trPr>
          <w:cantSplit/>
        </w:trPr>
        <w:tc>
          <w:tcPr>
            <w:tcW w:type="dxa" w:w="2448"/>
          </w:tcPr>
          <w:p>
            <w:pPr>
              <w:spacing w:before="80" w:after="80"/>
              <w:jc w:val="center"/>
            </w:pPr>
            <w:r>
              <w:rPr>
                <w:rFonts w:ascii="宋体" w:hAnsi="宋体" w:eastAsia="宋体"/>
                <w:sz w:val="18"/>
              </w:rPr>
              <w:t>全样本P/C与细项</w:t>
            </w:r>
          </w:p>
        </w:tc>
        <w:tc>
          <w:tcPr>
            <w:tcW w:type="dxa" w:w="2448"/>
          </w:tcPr>
          <w:p>
            <w:pPr>
              <w:spacing w:before="80" w:after="80"/>
              <w:jc w:val="center"/>
            </w:pPr>
            <w:r>
              <w:rPr>
                <w:rFonts w:ascii="宋体" w:hAnsi="宋体" w:eastAsia="宋体"/>
                <w:sz w:val="18"/>
              </w:rPr>
              <w:t>2008—2023</w:t>
            </w:r>
          </w:p>
        </w:tc>
        <w:tc>
          <w:tcPr>
            <w:tcW w:type="dxa" w:w="2448"/>
          </w:tcPr>
          <w:p>
            <w:pPr>
              <w:spacing w:before="80" w:after="80"/>
              <w:jc w:val="center"/>
            </w:pPr>
            <w:r>
              <w:rPr>
                <w:rFonts w:ascii="宋体" w:hAnsi="宋体" w:eastAsia="宋体"/>
                <w:sz w:val="18"/>
              </w:rPr>
              <w:t>472省年、31聚类</w:t>
            </w:r>
          </w:p>
        </w:tc>
        <w:tc>
          <w:tcPr>
            <w:tcW w:type="dxa" w:w="2448"/>
          </w:tcPr>
          <w:p>
            <w:pPr>
              <w:spacing w:before="80" w:after="80"/>
              <w:jc w:val="center"/>
            </w:pPr>
            <w:r>
              <w:rPr>
                <w:rFonts w:ascii="宋体" w:hAnsi="宋体" w:eastAsia="宋体"/>
                <w:sz w:val="18"/>
              </w:rPr>
              <w:t>496潜在位置各排除24</w:t>
            </w:r>
          </w:p>
        </w:tc>
      </w:tr>
      <w:tr>
        <w:trPr>
          <w:cantSplit/>
        </w:trPr>
        <w:tc>
          <w:tcPr>
            <w:tcW w:type="dxa" w:w="2448"/>
          </w:tcPr>
          <w:p>
            <w:pPr>
              <w:spacing w:before="80" w:after="80"/>
              <w:jc w:val="center"/>
            </w:pPr>
            <w:r>
              <w:rPr>
                <w:rFonts w:ascii="宋体" w:hAnsi="宋体" w:eastAsia="宋体"/>
                <w:sz w:val="18"/>
              </w:rPr>
              <w:t>资源解释</w:t>
            </w:r>
          </w:p>
        </w:tc>
        <w:tc>
          <w:tcPr>
            <w:tcW w:type="dxa" w:w="2448"/>
          </w:tcPr>
          <w:p>
            <w:pPr>
              <w:spacing w:before="80" w:after="80"/>
              <w:jc w:val="center"/>
            </w:pPr>
            <w:r>
              <w:rPr>
                <w:rFonts w:ascii="宋体" w:hAnsi="宋体" w:eastAsia="宋体"/>
                <w:sz w:val="18"/>
              </w:rPr>
              <w:t>2014—2023</w:t>
            </w:r>
          </w:p>
        </w:tc>
        <w:tc>
          <w:tcPr>
            <w:tcW w:type="dxa" w:w="2448"/>
          </w:tcPr>
          <w:p>
            <w:pPr>
              <w:spacing w:before="80" w:after="80"/>
              <w:jc w:val="center"/>
            </w:pPr>
            <w:r>
              <w:rPr>
                <w:rFonts w:ascii="宋体" w:hAnsi="宋体" w:eastAsia="宋体"/>
                <w:sz w:val="18"/>
              </w:rPr>
              <w:t>300省年、31聚类</w:t>
            </w:r>
          </w:p>
        </w:tc>
        <w:tc>
          <w:tcPr>
            <w:tcW w:type="dxa" w:w="2448"/>
          </w:tcPr>
          <w:p>
            <w:pPr>
              <w:spacing w:before="80" w:after="80"/>
              <w:jc w:val="center"/>
            </w:pPr>
            <w:r>
              <w:rPr>
                <w:rFonts w:ascii="宋体" w:hAnsi="宋体" w:eastAsia="宋体"/>
                <w:sz w:val="18"/>
              </w:rPr>
              <w:t>310潜在位置各排除10</w:t>
            </w:r>
          </w:p>
        </w:tc>
      </w:tr>
      <w:tr>
        <w:trPr>
          <w:cantSplit/>
        </w:trPr>
        <w:tc>
          <w:tcPr>
            <w:tcW w:type="dxa" w:w="2448"/>
          </w:tcPr>
          <w:p>
            <w:pPr>
              <w:spacing w:before="80" w:after="80"/>
              <w:jc w:val="center"/>
            </w:pPr>
            <w:r>
              <w:rPr>
                <w:rFonts w:ascii="宋体" w:hAnsi="宋体" w:eastAsia="宋体"/>
                <w:sz w:val="18"/>
              </w:rPr>
              <w:t>财政补助</w:t>
            </w:r>
          </w:p>
        </w:tc>
        <w:tc>
          <w:tcPr>
            <w:tcW w:type="dxa" w:w="2448"/>
          </w:tcPr>
          <w:p>
            <w:pPr>
              <w:spacing w:before="80" w:after="80"/>
              <w:jc w:val="center"/>
            </w:pPr>
            <w:r>
              <w:rPr>
                <w:rFonts w:ascii="宋体" w:hAnsi="宋体" w:eastAsia="宋体"/>
                <w:sz w:val="18"/>
              </w:rPr>
              <w:t>2008—2023</w:t>
            </w:r>
          </w:p>
        </w:tc>
        <w:tc>
          <w:tcPr>
            <w:tcW w:type="dxa" w:w="2448"/>
          </w:tcPr>
          <w:p>
            <w:pPr>
              <w:spacing w:before="80" w:after="80"/>
              <w:jc w:val="center"/>
            </w:pPr>
            <w:r>
              <w:rPr>
                <w:rFonts w:ascii="宋体" w:hAnsi="宋体" w:eastAsia="宋体"/>
                <w:sz w:val="18"/>
              </w:rPr>
              <w:t>436省年、31聚类</w:t>
            </w:r>
          </w:p>
        </w:tc>
        <w:tc>
          <w:tcPr>
            <w:tcW w:type="dxa" w:w="2448"/>
          </w:tcPr>
          <w:p>
            <w:pPr>
              <w:spacing w:before="80" w:after="80"/>
              <w:jc w:val="center"/>
            </w:pPr>
            <w:r>
              <w:rPr>
                <w:rFonts w:ascii="宋体" w:hAnsi="宋体" w:eastAsia="宋体"/>
                <w:sz w:val="18"/>
              </w:rPr>
              <w:t>较472各少36</w:t>
            </w:r>
          </w:p>
        </w:tc>
      </w:tr>
      <w:tr>
        <w:trPr>
          <w:cantSplit/>
        </w:trPr>
        <w:tc>
          <w:tcPr>
            <w:tcW w:type="dxa" w:w="2448"/>
          </w:tcPr>
          <w:p>
            <w:pPr>
              <w:spacing w:before="80" w:after="80"/>
              <w:jc w:val="center"/>
            </w:pPr>
            <w:r>
              <w:rPr>
                <w:rFonts w:ascii="宋体" w:hAnsi="宋体" w:eastAsia="宋体"/>
                <w:sz w:val="18"/>
              </w:rPr>
              <w:t>时期追加检查</w:t>
            </w:r>
          </w:p>
        </w:tc>
        <w:tc>
          <w:tcPr>
            <w:tcW w:type="dxa" w:w="2448"/>
          </w:tcPr>
          <w:p>
            <w:pPr>
              <w:spacing w:before="80" w:after="80"/>
              <w:jc w:val="center"/>
            </w:pPr>
            <w:r>
              <w:rPr>
                <w:rFonts w:ascii="宋体" w:hAnsi="宋体" w:eastAsia="宋体"/>
                <w:sz w:val="18"/>
              </w:rPr>
              <w:t>2008—2016／2019—2023</w:t>
            </w:r>
          </w:p>
        </w:tc>
        <w:tc>
          <w:tcPr>
            <w:tcW w:type="dxa" w:w="2448"/>
          </w:tcPr>
          <w:p>
            <w:pPr>
              <w:spacing w:before="80" w:after="80"/>
              <w:jc w:val="center"/>
            </w:pPr>
            <w:r>
              <w:rPr>
                <w:rFonts w:ascii="宋体" w:hAnsi="宋体" w:eastAsia="宋体"/>
                <w:sz w:val="18"/>
              </w:rPr>
              <w:t>258／153省年</w:t>
            </w:r>
          </w:p>
        </w:tc>
        <w:tc>
          <w:tcPr>
            <w:tcW w:type="dxa" w:w="2448"/>
          </w:tcPr>
          <w:p>
            <w:pPr>
              <w:spacing w:before="80" w:after="80"/>
              <w:jc w:val="center"/>
            </w:pPr>
            <w:r>
              <w:rPr>
                <w:rFonts w:ascii="宋体" w:hAnsi="宋体" w:eastAsia="宋体"/>
                <w:sz w:val="18"/>
              </w:rPr>
              <w:t>独立拟合，非结构突变检验</w:t>
            </w:r>
          </w:p>
        </w:tc>
      </w:tr>
    </w:tbl>
    <w:p>
      <w:pPr>
        <w:spacing w:after="20"/>
      </w:pPr>
    </w:p>
    <w:p>
      <w:pPr>
        <w:jc w:val="both"/>
      </w:pPr>
      <w:r>
        <w:t>模型为各省年等权OLS，不插值、不补零、不缩尾，不按支出涨跌选择主样本。省级CR1聚类标准误允许同省相关；四项直接差异检验采用9999次零假设约束的Rademacher野生聚类自助及同一检验反演的单项95%区间。[9] 辅助系数图使用注明的CR1近似区间，不能混称。</w:t>
      </w:r>
    </w:p>
    <w:p>
      <w:pPr>
        <w:jc w:val="both"/>
      </w:pPr>
      <w:r>
        <w:t>P/C、资源、G/W和补助分别设四项检验族并作Holm校正；这些家族没有统一控制整个自适应研究所有模型的错误率。新结果仍是探索性证据。拟合前方案不是预注册，追加时期检查明确为看图后探索。固定效应不消除时变遗漏、反向因果或跨省相关，不能推断政策净效应。</w:t>
      </w:r>
    </w:p>
    <w:p>
      <w:r>
        <w:br w:type="page"/>
      </w:r>
    </w:p>
    <w:p>
      <w:pPr>
        <w:pStyle w:val="Heading1"/>
      </w:pPr>
      <w:r>
        <w:t>四 三十年生源变化及学段错位</w:t>
      </w:r>
    </w:p>
    <w:p>
      <w:pPr>
        <w:keepNext/>
        <w:jc w:val="center"/>
      </w:pPr>
      <w:r>
        <w:drawing>
          <wp:inline xmlns:a="http://schemas.openxmlformats.org/drawingml/2006/main" xmlns:pic="http://schemas.openxmlformats.org/drawingml/2006/picture">
            <wp:extent cx="5303520" cy="4569186"/>
            <wp:docPr id="1" name="Picture 1"/>
            <wp:cNvGraphicFramePr>
              <a:graphicFrameLocks noChangeAspect="1"/>
            </wp:cNvGraphicFramePr>
            <a:graphic>
              <a:graphicData uri="http://schemas.openxmlformats.org/drawingml/2006/picture">
                <pic:pic>
                  <pic:nvPicPr>
                    <pic:cNvPr id="0" name="fig01.png"/>
                    <pic:cNvPicPr/>
                  </pic:nvPicPr>
                  <pic:blipFill>
                    <a:blip r:embed="rId11"/>
                    <a:stretch>
                      <a:fillRect/>
                    </a:stretch>
                  </pic:blipFill>
                  <pic:spPr>
                    <a:xfrm>
                      <a:off x="0" y="0"/>
                      <a:ext cx="5303520" cy="4569186"/>
                    </a:xfrm>
                    <a:prstGeom prst="rect"/>
                  </pic:spPr>
                </pic:pic>
              </a:graphicData>
            </a:graphic>
          </wp:inline>
        </w:drawing>
      </w:r>
    </w:p>
    <w:p>
      <w:pPr>
        <w:pStyle w:val="Caption"/>
      </w:pPr>
      <w:r>
        <w:t>图1  全国小学与初中在校生人数变化。1995—2024年实际数据年；上下图使用相同纵轴。标记为观察期峰谷及2024年人数。学生数不是出生人口，学校类型与统计时点仍有年度范围限制。</w:t>
      </w:r>
    </w:p>
    <w:p>
      <w:pPr>
        <w:jc w:val="both"/>
      </w:pPr>
      <w:r>
        <w:t>小学观察期峰值出现在1997年，为约13,995万人；到2013年降至约9,361万人，随后回升。初中峰值在2003年，为约6,618万人，2015年低点约4,312万人。两个学段的峰值相差六年，低点相差两年，不能把义务教育理解为同步扩张或同步收缩。</w:t>
      </w:r>
    </w:p>
    <w:p>
      <w:pPr>
        <w:pStyle w:val="Caption"/>
        <w:keepNext/>
      </w:pPr>
      <w:r>
        <w:t>表5  研究期终点的学段差异</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学段</w:t>
            </w:r>
          </w:p>
        </w:tc>
        <w:tc>
          <w:tcPr>
            <w:tcW w:type="dxa" w:w="3264"/>
            <w:shd w:fill="EAEAEA"/>
          </w:tcPr>
          <w:p>
            <w:pPr>
              <w:spacing w:before="80" w:after="80"/>
              <w:jc w:val="center"/>
            </w:pPr>
            <w:r>
              <w:rPr>
                <w:rFonts w:ascii="宋体" w:hAnsi="宋体" w:eastAsia="宋体"/>
                <w:sz w:val="18"/>
              </w:rPr>
              <w:t>2024年在校生 万人</w:t>
            </w:r>
          </w:p>
        </w:tc>
        <w:tc>
          <w:tcPr>
            <w:tcW w:type="dxa" w:w="3264"/>
            <w:shd w:fill="EAEAEA"/>
          </w:tcPr>
          <w:p>
            <w:pPr>
              <w:spacing w:before="80" w:after="80"/>
              <w:jc w:val="center"/>
            </w:pPr>
            <w:r>
              <w:rPr>
                <w:rFonts w:ascii="宋体" w:hAnsi="宋体" w:eastAsia="宋体"/>
                <w:sz w:val="18"/>
              </w:rPr>
              <w:t>较2023年变化</w:t>
            </w:r>
          </w:p>
        </w:tc>
      </w:tr>
      <w:tr>
        <w:trPr>
          <w:cantSplit/>
        </w:trPr>
        <w:tc>
          <w:tcPr>
            <w:tcW w:type="dxa" w:w="3264"/>
          </w:tcPr>
          <w:p>
            <w:pPr>
              <w:spacing w:before="80" w:after="80"/>
              <w:jc w:val="center"/>
            </w:pPr>
            <w:r>
              <w:rPr>
                <w:rFonts w:ascii="宋体" w:hAnsi="宋体" w:eastAsia="宋体"/>
                <w:sz w:val="18"/>
              </w:rPr>
              <w:t>小学</w:t>
            </w:r>
          </w:p>
        </w:tc>
        <w:tc>
          <w:tcPr>
            <w:tcW w:type="dxa" w:w="3264"/>
          </w:tcPr>
          <w:p>
            <w:pPr>
              <w:spacing w:before="80" w:after="80"/>
              <w:jc w:val="center"/>
            </w:pPr>
            <w:r>
              <w:rPr>
                <w:rFonts w:ascii="宋体" w:hAnsi="宋体" w:eastAsia="宋体"/>
                <w:sz w:val="18"/>
              </w:rPr>
              <w:t>10,584.37</w:t>
            </w:r>
          </w:p>
        </w:tc>
        <w:tc>
          <w:tcPr>
            <w:tcW w:type="dxa" w:w="3264"/>
          </w:tcPr>
          <w:p>
            <w:pPr>
              <w:spacing w:before="80" w:after="80"/>
              <w:jc w:val="center"/>
            </w:pPr>
            <w:r>
              <w:rPr>
                <w:rFonts w:ascii="宋体" w:hAnsi="宋体" w:eastAsia="宋体"/>
                <w:sz w:val="18"/>
              </w:rPr>
              <w:t>-2.32%</w:t>
            </w:r>
          </w:p>
        </w:tc>
      </w:tr>
      <w:tr>
        <w:trPr>
          <w:cantSplit/>
        </w:trPr>
        <w:tc>
          <w:tcPr>
            <w:tcW w:type="dxa" w:w="3264"/>
          </w:tcPr>
          <w:p>
            <w:pPr>
              <w:spacing w:before="80" w:after="80"/>
              <w:jc w:val="center"/>
            </w:pPr>
            <w:r>
              <w:rPr>
                <w:rFonts w:ascii="宋体" w:hAnsi="宋体" w:eastAsia="宋体"/>
                <w:sz w:val="18"/>
              </w:rPr>
              <w:t>初中</w:t>
            </w:r>
          </w:p>
        </w:tc>
        <w:tc>
          <w:tcPr>
            <w:tcW w:type="dxa" w:w="3264"/>
          </w:tcPr>
          <w:p>
            <w:pPr>
              <w:spacing w:before="80" w:after="80"/>
              <w:jc w:val="center"/>
            </w:pPr>
            <w:r>
              <w:rPr>
                <w:rFonts w:ascii="宋体" w:hAnsi="宋体" w:eastAsia="宋体"/>
                <w:sz w:val="18"/>
              </w:rPr>
              <w:t>5,386.16</w:t>
            </w:r>
          </w:p>
        </w:tc>
        <w:tc>
          <w:tcPr>
            <w:tcW w:type="dxa" w:w="3264"/>
          </w:tcPr>
          <w:p>
            <w:pPr>
              <w:spacing w:before="80" w:after="80"/>
              <w:jc w:val="center"/>
            </w:pPr>
            <w:r>
              <w:rPr>
                <w:rFonts w:ascii="宋体" w:hAnsi="宋体" w:eastAsia="宋体"/>
                <w:sz w:val="18"/>
              </w:rPr>
              <w:t>+2.72%</w:t>
            </w:r>
          </w:p>
        </w:tc>
      </w:tr>
    </w:tbl>
    <w:p>
      <w:pPr>
        <w:spacing w:after="20"/>
      </w:pPr>
    </w:p>
    <w:p>
      <w:pPr>
        <w:jc w:val="both"/>
      </w:pPr>
      <w:r>
        <w:t>以连续至少两年学生减少识别下降轮次，三十年共有125轮；小学21个、初中18个地区出现至少两轮。提高最低持续期到三年，仍有反复下降地区。四川区划变化边及观察期起止截断另行处理。轮次是研究对象变化的描述，不是125次独立外生人口冲击。</w:t>
      </w:r>
    </w:p>
    <w:p>
      <w:r>
        <w:br w:type="page"/>
      </w:r>
    </w:p>
    <w:p>
      <w:pPr>
        <w:pStyle w:val="Heading1"/>
      </w:pPr>
      <w:r>
        <w:t>五 财政性经费金额与占比</w:t>
      </w:r>
    </w:p>
    <w:p>
      <w:pPr>
        <w:keepNext/>
        <w:jc w:val="center"/>
      </w:pPr>
      <w:r>
        <w:drawing>
          <wp:inline xmlns:a="http://schemas.openxmlformats.org/drawingml/2006/main" xmlns:pic="http://schemas.openxmlformats.org/drawingml/2006/picture">
            <wp:extent cx="4754880" cy="4681728"/>
            <wp:docPr id="2" name="Picture 2"/>
            <wp:cNvGraphicFramePr>
              <a:graphicFrameLocks noChangeAspect="1"/>
            </wp:cNvGraphicFramePr>
            <a:graphic>
              <a:graphicData uri="http://schemas.openxmlformats.org/drawingml/2006/picture">
                <pic:pic>
                  <pic:nvPicPr>
                    <pic:cNvPr id="0" name="fig02.png"/>
                    <pic:cNvPicPr/>
                  </pic:nvPicPr>
                  <pic:blipFill>
                    <a:blip r:embed="rId12"/>
                    <a:stretch>
                      <a:fillRect/>
                    </a:stretch>
                  </pic:blipFill>
                  <pic:spPr>
                    <a:xfrm>
                      <a:off x="0" y="0"/>
                      <a:ext cx="4754880" cy="4681728"/>
                    </a:xfrm>
                    <a:prstGeom prst="rect"/>
                  </pic:spPr>
                </pic:pic>
              </a:graphicData>
            </a:graphic>
          </wp:inline>
        </w:drawing>
      </w:r>
    </w:p>
    <w:p>
      <w:pPr>
        <w:pStyle w:val="Caption"/>
      </w:pPr>
      <w:r>
        <w:t>图2  全国两学段财政性教育经费及其占比。1994年为空心条件估算点；1995—1997年按支出来源重建，1998年起按收入来源。收支与定义边界断线，2006年已核实单位并恢复。金额为名义值，情景范围不是置信区间。</w:t>
      </w:r>
    </w:p>
    <w:p>
      <w:pPr>
        <w:jc w:val="both"/>
      </w:pPr>
      <w:r>
        <w:t>在2005—2024年公布值窗口内，财政性收入占比2013年达到高点：小学96.11%、初中94.68%。2024年降为91.36%、89.37%；同期财政性收入名义金额却增长107.31%、111.27%。占比下降与金额增长并存，说明单一比例不足以衡量投入变化。</w:t>
      </w:r>
    </w:p>
    <w:p>
      <w:pPr>
        <w:pStyle w:val="Caption"/>
        <w:keepNext/>
      </w:pPr>
      <w:r>
        <w:t>表6  财政性收入研究期终点</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学段</w:t>
            </w:r>
          </w:p>
        </w:tc>
        <w:tc>
          <w:tcPr>
            <w:tcW w:type="dxa" w:w="3264"/>
            <w:shd w:fill="EAEAEA"/>
          </w:tcPr>
          <w:p>
            <w:pPr>
              <w:spacing w:before="80" w:after="80"/>
              <w:jc w:val="center"/>
            </w:pPr>
            <w:r>
              <w:rPr>
                <w:rFonts w:ascii="宋体" w:hAnsi="宋体" w:eastAsia="宋体"/>
                <w:sz w:val="18"/>
              </w:rPr>
              <w:t>2024年财政性收入 亿元</w:t>
            </w:r>
          </w:p>
        </w:tc>
        <w:tc>
          <w:tcPr>
            <w:tcW w:type="dxa" w:w="3264"/>
            <w:shd w:fill="EAEAEA"/>
          </w:tcPr>
          <w:p>
            <w:pPr>
              <w:spacing w:before="80" w:after="80"/>
              <w:jc w:val="center"/>
            </w:pPr>
            <w:r>
              <w:rPr>
                <w:rFonts w:ascii="宋体" w:hAnsi="宋体" w:eastAsia="宋体"/>
                <w:sz w:val="18"/>
              </w:rPr>
              <w:t>占同范围当年收入</w:t>
            </w:r>
          </w:p>
        </w:tc>
      </w:tr>
      <w:tr>
        <w:trPr>
          <w:cantSplit/>
        </w:trPr>
        <w:tc>
          <w:tcPr>
            <w:tcW w:type="dxa" w:w="3264"/>
          </w:tcPr>
          <w:p>
            <w:pPr>
              <w:spacing w:before="80" w:after="80"/>
              <w:jc w:val="center"/>
            </w:pPr>
            <w:r>
              <w:rPr>
                <w:rFonts w:ascii="宋体" w:hAnsi="宋体" w:eastAsia="宋体"/>
                <w:sz w:val="18"/>
              </w:rPr>
              <w:t>小学</w:t>
            </w:r>
          </w:p>
        </w:tc>
        <w:tc>
          <w:tcPr>
            <w:tcW w:type="dxa" w:w="3264"/>
          </w:tcPr>
          <w:p>
            <w:pPr>
              <w:spacing w:before="80" w:after="80"/>
              <w:jc w:val="center"/>
            </w:pPr>
            <w:r>
              <w:rPr>
                <w:rFonts w:ascii="宋体" w:hAnsi="宋体" w:eastAsia="宋体"/>
                <w:sz w:val="18"/>
              </w:rPr>
              <w:t>15,842.24</w:t>
            </w:r>
          </w:p>
        </w:tc>
        <w:tc>
          <w:tcPr>
            <w:tcW w:type="dxa" w:w="3264"/>
          </w:tcPr>
          <w:p>
            <w:pPr>
              <w:spacing w:before="80" w:after="80"/>
              <w:jc w:val="center"/>
            </w:pPr>
            <w:r>
              <w:rPr>
                <w:rFonts w:ascii="宋体" w:hAnsi="宋体" w:eastAsia="宋体"/>
                <w:sz w:val="18"/>
              </w:rPr>
              <w:t>91.36%</w:t>
            </w:r>
          </w:p>
        </w:tc>
      </w:tr>
      <w:tr>
        <w:trPr>
          <w:cantSplit/>
        </w:trPr>
        <w:tc>
          <w:tcPr>
            <w:tcW w:type="dxa" w:w="3264"/>
          </w:tcPr>
          <w:p>
            <w:pPr>
              <w:spacing w:before="80" w:after="80"/>
              <w:jc w:val="center"/>
            </w:pPr>
            <w:r>
              <w:rPr>
                <w:rFonts w:ascii="宋体" w:hAnsi="宋体" w:eastAsia="宋体"/>
                <w:sz w:val="18"/>
              </w:rPr>
              <w:t>初中</w:t>
            </w:r>
          </w:p>
        </w:tc>
        <w:tc>
          <w:tcPr>
            <w:tcW w:type="dxa" w:w="3264"/>
          </w:tcPr>
          <w:p>
            <w:pPr>
              <w:spacing w:before="80" w:after="80"/>
              <w:jc w:val="center"/>
            </w:pPr>
            <w:r>
              <w:rPr>
                <w:rFonts w:ascii="宋体" w:hAnsi="宋体" w:eastAsia="宋体"/>
                <w:sz w:val="18"/>
              </w:rPr>
              <w:t>10,314.89</w:t>
            </w:r>
          </w:p>
        </w:tc>
        <w:tc>
          <w:tcPr>
            <w:tcW w:type="dxa" w:w="3264"/>
          </w:tcPr>
          <w:p>
            <w:pPr>
              <w:spacing w:before="80" w:after="80"/>
              <w:jc w:val="center"/>
            </w:pPr>
            <w:r>
              <w:rPr>
                <w:rFonts w:ascii="宋体" w:hAnsi="宋体" w:eastAsia="宋体"/>
                <w:sz w:val="18"/>
              </w:rPr>
              <w:t>89.37%</w:t>
            </w:r>
          </w:p>
        </w:tc>
      </w:tr>
    </w:tbl>
    <w:p>
      <w:pPr>
        <w:spacing w:after="20"/>
      </w:pPr>
    </w:p>
    <w:p>
      <w:pPr>
        <w:jc w:val="both"/>
      </w:pPr>
      <w:r>
        <w:rPr>
          <w:sz w:val="18"/>
        </w:rPr>
        <w:t>早期组成项重建减少了缺口，但没有建立31年无条件同义指标。1998年收支转换、2002年企业经费计入方式和2007年民办经费定义变化保留；不跨全部边界计算统一长期同比或复合增速。1994年也不用于判断转折或精确同比，换算依据与冲突见附录二。</w:t>
      </w:r>
    </w:p>
    <w:p>
      <w:r>
        <w:br w:type="page"/>
      </w:r>
    </w:p>
    <w:p>
      <w:pPr>
        <w:pStyle w:val="Heading1"/>
      </w:pPr>
      <w:r>
        <w:t>六 举办者构成怎样改变全国比例</w:t>
      </w:r>
    </w:p>
    <w:p>
      <w:pPr>
        <w:keepNext/>
        <w:jc w:val="center"/>
      </w:pPr>
      <w:r>
        <w:drawing>
          <wp:inline xmlns:a="http://schemas.openxmlformats.org/drawingml/2006/main" xmlns:pic="http://schemas.openxmlformats.org/drawingml/2006/picture">
            <wp:extent cx="5669280" cy="3924886"/>
            <wp:docPr id="3" name="Picture 3"/>
            <wp:cNvGraphicFramePr>
              <a:graphicFrameLocks noChangeAspect="1"/>
            </wp:cNvGraphicFramePr>
            <a:graphic>
              <a:graphicData uri="http://schemas.openxmlformats.org/drawingml/2006/picture">
                <pic:pic>
                  <pic:nvPicPr>
                    <pic:cNvPr id="0" name="fig08.png"/>
                    <pic:cNvPicPr/>
                  </pic:nvPicPr>
                  <pic:blipFill>
                    <a:blip r:embed="rId13"/>
                    <a:stretch>
                      <a:fillRect/>
                    </a:stretch>
                  </pic:blipFill>
                  <pic:spPr>
                    <a:xfrm>
                      <a:off x="0" y="0"/>
                      <a:ext cx="5669280" cy="3924886"/>
                    </a:xfrm>
                    <a:prstGeom prst="rect"/>
                  </pic:spPr>
                </pic:pic>
              </a:graphicData>
            </a:graphic>
          </wp:inline>
        </w:drawing>
      </w:r>
    </w:p>
    <w:p>
      <w:pPr>
        <w:pStyle w:val="Caption"/>
      </w:pPr>
      <w:r>
        <w:t>图3  财政性收入占比变化的举办者构成分解。单位为百分点。紫色为举办者收入权重变化贡献，金色为类别内部财政性比例变化贡献，黑色为全国变化。按年鉴原分类核算，不代表同一批学校或政策净效应。</w:t>
      </w:r>
    </w:p>
    <w:p>
      <w:pPr>
        <w:jc w:val="both"/>
      </w:pPr>
      <w:r>
        <w:t>民办学校收入占全国同学段收入的权重，2021年达到2007—2024年窗口峰值：小学7.87%、初中11.21%；2024年回落到6.62%、9.20%。这些是收入权重，不能当作民办学生人数比例；学校类别变更、学校转制和不同类别收入增长均可能改变它。</w:t>
      </w:r>
    </w:p>
    <w:p>
      <w:pPr>
        <w:pStyle w:val="Caption"/>
        <w:keepNext/>
      </w:pPr>
      <w:r>
        <w:t>表7  举办者中点分解  单位为百分点</w:t>
      </w:r>
    </w:p>
    <w:tbl>
      <w:tblPr>
        <w:tblW w:type="auto" w:w="0"/>
        <w:tblLayout w:type="fixed"/>
        <w:tblLook w:firstColumn="1" w:firstRow="1" w:lastColumn="0" w:lastRow="0" w:noHBand="0" w:noVBand="1" w:val="04A0"/>
      </w:tblPr>
      <w:tblGrid>
        <w:gridCol w:w="1987"/>
        <w:gridCol w:w="1987"/>
        <w:gridCol w:w="1987"/>
        <w:gridCol w:w="1987"/>
        <w:gridCol w:w="1987"/>
      </w:tblGrid>
      <w:tr>
        <w:trPr>
          <w:cantSplit/>
        </w:trPr>
        <w:tc>
          <w:tcPr>
            <w:tcW w:type="dxa" w:w="1958"/>
            <w:shd w:fill="EAEAEA"/>
          </w:tcPr>
          <w:p>
            <w:pPr>
              <w:spacing w:before="80" w:after="80"/>
              <w:jc w:val="center"/>
            </w:pPr>
            <w:r>
              <w:rPr>
                <w:rFonts w:ascii="宋体" w:hAnsi="宋体" w:eastAsia="宋体"/>
                <w:sz w:val="18"/>
              </w:rPr>
              <w:t>学段</w:t>
            </w:r>
          </w:p>
        </w:tc>
        <w:tc>
          <w:tcPr>
            <w:tcW w:type="dxa" w:w="1958"/>
            <w:shd w:fill="EAEAEA"/>
          </w:tcPr>
          <w:p>
            <w:pPr>
              <w:spacing w:before="80" w:after="80"/>
              <w:jc w:val="center"/>
            </w:pPr>
            <w:r>
              <w:rPr>
                <w:rFonts w:ascii="宋体" w:hAnsi="宋体" w:eastAsia="宋体"/>
                <w:sz w:val="18"/>
              </w:rPr>
              <w:t>窗口</w:t>
            </w:r>
          </w:p>
        </w:tc>
        <w:tc>
          <w:tcPr>
            <w:tcW w:type="dxa" w:w="1958"/>
            <w:shd w:fill="EAEAEA"/>
          </w:tcPr>
          <w:p>
            <w:pPr>
              <w:spacing w:before="80" w:after="80"/>
              <w:jc w:val="center"/>
            </w:pPr>
            <w:r>
              <w:rPr>
                <w:rFonts w:ascii="宋体" w:hAnsi="宋体" w:eastAsia="宋体"/>
                <w:sz w:val="18"/>
              </w:rPr>
              <w:t>全国变化</w:t>
            </w:r>
          </w:p>
        </w:tc>
        <w:tc>
          <w:tcPr>
            <w:tcW w:type="dxa" w:w="1958"/>
            <w:shd w:fill="EAEAEA"/>
          </w:tcPr>
          <w:p>
            <w:pPr>
              <w:spacing w:before="80" w:after="80"/>
              <w:jc w:val="center"/>
            </w:pPr>
            <w:r>
              <w:rPr>
                <w:rFonts w:ascii="宋体" w:hAnsi="宋体" w:eastAsia="宋体"/>
                <w:sz w:val="18"/>
              </w:rPr>
              <w:t>权重贡献</w:t>
            </w:r>
          </w:p>
        </w:tc>
        <w:tc>
          <w:tcPr>
            <w:tcW w:type="dxa" w:w="1958"/>
            <w:shd w:fill="EAEAEA"/>
          </w:tcPr>
          <w:p>
            <w:pPr>
              <w:spacing w:before="80" w:after="80"/>
              <w:jc w:val="center"/>
            </w:pPr>
            <w:r>
              <w:rPr>
                <w:rFonts w:ascii="宋体" w:hAnsi="宋体" w:eastAsia="宋体"/>
                <w:sz w:val="18"/>
              </w:rPr>
              <w:t>组内贡献</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2014—2021</w:t>
            </w:r>
          </w:p>
        </w:tc>
        <w:tc>
          <w:tcPr>
            <w:tcW w:type="dxa" w:w="1958"/>
          </w:tcPr>
          <w:p>
            <w:pPr>
              <w:spacing w:before="80" w:after="80"/>
              <w:jc w:val="center"/>
            </w:pPr>
            <w:r>
              <w:rPr>
                <w:rFonts w:ascii="宋体" w:hAnsi="宋体" w:eastAsia="宋体"/>
                <w:sz w:val="18"/>
              </w:rPr>
              <w:t>-4.698</w:t>
            </w:r>
          </w:p>
        </w:tc>
        <w:tc>
          <w:tcPr>
            <w:tcW w:type="dxa" w:w="1958"/>
          </w:tcPr>
          <w:p>
            <w:pPr>
              <w:spacing w:before="80" w:after="80"/>
              <w:jc w:val="center"/>
            </w:pPr>
            <w:r>
              <w:rPr>
                <w:rFonts w:ascii="宋体" w:hAnsi="宋体" w:eastAsia="宋体"/>
                <w:sz w:val="18"/>
              </w:rPr>
              <w:t>-4.581</w:t>
            </w:r>
          </w:p>
        </w:tc>
        <w:tc>
          <w:tcPr>
            <w:tcW w:type="dxa" w:w="1958"/>
          </w:tcPr>
          <w:p>
            <w:pPr>
              <w:spacing w:before="80" w:after="80"/>
              <w:jc w:val="center"/>
            </w:pPr>
            <w:r>
              <w:rPr>
                <w:rFonts w:ascii="宋体" w:hAnsi="宋体" w:eastAsia="宋体"/>
                <w:sz w:val="18"/>
              </w:rPr>
              <w:t>-0.118</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2021—2024</w:t>
            </w:r>
          </w:p>
        </w:tc>
        <w:tc>
          <w:tcPr>
            <w:tcW w:type="dxa" w:w="1958"/>
          </w:tcPr>
          <w:p>
            <w:pPr>
              <w:spacing w:before="80" w:after="80"/>
              <w:jc w:val="center"/>
            </w:pPr>
            <w:r>
              <w:rPr>
                <w:rFonts w:ascii="宋体" w:hAnsi="宋体" w:eastAsia="宋体"/>
                <w:sz w:val="18"/>
              </w:rPr>
              <w:t>+0.006</w:t>
            </w:r>
          </w:p>
        </w:tc>
        <w:tc>
          <w:tcPr>
            <w:tcW w:type="dxa" w:w="1958"/>
          </w:tcPr>
          <w:p>
            <w:pPr>
              <w:spacing w:before="80" w:after="80"/>
              <w:jc w:val="center"/>
            </w:pPr>
            <w:r>
              <w:rPr>
                <w:rFonts w:ascii="宋体" w:hAnsi="宋体" w:eastAsia="宋体"/>
                <w:sz w:val="18"/>
              </w:rPr>
              <w:t>+1.714</w:t>
            </w:r>
          </w:p>
        </w:tc>
        <w:tc>
          <w:tcPr>
            <w:tcW w:type="dxa" w:w="1958"/>
          </w:tcPr>
          <w:p>
            <w:pPr>
              <w:spacing w:before="80" w:after="80"/>
              <w:jc w:val="center"/>
            </w:pPr>
            <w:r>
              <w:rPr>
                <w:rFonts w:ascii="宋体" w:hAnsi="宋体" w:eastAsia="宋体"/>
                <w:sz w:val="18"/>
              </w:rPr>
              <w:t>-1.708</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2014—2021</w:t>
            </w:r>
          </w:p>
        </w:tc>
        <w:tc>
          <w:tcPr>
            <w:tcW w:type="dxa" w:w="1958"/>
          </w:tcPr>
          <w:p>
            <w:pPr>
              <w:spacing w:before="80" w:after="80"/>
              <w:jc w:val="center"/>
            </w:pPr>
            <w:r>
              <w:rPr>
                <w:rFonts w:ascii="宋体" w:hAnsi="宋体" w:eastAsia="宋体"/>
                <w:sz w:val="18"/>
              </w:rPr>
              <w:t>-3.369</w:t>
            </w:r>
          </w:p>
        </w:tc>
        <w:tc>
          <w:tcPr>
            <w:tcW w:type="dxa" w:w="1958"/>
          </w:tcPr>
          <w:p>
            <w:pPr>
              <w:spacing w:before="80" w:after="80"/>
              <w:jc w:val="center"/>
            </w:pPr>
            <w:r>
              <w:rPr>
                <w:rFonts w:ascii="宋体" w:hAnsi="宋体" w:eastAsia="宋体"/>
                <w:sz w:val="18"/>
              </w:rPr>
              <w:t>-3.162</w:t>
            </w:r>
          </w:p>
        </w:tc>
        <w:tc>
          <w:tcPr>
            <w:tcW w:type="dxa" w:w="1958"/>
          </w:tcPr>
          <w:p>
            <w:pPr>
              <w:spacing w:before="80" w:after="80"/>
              <w:jc w:val="center"/>
            </w:pPr>
            <w:r>
              <w:rPr>
                <w:rFonts w:ascii="宋体" w:hAnsi="宋体" w:eastAsia="宋体"/>
                <w:sz w:val="18"/>
              </w:rPr>
              <w:t>-0.207</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2021—2024</w:t>
            </w:r>
          </w:p>
        </w:tc>
        <w:tc>
          <w:tcPr>
            <w:tcW w:type="dxa" w:w="1958"/>
          </w:tcPr>
          <w:p>
            <w:pPr>
              <w:spacing w:before="80" w:after="80"/>
              <w:jc w:val="center"/>
            </w:pPr>
            <w:r>
              <w:rPr>
                <w:rFonts w:ascii="宋体" w:hAnsi="宋体" w:eastAsia="宋体"/>
                <w:sz w:val="18"/>
              </w:rPr>
              <w:t>-1.048</w:t>
            </w:r>
          </w:p>
        </w:tc>
        <w:tc>
          <w:tcPr>
            <w:tcW w:type="dxa" w:w="1958"/>
          </w:tcPr>
          <w:p>
            <w:pPr>
              <w:spacing w:before="80" w:after="80"/>
              <w:jc w:val="center"/>
            </w:pPr>
            <w:r>
              <w:rPr>
                <w:rFonts w:ascii="宋体" w:hAnsi="宋体" w:eastAsia="宋体"/>
                <w:sz w:val="18"/>
              </w:rPr>
              <w:t>+1.042</w:t>
            </w:r>
          </w:p>
        </w:tc>
        <w:tc>
          <w:tcPr>
            <w:tcW w:type="dxa" w:w="1958"/>
          </w:tcPr>
          <w:p>
            <w:pPr>
              <w:spacing w:before="80" w:after="80"/>
              <w:jc w:val="center"/>
            </w:pPr>
            <w:r>
              <w:rPr>
                <w:rFonts w:ascii="宋体" w:hAnsi="宋体" w:eastAsia="宋体"/>
                <w:sz w:val="18"/>
              </w:rPr>
              <w:t>-2.091</w:t>
            </w:r>
          </w:p>
        </w:tc>
      </w:tr>
    </w:tbl>
    <w:p>
      <w:pPr>
        <w:spacing w:after="20"/>
      </w:pPr>
    </w:p>
    <w:p>
      <w:pPr>
        <w:jc w:val="both"/>
      </w:pPr>
      <w:r>
        <w:t>2014—2021年两个学段的比例下降主要对应举办者收入权重变化。2021—2024年权重回落带来的向上贡献又被组内比例下降抵消，初中全国比例仅增约0.006个百分点。全国比例接近不变也会隐藏方向相反的结构变化。分解提供了测量解释，尚不足以分辨学校转制或政策作用的份额。</w:t>
      </w:r>
    </w:p>
    <w:p>
      <w:r>
        <w:br w:type="page"/>
      </w:r>
    </w:p>
    <w:p>
      <w:pPr>
        <w:pStyle w:val="Heading1"/>
      </w:pPr>
      <w:r>
        <w:t>七 支出扩张与个人公用构成</w:t>
      </w:r>
    </w:p>
    <w:p>
      <w:pPr>
        <w:keepNext/>
        <w:jc w:val="center"/>
      </w:pPr>
      <w:r>
        <w:drawing>
          <wp:inline xmlns:a="http://schemas.openxmlformats.org/drawingml/2006/main" xmlns:pic="http://schemas.openxmlformats.org/drawingml/2006/picture">
            <wp:extent cx="5943600" cy="4023360"/>
            <wp:docPr id="4" name="Picture 4"/>
            <wp:cNvGraphicFramePr>
              <a:graphicFrameLocks noChangeAspect="1"/>
            </wp:cNvGraphicFramePr>
            <a:graphic>
              <a:graphicData uri="http://schemas.openxmlformats.org/drawingml/2006/picture">
                <pic:pic>
                  <pic:nvPicPr>
                    <pic:cNvPr id="0" name="fig04.png"/>
                    <pic:cNvPicPr/>
                  </pic:nvPicPr>
                  <pic:blipFill>
                    <a:blip r:embed="rId14"/>
                    <a:stretch>
                      <a:fillRect/>
                    </a:stretch>
                  </pic:blipFill>
                  <pic:spPr>
                    <a:xfrm>
                      <a:off x="0" y="0"/>
                      <a:ext cx="5943600" cy="4023360"/>
                    </a:xfrm>
                    <a:prstGeom prst="rect"/>
                  </pic:spPr>
                </pic:pic>
              </a:graphicData>
            </a:graphic>
          </wp:inline>
        </w:drawing>
      </w:r>
    </w:p>
    <w:p>
      <w:pPr>
        <w:pStyle w:val="Caption"/>
      </w:pPr>
      <w:r>
        <w:t>图4  地方隶属学校个人支出占两项合计的比例。分母为P＋C，不含另列基本建设K。2007、2014年相关分类或范围边界断线；2024年资本性项目名称变化单列。地方隶属范围与后续全隶属回归不同。</w:t>
      </w:r>
    </w:p>
    <w:p>
      <w:pPr>
        <w:jc w:val="both"/>
      </w:pPr>
      <w:r>
        <w:t>2007—2013年，个人占P＋C的比例小学从74.94%降至65.19%，初中从68.41%降至61.67%；2013—2023年又升至75.40%、72.89%。这一变化与公用前期较快扩张、后期相对放缓一致，但个人并非纯教师工资，公用也包括资本性项目，不能仅凭份额回升宣布运行经费受挤压。</w:t>
      </w:r>
    </w:p>
    <w:p>
      <w:pPr>
        <w:jc w:val="both"/>
      </w:pPr>
      <w:r>
        <w:t>在相同28个地区的端点比较中，1995—2006年P＋C年均实际增长率中位数为11.70%（小学）、12.11%（初中）；2007—2013年为14.54%、14.47%；2013—2023年为6.16%、6.05%。各地区先分别计算，再取中位数，不是全国加权增速。</w:t>
      </w:r>
    </w:p>
    <w:p>
      <w:pPr>
        <w:jc w:val="both"/>
      </w:pPr>
      <w:r>
        <w:t>四个叙述阶段分别为1995—2006、2007—2013、2014—2021、2022—2024年，用于组织历史；支出端点窗口并不全部与叙述阶段一致。2013—2014年另列建设资金范围变化不自动证明P、C发生相同幅度变化，跨阶段比较仍保留限制，不能解释为改革使增长速度改变。</w:t>
      </w:r>
    </w:p>
    <w:p>
      <w:r>
        <w:br w:type="page"/>
      </w:r>
    </w:p>
    <w:p>
      <w:pPr>
        <w:pStyle w:val="Heading1"/>
      </w:pPr>
      <w:r>
        <w:t>八 增速放缓是否只是地区样本变化</w:t>
      </w:r>
    </w:p>
    <w:p>
      <w:pPr>
        <w:keepNext/>
        <w:jc w:val="center"/>
      </w:pPr>
      <w:r>
        <w:drawing>
          <wp:inline xmlns:a="http://schemas.openxmlformats.org/drawingml/2006/main" xmlns:pic="http://schemas.openxmlformats.org/drawingml/2006/picture">
            <wp:extent cx="5943600" cy="4114800"/>
            <wp:docPr id="5" name="Picture 5"/>
            <wp:cNvGraphicFramePr>
              <a:graphicFrameLocks noChangeAspect="1"/>
            </wp:cNvGraphicFramePr>
            <a:graphic>
              <a:graphicData uri="http://schemas.openxmlformats.org/drawingml/2006/picture">
                <pic:pic>
                  <pic:nvPicPr>
                    <pic:cNvPr id="0" name="fig06.png"/>
                    <pic:cNvPicPr/>
                  </pic:nvPicPr>
                  <pic:blipFill>
                    <a:blip r:embed="rId15"/>
                    <a:stretch>
                      <a:fillRect/>
                    </a:stretch>
                  </pic:blipFill>
                  <pic:spPr>
                    <a:xfrm>
                      <a:off x="0" y="0"/>
                      <a:ext cx="5943600" cy="4114800"/>
                    </a:xfrm>
                    <a:prstGeom prst="rect"/>
                  </pic:spPr>
                </pic:pic>
              </a:graphicData>
            </a:graphic>
          </wp:inline>
        </w:drawing>
      </w:r>
    </w:p>
    <w:p>
      <w:pPr>
        <w:pStyle w:val="Caption"/>
      </w:pPr>
      <w:r>
        <w:t>图5  相同地区的支出年均实际增速跨期比较。两窗口均为相同28个省级地区，排除四川、重庆、西藏。每点为同一地区，虚线表示两窗口增长相同；两轴同尺度。增速降低不等于金额下降。</w:t>
      </w:r>
    </w:p>
    <w:p>
      <w:pPr>
        <w:jc w:val="both"/>
      </w:pPr>
      <w:r>
        <w:t>四川涉及重庆设市前后的区划变化，重庆缺少1995年独立起点，西藏缺少早期完整CPI链，因此长期跨期比较采用相同28个地区。该处理减少地区构成变化的影响，却不证明财务分类已经完全一致。</w:t>
      </w:r>
    </w:p>
    <w:p>
      <w:pPr>
        <w:jc w:val="both"/>
      </w:pPr>
      <w:r>
        <w:t>逐省配对后，小学28个、初中26个地区的P＋C年均实际增速在2013—2023年低于2007—2013年。后期增速放缓具有较广分布，不完全是早期28地区、后期31地区样本构成造成的表象。</w:t>
      </w:r>
    </w:p>
    <w:p>
      <w:pPr>
        <w:pStyle w:val="Caption"/>
        <w:keepNext/>
      </w:pPr>
      <w:r>
        <w:t>表8  相同28个地区的分段增长描述</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比较窗口</w:t>
            </w:r>
          </w:p>
        </w:tc>
        <w:tc>
          <w:tcPr>
            <w:tcW w:type="dxa" w:w="3264"/>
            <w:shd w:fill="EAEAEA"/>
          </w:tcPr>
          <w:p>
            <w:pPr>
              <w:spacing w:before="80" w:after="80"/>
              <w:jc w:val="center"/>
            </w:pPr>
            <w:r>
              <w:rPr>
                <w:rFonts w:ascii="宋体" w:hAnsi="宋体" w:eastAsia="宋体"/>
                <w:sz w:val="18"/>
              </w:rPr>
              <w:t>小学年均实际增速中位数</w:t>
            </w:r>
          </w:p>
        </w:tc>
        <w:tc>
          <w:tcPr>
            <w:tcW w:type="dxa" w:w="3264"/>
            <w:shd w:fill="EAEAEA"/>
          </w:tcPr>
          <w:p>
            <w:pPr>
              <w:spacing w:before="80" w:after="80"/>
              <w:jc w:val="center"/>
            </w:pPr>
            <w:r>
              <w:rPr>
                <w:rFonts w:ascii="宋体" w:hAnsi="宋体" w:eastAsia="宋体"/>
                <w:sz w:val="18"/>
              </w:rPr>
              <w:t>初中年均实际增速中位数</w:t>
            </w:r>
          </w:p>
        </w:tc>
      </w:tr>
      <w:tr>
        <w:trPr>
          <w:cantSplit/>
        </w:trPr>
        <w:tc>
          <w:tcPr>
            <w:tcW w:type="dxa" w:w="3264"/>
          </w:tcPr>
          <w:p>
            <w:pPr>
              <w:spacing w:before="80" w:after="80"/>
              <w:jc w:val="center"/>
            </w:pPr>
            <w:r>
              <w:rPr>
                <w:rFonts w:ascii="宋体" w:hAnsi="宋体" w:eastAsia="宋体"/>
                <w:sz w:val="18"/>
              </w:rPr>
              <w:t>1995—2006</w:t>
            </w:r>
          </w:p>
        </w:tc>
        <w:tc>
          <w:tcPr>
            <w:tcW w:type="dxa" w:w="3264"/>
          </w:tcPr>
          <w:p>
            <w:pPr>
              <w:spacing w:before="80" w:after="80"/>
              <w:jc w:val="center"/>
            </w:pPr>
            <w:r>
              <w:rPr>
                <w:rFonts w:ascii="宋体" w:hAnsi="宋体" w:eastAsia="宋体"/>
                <w:sz w:val="18"/>
              </w:rPr>
              <w:t>11.70%</w:t>
            </w:r>
          </w:p>
        </w:tc>
        <w:tc>
          <w:tcPr>
            <w:tcW w:type="dxa" w:w="3264"/>
          </w:tcPr>
          <w:p>
            <w:pPr>
              <w:spacing w:before="80" w:after="80"/>
              <w:jc w:val="center"/>
            </w:pPr>
            <w:r>
              <w:rPr>
                <w:rFonts w:ascii="宋体" w:hAnsi="宋体" w:eastAsia="宋体"/>
                <w:sz w:val="18"/>
              </w:rPr>
              <w:t>12.11%</w:t>
            </w:r>
          </w:p>
        </w:tc>
      </w:tr>
      <w:tr>
        <w:trPr>
          <w:cantSplit/>
        </w:trPr>
        <w:tc>
          <w:tcPr>
            <w:tcW w:type="dxa" w:w="3264"/>
          </w:tcPr>
          <w:p>
            <w:pPr>
              <w:spacing w:before="80" w:after="80"/>
              <w:jc w:val="center"/>
            </w:pPr>
            <w:r>
              <w:rPr>
                <w:rFonts w:ascii="宋体" w:hAnsi="宋体" w:eastAsia="宋体"/>
                <w:sz w:val="18"/>
              </w:rPr>
              <w:t>2007—2013</w:t>
            </w:r>
          </w:p>
        </w:tc>
        <w:tc>
          <w:tcPr>
            <w:tcW w:type="dxa" w:w="3264"/>
          </w:tcPr>
          <w:p>
            <w:pPr>
              <w:spacing w:before="80" w:after="80"/>
              <w:jc w:val="center"/>
            </w:pPr>
            <w:r>
              <w:rPr>
                <w:rFonts w:ascii="宋体" w:hAnsi="宋体" w:eastAsia="宋体"/>
                <w:sz w:val="18"/>
              </w:rPr>
              <w:t>14.54%</w:t>
            </w:r>
          </w:p>
        </w:tc>
        <w:tc>
          <w:tcPr>
            <w:tcW w:type="dxa" w:w="3264"/>
          </w:tcPr>
          <w:p>
            <w:pPr>
              <w:spacing w:before="80" w:after="80"/>
              <w:jc w:val="center"/>
            </w:pPr>
            <w:r>
              <w:rPr>
                <w:rFonts w:ascii="宋体" w:hAnsi="宋体" w:eastAsia="宋体"/>
                <w:sz w:val="18"/>
              </w:rPr>
              <w:t>14.47%</w:t>
            </w:r>
          </w:p>
        </w:tc>
      </w:tr>
      <w:tr>
        <w:trPr>
          <w:cantSplit/>
        </w:trPr>
        <w:tc>
          <w:tcPr>
            <w:tcW w:type="dxa" w:w="3264"/>
          </w:tcPr>
          <w:p>
            <w:pPr>
              <w:spacing w:before="80" w:after="80"/>
              <w:jc w:val="center"/>
            </w:pPr>
            <w:r>
              <w:rPr>
                <w:rFonts w:ascii="宋体" w:hAnsi="宋体" w:eastAsia="宋体"/>
                <w:sz w:val="18"/>
              </w:rPr>
              <w:t>2013—2023</w:t>
            </w:r>
          </w:p>
        </w:tc>
        <w:tc>
          <w:tcPr>
            <w:tcW w:type="dxa" w:w="3264"/>
          </w:tcPr>
          <w:p>
            <w:pPr>
              <w:spacing w:before="80" w:after="80"/>
              <w:jc w:val="center"/>
            </w:pPr>
            <w:r>
              <w:rPr>
                <w:rFonts w:ascii="宋体" w:hAnsi="宋体" w:eastAsia="宋体"/>
                <w:sz w:val="18"/>
              </w:rPr>
              <w:t>6.16%</w:t>
            </w:r>
          </w:p>
        </w:tc>
        <w:tc>
          <w:tcPr>
            <w:tcW w:type="dxa" w:w="3264"/>
          </w:tcPr>
          <w:p>
            <w:pPr>
              <w:spacing w:before="80" w:after="80"/>
              <w:jc w:val="center"/>
            </w:pPr>
            <w:r>
              <w:rPr>
                <w:rFonts w:ascii="宋体" w:hAnsi="宋体" w:eastAsia="宋体"/>
                <w:sz w:val="18"/>
              </w:rPr>
              <w:t>6.05%</w:t>
            </w:r>
          </w:p>
        </w:tc>
      </w:tr>
    </w:tbl>
    <w:p>
      <w:pPr>
        <w:spacing w:after="20"/>
      </w:pPr>
    </w:p>
    <w:p>
      <w:pPr>
        <w:jc w:val="both"/>
      </w:pPr>
      <w:r>
        <w:t>较低增速仍可能对应支出金额增加。进一步关注内部项目的绝对下降，才能区分增长放缓与资源收缩；固定地区比较本身不能证明财政保障强度下降或解释教育服务质量。</w:t>
      </w:r>
    </w:p>
    <w:p>
      <w:r>
        <w:br w:type="page"/>
      </w:r>
    </w:p>
    <w:p>
      <w:pPr>
        <w:pStyle w:val="Heading1"/>
      </w:pPr>
      <w:r>
        <w:t>九 全国扩张中的局部公用收缩</w:t>
      </w:r>
    </w:p>
    <w:p>
      <w:pPr>
        <w:keepNext/>
        <w:jc w:val="center"/>
      </w:pPr>
      <w:r>
        <w:drawing>
          <wp:inline xmlns:a="http://schemas.openxmlformats.org/drawingml/2006/main" xmlns:pic="http://schemas.openxmlformats.org/drawingml/2006/picture">
            <wp:extent cx="4663440" cy="6313580"/>
            <wp:docPr id="6" name="Picture 6"/>
            <wp:cNvGraphicFramePr>
              <a:graphicFrameLocks noChangeAspect="1"/>
            </wp:cNvGraphicFramePr>
            <a:graphic>
              <a:graphicData uri="http://schemas.openxmlformats.org/drawingml/2006/picture">
                <pic:pic>
                  <pic:nvPicPr>
                    <pic:cNvPr id="0" name="fig07.png"/>
                    <pic:cNvPicPr/>
                  </pic:nvPicPr>
                  <pic:blipFill>
                    <a:blip r:embed="rId16"/>
                    <a:stretch>
                      <a:fillRect/>
                    </a:stretch>
                  </pic:blipFill>
                  <pic:spPr>
                    <a:xfrm>
                      <a:off x="0" y="0"/>
                      <a:ext cx="4663440" cy="6313580"/>
                    </a:xfrm>
                    <a:prstGeom prst="rect"/>
                  </pic:spPr>
                </pic:pic>
              </a:graphicData>
            </a:graphic>
          </wp:inline>
        </w:drawing>
      </w:r>
    </w:p>
    <w:p>
      <w:pPr>
        <w:pStyle w:val="Caption"/>
      </w:pPr>
      <w:r>
        <w:t>图6  各地区小学与初中公用支出实际增长。2017—2023年31个省级地区累计实际增长，非年均增长；按小学排序。线段连接同一地区两学段，零线左侧为实际金额下降。公用含资本性项目。</w:t>
      </w:r>
    </w:p>
    <w:p>
      <w:pPr>
        <w:jc w:val="both"/>
      </w:pPr>
      <w:r>
        <w:t>2017—2023年，小学8个、初中7个地区公用支出实际金额下降。小学吉林、辽宁、黑龙江P＋C合计也出现实际下降，初中合计在31个地区均增长。总体扩张并未排除局部项目收缩；这些地区值得进一步核查运行和资本性项目。</w:t>
      </w:r>
    </w:p>
    <w:p>
      <w:pPr>
        <w:jc w:val="both"/>
      </w:pPr>
      <w:r>
        <w:rPr>
          <w:sz w:val="18"/>
        </w:rPr>
        <w:t>地区下降不是教育不足或效率变化的直接证据。原表还不能区分资本项目完结、采购时点、学校类别变化、人员成本及服务需求调整。地区端点与年度过程也不同；不能据端点负增长宣布期间每年都下降。</w:t>
      </w:r>
    </w:p>
    <w:p>
      <w:r>
        <w:br w:type="page"/>
      </w:r>
    </w:p>
    <w:p>
      <w:pPr>
        <w:pStyle w:val="Heading1"/>
      </w:pPr>
      <w:r>
        <w:t>十 从历史共变到支出响应差异</w:t>
      </w:r>
    </w:p>
    <w:p>
      <w:pPr>
        <w:keepNext/>
        <w:jc w:val="center"/>
      </w:pPr>
      <w:r>
        <w:drawing>
          <wp:inline xmlns:a="http://schemas.openxmlformats.org/drawingml/2006/main" xmlns:pic="http://schemas.openxmlformats.org/drawingml/2006/picture">
            <wp:extent cx="5943600" cy="2717074"/>
            <wp:docPr id="7" name="Picture 7"/>
            <wp:cNvGraphicFramePr>
              <a:graphicFrameLocks noChangeAspect="1"/>
            </wp:cNvGraphicFramePr>
            <a:graphic>
              <a:graphicData uri="http://schemas.openxmlformats.org/drawingml/2006/picture">
                <pic:pic>
                  <pic:nvPicPr>
                    <pic:cNvPr id="0" name="图Q1_直接差异与置信区间.png"/>
                    <pic:cNvPicPr/>
                  </pic:nvPicPr>
                  <pic:blipFill>
                    <a:blip r:embed="rId17"/>
                    <a:stretch>
                      <a:fillRect/>
                    </a:stretch>
                  </pic:blipFill>
                  <pic:spPr>
                    <a:xfrm>
                      <a:off x="0" y="0"/>
                      <a:ext cx="5943600" cy="2717074"/>
                    </a:xfrm>
                    <a:prstGeom prst="rect"/>
                  </pic:spPr>
                </pic:pic>
              </a:graphicData>
            </a:graphic>
          </wp:inline>
        </w:drawing>
      </w:r>
    </w:p>
    <w:p>
      <w:pPr>
        <w:pStyle w:val="Caption"/>
      </w:pPr>
      <w:r>
        <w:t>图7  公用相对个人的直接响应差。2008—2023年，两学段各472条省年；控制学生、实际自身收入、省份和年份效应。单项WCR检验反演95%区间，四项Holm校正p；不是家族同时置信区间。</w:t>
      </w:r>
    </w:p>
    <w:p>
      <w:pPr>
        <w:pStyle w:val="Caption"/>
        <w:keepNext/>
      </w:pPr>
      <w:r>
        <w:t>表9  直接系数检验及家族内Holm校正</w:t>
      </w:r>
    </w:p>
    <w:tbl>
      <w:tblPr>
        <w:tblW w:type="auto" w:w="0"/>
        <w:tblLayout w:type="fixed"/>
        <w:tblLook w:firstColumn="1" w:firstRow="1" w:lastColumn="0" w:lastRow="0" w:noHBand="0" w:noVBand="1" w:val="04A0"/>
      </w:tblPr>
      <w:tblGrid>
        <w:gridCol w:w="1987"/>
        <w:gridCol w:w="1987"/>
        <w:gridCol w:w="1987"/>
        <w:gridCol w:w="1987"/>
        <w:gridCol w:w="1987"/>
      </w:tblGrid>
      <w:tr>
        <w:trPr>
          <w:cantSplit/>
        </w:trPr>
        <w:tc>
          <w:tcPr>
            <w:tcW w:type="dxa" w:w="1958"/>
            <w:shd w:fill="EAEAEA"/>
          </w:tcPr>
          <w:p>
            <w:pPr>
              <w:spacing w:before="80" w:after="80"/>
              <w:jc w:val="center"/>
            </w:pPr>
            <w:r>
              <w:rPr>
                <w:rFonts w:ascii="宋体" w:hAnsi="宋体" w:eastAsia="宋体"/>
                <w:sz w:val="18"/>
              </w:rPr>
              <w:t>学段</w:t>
            </w:r>
          </w:p>
        </w:tc>
        <w:tc>
          <w:tcPr>
            <w:tcW w:type="dxa" w:w="1958"/>
            <w:shd w:fill="EAEAEA"/>
          </w:tcPr>
          <w:p>
            <w:pPr>
              <w:spacing w:before="80" w:after="80"/>
              <w:jc w:val="center"/>
            </w:pPr>
            <w:r>
              <w:rPr>
                <w:rFonts w:ascii="宋体" w:hAnsi="宋体" w:eastAsia="宋体"/>
                <w:sz w:val="18"/>
              </w:rPr>
              <w:t>检验对象</w:t>
            </w:r>
          </w:p>
        </w:tc>
        <w:tc>
          <w:tcPr>
            <w:tcW w:type="dxa" w:w="1958"/>
            <w:shd w:fill="EAEAEA"/>
          </w:tcPr>
          <w:p>
            <w:pPr>
              <w:spacing w:before="80" w:after="80"/>
              <w:jc w:val="center"/>
            </w:pPr>
            <w:r>
              <w:rPr>
                <w:rFonts w:ascii="宋体" w:hAnsi="宋体" w:eastAsia="宋体"/>
                <w:sz w:val="18"/>
              </w:rPr>
              <w:t>系数</w:t>
            </w:r>
          </w:p>
        </w:tc>
        <w:tc>
          <w:tcPr>
            <w:tcW w:type="dxa" w:w="1958"/>
            <w:shd w:fill="EAEAEA"/>
          </w:tcPr>
          <w:p>
            <w:pPr>
              <w:spacing w:before="80" w:after="80"/>
              <w:jc w:val="center"/>
            </w:pPr>
            <w:r>
              <w:rPr>
                <w:rFonts w:ascii="宋体" w:hAnsi="宋体" w:eastAsia="宋体"/>
                <w:sz w:val="18"/>
              </w:rPr>
              <w:t>单项95%区间</w:t>
            </w:r>
          </w:p>
        </w:tc>
        <w:tc>
          <w:tcPr>
            <w:tcW w:type="dxa" w:w="1958"/>
            <w:shd w:fill="EAEAEA"/>
          </w:tcPr>
          <w:p>
            <w:pPr>
              <w:spacing w:before="80" w:after="80"/>
              <w:jc w:val="center"/>
            </w:pPr>
            <w:r>
              <w:rPr>
                <w:rFonts w:ascii="宋体" w:hAnsi="宋体" w:eastAsia="宋体"/>
                <w:sz w:val="18"/>
              </w:rPr>
              <w:t>校正p</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学生变化</w:t>
            </w:r>
          </w:p>
        </w:tc>
        <w:tc>
          <w:tcPr>
            <w:tcW w:type="dxa" w:w="1958"/>
          </w:tcPr>
          <w:p>
            <w:pPr>
              <w:spacing w:before="80" w:after="80"/>
              <w:jc w:val="center"/>
            </w:pPr>
            <w:r>
              <w:rPr>
                <w:rFonts w:ascii="宋体" w:hAnsi="宋体" w:eastAsia="宋体"/>
                <w:sz w:val="18"/>
              </w:rPr>
              <w:t>0.695</w:t>
            </w:r>
          </w:p>
        </w:tc>
        <w:tc>
          <w:tcPr>
            <w:tcW w:type="dxa" w:w="1958"/>
          </w:tcPr>
          <w:p>
            <w:pPr>
              <w:spacing w:before="80" w:after="80"/>
              <w:jc w:val="center"/>
            </w:pPr>
            <w:r>
              <w:rPr>
                <w:rFonts w:ascii="宋体" w:hAnsi="宋体" w:eastAsia="宋体"/>
                <w:sz w:val="18"/>
              </w:rPr>
              <w:t>0.072 至 1.373</w:t>
            </w:r>
          </w:p>
        </w:tc>
        <w:tc>
          <w:tcPr>
            <w:tcW w:type="dxa" w:w="1958"/>
          </w:tcPr>
          <w:p>
            <w:pPr>
              <w:spacing w:before="80" w:after="80"/>
              <w:jc w:val="center"/>
            </w:pPr>
            <w:r>
              <w:rPr>
                <w:rFonts w:ascii="宋体" w:hAnsi="宋体" w:eastAsia="宋体"/>
                <w:sz w:val="18"/>
              </w:rPr>
              <w:t>0.0879</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自身收入变化</w:t>
            </w:r>
          </w:p>
        </w:tc>
        <w:tc>
          <w:tcPr>
            <w:tcW w:type="dxa" w:w="1958"/>
          </w:tcPr>
          <w:p>
            <w:pPr>
              <w:spacing w:before="80" w:after="80"/>
              <w:jc w:val="center"/>
            </w:pPr>
            <w:r>
              <w:rPr>
                <w:rFonts w:ascii="宋体" w:hAnsi="宋体" w:eastAsia="宋体"/>
                <w:sz w:val="18"/>
              </w:rPr>
              <w:t>0.217</w:t>
            </w:r>
          </w:p>
        </w:tc>
        <w:tc>
          <w:tcPr>
            <w:tcW w:type="dxa" w:w="1958"/>
          </w:tcPr>
          <w:p>
            <w:pPr>
              <w:spacing w:before="80" w:after="80"/>
              <w:jc w:val="center"/>
            </w:pPr>
            <w:r>
              <w:rPr>
                <w:rFonts w:ascii="宋体" w:hAnsi="宋体" w:eastAsia="宋体"/>
                <w:sz w:val="18"/>
              </w:rPr>
              <w:t>-0.019 至 0.442</w:t>
            </w:r>
          </w:p>
        </w:tc>
        <w:tc>
          <w:tcPr>
            <w:tcW w:type="dxa" w:w="1958"/>
          </w:tcPr>
          <w:p>
            <w:pPr>
              <w:spacing w:before="80" w:after="80"/>
              <w:jc w:val="center"/>
            </w:pPr>
            <w:r>
              <w:rPr>
                <w:rFonts w:ascii="宋体" w:hAnsi="宋体" w:eastAsia="宋体"/>
                <w:sz w:val="18"/>
              </w:rPr>
              <w:t>0.1388</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学生变化</w:t>
            </w:r>
          </w:p>
        </w:tc>
        <w:tc>
          <w:tcPr>
            <w:tcW w:type="dxa" w:w="1958"/>
          </w:tcPr>
          <w:p>
            <w:pPr>
              <w:spacing w:before="80" w:after="80"/>
              <w:jc w:val="center"/>
            </w:pPr>
            <w:r>
              <w:rPr>
                <w:rFonts w:ascii="宋体" w:hAnsi="宋体" w:eastAsia="宋体"/>
                <w:sz w:val="18"/>
              </w:rPr>
              <w:t>0.601</w:t>
            </w:r>
          </w:p>
        </w:tc>
        <w:tc>
          <w:tcPr>
            <w:tcW w:type="dxa" w:w="1958"/>
          </w:tcPr>
          <w:p>
            <w:pPr>
              <w:spacing w:before="80" w:after="80"/>
              <w:jc w:val="center"/>
            </w:pPr>
            <w:r>
              <w:rPr>
                <w:rFonts w:ascii="宋体" w:hAnsi="宋体" w:eastAsia="宋体"/>
                <w:sz w:val="18"/>
              </w:rPr>
              <w:t>0.229 至 0.982</w:t>
            </w:r>
          </w:p>
        </w:tc>
        <w:tc>
          <w:tcPr>
            <w:tcW w:type="dxa" w:w="1958"/>
          </w:tcPr>
          <w:p>
            <w:pPr>
              <w:spacing w:before="80" w:after="80"/>
              <w:jc w:val="center"/>
            </w:pPr>
            <w:r>
              <w:rPr>
                <w:rFonts w:ascii="宋体" w:hAnsi="宋体" w:eastAsia="宋体"/>
                <w:sz w:val="18"/>
              </w:rPr>
              <w:t>0.0144</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自身收入变化</w:t>
            </w:r>
          </w:p>
        </w:tc>
        <w:tc>
          <w:tcPr>
            <w:tcW w:type="dxa" w:w="1958"/>
          </w:tcPr>
          <w:p>
            <w:pPr>
              <w:spacing w:before="80" w:after="80"/>
              <w:jc w:val="center"/>
            </w:pPr>
            <w:r>
              <w:rPr>
                <w:rFonts w:ascii="宋体" w:hAnsi="宋体" w:eastAsia="宋体"/>
                <w:sz w:val="18"/>
              </w:rPr>
              <w:t>0.164</w:t>
            </w:r>
          </w:p>
        </w:tc>
        <w:tc>
          <w:tcPr>
            <w:tcW w:type="dxa" w:w="1958"/>
          </w:tcPr>
          <w:p>
            <w:pPr>
              <w:spacing w:before="80" w:after="80"/>
              <w:jc w:val="center"/>
            </w:pPr>
            <w:r>
              <w:rPr>
                <w:rFonts w:ascii="宋体" w:hAnsi="宋体" w:eastAsia="宋体"/>
                <w:sz w:val="18"/>
              </w:rPr>
              <w:t>-0.072 至 0.430</w:t>
            </w:r>
          </w:p>
        </w:tc>
        <w:tc>
          <w:tcPr>
            <w:tcW w:type="dxa" w:w="1958"/>
          </w:tcPr>
          <w:p>
            <w:pPr>
              <w:spacing w:before="80" w:after="80"/>
              <w:jc w:val="center"/>
            </w:pPr>
            <w:r>
              <w:rPr>
                <w:rFonts w:ascii="宋体" w:hAnsi="宋体" w:eastAsia="宋体"/>
                <w:sz w:val="18"/>
              </w:rPr>
              <w:t>0.1884</w:t>
            </w:r>
          </w:p>
        </w:tc>
      </w:tr>
    </w:tbl>
    <w:p>
      <w:pPr>
        <w:spacing w:after="20"/>
      </w:pPr>
    </w:p>
    <w:p>
      <w:pPr>
        <w:jc w:val="both"/>
      </w:pPr>
      <w:r>
        <w:t>初中学生响应差0.601得到该轮四项校正支持；小学0.695方向相同，但校正p＝0.0879。自身收入差在两个学段均证据不足。这里比较的是个人与公用对区域生源变化的不同条件响应，两个学段分别显著与否不同也不等于学段间差异成立。</w:t>
      </w:r>
    </w:p>
    <w:p>
      <w:pPr>
        <w:jc w:val="both"/>
      </w:pPr>
      <w:r>
        <w:t>全样本包括增长及下降省年，结果是平均线性关系。将学生增长和下降幅度分开后，初中下降幅度差系数约−0.462、CR1标准误0.275，近似区间跨零；不能专门宣称生源收缩导致公用挤压。预定样本和逐省逐年删除仅作稳定性诊断，不替代主推断。</w:t>
      </w:r>
    </w:p>
    <w:p>
      <w:r>
        <w:br w:type="page"/>
      </w:r>
    </w:p>
    <w:p>
      <w:pPr>
        <w:pStyle w:val="Heading1"/>
      </w:pPr>
      <w:r>
        <w:t>十一 办学资源能否解释支出差异</w:t>
      </w:r>
    </w:p>
    <w:p>
      <w:pPr>
        <w:keepNext/>
        <w:jc w:val="center"/>
      </w:pPr>
      <w:r>
        <w:drawing>
          <wp:inline xmlns:a="http://schemas.openxmlformats.org/drawingml/2006/main" xmlns:pic="http://schemas.openxmlformats.org/drawingml/2006/picture">
            <wp:extent cx="5669280" cy="3158599"/>
            <wp:docPr id="8" name="Picture 8"/>
            <wp:cNvGraphicFramePr>
              <a:graphicFrameLocks noChangeAspect="1"/>
            </wp:cNvGraphicFramePr>
            <a:graphic>
              <a:graphicData uri="http://schemas.openxmlformats.org/drawingml/2006/picture">
                <pic:pic>
                  <pic:nvPicPr>
                    <pic:cNvPr id="0" name="图E1_同样本模型比较.png"/>
                    <pic:cNvPicPr/>
                  </pic:nvPicPr>
                  <pic:blipFill>
                    <a:blip r:embed="rId18"/>
                    <a:stretch>
                      <a:fillRect/>
                    </a:stretch>
                  </pic:blipFill>
                  <pic:spPr>
                    <a:xfrm>
                      <a:off x="0" y="0"/>
                      <a:ext cx="5669280" cy="3158599"/>
                    </a:xfrm>
                    <a:prstGeom prst="rect"/>
                  </pic:spPr>
                </pic:pic>
              </a:graphicData>
            </a:graphic>
          </wp:inline>
        </w:drawing>
      </w:r>
    </w:p>
    <w:p>
      <w:pPr>
        <w:pStyle w:val="Caption"/>
      </w:pPr>
      <w:r>
        <w:t>图8  区分窗口改变与资源进入。原窗口2008—2023年各472条，其余均为2014—2023年同一300条。点为学生响应差，线为CR1及t(30)近似95%区间。步骤不是中介解释比例。</w:t>
      </w:r>
    </w:p>
    <w:p>
      <w:pPr>
        <w:keepNext/>
        <w:jc w:val="center"/>
      </w:pPr>
      <w:r>
        <w:drawing>
          <wp:inline xmlns:a="http://schemas.openxmlformats.org/drawingml/2006/main" xmlns:pic="http://schemas.openxmlformats.org/drawingml/2006/picture">
            <wp:extent cx="5669280" cy="2591671"/>
            <wp:docPr id="9" name="Picture 9"/>
            <wp:cNvGraphicFramePr>
              <a:graphicFrameLocks noChangeAspect="1"/>
            </wp:cNvGraphicFramePr>
            <a:graphic>
              <a:graphicData uri="http://schemas.openxmlformats.org/drawingml/2006/picture">
                <pic:pic>
                  <pic:nvPicPr>
                    <pic:cNvPr id="0" name="图E2_资源关联直接差异.png"/>
                    <pic:cNvPicPr/>
                  </pic:nvPicPr>
                  <pic:blipFill>
                    <a:blip r:embed="rId19"/>
                    <a:stretch>
                      <a:fillRect/>
                    </a:stretch>
                  </pic:blipFill>
                  <pic:spPr>
                    <a:xfrm>
                      <a:off x="0" y="0"/>
                      <a:ext cx="5669280" cy="2591671"/>
                    </a:xfrm>
                    <a:prstGeom prst="rect"/>
                  </pic:spPr>
                </pic:pic>
              </a:graphicData>
            </a:graphic>
          </wp:inline>
        </w:drawing>
      </w:r>
    </w:p>
    <w:p>
      <w:pPr>
        <w:pStyle w:val="Caption"/>
      </w:pPr>
      <w:r>
        <w:t>图9  教师和班级的直接差异检验。共同纳入学生、收入、教师、班级及双向固定效应；单项WCR95%区间，4项资源检验Holm校正。每学段300条、31个聚类。</w:t>
      </w:r>
    </w:p>
    <w:p>
      <w:pPr>
        <w:jc w:val="both"/>
      </w:pPr>
      <w:r>
        <w:rPr>
          <w:sz w:val="18"/>
        </w:rPr>
        <w:t>原表66张、2816格回读后，两学段各300条资源共同样本。初中学生差系数由同样本基准0.473，在加教师、加班级、共同加入后分别为0.566、0.151、0.073（标准误0.582）；小学共同加入为0.787（0.690）。不能把原窗口到短窗口的变化归因于资源，也不能把系数下降换算成解释率。</w:t>
      </w:r>
    </w:p>
    <w:p>
      <w:pPr>
        <w:jc w:val="both"/>
      </w:pPr>
      <w:r>
        <w:rPr>
          <w:sz w:val="18"/>
        </w:rPr>
        <w:t>资源四项校正均证据不足：初中教师差−0.836、Holm p＝0.1660；班级差0.800、p＝0.6387。教师、班级与经费可能共同调整，资源也可能位于生源影响支出的路径上。班级组织值得跟踪，尚未识别人员刚性或班级中介机制。</w:t>
      </w:r>
    </w:p>
    <w:p>
      <w:r>
        <w:br w:type="page"/>
      </w:r>
    </w:p>
    <w:p>
      <w:pPr>
        <w:pStyle w:val="Heading1"/>
      </w:pPr>
      <w:r>
        <w:t>十二 把个人公用拆到具体项目</w:t>
      </w:r>
    </w:p>
    <w:p>
      <w:pPr>
        <w:keepNext/>
        <w:jc w:val="center"/>
      </w:pPr>
      <w:r>
        <w:drawing>
          <wp:inline xmlns:a="http://schemas.openxmlformats.org/drawingml/2006/main" xmlns:pic="http://schemas.openxmlformats.org/drawingml/2006/picture">
            <wp:extent cx="5943600" cy="4160520"/>
            <wp:docPr id="10" name="Picture 10"/>
            <wp:cNvGraphicFramePr>
              <a:graphicFrameLocks noChangeAspect="1"/>
            </wp:cNvGraphicFramePr>
            <a:graphic>
              <a:graphicData uri="http://schemas.openxmlformats.org/drawingml/2006/picture">
                <pic:pic>
                  <pic:nvPicPr>
                    <pic:cNvPr id="0" name="图F1_支出内部构成.png"/>
                    <pic:cNvPicPr/>
                  </pic:nvPicPr>
                  <pic:blipFill>
                    <a:blip r:embed="rId20"/>
                    <a:stretch>
                      <a:fillRect/>
                    </a:stretch>
                  </pic:blipFill>
                  <pic:spPr>
                    <a:xfrm>
                      <a:off x="0" y="0"/>
                      <a:ext cx="5943600" cy="4160520"/>
                    </a:xfrm>
                    <a:prstGeom prst="rect"/>
                  </pic:spPr>
                </pic:pic>
              </a:graphicData>
            </a:graphic>
          </wp:inline>
        </w:drawing>
      </w:r>
    </w:p>
    <w:p>
      <w:pPr>
        <w:pStyle w:val="Caption"/>
      </w:pPr>
      <w:r>
        <w:t>图10  四个支出细项的年度构成。2007—2023年31地区名义金额合计；左列为个人内部、右列为公用内部。非官方全国合计序列。W工资福利、A个人家庭补助、G商品服务、X其他资本性。</w:t>
      </w:r>
    </w:p>
    <w:p>
      <w:pPr>
        <w:jc w:val="both"/>
      </w:pPr>
      <w:r>
        <w:t>公用包括商品服务和其他资本性，因此原P/C响应差可能同时包含日常项目与资产项目的变化。本轮回读1054条年度省年、4216个细项原格，核对P≈W＋A、C≈G＋X，容差来自原表千元显示舍入。X属于C，不能与另列基本建设K重复计入。</w:t>
      </w:r>
    </w:p>
    <w:p>
      <w:pPr>
        <w:jc w:val="both"/>
      </w:pPr>
      <w:r>
        <w:t>2023年W占P约89.7%（小学）、90.3%（初中），G占C约58.5%、53.4%。W不是纯专任教师工资，G不是全部教学运行成本，A也不是单一待遇项目。四细项使研究可以直接比较更具体的调整关系，仍不足以追踪每种用途。</w:t>
      </w:r>
    </w:p>
    <w:p>
      <w:pPr>
        <w:jc w:val="both"/>
      </w:pPr>
      <w:r>
        <w:t>2017—2018年前后W份额有明显变化，需进一步核准工资、养老及列支方式。账面份额不能当成工资待遇变化。本轮没有将这一跳变默认为经济机制，而在看图后记录追加时期检查方案。</w:t>
      </w:r>
    </w:p>
    <w:p>
      <w:r>
        <w:br w:type="page"/>
      </w:r>
    </w:p>
    <w:p>
      <w:pPr>
        <w:pStyle w:val="Heading1"/>
      </w:pPr>
      <w:r>
        <w:t>十三 公用增长的项目贡献</w:t>
      </w:r>
    </w:p>
    <w:p>
      <w:pPr>
        <w:keepNext/>
        <w:jc w:val="center"/>
      </w:pPr>
      <w:r>
        <w:drawing>
          <wp:inline xmlns:a="http://schemas.openxmlformats.org/drawingml/2006/main" xmlns:pic="http://schemas.openxmlformats.org/drawingml/2006/picture">
            <wp:extent cx="5943600" cy="4028440"/>
            <wp:docPr id="11" name="Picture 11"/>
            <wp:cNvGraphicFramePr>
              <a:graphicFrameLocks noChangeAspect="1"/>
            </wp:cNvGraphicFramePr>
            <a:graphic>
              <a:graphicData uri="http://schemas.openxmlformats.org/drawingml/2006/picture">
                <pic:pic>
                  <pic:nvPicPr>
                    <pic:cNvPr id="0" name="图F2_公用增长贡献.png"/>
                    <pic:cNvPicPr/>
                  </pic:nvPicPr>
                  <pic:blipFill>
                    <a:blip r:embed="rId21"/>
                    <a:stretch>
                      <a:fillRect/>
                    </a:stretch>
                  </pic:blipFill>
                  <pic:spPr>
                    <a:xfrm>
                      <a:off x="0" y="0"/>
                      <a:ext cx="5943600" cy="4028440"/>
                    </a:xfrm>
                    <a:prstGeom prst="rect"/>
                  </pic:spPr>
                </pic:pic>
              </a:graphicData>
            </a:graphic>
          </wp:inline>
        </w:drawing>
      </w:r>
    </w:p>
    <w:p>
      <w:pPr>
        <w:pStyle w:val="Caption"/>
      </w:pPr>
      <w:r>
        <w:t>图11  商品服务与其他资本性的实际增长贡献。同省前期C为共同分母，分项实际金额变化贡献再取当年模型样本省年算术均值。两柱之和与黑线在显示舍入容差内一致；不是全国加权增长或对数增长。</w:t>
      </w:r>
    </w:p>
    <w:p>
      <w:pPr>
        <w:jc w:val="both"/>
      </w:pPr>
      <w:r>
        <w:t>2009—2012年，两个学段其他资本性的平均贡献普遍高于商品服务；部分后期年份则出现G正贡献、X负贡献。公用总额可能掩盖内部抵消，增长放缓也可能来自项目组合而非日常运行全面缩减。</w:t>
      </w:r>
    </w:p>
    <w:p>
      <w:pPr>
        <w:jc w:val="both"/>
      </w:pPr>
      <w:r>
        <w:t>分项贡献＝（当期名义分项÷当年CPI因子−上期分项）÷上期C。贡献单位为百分点，不以总增量为分母计算贡献率，避免总增量接近零时比例失真。各年度使用472条完整模型样本中的对应记录，因原财政缺口而有地区数变化，属于样本过程描述。</w:t>
      </w:r>
    </w:p>
    <w:p>
      <w:pPr>
        <w:jc w:val="both"/>
      </w:pPr>
      <w:r>
        <w:t>金额贡献与回归系数是两种证据：前者描述观测变化的账面来源，后者估计给定收入及固定效应时与生源的关联。不能用资本性贡献较大证明投资有效，也不能以商品服务正贡献排除所有学校存在运行压力。</w:t>
      </w:r>
    </w:p>
    <w:p>
      <w:r>
        <w:br w:type="page"/>
      </w:r>
    </w:p>
    <w:p>
      <w:pPr>
        <w:pStyle w:val="Heading1"/>
      </w:pPr>
      <w:r>
        <w:t>十四 商品服务与工资福利的响应差</w:t>
      </w:r>
    </w:p>
    <w:p>
      <w:pPr>
        <w:keepNext/>
        <w:jc w:val="center"/>
      </w:pPr>
      <w:r>
        <w:drawing>
          <wp:inline xmlns:a="http://schemas.openxmlformats.org/drawingml/2006/main" xmlns:pic="http://schemas.openxmlformats.org/drawingml/2006/picture">
            <wp:extent cx="5943600" cy="2773680"/>
            <wp:docPr id="12" name="Picture 12"/>
            <wp:cNvGraphicFramePr>
              <a:graphicFrameLocks noChangeAspect="1"/>
            </wp:cNvGraphicFramePr>
            <a:graphic>
              <a:graphicData uri="http://schemas.openxmlformats.org/drawingml/2006/picture">
                <pic:pic>
                  <pic:nvPicPr>
                    <pic:cNvPr id="0" name="图F3_商品服务与工资响应差.png"/>
                    <pic:cNvPicPr/>
                  </pic:nvPicPr>
                  <pic:blipFill>
                    <a:blip r:embed="rId22"/>
                    <a:stretch>
                      <a:fillRect/>
                    </a:stretch>
                  </pic:blipFill>
                  <pic:spPr>
                    <a:xfrm>
                      <a:off x="0" y="0"/>
                      <a:ext cx="5943600" cy="2773680"/>
                    </a:xfrm>
                    <a:prstGeom prst="rect"/>
                  </pic:spPr>
                </pic:pic>
              </a:graphicData>
            </a:graphic>
          </wp:inline>
        </w:drawing>
      </w:r>
    </w:p>
    <w:p>
      <w:pPr>
        <w:pStyle w:val="Caption"/>
      </w:pPr>
      <w:r>
        <w:t>图12  商品服务减工资福利的直接响应差。与P/C主模型相同的472条省年；DGW＝Δln G−Δln W。线为单项WCR反演95%区间；该轮4项Holm校正，非整个研究统一校正。</w:t>
      </w:r>
    </w:p>
    <w:p>
      <w:pPr>
        <w:pStyle w:val="Caption"/>
        <w:keepNext/>
      </w:pPr>
      <w:r>
        <w:t>表10  直接系数检验及家族内Holm校正</w:t>
      </w:r>
    </w:p>
    <w:tbl>
      <w:tblPr>
        <w:tblW w:type="auto" w:w="0"/>
        <w:tblLayout w:type="fixed"/>
        <w:tblLook w:firstColumn="1" w:firstRow="1" w:lastColumn="0" w:lastRow="0" w:noHBand="0" w:noVBand="1" w:val="04A0"/>
      </w:tblPr>
      <w:tblGrid>
        <w:gridCol w:w="1987"/>
        <w:gridCol w:w="1987"/>
        <w:gridCol w:w="1987"/>
        <w:gridCol w:w="1987"/>
        <w:gridCol w:w="1987"/>
      </w:tblGrid>
      <w:tr>
        <w:trPr>
          <w:cantSplit/>
        </w:trPr>
        <w:tc>
          <w:tcPr>
            <w:tcW w:type="dxa" w:w="1958"/>
            <w:shd w:fill="EAEAEA"/>
          </w:tcPr>
          <w:p>
            <w:pPr>
              <w:spacing w:before="80" w:after="80"/>
              <w:jc w:val="center"/>
            </w:pPr>
            <w:r>
              <w:rPr>
                <w:rFonts w:ascii="宋体" w:hAnsi="宋体" w:eastAsia="宋体"/>
                <w:sz w:val="18"/>
              </w:rPr>
              <w:t>学段</w:t>
            </w:r>
          </w:p>
        </w:tc>
        <w:tc>
          <w:tcPr>
            <w:tcW w:type="dxa" w:w="1958"/>
            <w:shd w:fill="EAEAEA"/>
          </w:tcPr>
          <w:p>
            <w:pPr>
              <w:spacing w:before="80" w:after="80"/>
              <w:jc w:val="center"/>
            </w:pPr>
            <w:r>
              <w:rPr>
                <w:rFonts w:ascii="宋体" w:hAnsi="宋体" w:eastAsia="宋体"/>
                <w:sz w:val="18"/>
              </w:rPr>
              <w:t>检验对象</w:t>
            </w:r>
          </w:p>
        </w:tc>
        <w:tc>
          <w:tcPr>
            <w:tcW w:type="dxa" w:w="1958"/>
            <w:shd w:fill="EAEAEA"/>
          </w:tcPr>
          <w:p>
            <w:pPr>
              <w:spacing w:before="80" w:after="80"/>
              <w:jc w:val="center"/>
            </w:pPr>
            <w:r>
              <w:rPr>
                <w:rFonts w:ascii="宋体" w:hAnsi="宋体" w:eastAsia="宋体"/>
                <w:sz w:val="18"/>
              </w:rPr>
              <w:t>系数</w:t>
            </w:r>
          </w:p>
        </w:tc>
        <w:tc>
          <w:tcPr>
            <w:tcW w:type="dxa" w:w="1958"/>
            <w:shd w:fill="EAEAEA"/>
          </w:tcPr>
          <w:p>
            <w:pPr>
              <w:spacing w:before="80" w:after="80"/>
              <w:jc w:val="center"/>
            </w:pPr>
            <w:r>
              <w:rPr>
                <w:rFonts w:ascii="宋体" w:hAnsi="宋体" w:eastAsia="宋体"/>
                <w:sz w:val="18"/>
              </w:rPr>
              <w:t>单项95%区间</w:t>
            </w:r>
          </w:p>
        </w:tc>
        <w:tc>
          <w:tcPr>
            <w:tcW w:type="dxa" w:w="1958"/>
            <w:shd w:fill="EAEAEA"/>
          </w:tcPr>
          <w:p>
            <w:pPr>
              <w:spacing w:before="80" w:after="80"/>
              <w:jc w:val="center"/>
            </w:pPr>
            <w:r>
              <w:rPr>
                <w:rFonts w:ascii="宋体" w:hAnsi="宋体" w:eastAsia="宋体"/>
                <w:sz w:val="18"/>
              </w:rPr>
              <w:t>校正p</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学生变化</w:t>
            </w:r>
          </w:p>
        </w:tc>
        <w:tc>
          <w:tcPr>
            <w:tcW w:type="dxa" w:w="1958"/>
          </w:tcPr>
          <w:p>
            <w:pPr>
              <w:spacing w:before="80" w:after="80"/>
              <w:jc w:val="center"/>
            </w:pPr>
            <w:r>
              <w:rPr>
                <w:rFonts w:ascii="宋体" w:hAnsi="宋体" w:eastAsia="宋体"/>
                <w:sz w:val="18"/>
              </w:rPr>
              <w:t>0.766</w:t>
            </w:r>
          </w:p>
        </w:tc>
        <w:tc>
          <w:tcPr>
            <w:tcW w:type="dxa" w:w="1958"/>
          </w:tcPr>
          <w:p>
            <w:pPr>
              <w:spacing w:before="80" w:after="80"/>
              <w:jc w:val="center"/>
            </w:pPr>
            <w:r>
              <w:rPr>
                <w:rFonts w:ascii="宋体" w:hAnsi="宋体" w:eastAsia="宋体"/>
                <w:sz w:val="18"/>
              </w:rPr>
              <w:t>0.453 至 1.109</w:t>
            </w:r>
          </w:p>
        </w:tc>
        <w:tc>
          <w:tcPr>
            <w:tcW w:type="dxa" w:w="1958"/>
          </w:tcPr>
          <w:p>
            <w:pPr>
              <w:spacing w:before="80" w:after="80"/>
              <w:jc w:val="center"/>
            </w:pPr>
            <w:r>
              <w:rPr>
                <w:rFonts w:ascii="宋体" w:hAnsi="宋体" w:eastAsia="宋体"/>
                <w:sz w:val="18"/>
              </w:rPr>
              <w:t>0.0008</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自身收入变化</w:t>
            </w:r>
          </w:p>
        </w:tc>
        <w:tc>
          <w:tcPr>
            <w:tcW w:type="dxa" w:w="1958"/>
          </w:tcPr>
          <w:p>
            <w:pPr>
              <w:spacing w:before="80" w:after="80"/>
              <w:jc w:val="center"/>
            </w:pPr>
            <w:r>
              <w:rPr>
                <w:rFonts w:ascii="宋体" w:hAnsi="宋体" w:eastAsia="宋体"/>
                <w:sz w:val="18"/>
              </w:rPr>
              <w:t>0.108</w:t>
            </w:r>
          </w:p>
        </w:tc>
        <w:tc>
          <w:tcPr>
            <w:tcW w:type="dxa" w:w="1958"/>
          </w:tcPr>
          <w:p>
            <w:pPr>
              <w:spacing w:before="80" w:after="80"/>
              <w:jc w:val="center"/>
            </w:pPr>
            <w:r>
              <w:rPr>
                <w:rFonts w:ascii="宋体" w:hAnsi="宋体" w:eastAsia="宋体"/>
                <w:sz w:val="18"/>
              </w:rPr>
              <w:t>-0.120 至 0.301</w:t>
            </w:r>
          </w:p>
        </w:tc>
        <w:tc>
          <w:tcPr>
            <w:tcW w:type="dxa" w:w="1958"/>
          </w:tcPr>
          <w:p>
            <w:pPr>
              <w:spacing w:before="80" w:after="80"/>
              <w:jc w:val="center"/>
            </w:pPr>
            <w:r>
              <w:rPr>
                <w:rFonts w:ascii="宋体" w:hAnsi="宋体" w:eastAsia="宋体"/>
                <w:sz w:val="18"/>
              </w:rPr>
              <w:t>0.2894</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学生变化</w:t>
            </w:r>
          </w:p>
        </w:tc>
        <w:tc>
          <w:tcPr>
            <w:tcW w:type="dxa" w:w="1958"/>
          </w:tcPr>
          <w:p>
            <w:pPr>
              <w:spacing w:before="80" w:after="80"/>
              <w:jc w:val="center"/>
            </w:pPr>
            <w:r>
              <w:rPr>
                <w:rFonts w:ascii="宋体" w:hAnsi="宋体" w:eastAsia="宋体"/>
                <w:sz w:val="18"/>
              </w:rPr>
              <w:t>0.506</w:t>
            </w:r>
          </w:p>
        </w:tc>
        <w:tc>
          <w:tcPr>
            <w:tcW w:type="dxa" w:w="1958"/>
          </w:tcPr>
          <w:p>
            <w:pPr>
              <w:spacing w:before="80" w:after="80"/>
              <w:jc w:val="center"/>
            </w:pPr>
            <w:r>
              <w:rPr>
                <w:rFonts w:ascii="宋体" w:hAnsi="宋体" w:eastAsia="宋体"/>
                <w:sz w:val="18"/>
              </w:rPr>
              <w:t>0.222 至 0.799</w:t>
            </w:r>
          </w:p>
        </w:tc>
        <w:tc>
          <w:tcPr>
            <w:tcW w:type="dxa" w:w="1958"/>
          </w:tcPr>
          <w:p>
            <w:pPr>
              <w:spacing w:before="80" w:after="80"/>
              <w:jc w:val="center"/>
            </w:pPr>
            <w:r>
              <w:rPr>
                <w:rFonts w:ascii="宋体" w:hAnsi="宋体" w:eastAsia="宋体"/>
                <w:sz w:val="18"/>
              </w:rPr>
              <w:t>0.0033</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自身收入变化</w:t>
            </w:r>
          </w:p>
        </w:tc>
        <w:tc>
          <w:tcPr>
            <w:tcW w:type="dxa" w:w="1958"/>
          </w:tcPr>
          <w:p>
            <w:pPr>
              <w:spacing w:before="80" w:after="80"/>
              <w:jc w:val="center"/>
            </w:pPr>
            <w:r>
              <w:rPr>
                <w:rFonts w:ascii="宋体" w:hAnsi="宋体" w:eastAsia="宋体"/>
                <w:sz w:val="18"/>
              </w:rPr>
              <w:t>0.207</w:t>
            </w:r>
          </w:p>
        </w:tc>
        <w:tc>
          <w:tcPr>
            <w:tcW w:type="dxa" w:w="1958"/>
          </w:tcPr>
          <w:p>
            <w:pPr>
              <w:spacing w:before="80" w:after="80"/>
              <w:jc w:val="center"/>
            </w:pPr>
            <w:r>
              <w:rPr>
                <w:rFonts w:ascii="宋体" w:hAnsi="宋体" w:eastAsia="宋体"/>
                <w:sz w:val="18"/>
              </w:rPr>
              <w:t>-0.039 至 0.448</w:t>
            </w:r>
          </w:p>
        </w:tc>
        <w:tc>
          <w:tcPr>
            <w:tcW w:type="dxa" w:w="1958"/>
          </w:tcPr>
          <w:p>
            <w:pPr>
              <w:spacing w:before="80" w:after="80"/>
              <w:jc w:val="center"/>
            </w:pPr>
            <w:r>
              <w:rPr>
                <w:rFonts w:ascii="宋体" w:hAnsi="宋体" w:eastAsia="宋体"/>
                <w:sz w:val="18"/>
              </w:rPr>
              <w:t>0.1904</w:t>
            </w:r>
          </w:p>
        </w:tc>
      </w:tr>
    </w:tbl>
    <w:p>
      <w:pPr>
        <w:spacing w:after="20"/>
      </w:pPr>
    </w:p>
    <w:p>
      <w:pPr>
        <w:jc w:val="both"/>
      </w:pPr>
      <w:r>
        <w:t>小学和初中的学生响应差分别为0.766、0.506，均通过该轮四项校正。在模型控制下，生源增长幅度相差约1%，商品服务相对工资福利的增长差平均相差约0.77、0.51个百分点。剥离其他资本性与个人家庭补助后，差异仍存在，此前宽泛P/C关系不能只归因于资本性项目。估计对象改变，不是把旧P/C结果校正为错误。</w:t>
      </w:r>
    </w:p>
    <w:p>
      <w:pPr>
        <w:jc w:val="both"/>
      </w:pPr>
      <w:r>
        <w:t>辅助分模型中，G的学生系数为0.589、0.444，W为−0.177、−0.062；W自身区间均含零，不能宣布生源减少会推高工资支出。自身收入响应差的校正p为0.2894、0.1904，同样证据不足。</w:t>
      </w:r>
    </w:p>
    <w:p>
      <w:pPr>
        <w:jc w:val="both"/>
      </w:pPr>
      <w:r>
        <w:t>这一发现与人员相关项目较难随生源同步调整的解释相容，但工资政策、人员存量、会计分类和地区需求均可能参与解释。当前尚无独立工资制度或编制变化设计，不将“响应不同”升级为特定刚性机制成立。</w:t>
      </w:r>
    </w:p>
    <w:p>
      <w:r>
        <w:br w:type="page"/>
      </w:r>
    </w:p>
    <w:p>
      <w:pPr>
        <w:pStyle w:val="Heading1"/>
      </w:pPr>
      <w:r>
        <w:t>十五 全窗口关联的历史阶段边界</w:t>
      </w:r>
    </w:p>
    <w:p>
      <w:pPr>
        <w:keepNext/>
        <w:jc w:val="center"/>
      </w:pPr>
      <w:r>
        <w:drawing>
          <wp:inline xmlns:a="http://schemas.openxmlformats.org/drawingml/2006/main" xmlns:pic="http://schemas.openxmlformats.org/drawingml/2006/picture">
            <wp:extent cx="5943600" cy="2839720"/>
            <wp:docPr id="13" name="Picture 13"/>
            <wp:cNvGraphicFramePr>
              <a:graphicFrameLocks noChangeAspect="1"/>
            </wp:cNvGraphicFramePr>
            <a:graphic>
              <a:graphicData uri="http://schemas.openxmlformats.org/drawingml/2006/picture">
                <pic:pic>
                  <pic:nvPicPr>
                    <pic:cNvPr id="0" name="图F7_时期分段响应.png"/>
                    <pic:cNvPicPr/>
                  </pic:nvPicPr>
                  <pic:blipFill>
                    <a:blip r:embed="rId23"/>
                    <a:stretch>
                      <a:fillRect/>
                    </a:stretch>
                  </pic:blipFill>
                  <pic:spPr>
                    <a:xfrm>
                      <a:off x="0" y="0"/>
                      <a:ext cx="5943600" cy="2839720"/>
                    </a:xfrm>
                    <a:prstGeom prst="rect"/>
                  </pic:spPr>
                </pic:pic>
              </a:graphicData>
            </a:graphic>
          </wp:inline>
        </w:drawing>
      </w:r>
    </w:p>
    <w:p>
      <w:pPr>
        <w:pStyle w:val="Caption"/>
      </w:pPr>
      <w:r>
        <w:t>图13  全窗口与前后时期的响应差。全窗口472条，2008—2016年前期258条，2019—2023年后期153条，各自独立拟合。统一CR1及t(30)近似95%区间；看图后追加，不是正式结构突变检验。</w:t>
      </w:r>
    </w:p>
    <w:p>
      <w:pPr>
        <w:jc w:val="both"/>
      </w:pPr>
      <w:r>
        <w:t>剔除2017—2018年后，学生响应差仍为0.816（小学）、0.450（初中）。按时期分别估计，前期为1.011、0.502；后期为1.128、−0.207。初中后期近似95%区间为−1.339至0.925，精度不足。</w:t>
      </w:r>
    </w:p>
    <w:p>
      <w:pPr>
        <w:jc w:val="both"/>
      </w:pPr>
      <w:r>
        <w:t>全窗口结果支持平均关联，后期结果没有证实相同方向；后期点估计为负也不足以确认关系逆转。分段样本、可用年份和设计变化都影响估计，不能比较各自显著与否宣布结构性变化。</w:t>
      </w:r>
    </w:p>
    <w:p>
      <w:pPr>
        <w:jc w:val="both"/>
      </w:pPr>
      <w:r>
        <w:t>因此，三十年研究的时间价值不在于强行得到覆盖三十年的统一斜率，而在于把长期反复变化、较短窗口的可连接证据与待核制度阶段分别定位。既保留全窗口结果，也把后期不确定性纳入结论。</w:t>
      </w:r>
    </w:p>
    <w:p>
      <w:r>
        <w:br w:type="page"/>
      </w:r>
    </w:p>
    <w:p>
      <w:pPr>
        <w:pStyle w:val="Heading1"/>
      </w:pPr>
      <w:r>
        <w:t>十六 从自身收入到中央补助背景</w:t>
      </w:r>
    </w:p>
    <w:p>
      <w:pPr>
        <w:keepNext/>
        <w:jc w:val="center"/>
      </w:pPr>
      <w:r>
        <w:drawing>
          <wp:inline xmlns:a="http://schemas.openxmlformats.org/drawingml/2006/main" xmlns:pic="http://schemas.openxmlformats.org/drawingml/2006/picture">
            <wp:extent cx="5943600" cy="4279392"/>
            <wp:docPr id="14" name="Picture 14"/>
            <wp:cNvGraphicFramePr>
              <a:graphicFrameLocks noChangeAspect="1"/>
            </wp:cNvGraphicFramePr>
            <a:graphic>
              <a:graphicData uri="http://schemas.openxmlformats.org/drawingml/2006/picture">
                <pic:pic>
                  <pic:nvPicPr>
                    <pic:cNvPr id="0" name="图F5_自身收入与补助合计变化.png"/>
                    <pic:cNvPicPr/>
                  </pic:nvPicPr>
                  <pic:blipFill>
                    <a:blip r:embed="rId24"/>
                    <a:stretch>
                      <a:fillRect/>
                    </a:stretch>
                  </pic:blipFill>
                  <pic:spPr>
                    <a:xfrm>
                      <a:off x="0" y="0"/>
                      <a:ext cx="5943600" cy="4279392"/>
                    </a:xfrm>
                    <a:prstGeom prst="rect"/>
                  </pic:spPr>
                </pic:pic>
              </a:graphicData>
            </a:graphic>
          </wp:inline>
        </w:drawing>
      </w:r>
    </w:p>
    <w:p>
      <w:pPr>
        <w:pStyle w:val="Caption"/>
      </w:pPr>
      <w:r>
        <w:t>图14  自身收入变化与两项合计变化。436个省年两学段只计一次，覆盖2008—2023年。金色为自身收入实际下降而R＋B未下降；坐标为实际对数变化×100。两项合计不是完整可用财力。</w:t>
      </w:r>
    </w:p>
    <w:p>
      <w:pPr>
        <w:jc w:val="both"/>
      </w:pPr>
      <w:r>
        <w:t>中央补助来自财政年鉴一般预算或一般公共预算决算表；仅取决算列和汇总项，按明确亿元或万元换算。收入总计、债务、结转、调入及补助子项不重复加入。表内自身收入必须与既有核准R一致；多省混装块和空白值另存，数值一致不代替范围认证。</w:t>
      </w:r>
    </w:p>
    <w:p>
      <w:pPr>
        <w:jc w:val="both"/>
      </w:pPr>
      <w:r>
        <w:t>共得到495条年度补助数值记录；相邻年与原模型连接后每学段436条，比472条少36条。样本中自身收入实际下降84条，其中60条（71.4%）R＋B未下降，说明单以自身收入收缩代表财政资源同步收缩，会误判部分年度的预算背景。</w:t>
      </w:r>
    </w:p>
    <w:p>
      <w:pPr>
        <w:jc w:val="both"/>
      </w:pPr>
      <w:r>
        <w:t>B包含返还和专门用途，可能响应地方困难和需求；R＋B没有完整扣除上解等净结算，也未包含全部其他财源。计划单列市与省市范围仍需核准。上述状态不能解释为外生转移支付缓冲效果，也不等同资金可自由用于教育。</w:t>
      </w:r>
    </w:p>
    <w:p>
      <w:r>
        <w:br w:type="page"/>
      </w:r>
    </w:p>
    <w:p>
      <w:pPr>
        <w:pStyle w:val="Heading1"/>
      </w:pPr>
      <w:r>
        <w:t>十七 补助进入模型后的变化</w:t>
      </w:r>
    </w:p>
    <w:p>
      <w:pPr>
        <w:keepNext/>
        <w:jc w:val="center"/>
      </w:pPr>
      <w:r>
        <w:drawing>
          <wp:inline xmlns:a="http://schemas.openxmlformats.org/drawingml/2006/main" xmlns:pic="http://schemas.openxmlformats.org/drawingml/2006/picture">
            <wp:extent cx="5943600" cy="2839720"/>
            <wp:docPr id="15" name="Picture 15"/>
            <wp:cNvGraphicFramePr>
              <a:graphicFrameLocks noChangeAspect="1"/>
            </wp:cNvGraphicFramePr>
            <a:graphic>
              <a:graphicData uri="http://schemas.openxmlformats.org/drawingml/2006/picture">
                <pic:pic>
                  <pic:nvPicPr>
                    <pic:cNvPr id="0" name="图F6_中央补助关联.png"/>
                    <pic:cNvPicPr/>
                  </pic:nvPicPr>
                  <pic:blipFill>
                    <a:blip r:embed="rId25"/>
                    <a:stretch>
                      <a:fillRect/>
                    </a:stretch>
                  </pic:blipFill>
                  <pic:spPr>
                    <a:xfrm>
                      <a:off x="0" y="0"/>
                      <a:ext cx="5943600" cy="2839720"/>
                    </a:xfrm>
                    <a:prstGeom prst="rect"/>
                  </pic:spPr>
                </pic:pic>
              </a:graphicData>
            </a:graphic>
          </wp:inline>
        </w:drawing>
      </w:r>
    </w:p>
    <w:p>
      <w:pPr>
        <w:pStyle w:val="Caption"/>
      </w:pPr>
      <w:r>
        <w:t>图15  中央补助与教育支出调整的条件关联。共同控制学生、实际自身收入和双向固定效应。每学段436条省年，9999次WCR检验及反演单项95%区间；4项补助探索检验另作Holm校正。</w:t>
      </w:r>
    </w:p>
    <w:p>
      <w:pPr>
        <w:pStyle w:val="Caption"/>
        <w:keepNext/>
      </w:pPr>
      <w:r>
        <w:t>表11  同一436条省年模型比较  括号为省级CR1标准误</w:t>
      </w:r>
    </w:p>
    <w:tbl>
      <w:tblPr>
        <w:tblW w:type="auto" w:w="0"/>
        <w:tblLayout w:type="fixed"/>
        <w:tblLook w:firstColumn="1" w:firstRow="1" w:lastColumn="0" w:lastRow="0" w:noHBand="0" w:noVBand="1" w:val="04A0"/>
      </w:tblPr>
      <w:tblGrid>
        <w:gridCol w:w="2484"/>
        <w:gridCol w:w="2484"/>
        <w:gridCol w:w="2484"/>
        <w:gridCol w:w="2484"/>
      </w:tblGrid>
      <w:tr>
        <w:trPr>
          <w:cantSplit/>
        </w:trPr>
        <w:tc>
          <w:tcPr>
            <w:tcW w:type="dxa" w:w="2448"/>
            <w:shd w:fill="EAEAEA"/>
          </w:tcPr>
          <w:p>
            <w:pPr>
              <w:spacing w:before="80" w:after="80"/>
              <w:jc w:val="center"/>
            </w:pPr>
            <w:r>
              <w:rPr>
                <w:rFonts w:ascii="宋体" w:hAnsi="宋体" w:eastAsia="宋体"/>
                <w:sz w:val="18"/>
              </w:rPr>
              <w:t>学生响应差</w:t>
            </w:r>
          </w:p>
        </w:tc>
        <w:tc>
          <w:tcPr>
            <w:tcW w:type="dxa" w:w="2448"/>
            <w:shd w:fill="EAEAEA"/>
          </w:tcPr>
          <w:p>
            <w:pPr>
              <w:spacing w:before="80" w:after="80"/>
              <w:jc w:val="center"/>
            </w:pPr>
            <w:r>
              <w:rPr>
                <w:rFonts w:ascii="宋体" w:hAnsi="宋体" w:eastAsia="宋体"/>
                <w:sz w:val="18"/>
              </w:rPr>
              <w:t>控制自身收入</w:t>
            </w:r>
          </w:p>
        </w:tc>
        <w:tc>
          <w:tcPr>
            <w:tcW w:type="dxa" w:w="2448"/>
            <w:shd w:fill="EAEAEA"/>
          </w:tcPr>
          <w:p>
            <w:pPr>
              <w:spacing w:before="80" w:after="80"/>
              <w:jc w:val="center"/>
            </w:pPr>
            <w:r>
              <w:rPr>
                <w:rFonts w:ascii="宋体" w:hAnsi="宋体" w:eastAsia="宋体"/>
                <w:sz w:val="18"/>
              </w:rPr>
              <w:t>另加补助</w:t>
            </w:r>
          </w:p>
        </w:tc>
        <w:tc>
          <w:tcPr>
            <w:tcW w:type="dxa" w:w="2448"/>
            <w:shd w:fill="EAEAEA"/>
          </w:tcPr>
          <w:p>
            <w:pPr>
              <w:spacing w:before="80" w:after="80"/>
              <w:jc w:val="center"/>
            </w:pPr>
            <w:r>
              <w:rPr>
                <w:rFonts w:ascii="宋体" w:hAnsi="宋体" w:eastAsia="宋体"/>
                <w:sz w:val="18"/>
              </w:rPr>
              <w:t>改用两项合计</w:t>
            </w:r>
          </w:p>
        </w:tc>
      </w:tr>
      <w:tr>
        <w:trPr>
          <w:cantSplit/>
        </w:trPr>
        <w:tc>
          <w:tcPr>
            <w:tcW w:type="dxa" w:w="2448"/>
          </w:tcPr>
          <w:p>
            <w:pPr>
              <w:spacing w:before="80" w:after="80"/>
              <w:jc w:val="center"/>
            </w:pPr>
            <w:r>
              <w:rPr>
                <w:rFonts w:ascii="宋体" w:hAnsi="宋体" w:eastAsia="宋体"/>
                <w:sz w:val="18"/>
              </w:rPr>
              <w:t>小学</w:t>
            </w:r>
          </w:p>
        </w:tc>
        <w:tc>
          <w:tcPr>
            <w:tcW w:type="dxa" w:w="2448"/>
          </w:tcPr>
          <w:p>
            <w:pPr>
              <w:spacing w:before="80" w:after="80"/>
              <w:jc w:val="center"/>
            </w:pPr>
            <w:r>
              <w:rPr>
                <w:rFonts w:ascii="宋体" w:hAnsi="宋体" w:eastAsia="宋体"/>
                <w:sz w:val="18"/>
              </w:rPr>
              <w:t>0.743</w:t>
              <w:br/>
              <w:t>(0.181)</w:t>
            </w:r>
          </w:p>
        </w:tc>
        <w:tc>
          <w:tcPr>
            <w:tcW w:type="dxa" w:w="2448"/>
          </w:tcPr>
          <w:p>
            <w:pPr>
              <w:spacing w:before="80" w:after="80"/>
              <w:jc w:val="center"/>
            </w:pPr>
            <w:r>
              <w:rPr>
                <w:rFonts w:ascii="宋体" w:hAnsi="宋体" w:eastAsia="宋体"/>
                <w:sz w:val="18"/>
              </w:rPr>
              <w:t>0.710</w:t>
              <w:br/>
              <w:t>(0.183)</w:t>
            </w:r>
          </w:p>
        </w:tc>
        <w:tc>
          <w:tcPr>
            <w:tcW w:type="dxa" w:w="2448"/>
          </w:tcPr>
          <w:p>
            <w:pPr>
              <w:spacing w:before="80" w:after="80"/>
              <w:jc w:val="center"/>
            </w:pPr>
            <w:r>
              <w:rPr>
                <w:rFonts w:ascii="宋体" w:hAnsi="宋体" w:eastAsia="宋体"/>
                <w:sz w:val="18"/>
              </w:rPr>
              <w:t>0.701</w:t>
              <w:br/>
              <w:t>(0.186)</w:t>
            </w:r>
          </w:p>
        </w:tc>
      </w:tr>
      <w:tr>
        <w:trPr>
          <w:cantSplit/>
        </w:trPr>
        <w:tc>
          <w:tcPr>
            <w:tcW w:type="dxa" w:w="2448"/>
          </w:tcPr>
          <w:p>
            <w:pPr>
              <w:spacing w:before="80" w:after="80"/>
              <w:jc w:val="center"/>
            </w:pPr>
            <w:r>
              <w:rPr>
                <w:rFonts w:ascii="宋体" w:hAnsi="宋体" w:eastAsia="宋体"/>
                <w:sz w:val="18"/>
              </w:rPr>
              <w:t>初中</w:t>
            </w:r>
          </w:p>
        </w:tc>
        <w:tc>
          <w:tcPr>
            <w:tcW w:type="dxa" w:w="2448"/>
          </w:tcPr>
          <w:p>
            <w:pPr>
              <w:spacing w:before="80" w:after="80"/>
              <w:jc w:val="center"/>
            </w:pPr>
            <w:r>
              <w:rPr>
                <w:rFonts w:ascii="宋体" w:hAnsi="宋体" w:eastAsia="宋体"/>
                <w:sz w:val="18"/>
              </w:rPr>
              <w:t>0.441</w:t>
              <w:br/>
              <w:t>(0.131)</w:t>
            </w:r>
          </w:p>
        </w:tc>
        <w:tc>
          <w:tcPr>
            <w:tcW w:type="dxa" w:w="2448"/>
          </w:tcPr>
          <w:p>
            <w:pPr>
              <w:spacing w:before="80" w:after="80"/>
              <w:jc w:val="center"/>
            </w:pPr>
            <w:r>
              <w:rPr>
                <w:rFonts w:ascii="宋体" w:hAnsi="宋体" w:eastAsia="宋体"/>
                <w:sz w:val="18"/>
              </w:rPr>
              <w:t>0.436</w:t>
              <w:br/>
              <w:t>(0.133)</w:t>
            </w:r>
          </w:p>
        </w:tc>
        <w:tc>
          <w:tcPr>
            <w:tcW w:type="dxa" w:w="2448"/>
          </w:tcPr>
          <w:p>
            <w:pPr>
              <w:spacing w:before="80" w:after="80"/>
              <w:jc w:val="center"/>
            </w:pPr>
            <w:r>
              <w:rPr>
                <w:rFonts w:ascii="宋体" w:hAnsi="宋体" w:eastAsia="宋体"/>
                <w:sz w:val="18"/>
              </w:rPr>
              <w:t>0.433</w:t>
              <w:br/>
              <w:t>(0.135)</w:t>
            </w:r>
          </w:p>
        </w:tc>
      </w:tr>
    </w:tbl>
    <w:p>
      <w:pPr>
        <w:spacing w:after="20"/>
      </w:pPr>
    </w:p>
    <w:p>
      <w:pPr>
        <w:jc w:val="both"/>
      </w:pPr>
      <w:r>
        <w:t>B对G的系数为0.010（小学）、0.038（初中），对DGW为−0.072、−0.053，4项校正p均为1.000，单项区间均跨零。当前证据没有确认独立补助关联，不能反过来写成补助没有作用。</w:t>
      </w:r>
    </w:p>
    <w:p>
      <w:pPr>
        <w:jc w:val="both"/>
      </w:pPr>
      <w:r>
        <w:t>在同样本中，学生响应差在不同财政变量规格下仍为正；系数变化不构成中介解释比例。剔除2015—2016年、2020—2022年及五个涉及计划单列市的省份等敏感性完整保留，没有挑选有利版本成为新核心结论。</w:t>
      </w:r>
    </w:p>
    <w:p>
      <w:r>
        <w:br w:type="page"/>
      </w:r>
    </w:p>
    <w:p>
      <w:pPr>
        <w:pStyle w:val="Heading1"/>
      </w:pPr>
      <w:r>
        <w:t>十八 综合判断与政策含义</w:t>
      </w:r>
    </w:p>
    <w:p>
      <w:pPr>
        <w:jc w:val="both"/>
      </w:pPr>
      <w:r>
        <w:t>研究首先确立了历史事实：学段生源转折错位，经费名义规模扩张，举办者收入构成影响全国比例，地方支出增速放缓并出现局部公用实际收缩。这些变化处在不同统计范围和时间窗口中，却共同说明全国总量无法完整代表内部调整。</w:t>
      </w:r>
    </w:p>
    <w:p>
      <w:pPr>
        <w:jc w:val="both"/>
      </w:pPr>
      <w:r>
        <w:t>定量分析进一步把判断收窄到支出项目。2008—2023年初中C相对P的学生响应差得到该轮校正支持；G相对W的差异在两学段均得到该轮支持。教师和班级进入后存在点估计变化，但其四项主检验校正后证据不足；加入中央补助也没有建立独立机制。最有根据的解释性贡献是区分项目响应，机制贡献仍有明确边界。</w:t>
      </w:r>
    </w:p>
    <w:p>
      <w:pPr>
        <w:pStyle w:val="Caption"/>
        <w:keepNext/>
      </w:pPr>
      <w:r>
        <w:t>表12  由研究证据推导的核查与管理重点</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建议</w:t>
            </w:r>
          </w:p>
        </w:tc>
        <w:tc>
          <w:tcPr>
            <w:tcW w:type="dxa" w:w="3264"/>
            <w:shd w:fill="EAEAEA"/>
          </w:tcPr>
          <w:p>
            <w:pPr>
              <w:spacing w:before="80" w:after="80"/>
              <w:jc w:val="center"/>
            </w:pPr>
            <w:r>
              <w:rPr>
                <w:rFonts w:ascii="宋体" w:hAnsi="宋体" w:eastAsia="宋体"/>
                <w:sz w:val="18"/>
              </w:rPr>
              <w:t>依据</w:t>
            </w:r>
          </w:p>
        </w:tc>
        <w:tc>
          <w:tcPr>
            <w:tcW w:type="dxa" w:w="3264"/>
            <w:shd w:fill="EAEAEA"/>
          </w:tcPr>
          <w:p>
            <w:pPr>
              <w:spacing w:before="80" w:after="80"/>
              <w:jc w:val="center"/>
            </w:pPr>
            <w:r>
              <w:rPr>
                <w:rFonts w:ascii="宋体" w:hAnsi="宋体" w:eastAsia="宋体"/>
                <w:sz w:val="18"/>
              </w:rPr>
              <w:t>实施前仍需核查</w:t>
            </w:r>
          </w:p>
        </w:tc>
      </w:tr>
      <w:tr>
        <w:trPr>
          <w:cantSplit/>
        </w:trPr>
        <w:tc>
          <w:tcPr>
            <w:tcW w:type="dxa" w:w="3264"/>
          </w:tcPr>
          <w:p>
            <w:pPr>
              <w:spacing w:before="80" w:after="80"/>
              <w:jc w:val="center"/>
            </w:pPr>
            <w:r>
              <w:rPr>
                <w:rFonts w:ascii="宋体" w:hAnsi="宋体" w:eastAsia="宋体"/>
                <w:sz w:val="18"/>
              </w:rPr>
              <w:t>分学段安排需求监测和调整过渡</w:t>
            </w:r>
          </w:p>
        </w:tc>
        <w:tc>
          <w:tcPr>
            <w:tcW w:type="dxa" w:w="3264"/>
          </w:tcPr>
          <w:p>
            <w:pPr>
              <w:spacing w:before="80" w:after="80"/>
              <w:jc w:val="center"/>
            </w:pPr>
            <w:r>
              <w:rPr>
                <w:rFonts w:ascii="宋体" w:hAnsi="宋体" w:eastAsia="宋体"/>
                <w:sz w:val="18"/>
              </w:rPr>
              <w:t>小学与初中峰谷错位、多轮变化</w:t>
            </w:r>
          </w:p>
        </w:tc>
        <w:tc>
          <w:tcPr>
            <w:tcW w:type="dxa" w:w="3264"/>
          </w:tcPr>
          <w:p>
            <w:pPr>
              <w:spacing w:before="80" w:after="80"/>
              <w:jc w:val="center"/>
            </w:pPr>
            <w:r>
              <w:rPr>
                <w:rFonts w:ascii="宋体" w:hAnsi="宋体" w:eastAsia="宋体"/>
                <w:sz w:val="18"/>
              </w:rPr>
              <w:t>区域流动、城乡及学校类型</w:t>
            </w:r>
          </w:p>
        </w:tc>
      </w:tr>
      <w:tr>
        <w:trPr>
          <w:cantSplit/>
        </w:trPr>
        <w:tc>
          <w:tcPr>
            <w:tcW w:type="dxa" w:w="3264"/>
          </w:tcPr>
          <w:p>
            <w:pPr>
              <w:spacing w:before="80" w:after="80"/>
              <w:jc w:val="center"/>
            </w:pPr>
            <w:r>
              <w:rPr>
                <w:rFonts w:ascii="宋体" w:hAnsi="宋体" w:eastAsia="宋体"/>
                <w:sz w:val="18"/>
              </w:rPr>
              <w:t>同时报告金额与来源占比</w:t>
            </w:r>
          </w:p>
        </w:tc>
        <w:tc>
          <w:tcPr>
            <w:tcW w:type="dxa" w:w="3264"/>
          </w:tcPr>
          <w:p>
            <w:pPr>
              <w:spacing w:before="80" w:after="80"/>
              <w:jc w:val="center"/>
            </w:pPr>
            <w:r>
              <w:rPr>
                <w:rFonts w:ascii="宋体" w:hAnsi="宋体" w:eastAsia="宋体"/>
                <w:sz w:val="18"/>
              </w:rPr>
              <w:t>财政性比例下降可能伴随金额增长</w:t>
            </w:r>
          </w:p>
        </w:tc>
        <w:tc>
          <w:tcPr>
            <w:tcW w:type="dxa" w:w="3264"/>
          </w:tcPr>
          <w:p>
            <w:pPr>
              <w:spacing w:before="80" w:after="80"/>
              <w:jc w:val="center"/>
            </w:pPr>
            <w:r>
              <w:rPr>
                <w:rFonts w:ascii="宋体" w:hAnsi="宋体" w:eastAsia="宋体"/>
                <w:sz w:val="18"/>
              </w:rPr>
              <w:t>名义与实际、收入与支出</w:t>
            </w:r>
          </w:p>
        </w:tc>
      </w:tr>
      <w:tr>
        <w:trPr>
          <w:cantSplit/>
        </w:trPr>
        <w:tc>
          <w:tcPr>
            <w:tcW w:type="dxa" w:w="3264"/>
          </w:tcPr>
          <w:p>
            <w:pPr>
              <w:spacing w:before="80" w:after="80"/>
              <w:jc w:val="center"/>
            </w:pPr>
            <w:r>
              <w:rPr>
                <w:rFonts w:ascii="宋体" w:hAnsi="宋体" w:eastAsia="宋体"/>
                <w:sz w:val="18"/>
              </w:rPr>
              <w:t>分别监测运行相关和资本性项目</w:t>
            </w:r>
          </w:p>
        </w:tc>
        <w:tc>
          <w:tcPr>
            <w:tcW w:type="dxa" w:w="3264"/>
          </w:tcPr>
          <w:p>
            <w:pPr>
              <w:spacing w:before="80" w:after="80"/>
              <w:jc w:val="center"/>
            </w:pPr>
            <w:r>
              <w:rPr>
                <w:rFonts w:ascii="宋体" w:hAnsi="宋体" w:eastAsia="宋体"/>
                <w:sz w:val="18"/>
              </w:rPr>
              <w:t>公用合计可能隐藏内部抵消</w:t>
            </w:r>
          </w:p>
        </w:tc>
        <w:tc>
          <w:tcPr>
            <w:tcW w:type="dxa" w:w="3264"/>
          </w:tcPr>
          <w:p>
            <w:pPr>
              <w:spacing w:before="80" w:after="80"/>
              <w:jc w:val="center"/>
            </w:pPr>
            <w:r>
              <w:rPr>
                <w:rFonts w:ascii="宋体" w:hAnsi="宋体" w:eastAsia="宋体"/>
                <w:sz w:val="18"/>
              </w:rPr>
              <w:t>项目用途、采购周期和服务水平</w:t>
            </w:r>
          </w:p>
        </w:tc>
      </w:tr>
      <w:tr>
        <w:trPr>
          <w:cantSplit/>
        </w:trPr>
        <w:tc>
          <w:tcPr>
            <w:tcW w:type="dxa" w:w="3264"/>
          </w:tcPr>
          <w:p>
            <w:pPr>
              <w:spacing w:before="80" w:after="80"/>
              <w:jc w:val="center"/>
            </w:pPr>
            <w:r>
              <w:rPr>
                <w:rFonts w:ascii="宋体" w:hAnsi="宋体" w:eastAsia="宋体"/>
                <w:sz w:val="18"/>
              </w:rPr>
              <w:t>优先核查累计公用下降地区</w:t>
            </w:r>
          </w:p>
        </w:tc>
        <w:tc>
          <w:tcPr>
            <w:tcW w:type="dxa" w:w="3264"/>
          </w:tcPr>
          <w:p>
            <w:pPr>
              <w:spacing w:before="80" w:after="80"/>
              <w:jc w:val="center"/>
            </w:pPr>
            <w:r>
              <w:rPr>
                <w:rFonts w:ascii="宋体" w:hAnsi="宋体" w:eastAsia="宋体"/>
                <w:sz w:val="18"/>
              </w:rPr>
              <w:t>地方端点出现实际收缩</w:t>
            </w:r>
          </w:p>
        </w:tc>
        <w:tc>
          <w:tcPr>
            <w:tcW w:type="dxa" w:w="3264"/>
          </w:tcPr>
          <w:p>
            <w:pPr>
              <w:spacing w:before="80" w:after="80"/>
              <w:jc w:val="center"/>
            </w:pPr>
            <w:r>
              <w:rPr>
                <w:rFonts w:ascii="宋体" w:hAnsi="宋体" w:eastAsia="宋体"/>
                <w:sz w:val="18"/>
              </w:rPr>
              <w:t>学校层面不足与项目完结区别</w:t>
            </w:r>
          </w:p>
        </w:tc>
      </w:tr>
      <w:tr>
        <w:trPr>
          <w:cantSplit/>
        </w:trPr>
        <w:tc>
          <w:tcPr>
            <w:tcW w:type="dxa" w:w="3264"/>
          </w:tcPr>
          <w:p>
            <w:pPr>
              <w:spacing w:before="80" w:after="80"/>
              <w:jc w:val="center"/>
            </w:pPr>
            <w:r>
              <w:rPr>
                <w:rFonts w:ascii="宋体" w:hAnsi="宋体" w:eastAsia="宋体"/>
                <w:sz w:val="18"/>
              </w:rPr>
              <w:t>把补助和用途约束纳入财政判断</w:t>
            </w:r>
          </w:p>
        </w:tc>
        <w:tc>
          <w:tcPr>
            <w:tcW w:type="dxa" w:w="3264"/>
          </w:tcPr>
          <w:p>
            <w:pPr>
              <w:spacing w:before="80" w:after="80"/>
              <w:jc w:val="center"/>
            </w:pPr>
            <w:r>
              <w:rPr>
                <w:rFonts w:ascii="宋体" w:hAnsi="宋体" w:eastAsia="宋体"/>
                <w:sz w:val="18"/>
              </w:rPr>
              <w:t>自身收入与R＋B可不同向</w:t>
            </w:r>
          </w:p>
        </w:tc>
        <w:tc>
          <w:tcPr>
            <w:tcW w:type="dxa" w:w="3264"/>
          </w:tcPr>
          <w:p>
            <w:pPr>
              <w:spacing w:before="80" w:after="80"/>
              <w:jc w:val="center"/>
            </w:pPr>
            <w:r>
              <w:rPr>
                <w:rFonts w:ascii="宋体" w:hAnsi="宋体" w:eastAsia="宋体"/>
                <w:sz w:val="18"/>
              </w:rPr>
              <w:t>净结算、专项补助和省市边界</w:t>
            </w:r>
          </w:p>
        </w:tc>
      </w:tr>
    </w:tbl>
    <w:p>
      <w:pPr>
        <w:spacing w:after="20"/>
      </w:pPr>
    </w:p>
    <w:p>
      <w:pPr>
        <w:jc w:val="both"/>
      </w:pPr>
      <w:r>
        <w:t>这些建议指向监测和证据补充，不是削减教师、撤并学校或规定最优预算比例的依据。当前省级资料无法评价学习结果、地区资源充足程度、教师学科匹配或支出效率，也无法判断某项改革的成败。</w:t>
      </w:r>
    </w:p>
    <w:p>
      <w:pPr>
        <w:jc w:val="both"/>
      </w:pPr>
      <w:r>
        <w:t>进一步研究应优先取得2017—2018年前后工资与养老项目列支说明、人员制度及教育专项补助资料，并将省市财政范围与学校覆盖对应。在这些独立证据形成前，增加更多当期控制或改变分期不会自动加强机制识别。</w:t>
      </w:r>
    </w:p>
    <w:p>
      <w:r>
        <w:br w:type="page"/>
      </w:r>
    </w:p>
    <w:p>
      <w:pPr>
        <w:pStyle w:val="Heading1"/>
      </w:pPr>
      <w:r>
        <w:t>附录一 早期收缩假设及不利结果</w:t>
      </w:r>
    </w:p>
    <w:p>
      <w:pPr>
        <w:jc w:val="both"/>
      </w:pPr>
      <w:r>
        <w:t>研究最初在连续至少两年学生减少的样本中检验双重收缩。定义Z＝max(0,−实际自身收入对数变化)。H1以D＝Δln C−Δln P为结果，控制学生变化与省份、年份效应，预期Z系数为负；H2以C实际增长为结果，检验2016年及以后Z斜率相对前期是否提高，允许学生响应分阶段，预期交互为正。</w:t>
      </w:r>
    </w:p>
    <w:p>
      <w:pPr>
        <w:pStyle w:val="Caption"/>
        <w:keepNext/>
      </w:pPr>
      <w:r>
        <w:t>表13  旧H1及H2探索结果</w:t>
      </w:r>
    </w:p>
    <w:tbl>
      <w:tblPr>
        <w:tblW w:type="auto" w:w="0"/>
        <w:tblLayout w:type="fixed"/>
        <w:tblLook w:firstColumn="1" w:firstRow="1" w:lastColumn="0" w:lastRow="0" w:noHBand="0" w:noVBand="1" w:val="04A0"/>
      </w:tblPr>
      <w:tblGrid>
        <w:gridCol w:w="1656"/>
        <w:gridCol w:w="1656"/>
        <w:gridCol w:w="1656"/>
        <w:gridCol w:w="1656"/>
        <w:gridCol w:w="1656"/>
        <w:gridCol w:w="1656"/>
      </w:tblGrid>
      <w:tr>
        <w:trPr>
          <w:cantSplit/>
        </w:trPr>
        <w:tc>
          <w:tcPr>
            <w:tcW w:type="dxa" w:w="1632"/>
            <w:shd w:fill="EAEAEA"/>
          </w:tcPr>
          <w:p>
            <w:pPr>
              <w:spacing w:before="80" w:after="80"/>
              <w:jc w:val="center"/>
            </w:pPr>
            <w:r>
              <w:rPr>
                <w:rFonts w:ascii="宋体" w:hAnsi="宋体" w:eastAsia="宋体"/>
                <w:sz w:val="18"/>
              </w:rPr>
              <w:t>学段</w:t>
            </w:r>
          </w:p>
        </w:tc>
        <w:tc>
          <w:tcPr>
            <w:tcW w:type="dxa" w:w="1632"/>
            <w:shd w:fill="EAEAEA"/>
          </w:tcPr>
          <w:p>
            <w:pPr>
              <w:spacing w:before="80" w:after="80"/>
              <w:jc w:val="center"/>
            </w:pPr>
            <w:r>
              <w:rPr>
                <w:rFonts w:ascii="宋体" w:hAnsi="宋体" w:eastAsia="宋体"/>
                <w:sz w:val="18"/>
              </w:rPr>
              <w:t>假设</w:t>
            </w:r>
          </w:p>
        </w:tc>
        <w:tc>
          <w:tcPr>
            <w:tcW w:type="dxa" w:w="1632"/>
            <w:shd w:fill="EAEAEA"/>
          </w:tcPr>
          <w:p>
            <w:pPr>
              <w:spacing w:before="80" w:after="80"/>
              <w:jc w:val="center"/>
            </w:pPr>
            <w:r>
              <w:rPr>
                <w:rFonts w:ascii="宋体" w:hAnsi="宋体" w:eastAsia="宋体"/>
                <w:sz w:val="18"/>
              </w:rPr>
              <w:t>省年数</w:t>
            </w:r>
          </w:p>
        </w:tc>
        <w:tc>
          <w:tcPr>
            <w:tcW w:type="dxa" w:w="1632"/>
            <w:shd w:fill="EAEAEA"/>
          </w:tcPr>
          <w:p>
            <w:pPr>
              <w:spacing w:before="80" w:after="80"/>
              <w:jc w:val="center"/>
            </w:pPr>
            <w:r>
              <w:rPr>
                <w:rFonts w:ascii="宋体" w:hAnsi="宋体" w:eastAsia="宋体"/>
                <w:sz w:val="18"/>
              </w:rPr>
              <w:t>系数</w:t>
            </w:r>
          </w:p>
        </w:tc>
        <w:tc>
          <w:tcPr>
            <w:tcW w:type="dxa" w:w="1632"/>
            <w:shd w:fill="EAEAEA"/>
          </w:tcPr>
          <w:p>
            <w:pPr>
              <w:spacing w:before="80" w:after="80"/>
              <w:jc w:val="center"/>
            </w:pPr>
            <w:r>
              <w:rPr>
                <w:rFonts w:ascii="宋体" w:hAnsi="宋体" w:eastAsia="宋体"/>
                <w:sz w:val="18"/>
              </w:rPr>
              <w:t>自助p</w:t>
            </w:r>
          </w:p>
        </w:tc>
        <w:tc>
          <w:tcPr>
            <w:tcW w:type="dxa" w:w="1632"/>
            <w:shd w:fill="EAEAEA"/>
          </w:tcPr>
          <w:p>
            <w:pPr>
              <w:spacing w:before="80" w:after="80"/>
              <w:jc w:val="center"/>
            </w:pPr>
            <w:r>
              <w:rPr>
                <w:rFonts w:ascii="宋体" w:hAnsi="宋体" w:eastAsia="宋体"/>
                <w:sz w:val="18"/>
              </w:rPr>
              <w:t>四项校正p</w:t>
            </w:r>
          </w:p>
        </w:tc>
      </w:tr>
      <w:tr>
        <w:trPr>
          <w:cantSplit/>
        </w:trPr>
        <w:tc>
          <w:tcPr>
            <w:tcW w:type="dxa" w:w="1632"/>
          </w:tcPr>
          <w:p>
            <w:pPr>
              <w:spacing w:before="80" w:after="80"/>
              <w:jc w:val="center"/>
            </w:pPr>
            <w:r>
              <w:rPr>
                <w:rFonts w:ascii="宋体" w:hAnsi="宋体" w:eastAsia="宋体"/>
                <w:sz w:val="18"/>
              </w:rPr>
              <w:t>小学</w:t>
            </w:r>
          </w:p>
        </w:tc>
        <w:tc>
          <w:tcPr>
            <w:tcW w:type="dxa" w:w="1632"/>
          </w:tcPr>
          <w:p>
            <w:pPr>
              <w:spacing w:before="80" w:after="80"/>
              <w:jc w:val="center"/>
            </w:pPr>
            <w:r>
              <w:rPr>
                <w:rFonts w:ascii="宋体" w:hAnsi="宋体" w:eastAsia="宋体"/>
                <w:sz w:val="18"/>
              </w:rPr>
              <w:t>H1</w:t>
            </w:r>
          </w:p>
        </w:tc>
        <w:tc>
          <w:tcPr>
            <w:tcW w:type="dxa" w:w="1632"/>
          </w:tcPr>
          <w:p>
            <w:pPr>
              <w:spacing w:before="80" w:after="80"/>
              <w:jc w:val="center"/>
            </w:pPr>
            <w:r>
              <w:rPr>
                <w:rFonts w:ascii="宋体" w:hAnsi="宋体" w:eastAsia="宋体"/>
                <w:sz w:val="18"/>
              </w:rPr>
              <w:t>157</w:t>
            </w:r>
          </w:p>
        </w:tc>
        <w:tc>
          <w:tcPr>
            <w:tcW w:type="dxa" w:w="1632"/>
          </w:tcPr>
          <w:p>
            <w:pPr>
              <w:spacing w:before="80" w:after="80"/>
              <w:jc w:val="center"/>
            </w:pPr>
            <w:r>
              <w:rPr>
                <w:rFonts w:ascii="宋体" w:hAnsi="宋体" w:eastAsia="宋体"/>
                <w:sz w:val="18"/>
              </w:rPr>
              <w:t>-0.588</w:t>
            </w:r>
          </w:p>
        </w:tc>
        <w:tc>
          <w:tcPr>
            <w:tcW w:type="dxa" w:w="1632"/>
          </w:tcPr>
          <w:p>
            <w:pPr>
              <w:spacing w:before="80" w:after="80"/>
              <w:jc w:val="center"/>
            </w:pPr>
            <w:r>
              <w:rPr>
                <w:rFonts w:ascii="宋体" w:hAnsi="宋体" w:eastAsia="宋体"/>
                <w:sz w:val="18"/>
              </w:rPr>
              <w:t>0.1945</w:t>
            </w:r>
          </w:p>
        </w:tc>
        <w:tc>
          <w:tcPr>
            <w:tcW w:type="dxa" w:w="1632"/>
          </w:tcPr>
          <w:p>
            <w:pPr>
              <w:spacing w:before="80" w:after="80"/>
              <w:jc w:val="center"/>
            </w:pPr>
            <w:r>
              <w:rPr>
                <w:rFonts w:ascii="宋体" w:hAnsi="宋体" w:eastAsia="宋体"/>
                <w:sz w:val="18"/>
              </w:rPr>
              <w:t>0.3890</w:t>
            </w:r>
          </w:p>
        </w:tc>
      </w:tr>
      <w:tr>
        <w:trPr>
          <w:cantSplit/>
        </w:trPr>
        <w:tc>
          <w:tcPr>
            <w:tcW w:type="dxa" w:w="1632"/>
          </w:tcPr>
          <w:p>
            <w:pPr>
              <w:spacing w:before="80" w:after="80"/>
              <w:jc w:val="center"/>
            </w:pPr>
            <w:r>
              <w:rPr>
                <w:rFonts w:ascii="宋体" w:hAnsi="宋体" w:eastAsia="宋体"/>
                <w:sz w:val="18"/>
              </w:rPr>
              <w:t>小学</w:t>
            </w:r>
          </w:p>
        </w:tc>
        <w:tc>
          <w:tcPr>
            <w:tcW w:type="dxa" w:w="1632"/>
          </w:tcPr>
          <w:p>
            <w:pPr>
              <w:spacing w:before="80" w:after="80"/>
              <w:jc w:val="center"/>
            </w:pPr>
            <w:r>
              <w:rPr>
                <w:rFonts w:ascii="宋体" w:hAnsi="宋体" w:eastAsia="宋体"/>
                <w:sz w:val="18"/>
              </w:rPr>
              <w:t>H2</w:t>
            </w:r>
          </w:p>
        </w:tc>
        <w:tc>
          <w:tcPr>
            <w:tcW w:type="dxa" w:w="1632"/>
          </w:tcPr>
          <w:p>
            <w:pPr>
              <w:spacing w:before="80" w:after="80"/>
              <w:jc w:val="center"/>
            </w:pPr>
            <w:r>
              <w:rPr>
                <w:rFonts w:ascii="宋体" w:hAnsi="宋体" w:eastAsia="宋体"/>
                <w:sz w:val="18"/>
              </w:rPr>
              <w:t>157</w:t>
            </w:r>
          </w:p>
        </w:tc>
        <w:tc>
          <w:tcPr>
            <w:tcW w:type="dxa" w:w="1632"/>
          </w:tcPr>
          <w:p>
            <w:pPr>
              <w:spacing w:before="80" w:after="80"/>
              <w:jc w:val="center"/>
            </w:pPr>
            <w:r>
              <w:rPr>
                <w:rFonts w:ascii="宋体" w:hAnsi="宋体" w:eastAsia="宋体"/>
                <w:sz w:val="18"/>
              </w:rPr>
              <w:t>-0.412</w:t>
            </w:r>
          </w:p>
        </w:tc>
        <w:tc>
          <w:tcPr>
            <w:tcW w:type="dxa" w:w="1632"/>
          </w:tcPr>
          <w:p>
            <w:pPr>
              <w:spacing w:before="80" w:after="80"/>
              <w:jc w:val="center"/>
            </w:pPr>
            <w:r>
              <w:rPr>
                <w:rFonts w:ascii="宋体" w:hAnsi="宋体" w:eastAsia="宋体"/>
                <w:sz w:val="18"/>
              </w:rPr>
              <w:t>0.6577</w:t>
            </w:r>
          </w:p>
        </w:tc>
        <w:tc>
          <w:tcPr>
            <w:tcW w:type="dxa" w:w="1632"/>
          </w:tcPr>
          <w:p>
            <w:pPr>
              <w:spacing w:before="80" w:after="80"/>
              <w:jc w:val="center"/>
            </w:pPr>
            <w:r>
              <w:rPr>
                <w:rFonts w:ascii="宋体" w:hAnsi="宋体" w:eastAsia="宋体"/>
                <w:sz w:val="18"/>
              </w:rPr>
              <w:t>0.6577</w:t>
            </w:r>
          </w:p>
        </w:tc>
      </w:tr>
      <w:tr>
        <w:trPr>
          <w:cantSplit/>
        </w:trPr>
        <w:tc>
          <w:tcPr>
            <w:tcW w:type="dxa" w:w="1632"/>
          </w:tcPr>
          <w:p>
            <w:pPr>
              <w:spacing w:before="80" w:after="80"/>
              <w:jc w:val="center"/>
            </w:pPr>
            <w:r>
              <w:rPr>
                <w:rFonts w:ascii="宋体" w:hAnsi="宋体" w:eastAsia="宋体"/>
                <w:sz w:val="18"/>
              </w:rPr>
              <w:t>初中</w:t>
            </w:r>
          </w:p>
        </w:tc>
        <w:tc>
          <w:tcPr>
            <w:tcW w:type="dxa" w:w="1632"/>
          </w:tcPr>
          <w:p>
            <w:pPr>
              <w:spacing w:before="80" w:after="80"/>
              <w:jc w:val="center"/>
            </w:pPr>
            <w:r>
              <w:rPr>
                <w:rFonts w:ascii="宋体" w:hAnsi="宋体" w:eastAsia="宋体"/>
                <w:sz w:val="18"/>
              </w:rPr>
              <w:t>H1</w:t>
            </w:r>
          </w:p>
        </w:tc>
        <w:tc>
          <w:tcPr>
            <w:tcW w:type="dxa" w:w="1632"/>
          </w:tcPr>
          <w:p>
            <w:pPr>
              <w:spacing w:before="80" w:after="80"/>
              <w:jc w:val="center"/>
            </w:pPr>
            <w:r>
              <w:rPr>
                <w:rFonts w:ascii="宋体" w:hAnsi="宋体" w:eastAsia="宋体"/>
                <w:sz w:val="18"/>
              </w:rPr>
              <w:t>202</w:t>
            </w:r>
          </w:p>
        </w:tc>
        <w:tc>
          <w:tcPr>
            <w:tcW w:type="dxa" w:w="1632"/>
          </w:tcPr>
          <w:p>
            <w:pPr>
              <w:spacing w:before="80" w:after="80"/>
              <w:jc w:val="center"/>
            </w:pPr>
            <w:r>
              <w:rPr>
                <w:rFonts w:ascii="宋体" w:hAnsi="宋体" w:eastAsia="宋体"/>
                <w:sz w:val="18"/>
              </w:rPr>
              <w:t>-0.767</w:t>
            </w:r>
          </w:p>
        </w:tc>
        <w:tc>
          <w:tcPr>
            <w:tcW w:type="dxa" w:w="1632"/>
          </w:tcPr>
          <w:p>
            <w:pPr>
              <w:spacing w:before="80" w:after="80"/>
              <w:jc w:val="center"/>
            </w:pPr>
            <w:r>
              <w:rPr>
                <w:rFonts w:ascii="宋体" w:hAnsi="宋体" w:eastAsia="宋体"/>
                <w:sz w:val="18"/>
              </w:rPr>
              <w:t>0.0719</w:t>
            </w:r>
          </w:p>
        </w:tc>
        <w:tc>
          <w:tcPr>
            <w:tcW w:type="dxa" w:w="1632"/>
          </w:tcPr>
          <w:p>
            <w:pPr>
              <w:spacing w:before="80" w:after="80"/>
              <w:jc w:val="center"/>
            </w:pPr>
            <w:r>
              <w:rPr>
                <w:rFonts w:ascii="宋体" w:hAnsi="宋体" w:eastAsia="宋体"/>
                <w:sz w:val="18"/>
              </w:rPr>
              <w:t>0.2876</w:t>
            </w:r>
          </w:p>
        </w:tc>
      </w:tr>
      <w:tr>
        <w:trPr>
          <w:cantSplit/>
        </w:trPr>
        <w:tc>
          <w:tcPr>
            <w:tcW w:type="dxa" w:w="1632"/>
          </w:tcPr>
          <w:p>
            <w:pPr>
              <w:spacing w:before="80" w:after="80"/>
              <w:jc w:val="center"/>
            </w:pPr>
            <w:r>
              <w:rPr>
                <w:rFonts w:ascii="宋体" w:hAnsi="宋体" w:eastAsia="宋体"/>
                <w:sz w:val="18"/>
              </w:rPr>
              <w:t>初中</w:t>
            </w:r>
          </w:p>
        </w:tc>
        <w:tc>
          <w:tcPr>
            <w:tcW w:type="dxa" w:w="1632"/>
          </w:tcPr>
          <w:p>
            <w:pPr>
              <w:spacing w:before="80" w:after="80"/>
              <w:jc w:val="center"/>
            </w:pPr>
            <w:r>
              <w:rPr>
                <w:rFonts w:ascii="宋体" w:hAnsi="宋体" w:eastAsia="宋体"/>
                <w:sz w:val="18"/>
              </w:rPr>
              <w:t>H2</w:t>
            </w:r>
          </w:p>
        </w:tc>
        <w:tc>
          <w:tcPr>
            <w:tcW w:type="dxa" w:w="1632"/>
          </w:tcPr>
          <w:p>
            <w:pPr>
              <w:spacing w:before="80" w:after="80"/>
              <w:jc w:val="center"/>
            </w:pPr>
            <w:r>
              <w:rPr>
                <w:rFonts w:ascii="宋体" w:hAnsi="宋体" w:eastAsia="宋体"/>
                <w:sz w:val="18"/>
              </w:rPr>
              <w:t>202</w:t>
            </w:r>
          </w:p>
        </w:tc>
        <w:tc>
          <w:tcPr>
            <w:tcW w:type="dxa" w:w="1632"/>
          </w:tcPr>
          <w:p>
            <w:pPr>
              <w:spacing w:before="80" w:after="80"/>
              <w:jc w:val="center"/>
            </w:pPr>
            <w:r>
              <w:rPr>
                <w:rFonts w:ascii="宋体" w:hAnsi="宋体" w:eastAsia="宋体"/>
                <w:sz w:val="18"/>
              </w:rPr>
              <w:t>0.585</w:t>
            </w:r>
          </w:p>
        </w:tc>
        <w:tc>
          <w:tcPr>
            <w:tcW w:type="dxa" w:w="1632"/>
          </w:tcPr>
          <w:p>
            <w:pPr>
              <w:spacing w:before="80" w:after="80"/>
              <w:jc w:val="center"/>
            </w:pPr>
            <w:r>
              <w:rPr>
                <w:rFonts w:ascii="宋体" w:hAnsi="宋体" w:eastAsia="宋体"/>
                <w:sz w:val="18"/>
              </w:rPr>
              <w:t>0.1254</w:t>
            </w:r>
          </w:p>
        </w:tc>
        <w:tc>
          <w:tcPr>
            <w:tcW w:type="dxa" w:w="1632"/>
          </w:tcPr>
          <w:p>
            <w:pPr>
              <w:spacing w:before="80" w:after="80"/>
              <w:jc w:val="center"/>
            </w:pPr>
            <w:r>
              <w:rPr>
                <w:rFonts w:ascii="宋体" w:hAnsi="宋体" w:eastAsia="宋体"/>
                <w:sz w:val="18"/>
              </w:rPr>
              <w:t>0.3762</w:t>
            </w:r>
          </w:p>
        </w:tc>
      </w:tr>
    </w:tbl>
    <w:p>
      <w:pPr>
        <w:spacing w:after="20"/>
      </w:pPr>
    </w:p>
    <w:p>
      <w:pPr>
        <w:jc w:val="both"/>
      </w:pPr>
      <w:r>
        <w:t>四项校正均未通过5%阈值。小学持续下降样本157条、实际收入收缩17条，其中2016年前只有2条；初中持续下降202条、收入收缩前期5条。长历史并未自动提供足够的阶段财政收缩比较，聚类自助也不会增加真实识别信息。</w:t>
      </w:r>
    </w:p>
    <w:p>
      <w:pPr>
        <w:jc w:val="both"/>
      </w:pPr>
      <w:r>
        <w:t>小学H2的反演置信集在设定搜索下界仍未封闭，不能硬写有限95%区间；也不能将有限搜索边界当成真实无穷大。同省同年两学段共同持续下降的98条中，财政收缩仅5条、3省，学段H1直接差系数约−0.00136、自助p＝0.9777，未支持学段差异。</w:t>
      </w:r>
    </w:p>
    <w:p>
      <w:pPr>
        <w:jc w:val="both"/>
      </w:pPr>
      <w:r>
        <w:t>财政2015—2016年项目转列影响相邻收入定义，剔除两年后的初中H1点估计由−0.767变为−0.105；小学H2由−0.412变为1.236。敏感性不是另一个确认性结果。旧假设保留为弱证据，后来全样本响应及G/W研究改变了估计问题和范围，没有“救活”原假设。</w:t>
      </w:r>
    </w:p>
    <w:p>
      <w:pPr>
        <w:jc w:val="both"/>
      </w:pPr>
      <w:r>
        <w:t>所有检验族仍分别处理，不能将只挑选未经校正p或有利敏感性版本的结论写入最终报告。无显著关系也不证明理论机制不存在；缺乏支持可能源于定义、样本结构、精度或实际关系弱。</w:t>
      </w:r>
    </w:p>
    <w:p>
      <w:r>
        <w:br w:type="page"/>
      </w:r>
    </w:p>
    <w:p>
      <w:pPr>
        <w:pStyle w:val="Heading1"/>
      </w:pPr>
      <w:r>
        <w:t>附录二 早期经费重建与1994年估算</w:t>
      </w:r>
    </w:p>
    <w:p>
      <w:pPr>
        <w:jc w:val="both"/>
      </w:pPr>
      <w:r>
        <w:t>2005年前并非全部没有可用资料。1995—1997年按当年支出来源组成项重建财政性金额；1998—2004年按收入来源组成项重建；2005年起读取公布值。原来源、算法和核对记录另存。早期支出与后期收入保留断线，组成项重建不抹去定义边界。</w:t>
      </w:r>
    </w:p>
    <w:p>
      <w:pPr>
        <w:jc w:val="both"/>
      </w:pPr>
      <w:r>
        <w:t>2006年全国表单位不显式，先按千元换算，再与国家统计局全国合计交叉核对；两项总额仅差5千元、预算内项无差额，恢复为来源观察值。[11] 该处理与1994年借用分配比例的估算不同。</w:t>
      </w:r>
    </w:p>
    <w:p>
      <w:pPr>
        <w:jc w:val="both"/>
      </w:pPr>
      <w:r>
        <w:t>1994年全国预算内经费883.97947亿元，与当年义务教育预算拨款占比53.41%相乘，得到约472.13343亿元约束总额。[10][12] 按1995年小学、初中、特殊教育预算内支出比例分配；特殊教育保留在分母。其他来源以1994年全国来源总额乘1995年学段来源权重，财政性金额由财政性组成项加总。</w:t>
      </w:r>
    </w:p>
    <w:p>
      <w:pPr>
        <w:pStyle w:val="Caption"/>
        <w:keepNext/>
      </w:pPr>
      <w:r>
        <w:t>表14  1994年报告采用的条件估算</w:t>
      </w:r>
    </w:p>
    <w:tbl>
      <w:tblPr>
        <w:tblW w:type="auto" w:w="0"/>
        <w:tblLayout w:type="fixed"/>
        <w:tblLook w:firstColumn="1" w:firstRow="1" w:lastColumn="0" w:lastRow="0" w:noHBand="0" w:noVBand="1" w:val="04A0"/>
      </w:tblPr>
      <w:tblGrid>
        <w:gridCol w:w="1987"/>
        <w:gridCol w:w="1987"/>
        <w:gridCol w:w="1987"/>
        <w:gridCol w:w="1987"/>
        <w:gridCol w:w="1987"/>
      </w:tblGrid>
      <w:tr>
        <w:trPr>
          <w:cantSplit/>
        </w:trPr>
        <w:tc>
          <w:tcPr>
            <w:tcW w:type="dxa" w:w="1958"/>
            <w:shd w:fill="EAEAEA"/>
          </w:tcPr>
          <w:p>
            <w:pPr>
              <w:spacing w:before="80" w:after="80"/>
              <w:jc w:val="center"/>
            </w:pPr>
            <w:r>
              <w:rPr>
                <w:rFonts w:ascii="宋体" w:hAnsi="宋体" w:eastAsia="宋体"/>
                <w:sz w:val="18"/>
              </w:rPr>
              <w:t>学段</w:t>
            </w:r>
          </w:p>
        </w:tc>
        <w:tc>
          <w:tcPr>
            <w:tcW w:type="dxa" w:w="1958"/>
            <w:shd w:fill="EAEAEA"/>
          </w:tcPr>
          <w:p>
            <w:pPr>
              <w:spacing w:before="80" w:after="80"/>
              <w:jc w:val="center"/>
            </w:pPr>
            <w:r>
              <w:rPr>
                <w:rFonts w:ascii="宋体" w:hAnsi="宋体" w:eastAsia="宋体"/>
                <w:sz w:val="18"/>
              </w:rPr>
              <w:t>财政性 亿元</w:t>
            </w:r>
          </w:p>
        </w:tc>
        <w:tc>
          <w:tcPr>
            <w:tcW w:type="dxa" w:w="1958"/>
            <w:shd w:fill="EAEAEA"/>
          </w:tcPr>
          <w:p>
            <w:pPr>
              <w:spacing w:before="80" w:after="80"/>
              <w:jc w:val="center"/>
            </w:pPr>
            <w:r>
              <w:rPr>
                <w:rFonts w:ascii="宋体" w:hAnsi="宋体" w:eastAsia="宋体"/>
                <w:sz w:val="18"/>
              </w:rPr>
              <w:t>总经费 亿元</w:t>
            </w:r>
          </w:p>
        </w:tc>
        <w:tc>
          <w:tcPr>
            <w:tcW w:type="dxa" w:w="1958"/>
            <w:shd w:fill="EAEAEA"/>
          </w:tcPr>
          <w:p>
            <w:pPr>
              <w:spacing w:before="80" w:after="80"/>
              <w:jc w:val="center"/>
            </w:pPr>
            <w:r>
              <w:rPr>
                <w:rFonts w:ascii="宋体" w:hAnsi="宋体" w:eastAsia="宋体"/>
                <w:sz w:val="18"/>
              </w:rPr>
              <w:t>财政性占比</w:t>
            </w:r>
          </w:p>
        </w:tc>
        <w:tc>
          <w:tcPr>
            <w:tcW w:type="dxa" w:w="1958"/>
            <w:shd w:fill="EAEAEA"/>
          </w:tcPr>
          <w:p>
            <w:pPr>
              <w:spacing w:before="80" w:after="80"/>
              <w:jc w:val="center"/>
            </w:pPr>
            <w:r>
              <w:rPr>
                <w:rFonts w:ascii="宋体" w:hAnsi="宋体" w:eastAsia="宋体"/>
                <w:sz w:val="18"/>
              </w:rPr>
              <w:t>同方案情景范围 亿元</w:t>
            </w:r>
          </w:p>
        </w:tc>
      </w:tr>
      <w:tr>
        <w:trPr>
          <w:cantSplit/>
        </w:trPr>
        <w:tc>
          <w:tcPr>
            <w:tcW w:type="dxa" w:w="1958"/>
          </w:tcPr>
          <w:p>
            <w:pPr>
              <w:spacing w:before="80" w:after="80"/>
              <w:jc w:val="center"/>
            </w:pPr>
            <w:r>
              <w:rPr>
                <w:rFonts w:ascii="宋体" w:hAnsi="宋体" w:eastAsia="宋体"/>
                <w:sz w:val="18"/>
              </w:rPr>
              <w:t>小学</w:t>
            </w:r>
          </w:p>
        </w:tc>
        <w:tc>
          <w:tcPr>
            <w:tcW w:type="dxa" w:w="1958"/>
          </w:tcPr>
          <w:p>
            <w:pPr>
              <w:spacing w:before="80" w:after="80"/>
              <w:jc w:val="center"/>
            </w:pPr>
            <w:r>
              <w:rPr>
                <w:rFonts w:ascii="宋体" w:hAnsi="宋体" w:eastAsia="宋体"/>
                <w:sz w:val="18"/>
              </w:rPr>
              <w:t>399.27</w:t>
            </w:r>
          </w:p>
        </w:tc>
        <w:tc>
          <w:tcPr>
            <w:tcW w:type="dxa" w:w="1958"/>
          </w:tcPr>
          <w:p>
            <w:pPr>
              <w:spacing w:before="80" w:after="80"/>
              <w:jc w:val="center"/>
            </w:pPr>
            <w:r>
              <w:rPr>
                <w:rFonts w:ascii="宋体" w:hAnsi="宋体" w:eastAsia="宋体"/>
                <w:sz w:val="18"/>
              </w:rPr>
              <w:t>501.95</w:t>
            </w:r>
          </w:p>
        </w:tc>
        <w:tc>
          <w:tcPr>
            <w:tcW w:type="dxa" w:w="1958"/>
          </w:tcPr>
          <w:p>
            <w:pPr>
              <w:spacing w:before="80" w:after="80"/>
              <w:jc w:val="center"/>
            </w:pPr>
            <w:r>
              <w:rPr>
                <w:rFonts w:ascii="宋体" w:hAnsi="宋体" w:eastAsia="宋体"/>
                <w:sz w:val="18"/>
              </w:rPr>
              <w:t>79.54%</w:t>
            </w:r>
          </w:p>
        </w:tc>
        <w:tc>
          <w:tcPr>
            <w:tcW w:type="dxa" w:w="1958"/>
          </w:tcPr>
          <w:p>
            <w:pPr>
              <w:spacing w:before="80" w:after="80"/>
              <w:jc w:val="center"/>
            </w:pPr>
            <w:r>
              <w:rPr>
                <w:rFonts w:ascii="宋体" w:hAnsi="宋体" w:eastAsia="宋体"/>
                <w:sz w:val="18"/>
              </w:rPr>
              <w:t>397.60—399.27</w:t>
            </w:r>
          </w:p>
        </w:tc>
      </w:tr>
      <w:tr>
        <w:trPr>
          <w:cantSplit/>
        </w:trPr>
        <w:tc>
          <w:tcPr>
            <w:tcW w:type="dxa" w:w="1958"/>
          </w:tcPr>
          <w:p>
            <w:pPr>
              <w:spacing w:before="80" w:after="80"/>
              <w:jc w:val="center"/>
            </w:pPr>
            <w:r>
              <w:rPr>
                <w:rFonts w:ascii="宋体" w:hAnsi="宋体" w:eastAsia="宋体"/>
                <w:sz w:val="18"/>
              </w:rPr>
              <w:t>初中</w:t>
            </w:r>
          </w:p>
        </w:tc>
        <w:tc>
          <w:tcPr>
            <w:tcW w:type="dxa" w:w="1958"/>
          </w:tcPr>
          <w:p>
            <w:pPr>
              <w:spacing w:before="80" w:after="80"/>
              <w:jc w:val="center"/>
            </w:pPr>
            <w:r>
              <w:rPr>
                <w:rFonts w:ascii="宋体" w:hAnsi="宋体" w:eastAsia="宋体"/>
                <w:sz w:val="18"/>
              </w:rPr>
              <w:t>257.35</w:t>
            </w:r>
          </w:p>
        </w:tc>
        <w:tc>
          <w:tcPr>
            <w:tcW w:type="dxa" w:w="1958"/>
          </w:tcPr>
          <w:p>
            <w:pPr>
              <w:spacing w:before="80" w:after="80"/>
              <w:jc w:val="center"/>
            </w:pPr>
            <w:r>
              <w:rPr>
                <w:rFonts w:ascii="宋体" w:hAnsi="宋体" w:eastAsia="宋体"/>
                <w:sz w:val="18"/>
              </w:rPr>
              <w:t>327.55</w:t>
            </w:r>
          </w:p>
        </w:tc>
        <w:tc>
          <w:tcPr>
            <w:tcW w:type="dxa" w:w="1958"/>
          </w:tcPr>
          <w:p>
            <w:pPr>
              <w:spacing w:before="80" w:after="80"/>
              <w:jc w:val="center"/>
            </w:pPr>
            <w:r>
              <w:rPr>
                <w:rFonts w:ascii="宋体" w:hAnsi="宋体" w:eastAsia="宋体"/>
                <w:sz w:val="18"/>
              </w:rPr>
              <w:t>78.57%</w:t>
            </w:r>
          </w:p>
        </w:tc>
        <w:tc>
          <w:tcPr>
            <w:tcW w:type="dxa" w:w="1958"/>
          </w:tcPr>
          <w:p>
            <w:pPr>
              <w:spacing w:before="80" w:after="80"/>
              <w:jc w:val="center"/>
            </w:pPr>
            <w:r>
              <w:rPr>
                <w:rFonts w:ascii="宋体" w:hAnsi="宋体" w:eastAsia="宋体"/>
                <w:sz w:val="18"/>
              </w:rPr>
              <w:t>257.35—262.49</w:t>
            </w:r>
          </w:p>
        </w:tc>
      </w:tr>
    </w:tbl>
    <w:p>
      <w:pPr>
        <w:spacing w:after="20"/>
      </w:pPr>
    </w:p>
    <w:p>
      <w:pPr>
        <w:jc w:val="both"/>
      </w:pPr>
      <w:r>
        <w:t>采用值小学399.27亿元、初中257.35亿元，全部标记为暂估。改用1996、1997年分配比例产生同方案情景范围，不是统计置信区间，亦不能代表真实误差上限。原399.92／258.56亿元回推与新方案记录均保留，正式报告使用最终选择表，避免版本混用。</w:t>
      </w:r>
    </w:p>
    <w:p>
      <w:pPr>
        <w:jc w:val="both"/>
      </w:pPr>
      <w:r>
        <w:t>官方白皮书载1994年小学总经费594亿元，与本方案501.95亿元有尚未解释的范围差异。[13] 594是总经费，不能与399.27财政性金额直接比较；白皮书“普通中学”也不能当成初中。该冲突未解决，1994年不进入回归、不计算精确同比、不据其判定转折。</w:t>
      </w:r>
    </w:p>
    <w:p>
      <w:r>
        <w:br w:type="page"/>
      </w:r>
    </w:p>
    <w:p>
      <w:pPr>
        <w:pStyle w:val="Heading1"/>
      </w:pPr>
      <w:r>
        <w:t>附录三 核准例外与可复核性</w:t>
      </w:r>
    </w:p>
    <w:p>
      <w:pPr>
        <w:pStyle w:val="Caption"/>
        <w:keepNext/>
      </w:pPr>
      <w:r>
        <w:t>表15  数据例外及研究处理</w:t>
      </w:r>
    </w:p>
    <w:tbl>
      <w:tblPr>
        <w:tblW w:type="auto" w:w="0"/>
        <w:tblLayout w:type="fixed"/>
        <w:tblLook w:firstColumn="1" w:firstRow="1" w:lastColumn="0" w:lastRow="0" w:noHBand="0" w:noVBand="1" w:val="04A0"/>
      </w:tblPr>
      <w:tblGrid>
        <w:gridCol w:w="3312"/>
        <w:gridCol w:w="3312"/>
        <w:gridCol w:w="3312"/>
      </w:tblGrid>
      <w:tr>
        <w:trPr>
          <w:cantSplit/>
        </w:trPr>
        <w:tc>
          <w:tcPr>
            <w:tcW w:type="dxa" w:w="3264"/>
            <w:shd w:fill="EAEAEA"/>
          </w:tcPr>
          <w:p>
            <w:pPr>
              <w:spacing w:before="80" w:after="80"/>
              <w:jc w:val="center"/>
            </w:pPr>
            <w:r>
              <w:rPr>
                <w:rFonts w:ascii="宋体" w:hAnsi="宋体" w:eastAsia="宋体"/>
                <w:sz w:val="18"/>
              </w:rPr>
              <w:t>问题</w:t>
            </w:r>
          </w:p>
        </w:tc>
        <w:tc>
          <w:tcPr>
            <w:tcW w:type="dxa" w:w="3264"/>
            <w:shd w:fill="EAEAEA"/>
          </w:tcPr>
          <w:p>
            <w:pPr>
              <w:spacing w:before="80" w:after="80"/>
              <w:jc w:val="center"/>
            </w:pPr>
            <w:r>
              <w:rPr>
                <w:rFonts w:ascii="宋体" w:hAnsi="宋体" w:eastAsia="宋体"/>
                <w:sz w:val="18"/>
              </w:rPr>
              <w:t>实际处理</w:t>
            </w:r>
          </w:p>
        </w:tc>
        <w:tc>
          <w:tcPr>
            <w:tcW w:type="dxa" w:w="3264"/>
            <w:shd w:fill="EAEAEA"/>
          </w:tcPr>
          <w:p>
            <w:pPr>
              <w:spacing w:before="80" w:after="80"/>
              <w:jc w:val="center"/>
            </w:pPr>
            <w:r>
              <w:rPr>
                <w:rFonts w:ascii="宋体" w:hAnsi="宋体" w:eastAsia="宋体"/>
                <w:sz w:val="18"/>
              </w:rPr>
              <w:t>保留的限制</w:t>
            </w:r>
          </w:p>
        </w:tc>
      </w:tr>
      <w:tr>
        <w:trPr>
          <w:cantSplit/>
        </w:trPr>
        <w:tc>
          <w:tcPr>
            <w:tcW w:type="dxa" w:w="3264"/>
          </w:tcPr>
          <w:p>
            <w:pPr>
              <w:spacing w:before="80" w:after="80"/>
              <w:jc w:val="center"/>
            </w:pPr>
            <w:r>
              <w:rPr>
                <w:rFonts w:ascii="宋体" w:hAnsi="宋体" w:eastAsia="宋体"/>
                <w:sz w:val="18"/>
              </w:rPr>
              <w:t>广东2016初二少首位数字</w:t>
            </w:r>
          </w:p>
        </w:tc>
        <w:tc>
          <w:tcPr>
            <w:tcW w:type="dxa" w:w="3264"/>
          </w:tcPr>
          <w:p>
            <w:pPr>
              <w:spacing w:before="80" w:after="80"/>
              <w:jc w:val="center"/>
            </w:pPr>
            <w:r>
              <w:rPr>
                <w:rFonts w:ascii="宋体" w:hAnsi="宋体" w:eastAsia="宋体"/>
                <w:sz w:val="18"/>
              </w:rPr>
              <w:t>另存原值与1,140,343核准值</w:t>
            </w:r>
          </w:p>
        </w:tc>
        <w:tc>
          <w:tcPr>
            <w:tcW w:type="dxa" w:w="3264"/>
          </w:tcPr>
          <w:p>
            <w:pPr>
              <w:spacing w:before="80" w:after="80"/>
              <w:jc w:val="center"/>
            </w:pPr>
            <w:r>
              <w:rPr>
                <w:rFonts w:ascii="宋体" w:hAnsi="宋体" w:eastAsia="宋体"/>
                <w:sz w:val="18"/>
              </w:rPr>
              <w:t>不覆盖原表，不混入城乡其中项</w:t>
            </w:r>
          </w:p>
        </w:tc>
      </w:tr>
      <w:tr>
        <w:trPr>
          <w:cantSplit/>
        </w:trPr>
        <w:tc>
          <w:tcPr>
            <w:tcW w:type="dxa" w:w="3264"/>
          </w:tcPr>
          <w:p>
            <w:pPr>
              <w:spacing w:before="80" w:after="80"/>
              <w:jc w:val="center"/>
            </w:pPr>
            <w:r>
              <w:rPr>
                <w:rFonts w:ascii="宋体" w:hAnsi="宋体" w:eastAsia="宋体"/>
                <w:sz w:val="18"/>
              </w:rPr>
              <w:t>早期负号与地区标签异常</w:t>
            </w:r>
          </w:p>
        </w:tc>
        <w:tc>
          <w:tcPr>
            <w:tcW w:type="dxa" w:w="3264"/>
          </w:tcPr>
          <w:p>
            <w:pPr>
              <w:spacing w:before="80" w:after="80"/>
              <w:jc w:val="center"/>
            </w:pPr>
            <w:r>
              <w:rPr>
                <w:rFonts w:ascii="宋体" w:hAnsi="宋体" w:eastAsia="宋体"/>
                <w:sz w:val="18"/>
              </w:rPr>
              <w:t>按原格及交叉表核对后另存</w:t>
            </w:r>
          </w:p>
        </w:tc>
        <w:tc>
          <w:tcPr>
            <w:tcW w:type="dxa" w:w="3264"/>
          </w:tcPr>
          <w:p>
            <w:pPr>
              <w:spacing w:before="80" w:after="80"/>
              <w:jc w:val="center"/>
            </w:pPr>
            <w:r>
              <w:rPr>
                <w:rFonts w:ascii="宋体" w:hAnsi="宋体" w:eastAsia="宋体"/>
                <w:sz w:val="18"/>
              </w:rPr>
              <w:t>来源修正不等于统一学校范围</w:t>
            </w:r>
          </w:p>
        </w:tc>
      </w:tr>
      <w:tr>
        <w:trPr>
          <w:cantSplit/>
        </w:trPr>
        <w:tc>
          <w:tcPr>
            <w:tcW w:type="dxa" w:w="3264"/>
          </w:tcPr>
          <w:p>
            <w:pPr>
              <w:spacing w:before="80" w:after="80"/>
              <w:jc w:val="center"/>
            </w:pPr>
            <w:r>
              <w:rPr>
                <w:rFonts w:ascii="宋体" w:hAnsi="宋体" w:eastAsia="宋体"/>
                <w:sz w:val="18"/>
              </w:rPr>
              <w:t>财政表多省混装与单位位置</w:t>
            </w:r>
          </w:p>
        </w:tc>
        <w:tc>
          <w:tcPr>
            <w:tcW w:type="dxa" w:w="3264"/>
          </w:tcPr>
          <w:p>
            <w:pPr>
              <w:spacing w:before="80" w:after="80"/>
              <w:jc w:val="center"/>
            </w:pPr>
            <w:r>
              <w:rPr>
                <w:rFonts w:ascii="宋体" w:hAnsi="宋体" w:eastAsia="宋体"/>
                <w:sz w:val="18"/>
              </w:rPr>
              <w:t>按省年块、决算列和明确单位读取</w:t>
            </w:r>
          </w:p>
        </w:tc>
        <w:tc>
          <w:tcPr>
            <w:tcW w:type="dxa" w:w="3264"/>
          </w:tcPr>
          <w:p>
            <w:pPr>
              <w:spacing w:before="80" w:after="80"/>
              <w:jc w:val="center"/>
            </w:pPr>
            <w:r>
              <w:rPr>
                <w:rFonts w:ascii="宋体" w:hAnsi="宋体" w:eastAsia="宋体"/>
                <w:sz w:val="18"/>
              </w:rPr>
              <w:t>自身收入匹配仅为数值范围筛查</w:t>
            </w:r>
          </w:p>
        </w:tc>
      </w:tr>
      <w:tr>
        <w:trPr>
          <w:cantSplit/>
        </w:trPr>
        <w:tc>
          <w:tcPr>
            <w:tcW w:type="dxa" w:w="3264"/>
          </w:tcPr>
          <w:p>
            <w:pPr>
              <w:spacing w:before="80" w:after="80"/>
              <w:jc w:val="center"/>
            </w:pPr>
            <w:r>
              <w:rPr>
                <w:rFonts w:ascii="宋体" w:hAnsi="宋体" w:eastAsia="宋体"/>
                <w:sz w:val="18"/>
              </w:rPr>
              <w:t>2006—2007年支出分类</w:t>
            </w:r>
          </w:p>
        </w:tc>
        <w:tc>
          <w:tcPr>
            <w:tcW w:type="dxa" w:w="3264"/>
          </w:tcPr>
          <w:p>
            <w:pPr>
              <w:spacing w:before="80" w:after="80"/>
              <w:jc w:val="center"/>
            </w:pPr>
            <w:r>
              <w:rPr>
                <w:rFonts w:ascii="宋体" w:hAnsi="宋体" w:eastAsia="宋体"/>
                <w:sz w:val="18"/>
              </w:rPr>
              <w:t>不计算跨边变化，回归始于2008</w:t>
            </w:r>
          </w:p>
        </w:tc>
        <w:tc>
          <w:tcPr>
            <w:tcW w:type="dxa" w:w="3264"/>
          </w:tcPr>
          <w:p>
            <w:pPr>
              <w:spacing w:before="80" w:after="80"/>
              <w:jc w:val="center"/>
            </w:pPr>
            <w:r>
              <w:rPr>
                <w:rFonts w:ascii="宋体" w:hAnsi="宋体" w:eastAsia="宋体"/>
                <w:sz w:val="18"/>
              </w:rPr>
              <w:t>不强拼三十年统一回归</w:t>
            </w:r>
          </w:p>
        </w:tc>
      </w:tr>
      <w:tr>
        <w:trPr>
          <w:cantSplit/>
        </w:trPr>
        <w:tc>
          <w:tcPr>
            <w:tcW w:type="dxa" w:w="3264"/>
          </w:tcPr>
          <w:p>
            <w:pPr>
              <w:spacing w:before="80" w:after="80"/>
              <w:jc w:val="center"/>
            </w:pPr>
            <w:r>
              <w:rPr>
                <w:rFonts w:ascii="宋体" w:hAnsi="宋体" w:eastAsia="宋体"/>
                <w:sz w:val="18"/>
              </w:rPr>
              <w:t>2013—2014年相关范围</w:t>
            </w:r>
          </w:p>
        </w:tc>
        <w:tc>
          <w:tcPr>
            <w:tcW w:type="dxa" w:w="3264"/>
          </w:tcPr>
          <w:p>
            <w:pPr>
              <w:spacing w:before="80" w:after="80"/>
              <w:jc w:val="center"/>
            </w:pPr>
            <w:r>
              <w:rPr>
                <w:rFonts w:ascii="宋体" w:hAnsi="宋体" w:eastAsia="宋体"/>
                <w:sz w:val="18"/>
              </w:rPr>
              <w:t>断线、例外账本和剔除敏感性</w:t>
            </w:r>
          </w:p>
        </w:tc>
        <w:tc>
          <w:tcPr>
            <w:tcW w:type="dxa" w:w="3264"/>
          </w:tcPr>
          <w:p>
            <w:pPr>
              <w:spacing w:before="80" w:after="80"/>
              <w:jc w:val="center"/>
            </w:pPr>
            <w:r>
              <w:rPr>
                <w:rFonts w:ascii="宋体" w:hAnsi="宋体" w:eastAsia="宋体"/>
                <w:sz w:val="18"/>
              </w:rPr>
              <w:t>建设范围变化不自动等于P/C同变</w:t>
            </w:r>
          </w:p>
        </w:tc>
      </w:tr>
      <w:tr>
        <w:trPr>
          <w:cantSplit/>
        </w:trPr>
        <w:tc>
          <w:tcPr>
            <w:tcW w:type="dxa" w:w="3264"/>
          </w:tcPr>
          <w:p>
            <w:pPr>
              <w:spacing w:before="80" w:after="80"/>
              <w:jc w:val="center"/>
            </w:pPr>
            <w:r>
              <w:rPr>
                <w:rFonts w:ascii="宋体" w:hAnsi="宋体" w:eastAsia="宋体"/>
                <w:sz w:val="18"/>
              </w:rPr>
              <w:t>2015—2016年财政分类</w:t>
            </w:r>
          </w:p>
        </w:tc>
        <w:tc>
          <w:tcPr>
            <w:tcW w:type="dxa" w:w="3264"/>
          </w:tcPr>
          <w:p>
            <w:pPr>
              <w:spacing w:before="80" w:after="80"/>
              <w:jc w:val="center"/>
            </w:pPr>
            <w:r>
              <w:rPr>
                <w:rFonts w:ascii="宋体" w:hAnsi="宋体" w:eastAsia="宋体"/>
                <w:sz w:val="18"/>
              </w:rPr>
              <w:t>剔除两年敏感性，保留原模型</w:t>
            </w:r>
          </w:p>
        </w:tc>
        <w:tc>
          <w:tcPr>
            <w:tcW w:type="dxa" w:w="3264"/>
          </w:tcPr>
          <w:p>
            <w:pPr>
              <w:spacing w:before="80" w:after="80"/>
              <w:jc w:val="center"/>
            </w:pPr>
            <w:r>
              <w:rPr>
                <w:rFonts w:ascii="宋体" w:hAnsi="宋体" w:eastAsia="宋体"/>
                <w:sz w:val="18"/>
              </w:rPr>
              <w:t>未完成全部预算基数调整</w:t>
            </w:r>
          </w:p>
        </w:tc>
      </w:tr>
      <w:tr>
        <w:trPr>
          <w:cantSplit/>
        </w:trPr>
        <w:tc>
          <w:tcPr>
            <w:tcW w:type="dxa" w:w="3264"/>
          </w:tcPr>
          <w:p>
            <w:pPr>
              <w:spacing w:before="80" w:after="80"/>
              <w:jc w:val="center"/>
            </w:pPr>
            <w:r>
              <w:rPr>
                <w:rFonts w:ascii="宋体" w:hAnsi="宋体" w:eastAsia="宋体"/>
                <w:sz w:val="18"/>
              </w:rPr>
              <w:t>2017—2018年细项跳变</w:t>
            </w:r>
          </w:p>
        </w:tc>
        <w:tc>
          <w:tcPr>
            <w:tcW w:type="dxa" w:w="3264"/>
          </w:tcPr>
          <w:p>
            <w:pPr>
              <w:spacing w:before="80" w:after="80"/>
              <w:jc w:val="center"/>
            </w:pPr>
            <w:r>
              <w:rPr>
                <w:rFonts w:ascii="宋体" w:hAnsi="宋体" w:eastAsia="宋体"/>
                <w:sz w:val="18"/>
              </w:rPr>
              <w:t>看图后先记录再追加分段检查</w:t>
            </w:r>
          </w:p>
        </w:tc>
        <w:tc>
          <w:tcPr>
            <w:tcW w:type="dxa" w:w="3264"/>
          </w:tcPr>
          <w:p>
            <w:pPr>
              <w:spacing w:before="80" w:after="80"/>
              <w:jc w:val="center"/>
            </w:pPr>
            <w:r>
              <w:rPr>
                <w:rFonts w:ascii="宋体" w:hAnsi="宋体" w:eastAsia="宋体"/>
                <w:sz w:val="18"/>
              </w:rPr>
              <w:t>不能单凭图判定具体制度效果</w:t>
            </w:r>
          </w:p>
        </w:tc>
      </w:tr>
      <w:tr>
        <w:trPr>
          <w:cantSplit/>
        </w:trPr>
        <w:tc>
          <w:tcPr>
            <w:tcW w:type="dxa" w:w="3264"/>
          </w:tcPr>
          <w:p>
            <w:pPr>
              <w:spacing w:before="80" w:after="80"/>
              <w:jc w:val="center"/>
            </w:pPr>
            <w:r>
              <w:rPr>
                <w:rFonts w:ascii="宋体" w:hAnsi="宋体" w:eastAsia="宋体"/>
                <w:sz w:val="18"/>
              </w:rPr>
              <w:t>2024年资本性名称</w:t>
            </w:r>
          </w:p>
        </w:tc>
        <w:tc>
          <w:tcPr>
            <w:tcW w:type="dxa" w:w="3264"/>
          </w:tcPr>
          <w:p>
            <w:pPr>
              <w:spacing w:before="80" w:after="80"/>
              <w:jc w:val="center"/>
            </w:pPr>
            <w:r>
              <w:rPr>
                <w:rFonts w:ascii="宋体" w:hAnsi="宋体" w:eastAsia="宋体"/>
                <w:sz w:val="18"/>
              </w:rPr>
              <w:t>长期端点单列，回归终止2023</w:t>
            </w:r>
          </w:p>
        </w:tc>
        <w:tc>
          <w:tcPr>
            <w:tcW w:type="dxa" w:w="3264"/>
          </w:tcPr>
          <w:p>
            <w:pPr>
              <w:spacing w:before="80" w:after="80"/>
              <w:jc w:val="center"/>
            </w:pPr>
            <w:r>
              <w:rPr>
                <w:rFonts w:ascii="宋体" w:hAnsi="宋体" w:eastAsia="宋体"/>
                <w:sz w:val="18"/>
              </w:rPr>
              <w:t>终点不是已确认新长期阶段</w:t>
            </w:r>
          </w:p>
        </w:tc>
      </w:tr>
    </w:tbl>
    <w:p>
      <w:pPr>
        <w:spacing w:after="20"/>
      </w:pPr>
    </w:p>
    <w:p>
      <w:pPr>
        <w:jc w:val="both"/>
      </w:pPr>
      <w:r>
        <w:t>全样本数值和协方差通过残差化与完整虚拟变量OLS独立复算；G/W及补助层还独立检查单位、加总、CPI、家族Holm、区间搜索和图像。定量深化28项、资源拓展48项、细项补助130项检查分别通过，计数对应不同检验集，不加总冒充唯一质量指标。</w:t>
      </w:r>
    </w:p>
    <w:p>
      <w:pPr>
        <w:jc w:val="both"/>
      </w:pPr>
      <w:r>
        <w:t>细项4216格和资源2816格的原表回读保留坐标及文件哈希；补助提供495条年度数值记录与527个潜在省年覆盖表；模型输入与各层排除独立保存。原始年鉴、原值账本、核准层、派生层、模型输入和图表数据分开，保护旧成果散列值。</w:t>
      </w:r>
    </w:p>
    <w:p>
      <w:pPr>
        <w:jc w:val="both"/>
      </w:pPr>
      <w:r>
        <w:t>最终报告使用各阶段最终数值表及经审校白底图，按新阅读顺序统一图号、图注与表号，不重新拟合或调整旧模型。报告内数字核对账本记录来源表和选取规则；文件清单记录输入及成图哈希。完整程序与材料可用于本地复算及后续GitHub整理，原年鉴是否公开仍应依据来源授权。</w:t>
      </w:r>
    </w:p>
    <w:p>
      <w:pPr>
        <w:jc w:val="both"/>
      </w:pPr>
      <w:r>
        <w:t>尚未完成的口径项目在报告中公开：全隶属经费与区域学生覆盖、学校类型与统计时点、财政省市范围与净结算、工资养老列支以及教育专属成本。报告交付不表示这些问题已全部认证；其边界是当前证据能够支持的最终研究结论。</w:t>
      </w:r>
    </w:p>
    <w:p>
      <w:r>
        <w:br w:type="page"/>
      </w:r>
    </w:p>
    <w:p>
      <w:pPr>
        <w:pStyle w:val="Heading1"/>
      </w:pPr>
      <w:r>
        <w:t>资料来源与参考文献</w:t>
      </w:r>
    </w:p>
    <w:p>
      <w:pPr>
        <w:jc w:val="both"/>
      </w:pPr>
      <w:r>
        <w:rPr>
          <w:sz w:val="18"/>
        </w:rPr>
        <w:t>[1] 中国教育统计年鉴。按1995—2024年实际数据年整理；学生、教师、班级和学校原表及来源登记见项目数据目录。</w:t>
      </w:r>
    </w:p>
    <w:p>
      <w:pPr>
        <w:jc w:val="both"/>
      </w:pPr>
      <w:r>
        <w:rPr>
          <w:sz w:val="18"/>
        </w:rPr>
        <w:t>[2] 中国教育经费统计年鉴，1996—2025年卷。收入、举办者、个人公用及支出细项；卷年、数据年、隶属和资金范围分别登记。</w:t>
      </w:r>
    </w:p>
    <w:p>
      <w:pPr>
        <w:jc w:val="both"/>
      </w:pPr>
      <w:r>
        <w:rPr>
          <w:sz w:val="18"/>
        </w:rPr>
        <w:t>[3] 中国财政年鉴。地方一般预算或一般公共预算决算表，用于自身收入与中央补助，保留表内单位、决算列及省年块。</w:t>
      </w:r>
    </w:p>
    <w:p>
      <w:pPr>
        <w:jc w:val="both"/>
      </w:pPr>
      <w:r>
        <w:rPr>
          <w:sz w:val="18"/>
        </w:rPr>
        <w:t>[4] 中国统计年鉴及地区居民消费价格指数表。CPI以上年为100；用于一般购买力调整，非教育专属成本指数。</w:t>
      </w:r>
    </w:p>
    <w:p>
      <w:pPr>
        <w:jc w:val="both"/>
      </w:pPr>
      <w:r>
        <w:rPr>
          <w:sz w:val="18"/>
        </w:rPr>
        <w:t>[5] 梁文艳，孙雨婷，杜育红。教育强国背景下适应人口变动的义务教育师资配置——基于人口增减分化典型省域的研究。用户提供PDF，项目全文来源编号L01。</w:t>
      </w:r>
    </w:p>
    <w:p>
      <w:pPr>
        <w:jc w:val="both"/>
      </w:pPr>
      <w:r>
        <w:rPr>
          <w:sz w:val="18"/>
        </w:rPr>
        <w:t>[6] 蔺海沣，马玲。人口结构变动对公共教育支出的影响效应——基于全球70项定量研究的三水平元分析。用户提供PDF，项目全文来源编号L02。</w:t>
      </w:r>
    </w:p>
    <w:p>
      <w:pPr>
        <w:jc w:val="both"/>
      </w:pPr>
      <w:r>
        <w:rPr>
          <w:sz w:val="18"/>
        </w:rPr>
        <w:t>[7] 李涛，黄嘉欣。学龄人口减少对乡村小规模学校发展的影响及其疏解——基于东北地区人口负增长省份的调查。用户提供PDF，项目全文来源编号L03。</w:t>
      </w:r>
    </w:p>
    <w:p>
      <w:pPr>
        <w:jc w:val="both"/>
      </w:pPr>
      <w:r>
        <w:rPr>
          <w:sz w:val="18"/>
        </w:rPr>
        <w:t>[8] 陈坤，秦玉友。人口变动趋势下基础教育师资配置机制研究——基于8省16县（区）的调查。用户提供PDF，项目全文来源编号L04。</w:t>
      </w:r>
    </w:p>
    <w:p>
      <w:pPr>
        <w:jc w:val="both"/>
      </w:pPr>
      <w:r>
        <w:rPr>
          <w:sz w:val="18"/>
        </w:rPr>
        <w:t>[9] Cameron A C, Gelbach J B, Miller D L. Bootstrap-Based Improvements for Inference with Clustered Errors. Review of Economics and Statistics, 2008, 90(3): 414–427. 方法参考；本项目实现、种子、反演置信集及复算另存。</w:t>
      </w:r>
    </w:p>
    <w:p>
      <w:pPr>
        <w:jc w:val="both"/>
      </w:pPr>
      <w:r>
        <w:rPr>
          <w:sz w:val="18"/>
        </w:rPr>
        <w:t>[10] 国家统计局。中国统计年鉴2001，20-36表。1994年全国来源锚点。https://www.stats.gov.cn/sj/ndsj/2001c/t2036c.htm</w:t>
      </w:r>
    </w:p>
    <w:p>
      <w:pPr>
        <w:jc w:val="both"/>
      </w:pPr>
      <w:r>
        <w:rPr>
          <w:sz w:val="18"/>
        </w:rPr>
        <w:t>[11] 国家统计局。中国统计年鉴2012，20-39表。2006年单位及合计交叉核对。https://www.stats.gov.cn/sj/ndsj/2012/html/U2039C.HTM</w:t>
      </w:r>
    </w:p>
    <w:p>
      <w:pPr>
        <w:jc w:val="both"/>
      </w:pPr>
      <w:r>
        <w:rPr>
          <w:sz w:val="18"/>
        </w:rPr>
        <w:t>[12] 中国教育经费投入的“八五”回顾与“九五”展望。1996年年度报告部分内容，表1-4。1994年义务教育预算拨款比例。https://www.cnsaes.org.cn/homepage/Upfile/2010612/2010061208642783.pdf</w:t>
      </w:r>
    </w:p>
    <w:p>
      <w:pPr>
        <w:jc w:val="both"/>
      </w:pPr>
      <w:r>
        <w:rPr>
          <w:sz w:val="18"/>
        </w:rPr>
        <w:t>[13] 国务院新闻办公室。中国的儿童状况，1996年；外交部转载。用于594亿元总额冲突核查。https://www.fmprc.gov.cn/ziliao_674904/zt_674979/ywzt_675099/wzzt_675579/2296_675789/200207/t20020705_7961975.shtml</w:t>
      </w:r>
    </w:p>
    <w:p>
      <w:pPr>
        <w:jc w:val="both"/>
      </w:pPr>
      <w:r>
        <w:rPr>
          <w:sz w:val="18"/>
        </w:rPr>
        <w:t>[14] Kassis T, Agarwal V, He Y, Patel D, Brueckner A M. Scientific Agent Skills: A Library of Procedural Knowledge for Research Agents. 2026. https://doi.org/10.48550/arXiv.2609.00065。图表设计与审校的程序性辅助工具来源；2026年10月11日核对arXiv当前记录。工具使用不替代本研究的数值复算与判断。</w:t>
      </w:r>
    </w:p>
    <w:p>
      <w:pPr>
        <w:jc w:val="both"/>
      </w:pPr>
      <w:r>
        <w:rPr>
          <w:sz w:val="18"/>
        </w:rPr>
        <w:t>参考论文按实际持有全文的作者、题名及来源编号列示，没有猜填未核准刊期。官方网页核查内容与来源证据已存入早期财政重建和财政收入核准账本；本报告合稿没有以网页最新版本替换原研究时点记录。</w:t>
      </w:r>
    </w:p>
    <w:p>
      <w:pPr>
        <w:jc w:val="both"/>
      </w:pPr>
      <w:r>
        <w:rPr>
          <w:sz w:val="18"/>
        </w:rPr>
        <w:t>报告的直接计算证据目录为正式学术图组_20261011/figure_data、定量深化_20261011、资源解释拓展_20261011、支出细项与补助拓展_20261011及早期财政重建_20261011。最终报告附来源清单、数字核对账本和图表目录，阶段原报告保留。</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生源变动与义务教育经费的长期演进  最终研究报告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40"/>
    </w:pPr>
    <w:rPr>
      <w:rFonts w:ascii="宋体" w:hAnsi="宋体"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8" w:lineRule="auto"/>
      <w:outlineLvl w:val="0"/>
    </w:pPr>
    <w:rPr>
      <w:rFonts w:asciiTheme="majorHAnsi" w:eastAsiaTheme="majorEastAsia" w:hAnsiTheme="majorHAnsi" w:cstheme="majorBidi" w:ascii="黑体" w:hAnsi="黑体"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288" w:lineRule="auto"/>
      <w:outlineLvl w:val="1"/>
    </w:pPr>
    <w:rPr>
      <w:rFonts w:asciiTheme="majorHAnsi" w:eastAsiaTheme="majorEastAsia" w:hAnsiTheme="majorHAnsi" w:cstheme="majorBidi" w:ascii="黑体" w:hAnsi="黑体"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8" w:lineRule="auto"/>
      <w:contextualSpacing/>
    </w:pPr>
    <w:rPr>
      <w:rFonts w:asciiTheme="majorHAnsi" w:eastAsiaTheme="majorEastAsia" w:hAnsiTheme="majorHAnsi" w:cstheme="majorBidi" w:ascii="黑体" w:hAnsi="黑体" w:eastAsia="黑体"/>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8" w:lineRule="auto" w:after="140"/>
    </w:pPr>
    <w:rPr>
      <w:rFonts w:asciiTheme="majorHAnsi" w:eastAsiaTheme="majorEastAsia" w:hAnsiTheme="majorHAnsi" w:cstheme="majorBidi" w:ascii="宋体" w:hAnsi="宋体" w:eastAsia="宋体"/>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8" w:lineRule="auto" w:after="140"/>
    </w:pPr>
    <w:rPr>
      <w:rFonts w:ascii="宋体" w:hAnsi="宋体"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