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义务教育办学资源与支出调整拓展报告</w:t>
      </w:r>
    </w:p>
    <w:p>
      <w:pPr>
        <w:pStyle w:val="Subtitle"/>
      </w:pPr>
      <w:r>
        <w:t>2014—2023年省级数据    2026年10月11日</w:t>
      </w:r>
    </w:p>
    <w:p>
      <w:pPr>
        <w:jc w:val="both"/>
      </w:pPr>
      <w:r>
        <w:t>本轮追问初中公用与个人支出的生源响应差异能否从教师、班级和学校变化中获得解释。初中同样本模型的学生响应差，在加入班级后变小，加入教师后则没有同样变化；但资源主检验校正后均证据不足。办学组织提供了统计线索，尚不能宣布人员刚性或班级配置机制成立。</w:t>
      </w:r>
    </w:p>
    <w:p>
      <w:pPr>
        <w:pStyle w:val="Heading1"/>
      </w:pPr>
      <w:r>
        <w:t>问题与方法</w:t>
      </w:r>
    </w:p>
    <w:p>
      <w:pPr>
        <w:jc w:val="both"/>
      </w:pPr>
      <w:r>
        <w:t>研究仍以三十年经费保障与内部调整为主轴。本轮为上一轮关系检验的解释性拓展，保留此前模型。教师、班级和经费可能同时调整，因此资源变量只作为区域背景，加入它们不构成中介识别。</w:t>
      </w:r>
    </w:p>
    <w:p>
      <w:pPr>
        <w:jc w:val="both"/>
      </w:pPr>
      <w:r>
        <w:t>回读2013—2023年66张教育部原表、2816个单元格，教师、班级、学校和学生数与既有整理层逐项一致。变化窗口为2014—2023年，两学段各310个潜在省年，各10条财政相邻缺口排除，分别300条进入模型。学生变化在全部600条连接中吻合；不补零、不插值、不缩尾。</w:t>
      </w:r>
    </w:p>
    <w:p>
      <w:pPr>
        <w:jc w:val="both"/>
      </w:pPr>
      <w:r>
        <w:t>先在同样本中估计原学生、收入模型，再分别加入专任教师、班级及两者共同变化。分别估计个人、公用实际支出及差D＝公用对数变化−个人对数变化，均含省份、年份效应，各省年等权。4项主检验为两学段的教师、班级差系数，采用9999次省级约束野生聚类自助并作Holm校正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936"/>
            <w:shd w:fill="EAEAEA"/>
          </w:tcPr>
          <w:p>
            <w:pPr>
              <w:spacing w:after="100" w:before="10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18"/>
              </w:rPr>
              <w:t>学段</w:t>
            </w:r>
          </w:p>
        </w:tc>
        <w:tc>
          <w:tcPr>
            <w:tcW w:type="dxa" w:w="1656"/>
            <w:shd w:fill="EAEAEA"/>
          </w:tcPr>
          <w:p>
            <w:pPr>
              <w:spacing w:after="100" w:before="10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18"/>
              </w:rPr>
              <w:t>资源变量</w:t>
            </w:r>
          </w:p>
        </w:tc>
        <w:tc>
          <w:tcPr>
            <w:tcW w:type="dxa" w:w="1584"/>
            <w:shd w:fill="EAEAEA"/>
          </w:tcPr>
          <w:p>
            <w:pPr>
              <w:spacing w:after="100" w:before="10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18"/>
              </w:rPr>
              <w:t>公用减个人</w:t>
            </w:r>
          </w:p>
        </w:tc>
        <w:tc>
          <w:tcPr>
            <w:tcW w:type="dxa" w:w="2808"/>
            <w:shd w:fill="EAEAEA"/>
          </w:tcPr>
          <w:p>
            <w:pPr>
              <w:spacing w:after="100" w:before="10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18"/>
              </w:rPr>
              <w:t>单项95%区间</w:t>
            </w:r>
          </w:p>
        </w:tc>
        <w:tc>
          <w:tcPr>
            <w:tcW w:type="dxa" w:w="1512"/>
            <w:shd w:fill="EAEAEA"/>
          </w:tcPr>
          <w:p>
            <w:pPr>
              <w:spacing w:after="100" w:before="10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18"/>
              </w:rPr>
              <w:t>校正p值</w:t>
            </w:r>
          </w:p>
        </w:tc>
      </w:tr>
      <w:tr>
        <w:tc>
          <w:tcPr>
            <w:tcW w:type="dxa" w:w="936"/>
          </w:tcPr>
          <w:p>
            <w:pPr>
              <w:spacing w:after="100" w:before="10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18"/>
              </w:rPr>
              <w:t>小学</w:t>
            </w:r>
          </w:p>
        </w:tc>
        <w:tc>
          <w:tcPr>
            <w:tcW w:type="dxa" w:w="1656"/>
          </w:tcPr>
          <w:p>
            <w:pPr>
              <w:spacing w:after="100" w:before="10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18"/>
              </w:rPr>
              <w:t>专任教师</w:t>
            </w:r>
          </w:p>
        </w:tc>
        <w:tc>
          <w:tcPr>
            <w:tcW w:type="dxa" w:w="1584"/>
          </w:tcPr>
          <w:p>
            <w:pPr>
              <w:spacing w:after="100" w:before="10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18"/>
              </w:rPr>
              <w:t>0.653</w:t>
            </w:r>
          </w:p>
        </w:tc>
        <w:tc>
          <w:tcPr>
            <w:tcW w:type="dxa" w:w="2808"/>
          </w:tcPr>
          <w:p>
            <w:pPr>
              <w:spacing w:after="100" w:before="10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18"/>
              </w:rPr>
              <w:t>-0.965 至 2.384</w:t>
            </w:r>
          </w:p>
        </w:tc>
        <w:tc>
          <w:tcPr>
            <w:tcW w:type="dxa" w:w="1512"/>
          </w:tcPr>
          <w:p>
            <w:pPr>
              <w:spacing w:after="100" w:before="10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18"/>
              </w:rPr>
              <w:t>0.9968</w:t>
            </w:r>
          </w:p>
        </w:tc>
      </w:tr>
      <w:tr>
        <w:tc>
          <w:tcPr>
            <w:tcW w:type="dxa" w:w="936"/>
          </w:tcPr>
          <w:p>
            <w:pPr>
              <w:spacing w:after="100" w:before="10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18"/>
              </w:rPr>
              <w:t>小学</w:t>
            </w:r>
          </w:p>
        </w:tc>
        <w:tc>
          <w:tcPr>
            <w:tcW w:type="dxa" w:w="1656"/>
          </w:tcPr>
          <w:p>
            <w:pPr>
              <w:spacing w:after="100" w:before="10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18"/>
              </w:rPr>
              <w:t>班级</w:t>
            </w:r>
          </w:p>
        </w:tc>
        <w:tc>
          <w:tcPr>
            <w:tcW w:type="dxa" w:w="1584"/>
          </w:tcPr>
          <w:p>
            <w:pPr>
              <w:spacing w:after="100" w:before="10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18"/>
              </w:rPr>
              <w:t>-0.612</w:t>
            </w:r>
          </w:p>
        </w:tc>
        <w:tc>
          <w:tcPr>
            <w:tcW w:type="dxa" w:w="2808"/>
          </w:tcPr>
          <w:p>
            <w:pPr>
              <w:spacing w:after="100" w:before="10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18"/>
              </w:rPr>
              <w:t>-3.188 至 1.230</w:t>
            </w:r>
          </w:p>
        </w:tc>
        <w:tc>
          <w:tcPr>
            <w:tcW w:type="dxa" w:w="1512"/>
          </w:tcPr>
          <w:p>
            <w:pPr>
              <w:spacing w:after="100" w:before="10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18"/>
              </w:rPr>
              <w:t>0.9968</w:t>
            </w:r>
          </w:p>
        </w:tc>
      </w:tr>
      <w:tr>
        <w:tc>
          <w:tcPr>
            <w:tcW w:type="dxa" w:w="936"/>
          </w:tcPr>
          <w:p>
            <w:pPr>
              <w:spacing w:after="100" w:before="10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18"/>
              </w:rPr>
              <w:t>初中</w:t>
            </w:r>
          </w:p>
        </w:tc>
        <w:tc>
          <w:tcPr>
            <w:tcW w:type="dxa" w:w="1656"/>
          </w:tcPr>
          <w:p>
            <w:pPr>
              <w:spacing w:after="100" w:before="10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18"/>
              </w:rPr>
              <w:t>专任教师</w:t>
            </w:r>
          </w:p>
        </w:tc>
        <w:tc>
          <w:tcPr>
            <w:tcW w:type="dxa" w:w="1584"/>
          </w:tcPr>
          <w:p>
            <w:pPr>
              <w:spacing w:after="100" w:before="10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18"/>
              </w:rPr>
              <w:t>-0.836</w:t>
            </w:r>
          </w:p>
        </w:tc>
        <w:tc>
          <w:tcPr>
            <w:tcW w:type="dxa" w:w="2808"/>
          </w:tcPr>
          <w:p>
            <w:pPr>
              <w:spacing w:after="100" w:before="10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18"/>
              </w:rPr>
              <w:t>-1.649 至 -0.042</w:t>
            </w:r>
          </w:p>
        </w:tc>
        <w:tc>
          <w:tcPr>
            <w:tcW w:type="dxa" w:w="1512"/>
          </w:tcPr>
          <w:p>
            <w:pPr>
              <w:spacing w:after="100" w:before="10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18"/>
              </w:rPr>
              <w:t>0.1660</w:t>
            </w:r>
          </w:p>
        </w:tc>
      </w:tr>
      <w:tr>
        <w:tc>
          <w:tcPr>
            <w:tcW w:type="dxa" w:w="936"/>
          </w:tcPr>
          <w:p>
            <w:pPr>
              <w:spacing w:after="100" w:before="10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18"/>
              </w:rPr>
              <w:t>初中</w:t>
            </w:r>
          </w:p>
        </w:tc>
        <w:tc>
          <w:tcPr>
            <w:tcW w:type="dxa" w:w="1656"/>
          </w:tcPr>
          <w:p>
            <w:pPr>
              <w:spacing w:after="100" w:before="10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18"/>
              </w:rPr>
              <w:t>班级</w:t>
            </w:r>
          </w:p>
        </w:tc>
        <w:tc>
          <w:tcPr>
            <w:tcW w:type="dxa" w:w="1584"/>
          </w:tcPr>
          <w:p>
            <w:pPr>
              <w:spacing w:after="100" w:before="10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18"/>
              </w:rPr>
              <w:t>0.800</w:t>
            </w:r>
          </w:p>
        </w:tc>
        <w:tc>
          <w:tcPr>
            <w:tcW w:type="dxa" w:w="2808"/>
          </w:tcPr>
          <w:p>
            <w:pPr>
              <w:spacing w:after="100" w:before="10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18"/>
              </w:rPr>
              <w:t>-0.601 至 1.967</w:t>
            </w:r>
          </w:p>
        </w:tc>
        <w:tc>
          <w:tcPr>
            <w:tcW w:type="dxa" w:w="1512"/>
          </w:tcPr>
          <w:p>
            <w:pPr>
              <w:spacing w:after="100" w:before="10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18"/>
              </w:rPr>
              <w:t>0.6387</w:t>
            </w:r>
          </w:p>
        </w:tc>
      </w:tr>
    </w:tbl>
    <w:p>
      <w:pPr>
        <w:jc w:val="both"/>
      </w:pPr>
      <w:r>
        <w:rPr>
          <w:rFonts w:ascii="宋体" w:hAnsi="宋体" w:eastAsia="宋体"/>
          <w:b w:val="0"/>
          <w:i w:val="0"/>
          <w:color w:val="000000"/>
          <w:sz w:val="18"/>
        </w:rPr>
        <w:t>经费为全隶属全来源个人/公用支出，非纯工资、纯运行或财政预算；资源与经费学校覆盖尚未完全桥接。专任教师不等于全部人员、学校数不等于所有教学网点。自身收入不代表补助后的全部财力。</w:t>
      </w:r>
    </w:p>
    <w:p>
      <w:r>
        <w:br w:type="page"/>
      </w:r>
    </w:p>
    <w:p>
      <w:pPr>
        <w:pStyle w:val="Heading1"/>
      </w:pPr>
      <w:r>
        <w:t>区分时期变化与资源变量变化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3600" cy="33114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E1_同样本模型比较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14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原窗口为2008—2023年，其余模型使用同一2014—2023年省年。点为学生响应差，线为省级CR1及t(30)近似95%区间。模型步骤不表示中介解释比例。</w:t>
      </w:r>
    </w:p>
    <w:p>
      <w:pPr>
        <w:jc w:val="both"/>
      </w:pPr>
      <w:r>
        <w:t>初中原窗口学生响应差为0.601；缩至资源共同窗口后为0.473。这个变化首先包括时期范围差异，不能归因于资源变量。共同样本中，加入教师后为0.566、加入班级后为0.151，同时加入后为0.073、CR1标准误0.582。</w:t>
      </w:r>
    </w:p>
    <w:p>
      <w:pPr>
        <w:jc w:val="both"/>
      </w:pPr>
      <w:r>
        <w:t>点估计变化更多出现在班级进入时，但区间同时变宽。不能将0.473到0.073的变化写成“解释了85%”，也不能认定班级为中介。生源与班级共同变化、资源和经费同时决定以及过度控制，都可能改变系数。</w:t>
      </w:r>
    </w:p>
    <w:p>
      <w:pPr>
        <w:jc w:val="both"/>
      </w:pPr>
      <w:r>
        <w:t>小学没有相同模式：共同样本基准为0.538，同时加入教师班级后为0.787、标准误0.690。不能由初中结果概括两学段共同机制，也不能根据各自显著性不同宣称学段差异成立。</w:t>
      </w:r>
    </w:p>
    <w:p>
      <w:pPr>
        <w:jc w:val="both"/>
      </w:pPr>
      <w:r>
        <w:t>固定效应残差化后的VIF小学约1.03—2.04、初中1.01—3.19，未见极端数值共线性，但不等于机制可以分别识别。最大杠杆约0.27，保留影响诊断，不删除极值以美化关系。</w:t>
      </w:r>
    </w:p>
    <w:p>
      <w:r>
        <w:br w:type="page"/>
      </w:r>
    </w:p>
    <w:p>
      <w:pPr>
        <w:pStyle w:val="Heading1"/>
      </w:pPr>
      <w:r>
        <w:t>资源关联与证据强度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3600" cy="271707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E2_资源关联直接差异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0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图2  同时纳入学生、实际自身收入、教师、班级变化及省份/年份效应。线为单项约束野生聚类自助检验反演95%区间；Holm p对4项校正，区间不是家族同时区间。</w:t>
      </w:r>
    </w:p>
    <w:p>
      <w:pPr>
        <w:jc w:val="both"/>
      </w:pPr>
      <w:r>
        <w:t>初中教师差系数为−0.836，表示在既有条件下，教师增长与个人支出相对于公用的增长更强相关。未经校正自助p为0.0415，四项校正后为0.1660；不能挑选未经校正结果宣布人员机制成立。班级差为0.800，区间宽、校正p为0.6387，同样证据不足。</w:t>
      </w:r>
    </w:p>
    <w:p>
      <w:pPr>
        <w:jc w:val="both"/>
      </w:pPr>
      <w:r>
        <w:t>初中教师差逐省删除约−1.038至−0.687、逐年删除−1.345至−0.394，班级差分别约0.523至1.037、0.385至1.274，方向没有被单一省份或年份翻转。方向稳定不能替代不足的主推断。小学教师逐省、班级逐年删除存在符号翻转，更不宜概括为稳定关系。</w:t>
      </w:r>
    </w:p>
    <w:p>
      <w:pPr>
        <w:jc w:val="both"/>
      </w:pPr>
      <w:r>
        <w:t>资源背景模型的学生系数：班级在两学段均约0.657，教师小学约0.233、初中0.149。这是分模型点估计对照，未列入主检验族。学生减少的77条小学省年中，35条教师增加、12条班级增加；初中103条中分别为52条、24条。资源并非随生源机械变化，但这些并存现象不是低效率证据。</w:t>
      </w:r>
    </w:p>
    <w:p>
      <w:r>
        <w:br w:type="page"/>
      </w:r>
    </w:p>
    <w:p>
      <w:pPr>
        <w:pStyle w:val="Heading1"/>
      </w:pPr>
      <w:r>
        <w:t>分项支出与下一步解释研究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3600" cy="331143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E3_资源与分项支出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14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图3  与图2相同样本与解释变量，分别估计个人、公用实际支出。线为CR1及t(30)近似95%区间；不能用两个分模型区间是否重叠替代图2直接差异检验。</w:t>
      </w:r>
    </w:p>
    <w:p>
      <w:pPr>
        <w:jc w:val="both"/>
      </w:pPr>
      <w:r>
        <w:t>初中教师对个人、公用的分模型系数约0.379、−0.457，班级约0.199、0.999。两类资源可能涉及不同支出关联，但当前精度和学校范围限制不足以支持单一路径。个人不等于全部教师工资，公用也包含部分资本性项目。</w:t>
      </w:r>
    </w:p>
    <w:p>
      <w:pPr>
        <w:jc w:val="both"/>
      </w:pPr>
      <w:r>
        <w:t>加入学校、剔除边界年份或疫情年份以及滞后资源的结果均完整保留。初中滞后教师、班级差约−0.462、0.287；小学约−0.776、0.034，且滞后样本为269条。不能用当期与滞后符号变化证明时间机制，也不挑选学校辅助系数成为新核心发现。</w:t>
      </w:r>
    </w:p>
    <w:p>
      <w:pPr>
        <w:jc w:val="both"/>
      </w:pPr>
      <w:r>
        <w:t>本轮把解释范围进一步收窄：初中差异不能简单归因于教师数量，班级组织值得跟踪，但明确机制尚未建立。下一步优先核准转移支付、工资政策与经费细项，区分自身收入与补助后财力，并寻找人员成本和运行项目的独立证据。固定效应和数据回读不能消除反向因果或时变遗漏因素。</w:t>
      </w:r>
    </w:p>
    <w:p>
      <w:pPr>
        <w:jc w:val="both"/>
      </w:pPr>
      <w:r>
        <w:rPr>
          <w:rFonts w:ascii="宋体" w:hAnsi="宋体" w:eastAsia="宋体"/>
          <w:b w:val="0"/>
          <w:i w:val="0"/>
          <w:color w:val="000000"/>
          <w:sz w:val="18"/>
        </w:rPr>
        <w:t>完整方案、600条模型输入、20条连接排除、2816条原表回读、主检验、全部敏感性、影响诊断、图注与48项复算检查均另存于“教育资源试做/data/资源解释拓展_20261011”。旧报告与旧数据保留；本轮为有明确口径限制的探索扩展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宋体" w:hAnsi="宋体" w:eastAsia="宋体"/>
        <w:b w:val="0"/>
        <w:i w:val="0"/>
        <w:color w:val="000000"/>
        <w:sz w:val="16"/>
      </w:rPr>
      <w:t>义务教育经费长期研究  资源解释拓展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140"/>
    </w:pPr>
    <w:rPr>
      <w:rFonts w:ascii="宋体" w:hAnsi="宋体" w:eastAsia="宋体"/>
      <w:i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 w:line="288" w:lineRule="auto"/>
      <w:outlineLvl w:val="0"/>
    </w:pPr>
    <w:rPr>
      <w:rFonts w:asciiTheme="majorHAnsi" w:eastAsiaTheme="majorEastAsia" w:hAnsiTheme="majorHAnsi" w:cstheme="majorBidi" w:ascii="黑体" w:hAnsi="黑体" w:eastAsia="黑体"/>
      <w:b/>
      <w:bCs/>
      <w:i w:val="0"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88" w:lineRule="auto"/>
      <w:contextualSpacing/>
    </w:pPr>
    <w:rPr>
      <w:rFonts w:asciiTheme="majorHAnsi" w:eastAsiaTheme="majorEastAsia" w:hAnsiTheme="majorHAnsi" w:cstheme="majorBidi" w:ascii="黑体" w:hAnsi="黑体" w:eastAsia="黑体"/>
      <w:i w:val="0"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88" w:lineRule="auto" w:after="140"/>
    </w:pPr>
    <w:rPr>
      <w:rFonts w:asciiTheme="majorHAnsi" w:eastAsiaTheme="majorEastAsia" w:hAnsiTheme="majorHAnsi" w:cstheme="majorBidi" w:ascii="宋体" w:hAnsi="宋体" w:eastAsia="宋体"/>
      <w:i w:val="0"/>
      <w:iCs/>
      <w:color w:val="000000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88" w:lineRule="auto" w:after="140"/>
    </w:pPr>
    <w:rPr>
      <w:rFonts w:ascii="宋体" w:hAnsi="宋体" w:eastAsia="宋体"/>
      <w:b/>
      <w:bCs/>
      <w:i w:val="0"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