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LASSO BNF data assimilation implementation plan</w:t>
      </w:r>
    </w:p>
    <w:p>
      <w:pPr>
        <w:pStyle w:val="Subtitle"/>
      </w:pPr>
      <w:r>
        <w:t>WRF DART radar assimilation for LES initial and boundary conditions</w:t>
      </w:r>
    </w:p>
    <w:p>
      <w:r>
        <w:t>Develop a 2.5-km WRF-DART ensemble analysis system that supplies initial and boundary conditions for the ARM LASSO BNF 500-m simulations, with subsequent extension to 100 m. The central test is whether rapid local radar assimilation improves LES forcing relative to using hourly HRRRv4 analyses directly in the 500-m input preparation pathway, without an intervening 2.5-km integration.</w:t>
      </w:r>
    </w:p>
    <w:p>
      <w:r>
        <w:t>Use the configuration below for the first implementation. Ensemble size, sampling, localization and inflation remain experimental settings to evaluate before production. The existing free-running 2.5-km parent is a secondary comparison.</w:t>
      </w:r>
    </w:p>
    <w:p>
      <w:pPr>
        <w:pStyle w:val="Heading1"/>
      </w:pPr>
      <w:r>
        <w:t>Baseline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2232"/>
        <w:gridCol w:w="7848"/>
      </w:tblGrid>
      <w:tr>
        <w:trPr>
          <w:tblHeader/>
          <w:cantSplit/>
        </w:trPr>
        <w:tc>
          <w:tcPr>
            <w:tcW w:type="dxa" w:w="2232"/>
            <w:vAlign w:val="center"/>
            <w:shd w:fill="E7EDF3"/>
          </w:tcPr>
          <w:p>
            <w:pPr>
              <w:spacing w:after="20" w:line="247" w:lineRule="auto"/>
            </w:pPr>
            <w:r>
              <w:rPr>
                <w:b/>
                <w:sz w:val="21"/>
              </w:rPr>
              <w:t>Component</w:t>
            </w:r>
          </w:p>
        </w:tc>
        <w:tc>
          <w:tcPr>
            <w:tcW w:type="dxa" w:w="7848"/>
            <w:vAlign w:val="center"/>
            <w:shd w:fill="E7EDF3"/>
          </w:tcPr>
          <w:p>
            <w:pPr>
              <w:spacing w:after="20" w:line="247" w:lineRule="auto"/>
            </w:pPr>
            <w:r>
              <w:rPr>
                <w:b/>
                <w:sz w:val="21"/>
              </w:rPr>
              <w:t>Initial implementation</w:t>
            </w:r>
          </w:p>
        </w:tc>
      </w:tr>
      <w:tr>
        <w:trPr>
          <w:cantSplit/>
        </w:trPr>
        <w:tc>
          <w:tcPr>
            <w:tcW w:type="dxa" w:w="2232"/>
            <w:vAlign w:val="center"/>
            <w:shd w:fill="FFFFFF"/>
          </w:tcPr>
          <w:p>
            <w:pPr>
              <w:spacing w:after="20" w:line="247" w:lineRule="auto"/>
            </w:pPr>
            <w:r>
              <w:rPr>
                <w:b w:val="0"/>
                <w:sz w:val="21"/>
              </w:rPr>
              <w:t>Model and domain</w:t>
            </w:r>
          </w:p>
        </w:tc>
        <w:tc>
          <w:tcPr>
            <w:tcW w:type="dxa" w:w="7848"/>
            <w:vAlign w:val="center"/>
            <w:shd w:fill="FFFFFF"/>
          </w:tcPr>
          <w:p>
            <w:pPr>
              <w:spacing w:after="20" w:line="247" w:lineRule="auto"/>
            </w:pPr>
            <w:r>
              <w:rPr>
                <w:b w:val="0"/>
                <w:sz w:val="21"/>
              </w:rPr>
              <w:t>WRF at 2.5 km; approximately 30–39°N and 82–97°W. Retain the established physics where compatible with the DA interface.</w:t>
            </w:r>
          </w:p>
        </w:tc>
      </w:tr>
      <w:tr>
        <w:trPr>
          <w:cantSplit/>
        </w:trPr>
        <w:tc>
          <w:tcPr>
            <w:tcW w:type="dxa" w:w="2232"/>
            <w:vAlign w:val="center"/>
            <w:shd w:fill="FFFFFF"/>
          </w:tcPr>
          <w:p>
            <w:pPr>
              <w:spacing w:after="20" w:line="247" w:lineRule="auto"/>
            </w:pPr>
            <w:r>
              <w:rPr>
                <w:b w:val="0"/>
                <w:sz w:val="21"/>
              </w:rPr>
              <w:t>Filter and ensemble</w:t>
            </w:r>
          </w:p>
        </w:tc>
        <w:tc>
          <w:tcPr>
            <w:tcW w:type="dxa" w:w="7848"/>
            <w:vAlign w:val="center"/>
            <w:shd w:fill="FFFFFF"/>
          </w:tcPr>
          <w:p>
            <w:pPr>
              <w:spacing w:after="20" w:line="247" w:lineRule="auto"/>
            </w:pPr>
            <w:r>
              <w:rPr>
                <w:b w:val="0"/>
                <w:sz w:val="21"/>
              </w:rPr>
              <w:t>DART EAKF; 50 continuously cycled ensemble members.</w:t>
            </w:r>
          </w:p>
        </w:tc>
      </w:tr>
      <w:tr>
        <w:trPr>
          <w:cantSplit/>
        </w:trPr>
        <w:tc>
          <w:tcPr>
            <w:tcW w:type="dxa" w:w="2232"/>
            <w:vAlign w:val="center"/>
            <w:shd w:fill="FFFFFF"/>
          </w:tcPr>
          <w:p>
            <w:pPr>
              <w:spacing w:after="20" w:line="247" w:lineRule="auto"/>
            </w:pPr>
            <w:r>
              <w:rPr>
                <w:b w:val="0"/>
                <w:sz w:val="21"/>
              </w:rPr>
              <w:t>Analysis cadence</w:t>
            </w:r>
          </w:p>
        </w:tc>
        <w:tc>
          <w:tcPr>
            <w:tcW w:type="dxa" w:w="7848"/>
            <w:vAlign w:val="center"/>
            <w:shd w:fill="FFFFFF"/>
          </w:tcPr>
          <w:p>
            <w:pPr>
              <w:spacing w:after="20" w:line="247" w:lineRule="auto"/>
            </w:pPr>
            <w:r>
              <w:rPr>
                <w:b w:val="0"/>
                <w:sz w:val="21"/>
              </w:rPr>
              <w:t>Every 15 minutes of simulated time. Measure wall-clock throughput separately.</w:t>
            </w:r>
          </w:p>
        </w:tc>
      </w:tr>
      <w:tr>
        <w:trPr>
          <w:cantSplit/>
        </w:trPr>
        <w:tc>
          <w:tcPr>
            <w:tcW w:type="dxa" w:w="2232"/>
            <w:vAlign w:val="center"/>
            <w:shd w:fill="FFFFFF"/>
          </w:tcPr>
          <w:p>
            <w:pPr>
              <w:spacing w:after="20" w:line="247" w:lineRule="auto"/>
            </w:pPr>
            <w:r>
              <w:rPr>
                <w:b w:val="0"/>
                <w:sz w:val="21"/>
              </w:rPr>
              <w:t>HRRR forcing</w:t>
            </w:r>
          </w:p>
        </w:tc>
        <w:tc>
          <w:tcPr>
            <w:tcW w:type="dxa" w:w="7848"/>
            <w:vAlign w:val="center"/>
            <w:shd w:fill="FFFFFF"/>
          </w:tcPr>
          <w:p>
            <w:pPr>
              <w:spacing w:after="20" w:line="247" w:lineRule="auto"/>
            </w:pPr>
            <w:r>
              <w:rPr>
                <w:b w:val="0"/>
                <w:sz w:val="21"/>
              </w:rPr>
              <w:t>Hourly HRRRv4 analyses define the initial ensemble center and ongoing lateral-boundary mean.</w:t>
            </w:r>
          </w:p>
        </w:tc>
      </w:tr>
      <w:tr>
        <w:trPr>
          <w:cantSplit/>
        </w:trPr>
        <w:tc>
          <w:tcPr>
            <w:tcW w:type="dxa" w:w="2232"/>
            <w:vAlign w:val="center"/>
            <w:shd w:fill="FFFFFF"/>
          </w:tcPr>
          <w:p>
            <w:pPr>
              <w:spacing w:after="20" w:line="247" w:lineRule="auto"/>
            </w:pPr>
            <w:r>
              <w:rPr>
                <w:b w:val="0"/>
                <w:sz w:val="21"/>
              </w:rPr>
              <w:t>Ensemble uncertainty</w:t>
            </w:r>
          </w:p>
        </w:tc>
        <w:tc>
          <w:tcPr>
            <w:tcW w:type="dxa" w:w="7848"/>
            <w:vAlign w:val="center"/>
            <w:shd w:fill="FFFFFF"/>
          </w:tcPr>
          <w:p>
            <w:pPr>
              <w:spacing w:after="20" w:line="247" w:lineRule="auto"/>
            </w:pPr>
            <w:r>
              <w:rPr>
                <w:b w:val="0"/>
                <w:sz w:val="21"/>
              </w:rPr>
              <w:t>WRFDA RANDOMCV/CV3 correlated IC and LBC perturbations; model spinup; adaptive prior inflation.</w:t>
            </w:r>
          </w:p>
        </w:tc>
      </w:tr>
      <w:tr>
        <w:trPr>
          <w:cantSplit/>
        </w:trPr>
        <w:tc>
          <w:tcPr>
            <w:tcW w:type="dxa" w:w="2232"/>
            <w:vAlign w:val="center"/>
            <w:shd w:fill="FFFFFF"/>
          </w:tcPr>
          <w:p>
            <w:pPr>
              <w:spacing w:after="20" w:line="247" w:lineRule="auto"/>
            </w:pPr>
            <w:r>
              <w:rPr>
                <w:b w:val="0"/>
                <w:sz w:val="21"/>
              </w:rPr>
              <w:t>Initial observations</w:t>
            </w:r>
          </w:p>
        </w:tc>
        <w:tc>
          <w:tcPr>
            <w:tcW w:type="dxa" w:w="7848"/>
            <w:vAlign w:val="center"/>
            <w:shd w:fill="FFFFFF"/>
          </w:tcPr>
          <w:p>
            <w:pPr>
              <w:spacing w:after="20" w:line="247" w:lineRule="auto"/>
            </w:pPr>
            <w:r>
              <w:rPr>
                <w:b w:val="0"/>
                <w:sz w:val="21"/>
              </w:rPr>
              <w:t>MRMS three-dimensional reflectivity. Add radar-specific radial velocity after the reflectivity pipeline works.</w:t>
            </w:r>
          </w:p>
        </w:tc>
      </w:tr>
      <w:tr>
        <w:trPr>
          <w:cantSplit/>
        </w:trPr>
        <w:tc>
          <w:tcPr>
            <w:tcW w:type="dxa" w:w="2232"/>
            <w:vAlign w:val="center"/>
            <w:shd w:fill="FFFFFF"/>
          </w:tcPr>
          <w:p>
            <w:pPr>
              <w:spacing w:after="20" w:line="247" w:lineRule="auto"/>
            </w:pPr>
            <w:r>
              <w:rPr>
                <w:b w:val="0"/>
                <w:sz w:val="21"/>
              </w:rPr>
              <w:t>Horizontal sampling</w:t>
            </w:r>
          </w:p>
        </w:tc>
        <w:tc>
          <w:tcPr>
            <w:tcW w:type="dxa" w:w="7848"/>
            <w:vAlign w:val="center"/>
            <w:shd w:fill="FFFFFF"/>
          </w:tcPr>
          <w:p>
            <w:pPr>
              <w:spacing w:after="20" w:line="247" w:lineRule="auto"/>
            </w:pPr>
            <w:r>
              <w:rPr>
                <w:b w:val="0"/>
                <w:sz w:val="21"/>
              </w:rPr>
              <w:t>5 km in precipitation and 15 km in valid no-echo regions. Retain 12-km no-echo sampling as a sensitivity option.</w:t>
            </w:r>
          </w:p>
        </w:tc>
      </w:tr>
      <w:tr>
        <w:trPr>
          <w:cantSplit/>
        </w:trPr>
        <w:tc>
          <w:tcPr>
            <w:tcW w:type="dxa" w:w="2232"/>
            <w:vAlign w:val="center"/>
            <w:shd w:fill="FFFFFF"/>
          </w:tcPr>
          <w:p>
            <w:pPr>
              <w:spacing w:after="20" w:line="247" w:lineRule="auto"/>
            </w:pPr>
            <w:r>
              <w:rPr>
                <w:b w:val="0"/>
                <w:sz w:val="21"/>
              </w:rPr>
              <w:t>Vertical and time sampling</w:t>
            </w:r>
          </w:p>
        </w:tc>
        <w:tc>
          <w:tcPr>
            <w:tcW w:type="dxa" w:w="7848"/>
            <w:vAlign w:val="center"/>
            <w:shd w:fill="FFFFFF"/>
          </w:tcPr>
          <w:p>
            <w:pPr>
              <w:spacing w:after="20" w:line="247" w:lineRule="auto"/>
            </w:pPr>
            <w:r>
              <w:rPr>
                <w:b w:val="0"/>
                <w:sz w:val="21"/>
              </w:rPr>
              <w:t>Approximately 0.5–1 km where supported by coverage; one volume near each analysis, initially within ±2.5 minutes.</w:t>
            </w:r>
          </w:p>
        </w:tc>
      </w:tr>
      <w:tr>
        <w:trPr>
          <w:cantSplit/>
        </w:trPr>
        <w:tc>
          <w:tcPr>
            <w:tcW w:type="dxa" w:w="2232"/>
            <w:vAlign w:val="center"/>
            <w:shd w:fill="FFFFFF"/>
          </w:tcPr>
          <w:p>
            <w:pPr>
              <w:spacing w:after="20" w:line="247" w:lineRule="auto"/>
            </w:pPr>
            <w:r>
              <w:rPr>
                <w:b w:val="0"/>
                <w:sz w:val="21"/>
              </w:rPr>
              <w:t>Radar localization</w:t>
            </w:r>
          </w:p>
        </w:tc>
        <w:tc>
          <w:tcPr>
            <w:tcW w:type="dxa" w:w="7848"/>
            <w:vAlign w:val="center"/>
            <w:shd w:fill="FFFFFF"/>
          </w:tcPr>
          <w:p>
            <w:pPr>
              <w:spacing w:after="20" w:line="247" w:lineRule="auto"/>
            </w:pPr>
            <w:r>
              <w:rPr>
                <w:b w:val="0"/>
                <w:sz w:val="21"/>
              </w:rPr>
              <w:t>Gaspari–Cohn weighting with zero influence at 18 km horizontally and 6 km vertically.</w:t>
            </w:r>
          </w:p>
        </w:tc>
      </w:tr>
      <w:tr>
        <w:trPr>
          <w:cantSplit/>
        </w:trPr>
        <w:tc>
          <w:tcPr>
            <w:tcW w:type="dxa" w:w="2232"/>
            <w:vAlign w:val="center"/>
            <w:shd w:fill="FFFFFF"/>
          </w:tcPr>
          <w:p>
            <w:pPr>
              <w:spacing w:after="20" w:line="247" w:lineRule="auto"/>
            </w:pPr>
            <w:r>
              <w:rPr>
                <w:b w:val="0"/>
                <w:sz w:val="21"/>
              </w:rPr>
              <w:t>Observation volume</w:t>
            </w:r>
          </w:p>
        </w:tc>
        <w:tc>
          <w:tcPr>
            <w:tcW w:type="dxa" w:w="7848"/>
            <w:vAlign w:val="center"/>
            <w:shd w:fill="FFFFFF"/>
          </w:tcPr>
          <w:p>
            <w:pPr>
              <w:spacing w:after="20" w:line="247" w:lineRule="auto"/>
            </w:pPr>
            <w:r>
              <w:rPr>
                <w:b w:val="0"/>
                <w:sz w:val="21"/>
              </w:rPr>
              <w:t>Plan for roughly 200,000–300,000 reflectivity observations per representative cycle; determine actual counts from QC and coverage.</w:t>
            </w:r>
          </w:p>
        </w:tc>
      </w:tr>
    </w:tbl>
    <w:p>
      <w:pPr>
        <w:spacing w:after="0"/>
      </w:pPr>
    </w:p>
    <w:p>
      <w:r>
        <w:rPr>
          <w:b/>
        </w:rPr>
        <w:t>Development order:</w:t>
      </w:r>
      <w:r>
        <w:t xml:space="preserve"> establish the model and observation interface; construct the ensemble; demonstrate cycling; measure cost; evaluate analysis and LES impacts; then extend the observation set.</w:t>
      </w:r>
    </w:p>
    <w:p>
      <w:r>
        <w:br w:type="page"/>
      </w:r>
    </w:p>
    <w:p>
      <w:pPr>
        <w:pStyle w:val="Heading1"/>
      </w:pPr>
      <w:r>
        <w:t>Phase 1 Establish the model and comparison framework</w:t>
      </w:r>
    </w:p>
    <w:p>
      <w:r>
        <w:t>Pin the WRF, WPS, WRFDA and DART releases or commits, compiler, MPI and NetCDF versions. Record the actual horizontal dimensions, vertical levels, model timestep, physics, terrain and land-surface configuration in a versioned experiment configuration.</w:t>
      </w:r>
    </w:p>
    <w:p>
      <w:r>
        <w:t>Check the pinned WRF-DART interface against the prognostic state and chosen microphysics. Include the temperature variable required by the release, currently THM for WRFv4, and identify every hydrometeor variable required by the reflectivity operator and restart. Verify which fields DART updates and how positivity and dependent variables are handled. [6]</w:t>
      </w:r>
    </w:p>
    <w:p>
      <w:r>
        <w:t>The standard pert_wrf_bc pathway currently requires hybrid_opt=0. Treat the coordinate choice as an implementation gate: use the supported configuration, or validate an alternative externally generated boundary ensemble before retaining hybrid coordinates. If a coordinate or physics change is required, rerun a matching free-parent control to isolate its effect from assimilation. [5,6]</w:t>
      </w:r>
    </w:p>
    <w:p>
      <w:r>
        <w:t>Use the existing 2 May, 20 May and 17 September 2025 cases as candidate development and evaluation cases. Inventory their radar coverage, storm evolution and independent observations before assigning development and held-out roles. Select a mature widespread-precipitation interval for the most demanding initial timing test.</w:t>
      </w:r>
    </w:p>
    <w:p>
      <w:r>
        <w:rPr>
          <w:b/>
        </w:rPr>
        <w:t>Deliverable and completion criterion:</w:t>
      </w:r>
      <w:r>
        <w:t xml:space="preserve"> a reproducible build and configuration record, successful WRF restart, a verified single-observation DART update, and defined case windows and comparison experiments.</w:t>
      </w:r>
    </w:p>
    <w:p>
      <w:pPr>
        <w:pStyle w:val="Heading1"/>
      </w:pPr>
      <w:r>
        <w:t>Phase 2 Build the reflectivity observation pipeline</w:t>
      </w:r>
    </w:p>
    <w:p>
      <w:r>
        <w:t>Stage the exact three-dimensional MRMS product, units, vertical coordinates, timestamps, valid-coverage mask and available quality indicators. Composite reflectivity remains a verification diagnostic. Keep valid no echo distinct from missing data and poor radar coverage.</w:t>
      </w:r>
    </w:p>
    <w:p>
      <w:r>
        <w:t>Implement reproducible spatial thinning at 5 km in precipitation and 15 km in valid no-echo regions, with an explicit retained-height list targeting 0.5–1 km spacing. Initially select QC-passed samples near target locations. Any later superobbing change must specify its averaging convention and corresponding forward operator.</w:t>
      </w:r>
    </w:p>
    <w:p>
      <w:r>
        <w:t>Select one volume within the initial ±2.5-minute window, retaining its true timestamp and offset. The first synchronous analysis approximates this volume at the analysis time. Skip unavailable volumes under a logged rule; avoid duplicate observations in consecutive cycles.</w:t>
      </w:r>
    </w:p>
    <w:p>
      <w:r>
        <w:t>Before the first cycling experiment, specify the reflectivity error standard deviation, precipitation/no-echo threshold, operator floor, innovation QC and hydrometeor treatment. Check the operator against the selected WRF microphysics using representative rainy, icy and clear columns. These settings require calibration; they were not fixed by the thinning discussion.</w:t>
      </w:r>
    </w:p>
    <w:p>
      <w:r>
        <w:rPr>
          <w:b/>
        </w:rPr>
        <w:t>Deliverable and completion criterion:</w:t>
      </w:r>
      <w:r>
        <w:t xml:space="preserve"> DART observation sequences with reproducible counts, coverage and rejection diagnostics; consistent observed and simulated reflectivity conventions; and verified treatment of missing coverage, no echo and observation time.</w:t>
      </w:r>
    </w:p>
    <w:p>
      <w:r>
        <w:br w:type="page"/>
      </w:r>
    </w:p>
    <w:p>
      <w:pPr>
        <w:pStyle w:val="Heading1"/>
      </w:pPr>
      <w:r>
        <w:t>Phase 3 Construct and spin up the ensemble</w:t>
      </w:r>
    </w:p>
    <w:p>
      <w:r>
        <w:t>Prepare the HRRR-centered WRF initial state and hourly boundary-mean sequence. Generate correlated perturbations using the supported WRFDA RANDOMCV/CV3 workflow: gen_pert_bank.sh and da_wrfvar.exe create the bank; add_bank_perts.ncl and init_ensemble_var.sh construct the initial ensemble and initiate spinup. Preserve random seeds and perturbation assignments. [5]</w:t>
      </w:r>
    </w:p>
    <w:p>
      <w:r>
        <w:t>Generate 50 distinct IC realizations and member-specific LBC perturbations. Remove the sample-mean perturbation where needed to preserve HRRR centering, then check any mean changes caused by bounds or consistency adjustments. Tune amplitudes and length scales using the resulting wind, temperature, moisture and pressure spread.</w:t>
      </w:r>
    </w:p>
    <w:p>
      <w:r>
        <w:t>Ensure perturbed boundary values and tendencies remain compatible across hourly HRRR updates and intervening WRF steps. Test for boundary-generated gravity waves and artificial precipitation. The HRRRDAS experience with direct 3-km boundary perturbations makes this check important for BNF. [8]</w:t>
      </w:r>
    </w:p>
    <w:p>
      <w:r>
        <w:t>Begin spinup several hours before the target period and select its length from adjustment and spread diagnostics. Carry each analyzed member forward through later cycles; HRRR supplies the ongoing boundary mean. Keep physics common across members for the first attribution experiment, unless the established configuration requires otherwise.</w:t>
      </w:r>
    </w:p>
    <w:p>
      <w:r>
        <w:rPr>
          <w:b/>
        </w:rPr>
        <w:t>Deliverable and completion criterion:</w:t>
      </w:r>
      <w:r>
        <w:t xml:space="preserve"> a restartable 50-member ensemble with stable IC/LBC evolution, documented environmental and convective spread, and no systematic boundary artifacts over the target inflow region.</w:t>
      </w:r>
    </w:p>
    <w:p>
      <w:pPr>
        <w:pStyle w:val="Heading1"/>
      </w:pPr>
      <w:r>
        <w:t>Phase 4 Implement repeated 15 minute cycling</w:t>
      </w:r>
    </w:p>
    <w:p>
      <w:r>
        <w:t>Build a cycle driver that advances all members to the analysis time, stages the selected radar volume, computes ensemble observation equivalents, applies QC and EAKF updates, writes analyzed states and inflation fields, then advances to the next cycle. Handle empty observation windows explicitly and retain the cycle status.</w:t>
      </w:r>
    </w:p>
    <w:p>
      <w:r>
        <w:t>Set radar localization using the zero-weight distances of 18 km horizontally and 6 km vertically. DART cutoff is a half-width; confirm the corresponding physical distances with a single-observation test and the chosen vertical-coordinate conversion. Use the EAKF configuration syntax of the pinned release. [2,3,7]</w:t>
      </w:r>
    </w:p>
    <w:p>
      <w:r>
        <w:t>Start with adaptive prior inflation and retain its restart fields across cycles. Inspect prior innovations, total observation-space spread, rejection rates and analysis increments by height and weather regime. A zero-variance convective prior requires separate diagnosis: multiplicative inflation cannot supply variability absent from every member.</w:t>
      </w:r>
    </w:p>
    <w:p>
      <w:r>
        <w:t>Archive distinct prior and posterior states, observation diagnostics and model histories. Check wind, temperature, moisture, pressure and hydrometeor changes at analysis times. Track moisture or mass changes from bound enforcement. Demonstrate restart from a completed cycle without duplicate assimilation.</w:t>
      </w:r>
    </w:p>
    <w:p>
      <w:r>
        <w:rPr>
          <w:b/>
        </w:rPr>
        <w:t>Deliverable and completion criterion:</w:t>
      </w:r>
      <w:r>
        <w:t xml:space="preserve"> a continuous multi-hour cycling run with reproducible restarts, credible increments and spread, and successful recovery from one intentionally interrupted cycle.</w:t>
      </w:r>
    </w:p>
    <w:p>
      <w:r>
        <w:br w:type="page"/>
      </w:r>
    </w:p>
    <w:p>
      <w:pPr>
        <w:pStyle w:val="Heading1"/>
      </w:pPr>
      <w:r>
        <w:t>Phase 5 Measure cost and evaluate the DA configuration</w:t>
      </w:r>
    </w:p>
    <w:p>
      <w:r>
        <w:t>Benchmark sparse convection and a mature MCS using the actual 50-member domain. Separate WRF advance, observation preparation, forward operators, EAKF updates, I/O and orchestration. Record member concurrency, MPI layout, peak memory, bytes per cycle, core-hours per simulated day and elapsed throughput.</w:t>
      </w:r>
    </w:p>
    <w:p>
      <w:r>
        <w:t>Time the baseline sampling first, then available denser observation sets approaching 0.5 and 1 million observations. These are benchmark workloads, not hard observation caps. If latency is excessive, use the measured bottleneck to guide MPI layout, I/O or sampling changes; maintain the scientific localization test.</w:t>
      </w:r>
    </w:p>
    <w:p>
      <w:r>
        <w:t>Fifteen-minute analysis spacing is the baseline. A wall-clock deadline of 900 seconds becomes an additional requirement only if needed for production. Finalize the resource allocation and production schedule after measuring the complete cycle.</w:t>
      </w:r>
    </w:p>
    <w:p>
      <w:pPr>
        <w:pStyle w:val="Heading2"/>
      </w:pPr>
      <w:r>
        <w:t>Controlled experiments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584"/>
        <w:gridCol w:w="4608"/>
        <w:gridCol w:w="3888"/>
      </w:tblGrid>
      <w:tr>
        <w:trPr>
          <w:tblHeader/>
          <w:cantSplit/>
        </w:trPr>
        <w:tc>
          <w:tcPr>
            <w:tcW w:type="dxa" w:w="1584"/>
            <w:vAlign w:val="center"/>
            <w:shd w:fill="E7EDF3"/>
          </w:tcPr>
          <w:p>
            <w:pPr>
              <w:spacing w:after="20" w:line="247" w:lineRule="auto"/>
            </w:pPr>
            <w:r>
              <w:rPr>
                <w:b/>
                <w:sz w:val="21"/>
              </w:rPr>
              <w:t>Experiment</w:t>
            </w:r>
          </w:p>
        </w:tc>
        <w:tc>
          <w:tcPr>
            <w:tcW w:type="dxa" w:w="4608"/>
            <w:vAlign w:val="center"/>
            <w:shd w:fill="E7EDF3"/>
          </w:tcPr>
          <w:p>
            <w:pPr>
              <w:spacing w:after="20" w:line="247" w:lineRule="auto"/>
            </w:pPr>
            <w:r>
              <w:rPr>
                <w:b/>
                <w:sz w:val="21"/>
              </w:rPr>
              <w:t>Change from the baseline</w:t>
            </w:r>
          </w:p>
        </w:tc>
        <w:tc>
          <w:tcPr>
            <w:tcW w:type="dxa" w:w="3888"/>
            <w:vAlign w:val="center"/>
            <w:shd w:fill="E7EDF3"/>
          </w:tcPr>
          <w:p>
            <w:pPr>
              <w:spacing w:after="20" w:line="247" w:lineRule="auto"/>
            </w:pPr>
            <w:r>
              <w:rPr>
                <w:b/>
                <w:sz w:val="21"/>
              </w:rPr>
              <w:t>Purpose</w:t>
            </w:r>
          </w:p>
        </w:tc>
      </w:tr>
      <w:tr>
        <w:trPr>
          <w:cantSplit/>
        </w:trPr>
        <w:tc>
          <w:tcPr>
            <w:tcW w:type="dxa" w:w="1584"/>
            <w:vAlign w:val="center"/>
            <w:shd w:fill="FFFFFF"/>
          </w:tcPr>
          <w:p>
            <w:pPr>
              <w:spacing w:after="20" w:line="247" w:lineRule="auto"/>
            </w:pPr>
            <w:r>
              <w:rPr>
                <w:b w:val="0"/>
                <w:sz w:val="21"/>
              </w:rPr>
              <w:t>DA50</w:t>
            </w:r>
          </w:p>
        </w:tc>
        <w:tc>
          <w:tcPr>
            <w:tcW w:type="dxa" w:w="4608"/>
            <w:vAlign w:val="center"/>
            <w:shd w:fill="FFFFFF"/>
          </w:tcPr>
          <w:p>
            <w:pPr>
              <w:spacing w:after="20" w:line="247" w:lineRule="auto"/>
            </w:pPr>
            <w:r>
              <w:rPr>
                <w:b w:val="0"/>
                <w:sz w:val="21"/>
              </w:rPr>
              <w:t>50 members; 5/15-km sampling; 15-minute cycles</w:t>
            </w:r>
          </w:p>
        </w:tc>
        <w:tc>
          <w:tcPr>
            <w:tcW w:type="dxa" w:w="3888"/>
            <w:vAlign w:val="center"/>
            <w:shd w:fill="FFFFFF"/>
          </w:tcPr>
          <w:p>
            <w:pPr>
              <w:spacing w:after="20" w:line="247" w:lineRule="auto"/>
            </w:pPr>
            <w:r>
              <w:rPr>
                <w:b w:val="0"/>
                <w:sz w:val="21"/>
              </w:rPr>
              <w:t>Establish analysis quality, spread and cost.</w:t>
            </w:r>
          </w:p>
        </w:tc>
      </w:tr>
      <w:tr>
        <w:trPr>
          <w:cantSplit/>
        </w:trPr>
        <w:tc>
          <w:tcPr>
            <w:tcW w:type="dxa" w:w="1584"/>
            <w:vAlign w:val="center"/>
            <w:shd w:fill="FFFFFF"/>
          </w:tcPr>
          <w:p>
            <w:pPr>
              <w:spacing w:after="20" w:line="247" w:lineRule="auto"/>
            </w:pPr>
            <w:r>
              <w:rPr>
                <w:b w:val="0"/>
                <w:sz w:val="21"/>
              </w:rPr>
              <w:t>DA50 dense</w:t>
            </w:r>
          </w:p>
        </w:tc>
        <w:tc>
          <w:tcPr>
            <w:tcW w:type="dxa" w:w="4608"/>
            <w:vAlign w:val="center"/>
            <w:shd w:fill="FFFFFF"/>
          </w:tcPr>
          <w:p>
            <w:pPr>
              <w:spacing w:after="20" w:line="247" w:lineRule="auto"/>
            </w:pPr>
            <w:r>
              <w:rPr>
                <w:b w:val="0"/>
                <w:sz w:val="21"/>
              </w:rPr>
              <w:t>50 members; 3/9-km sampling</w:t>
            </w:r>
          </w:p>
        </w:tc>
        <w:tc>
          <w:tcPr>
            <w:tcW w:type="dxa" w:w="3888"/>
            <w:vAlign w:val="center"/>
            <w:shd w:fill="FFFFFF"/>
          </w:tcPr>
          <w:p>
            <w:pPr>
              <w:spacing w:after="20" w:line="247" w:lineRule="auto"/>
            </w:pPr>
            <w:r>
              <w:rPr>
                <w:b w:val="0"/>
                <w:sz w:val="21"/>
              </w:rPr>
              <w:t>Test information gained from denser radar sampling.</w:t>
            </w:r>
          </w:p>
        </w:tc>
      </w:tr>
      <w:tr>
        <w:trPr>
          <w:cantSplit/>
        </w:trPr>
        <w:tc>
          <w:tcPr>
            <w:tcW w:type="dxa" w:w="1584"/>
            <w:vAlign w:val="center"/>
            <w:shd w:fill="FFFFFF"/>
          </w:tcPr>
          <w:p>
            <w:pPr>
              <w:spacing w:after="20" w:line="247" w:lineRule="auto"/>
            </w:pPr>
            <w:r>
              <w:rPr>
                <w:b w:val="0"/>
                <w:sz w:val="21"/>
              </w:rPr>
              <w:t>DA80</w:t>
            </w:r>
          </w:p>
        </w:tc>
        <w:tc>
          <w:tcPr>
            <w:tcW w:type="dxa" w:w="4608"/>
            <w:vAlign w:val="center"/>
            <w:shd w:fill="FFFFFF"/>
          </w:tcPr>
          <w:p>
            <w:pPr>
              <w:spacing w:after="20" w:line="247" w:lineRule="auto"/>
            </w:pPr>
            <w:r>
              <w:rPr>
                <w:b w:val="0"/>
                <w:sz w:val="21"/>
              </w:rPr>
              <w:t>80 members; baseline sampling</w:t>
            </w:r>
          </w:p>
        </w:tc>
        <w:tc>
          <w:tcPr>
            <w:tcW w:type="dxa" w:w="3888"/>
            <w:vAlign w:val="center"/>
            <w:shd w:fill="FFFFFF"/>
          </w:tcPr>
          <w:p>
            <w:pPr>
              <w:spacing w:after="20" w:line="247" w:lineRule="auto"/>
            </w:pPr>
            <w:r>
              <w:rPr>
                <w:b w:val="0"/>
                <w:sz w:val="21"/>
              </w:rPr>
              <w:t>Test covariance sampling and spread at higher ensemble cost.</w:t>
            </w:r>
          </w:p>
        </w:tc>
      </w:tr>
      <w:tr>
        <w:trPr>
          <w:cantSplit/>
        </w:trPr>
        <w:tc>
          <w:tcPr>
            <w:tcW w:type="dxa" w:w="1584"/>
            <w:vAlign w:val="center"/>
            <w:shd w:fill="FFFFFF"/>
          </w:tcPr>
          <w:p>
            <w:pPr>
              <w:spacing w:after="20" w:line="247" w:lineRule="auto"/>
            </w:pPr>
            <w:r>
              <w:rPr>
                <w:b w:val="0"/>
                <w:sz w:val="21"/>
              </w:rPr>
              <w:t>DA50 clear12</w:t>
            </w:r>
          </w:p>
        </w:tc>
        <w:tc>
          <w:tcPr>
            <w:tcW w:type="dxa" w:w="4608"/>
            <w:vAlign w:val="center"/>
            <w:shd w:fill="FFFFFF"/>
          </w:tcPr>
          <w:p>
            <w:pPr>
              <w:spacing w:after="20" w:line="247" w:lineRule="auto"/>
            </w:pPr>
            <w:r>
              <w:rPr>
                <w:b w:val="0"/>
                <w:sz w:val="21"/>
              </w:rPr>
              <w:t>50 members; 5/12-km sampling, if needed</w:t>
            </w:r>
          </w:p>
        </w:tc>
        <w:tc>
          <w:tcPr>
            <w:tcW w:type="dxa" w:w="3888"/>
            <w:vAlign w:val="center"/>
            <w:shd w:fill="FFFFFF"/>
          </w:tcPr>
          <w:p>
            <w:pPr>
              <w:spacing w:after="20" w:line="247" w:lineRule="auto"/>
            </w:pPr>
            <w:r>
              <w:rPr>
                <w:b w:val="0"/>
                <w:sz w:val="21"/>
              </w:rPr>
              <w:t>Resolve sensitivity to no-echo constraints.</w:t>
            </w:r>
          </w:p>
        </w:tc>
      </w:tr>
      <w:tr>
        <w:trPr>
          <w:cantSplit/>
        </w:trPr>
        <w:tc>
          <w:tcPr>
            <w:tcW w:type="dxa" w:w="1584"/>
            <w:vAlign w:val="center"/>
            <w:shd w:fill="FFFFFF"/>
          </w:tcPr>
          <w:p>
            <w:pPr>
              <w:spacing w:after="20" w:line="247" w:lineRule="auto"/>
            </w:pPr>
            <w:r>
              <w:rPr>
                <w:b w:val="0"/>
                <w:sz w:val="21"/>
              </w:rPr>
              <w:t>DA50 velocity</w:t>
            </w:r>
          </w:p>
        </w:tc>
        <w:tc>
          <w:tcPr>
            <w:tcW w:type="dxa" w:w="4608"/>
            <w:vAlign w:val="center"/>
            <w:shd w:fill="FFFFFF"/>
          </w:tcPr>
          <w:p>
            <w:pPr>
              <w:spacing w:after="20" w:line="247" w:lineRule="auto"/>
            </w:pPr>
            <w:r>
              <w:rPr>
                <w:b w:val="0"/>
                <w:sz w:val="21"/>
              </w:rPr>
              <w:t>Baseline plus radar-specific radial velocity after its pipeline is validated</w:t>
            </w:r>
          </w:p>
        </w:tc>
        <w:tc>
          <w:tcPr>
            <w:tcW w:type="dxa" w:w="3888"/>
            <w:vAlign w:val="center"/>
            <w:shd w:fill="FFFFFF"/>
          </w:tcPr>
          <w:p>
            <w:pPr>
              <w:spacing w:after="20" w:line="247" w:lineRule="auto"/>
            </w:pPr>
            <w:r>
              <w:rPr>
                <w:b w:val="0"/>
                <w:sz w:val="21"/>
              </w:rPr>
              <w:t>Measure the value of an additional wind constraint.</w:t>
            </w:r>
          </w:p>
        </w:tc>
      </w:tr>
    </w:tbl>
    <w:p>
      <w:pPr>
        <w:spacing w:after="0"/>
      </w:pPr>
    </w:p>
    <w:p>
      <w:r>
        <w:t>Hold the remaining configuration fixed in each first comparison, including observation errors, localization, physics and case windows. Use consistent initialization and seed provenance; for DA80, retain a reproducible relationship to the baseline perturbation set. Combine denser sampling and more members only if the separate results justify the expense.</w:t>
      </w:r>
    </w:p>
    <w:p>
      <w:r>
        <w:t>Assess storm placement and timing, precipitation, cold-pool structure, environmental winds and thermodynamics, and prior 15-minute and free 30–60-minute forecast evolution. Diagnose immediate observation fitting separately from sustained dynamical improvement. Use held-out cases for the final choice.</w:t>
      </w:r>
    </w:p>
    <w:p>
      <w:r>
        <w:t>Full-resolution MRMS comparisons remain valuable but are not independent validation of a radar-assimilating system. Use available independent ARM or other measurements and subsequent forecasts. Account for spatially correlated withheld radar samples and the radar information already present in HRRR analyses.</w:t>
      </w:r>
    </w:p>
    <w:p>
      <w:r>
        <w:rPr>
          <w:b/>
        </w:rPr>
        <w:t>Deliverable and completion criterion:</w:t>
      </w:r>
      <w:r>
        <w:t xml:space="preserve"> an evidence-based choice of ensemble size and sampling, with a cost table and case-by-case skill assessment. Persistent underdispersion or missing convection triggers perturbation or operator diagnosis before further densification.</w:t>
      </w:r>
    </w:p>
    <w:p>
      <w:r>
        <w:br w:type="page"/>
      </w:r>
    </w:p>
    <w:p>
      <w:pPr>
        <w:pStyle w:val="Heading1"/>
      </w:pPr>
      <w:r>
        <w:t>Phase 6 Demonstrate the benefit for LES forcing</w:t>
      </w:r>
    </w:p>
    <w:p>
      <w:r>
        <w:t>Construct the following 500-m experiments with matched domains, physics, start times and verification periods. The comparison evaluates the complete forcing systems, including their native temporal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944"/>
        <w:gridCol w:w="8136"/>
      </w:tblGrid>
      <w:tr>
        <w:trPr>
          <w:tblHeader/>
          <w:cantSplit/>
        </w:trPr>
        <w:tc>
          <w:tcPr>
            <w:tcW w:type="dxa" w:w="1944"/>
            <w:vAlign w:val="center"/>
            <w:shd w:fill="E7EDF3"/>
          </w:tcPr>
          <w:p>
            <w:pPr>
              <w:spacing w:after="20" w:line="247" w:lineRule="auto"/>
            </w:pPr>
            <w:r>
              <w:rPr>
                <w:b/>
                <w:sz w:val="21"/>
              </w:rPr>
              <w:t>Forcing experiment</w:t>
            </w:r>
          </w:p>
        </w:tc>
        <w:tc>
          <w:tcPr>
            <w:tcW w:type="dxa" w:w="8136"/>
            <w:vAlign w:val="center"/>
            <w:shd w:fill="E7EDF3"/>
          </w:tcPr>
          <w:p>
            <w:pPr>
              <w:spacing w:after="20" w:line="247" w:lineRule="auto"/>
            </w:pPr>
            <w:r>
              <w:rPr>
                <w:b/>
                <w:sz w:val="21"/>
              </w:rPr>
              <w:t>Initial and boundary forcing</w:t>
            </w:r>
          </w:p>
        </w:tc>
      </w:tr>
      <w:tr>
        <w:trPr>
          <w:cantSplit/>
        </w:trPr>
        <w:tc>
          <w:tcPr>
            <w:tcW w:type="dxa" w:w="1944"/>
            <w:vAlign w:val="center"/>
            <w:shd w:fill="FFFFFF"/>
          </w:tcPr>
          <w:p>
            <w:pPr>
              <w:spacing w:after="20" w:line="247" w:lineRule="auto"/>
            </w:pPr>
            <w:r>
              <w:rPr>
                <w:b w:val="0"/>
                <w:sz w:val="21"/>
              </w:rPr>
              <w:t>Direct HRRR</w:t>
            </w:r>
          </w:p>
        </w:tc>
        <w:tc>
          <w:tcPr>
            <w:tcW w:type="dxa" w:w="8136"/>
            <w:vAlign w:val="center"/>
            <w:shd w:fill="FFFFFF"/>
          </w:tcPr>
          <w:p>
            <w:pPr>
              <w:spacing w:after="20" w:line="247" w:lineRule="auto"/>
            </w:pPr>
            <w:r>
              <w:rPr>
                <w:b w:val="0"/>
                <w:sz w:val="21"/>
              </w:rPr>
              <w:t>Hourly HRRRv4 analyses through the 500-m input preparation pathway, without 2.5-km integration. This is the primary benchmark.</w:t>
            </w:r>
          </w:p>
        </w:tc>
      </w:tr>
      <w:tr>
        <w:trPr>
          <w:cantSplit/>
        </w:trPr>
        <w:tc>
          <w:tcPr>
            <w:tcW w:type="dxa" w:w="1944"/>
            <w:vAlign w:val="center"/>
            <w:shd w:fill="FFFFFF"/>
          </w:tcPr>
          <w:p>
            <w:pPr>
              <w:spacing w:after="20" w:line="247" w:lineRule="auto"/>
            </w:pPr>
            <w:r>
              <w:rPr>
                <w:b w:val="0"/>
                <w:sz w:val="21"/>
              </w:rPr>
              <w:t>Free parent</w:t>
            </w:r>
          </w:p>
        </w:tc>
        <w:tc>
          <w:tcPr>
            <w:tcW w:type="dxa" w:w="8136"/>
            <w:vAlign w:val="center"/>
            <w:shd w:fill="FFFFFF"/>
          </w:tcPr>
          <w:p>
            <w:pPr>
              <w:spacing w:after="20" w:line="247" w:lineRule="auto"/>
            </w:pPr>
            <w:r>
              <w:rPr>
                <w:b w:val="0"/>
                <w:sz w:val="21"/>
              </w:rPr>
              <w:t>The existing free-running 2.5-km WRF parent, initialized and continuously boundary-forced by hourly HRRR analyses, supplying approximately 15-minute output.</w:t>
            </w:r>
          </w:p>
        </w:tc>
      </w:tr>
      <w:tr>
        <w:trPr>
          <w:cantSplit/>
        </w:trPr>
        <w:tc>
          <w:tcPr>
            <w:tcW w:type="dxa" w:w="1944"/>
            <w:vAlign w:val="center"/>
            <w:shd w:fill="FFFFFF"/>
          </w:tcPr>
          <w:p>
            <w:pPr>
              <w:spacing w:after="20" w:line="247" w:lineRule="auto"/>
            </w:pPr>
            <w:r>
              <w:rPr>
                <w:b w:val="0"/>
                <w:sz w:val="21"/>
              </w:rPr>
              <w:t>DA parent</w:t>
            </w:r>
          </w:p>
        </w:tc>
        <w:tc>
          <w:tcPr>
            <w:tcW w:type="dxa" w:w="8136"/>
            <w:vAlign w:val="center"/>
            <w:shd w:fill="FFFFFF"/>
          </w:tcPr>
          <w:p>
            <w:pPr>
              <w:spacing w:after="20" w:line="247" w:lineRule="auto"/>
            </w:pPr>
            <w:r>
              <w:rPr>
                <w:b w:val="0"/>
                <w:sz w:val="21"/>
              </w:rPr>
              <w:t>The cycled 2.5-km WRF-DART system supplying approximately 15-minute forcing through the validated downscaling pathway.</w:t>
            </w:r>
          </w:p>
        </w:tc>
      </w:tr>
    </w:tbl>
    <w:p>
      <w:pPr>
        <w:spacing w:after="0"/>
      </w:pPr>
    </w:p>
    <w:p>
      <w:r>
        <w:t>Define the DA trajectory used for downscaling before evaluating LES skill. A proposed first implementation is a fixed member trajectory chosen by a documented rule before the evaluation window, with the ensemble mean retained as a diagnostic comparison. Test more than one fixed member on a limited subset to assess sensitivity. The final trajectory rule remains a production decision.</w:t>
      </w:r>
    </w:p>
    <w:p>
      <w:r>
        <w:t>Keep member identity consistent through time. Ensemble-mean hydrometeor fields may smooth displaced storms, while any analyzed member can contain assimilation jumps. Quantify discontinuities in winds, thermodynamics, pressure and hydrometeors, and check derived boundary tendencies. Generate the history and diagnostic fields required by ndown/input preparation consistently with the updated prognostic state.</w:t>
      </w:r>
    </w:p>
    <w:p>
      <w:r>
        <w:t>Compare pre-analysis and post-analysis values at each timestamp and adopt one explicit convention for exported forcing. Inspect the LES response immediately after boundary updates, inflow consistency, precipitation spinup, cold-pool evolution and storm propagation across the fine-domain boundary. If adjustment is excessive, evaluate a dedicated reconstruction or forecast-based forcing strategy before production.</w:t>
      </w:r>
    </w:p>
    <w:p>
      <w:r>
        <w:t>Evaluate the DA-forced LES against direct HRRR forcing using BNF observations and the convection regimes of interest. Improvement over the free parent alone is insufficient. Interpret the 15-minute DA versus hourly HRRR comparison as a practical system comparison; a matched-output-cadence test can help attribute gains. Interpolation of hourly HRRR does not add observed subhourly evolution.</w:t>
      </w:r>
    </w:p>
    <w:p>
      <w:r>
        <w:rPr>
          <w:b/>
        </w:rPr>
        <w:t>Deliverable and completion criterion:</w:t>
      </w:r>
      <w:r>
        <w:t xml:space="preserve"> a documented forcing-trajectory rule, a validated 500-m preparation workflow, and case-based evidence that DA improves relevant LES outcomes without unacceptable adjustment artifacts. Extend the validated pathway to 100 m afterward.</w:t>
      </w:r>
    </w:p>
    <w:p>
      <w:pPr>
        <w:pStyle w:val="Heading1"/>
      </w:pPr>
      <w:r>
        <w:t>Extend the observations and prepare production</w:t>
      </w:r>
    </w:p>
    <w:p>
      <w:r>
        <w:t>Add radial velocity using an identified radar-specific source with location, beam geometry, observation time, dealiasing/QC and a compatible forward operator. Count overlapping-radar observations separately. Then add ARM and research-radar observations through the same operator, QC and provenance checks, evaluating each addition against the established baseline.</w:t>
      </w:r>
    </w:p>
    <w:p>
      <w:r>
        <w:t>For production, retain versioned configurations, source-data manifests, random seeds, observation counts and rejections, inflation checkpoints, analysis increments, selected member identity, forcing files and timing summaries. Set retention frequency from measured storage costs while preserving enough restart and diagnostic information to reproduce each case.</w:t>
      </w:r>
    </w:p>
    <w:p>
      <w:r>
        <w:br w:type="page"/>
      </w:r>
    </w:p>
    <w:p>
      <w:pPr>
        <w:pStyle w:val="Heading1"/>
      </w:pPr>
      <w:r>
        <w:t>Parameters to settle during development</w:t>
      </w:r>
    </w:p>
    <w:p>
      <w:r>
        <w:t>The following items require explicit decisions before the relevant phase is completed. They do not change the 50-member, 15-minute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5184"/>
        <w:gridCol w:w="4896"/>
      </w:tblGrid>
      <w:tr>
        <w:trPr>
          <w:tblHeader/>
          <w:cantSplit/>
        </w:trPr>
        <w:tc>
          <w:tcPr>
            <w:tcW w:type="dxa" w:w="5184"/>
            <w:vAlign w:val="center"/>
            <w:shd w:fill="E7EDF3"/>
          </w:tcPr>
          <w:p>
            <w:pPr>
              <w:spacing w:after="20" w:line="247" w:lineRule="auto"/>
            </w:pPr>
            <w:r>
              <w:rPr>
                <w:b/>
                <w:sz w:val="21"/>
              </w:rPr>
              <w:t>Decision</w:t>
            </w:r>
          </w:p>
        </w:tc>
        <w:tc>
          <w:tcPr>
            <w:tcW w:type="dxa" w:w="4896"/>
            <w:vAlign w:val="center"/>
            <w:shd w:fill="E7EDF3"/>
          </w:tcPr>
          <w:p>
            <w:pPr>
              <w:spacing w:after="20" w:line="247" w:lineRule="auto"/>
            </w:pPr>
            <w:r>
              <w:rPr>
                <w:b/>
                <w:sz w:val="21"/>
              </w:rPr>
              <w:t>Resolved by</w:t>
            </w:r>
          </w:p>
        </w:tc>
      </w:tr>
      <w:tr>
        <w:trPr>
          <w:cantSplit/>
        </w:trPr>
        <w:tc>
          <w:tcPr>
            <w:tcW w:type="dxa" w:w="5184"/>
            <w:vAlign w:val="center"/>
            <w:shd w:fill="FFFFFF"/>
          </w:tcPr>
          <w:p>
            <w:pPr>
              <w:spacing w:after="20" w:line="247" w:lineRule="auto"/>
            </w:pPr>
            <w:r>
              <w:rPr>
                <w:b w:val="0"/>
                <w:sz w:val="21"/>
              </w:rPr>
              <w:t>Actual grid, vertical levels, physics and pinned software versions</w:t>
            </w:r>
          </w:p>
        </w:tc>
        <w:tc>
          <w:tcPr>
            <w:tcW w:type="dxa" w:w="4896"/>
            <w:vAlign w:val="center"/>
            <w:shd w:fill="FFFFFF"/>
          </w:tcPr>
          <w:p>
            <w:pPr>
              <w:spacing w:after="20" w:line="247" w:lineRule="auto"/>
            </w:pPr>
            <w:r>
              <w:rPr>
                <w:b w:val="0"/>
                <w:sz w:val="21"/>
              </w:rPr>
              <w:t>Phase 1 configuration and compatibility checks.</w:t>
            </w:r>
          </w:p>
        </w:tc>
      </w:tr>
      <w:tr>
        <w:trPr>
          <w:cantSplit/>
        </w:trPr>
        <w:tc>
          <w:tcPr>
            <w:tcW w:type="dxa" w:w="5184"/>
            <w:vAlign w:val="center"/>
            <w:shd w:fill="FFFFFF"/>
          </w:tcPr>
          <w:p>
            <w:pPr>
              <w:spacing w:after="20" w:line="247" w:lineRule="auto"/>
            </w:pPr>
            <w:r>
              <w:rPr>
                <w:b w:val="0"/>
                <w:sz w:val="21"/>
              </w:rPr>
              <w:t>Reflectivity error, no-echo threshold, operator floor, QC and exact retained heights</w:t>
            </w:r>
          </w:p>
        </w:tc>
        <w:tc>
          <w:tcPr>
            <w:tcW w:type="dxa" w:w="4896"/>
            <w:vAlign w:val="center"/>
            <w:shd w:fill="FFFFFF"/>
          </w:tcPr>
          <w:p>
            <w:pPr>
              <w:spacing w:after="20" w:line="247" w:lineRule="auto"/>
            </w:pPr>
            <w:r>
              <w:rPr>
                <w:b w:val="0"/>
                <w:sz w:val="21"/>
              </w:rPr>
              <w:t>Phase 2 operator and observation diagnostics.</w:t>
            </w:r>
          </w:p>
        </w:tc>
      </w:tr>
      <w:tr>
        <w:trPr>
          <w:cantSplit/>
        </w:trPr>
        <w:tc>
          <w:tcPr>
            <w:tcW w:type="dxa" w:w="5184"/>
            <w:vAlign w:val="center"/>
            <w:shd w:fill="FFFFFF"/>
          </w:tcPr>
          <w:p>
            <w:pPr>
              <w:spacing w:after="20" w:line="247" w:lineRule="auto"/>
            </w:pPr>
            <w:r>
              <w:rPr>
                <w:b w:val="0"/>
                <w:sz w:val="21"/>
              </w:rPr>
              <w:t>Perturbation amplitudes, scales, temporal behavior and spinup duration</w:t>
            </w:r>
          </w:p>
        </w:tc>
        <w:tc>
          <w:tcPr>
            <w:tcW w:type="dxa" w:w="4896"/>
            <w:vAlign w:val="center"/>
            <w:shd w:fill="FFFFFF"/>
          </w:tcPr>
          <w:p>
            <w:pPr>
              <w:spacing w:after="20" w:line="247" w:lineRule="auto"/>
            </w:pPr>
            <w:r>
              <w:rPr>
                <w:b w:val="0"/>
                <w:sz w:val="21"/>
              </w:rPr>
              <w:t>Phase 3 stability and spread diagnostics.</w:t>
            </w:r>
          </w:p>
        </w:tc>
      </w:tr>
      <w:tr>
        <w:trPr>
          <w:cantSplit/>
        </w:trPr>
        <w:tc>
          <w:tcPr>
            <w:tcW w:type="dxa" w:w="5184"/>
            <w:vAlign w:val="center"/>
            <w:shd w:fill="FFFFFF"/>
          </w:tcPr>
          <w:p>
            <w:pPr>
              <w:spacing w:after="20" w:line="247" w:lineRule="auto"/>
            </w:pPr>
            <w:r>
              <w:rPr>
                <w:b w:val="0"/>
                <w:sz w:val="21"/>
              </w:rPr>
              <w:t>Inflation settings and any need for additive or storm-initiation treatment</w:t>
            </w:r>
          </w:p>
        </w:tc>
        <w:tc>
          <w:tcPr>
            <w:tcW w:type="dxa" w:w="4896"/>
            <w:vAlign w:val="center"/>
            <w:shd w:fill="FFFFFF"/>
          </w:tcPr>
          <w:p>
            <w:pPr>
              <w:spacing w:after="20" w:line="247" w:lineRule="auto"/>
            </w:pPr>
            <w:r>
              <w:rPr>
                <w:b w:val="0"/>
                <w:sz w:val="21"/>
              </w:rPr>
              <w:t>Phases 4–5 cycling diagnostics and controlled tests.</w:t>
            </w:r>
          </w:p>
        </w:tc>
      </w:tr>
      <w:tr>
        <w:trPr>
          <w:cantSplit/>
        </w:trPr>
        <w:tc>
          <w:tcPr>
            <w:tcW w:type="dxa" w:w="5184"/>
            <w:vAlign w:val="center"/>
            <w:shd w:fill="FFFFFF"/>
          </w:tcPr>
          <w:p>
            <w:pPr>
              <w:spacing w:after="20" w:line="247" w:lineRule="auto"/>
            </w:pPr>
            <w:r>
              <w:rPr>
                <w:b w:val="0"/>
                <w:sz w:val="21"/>
              </w:rPr>
              <w:t>Processor layout, member concurrency, storage retention and production throughput</w:t>
            </w:r>
          </w:p>
        </w:tc>
        <w:tc>
          <w:tcPr>
            <w:tcW w:type="dxa" w:w="4896"/>
            <w:vAlign w:val="center"/>
            <w:shd w:fill="FFFFFF"/>
          </w:tcPr>
          <w:p>
            <w:pPr>
              <w:spacing w:after="20" w:line="247" w:lineRule="auto"/>
            </w:pPr>
            <w:r>
              <w:rPr>
                <w:b w:val="0"/>
                <w:sz w:val="21"/>
              </w:rPr>
              <w:t>Phase 5 measured performance.</w:t>
            </w:r>
          </w:p>
        </w:tc>
      </w:tr>
      <w:tr>
        <w:trPr>
          <w:cantSplit/>
        </w:trPr>
        <w:tc>
          <w:tcPr>
            <w:tcW w:type="dxa" w:w="5184"/>
            <w:vAlign w:val="center"/>
            <w:shd w:fill="FFFFFF"/>
          </w:tcPr>
          <w:p>
            <w:pPr>
              <w:spacing w:after="20" w:line="247" w:lineRule="auto"/>
            </w:pPr>
            <w:r>
              <w:rPr>
                <w:b w:val="0"/>
                <w:sz w:val="21"/>
              </w:rPr>
              <w:t>DA trajectory, export-time convention and final 500-m forcing strategy</w:t>
            </w:r>
          </w:p>
        </w:tc>
        <w:tc>
          <w:tcPr>
            <w:tcW w:type="dxa" w:w="4896"/>
            <w:vAlign w:val="center"/>
            <w:shd w:fill="FFFFFF"/>
          </w:tcPr>
          <w:p>
            <w:pPr>
              <w:spacing w:after="20" w:line="247" w:lineRule="auto"/>
            </w:pPr>
            <w:r>
              <w:rPr>
                <w:b w:val="0"/>
                <w:sz w:val="21"/>
              </w:rPr>
              <w:t>Phase 6 continuity checks and LES evaluation.</w:t>
            </w:r>
          </w:p>
        </w:tc>
      </w:tr>
    </w:tbl>
    <w:p>
      <w:pPr>
        <w:spacing w:after="0"/>
      </w:pPr>
    </w:p>
    <w:p>
      <w:r>
        <w:t>The minimum first milestone is a reproducible 50-member reflectivity-only run covering several hours around one development event, with measured cycle cost, diagnosed spread and a small 500-m forcing demonstration. This provides the basis for committing resources to the wider case set.</w:t>
      </w:r>
    </w:p>
    <w:p>
      <w:pPr>
        <w:pStyle w:val="Heading1"/>
      </w:pPr>
      <w:r>
        <w:t>Technical basis and references</w:t>
      </w:r>
    </w:p>
    <w:p>
      <w:r>
        <w:t>The studies below support the starting design; the BNF parameter choices and phase criteria are the implementation plan. Published cycling intervals do not establish wall-clock performance on the project hardware.</w:t>
      </w:r>
    </w:p>
    <w:p>
      <w:pPr>
        <w:spacing w:after="100"/>
      </w:pPr>
      <w:r>
        <w:rPr>
          <w:sz w:val="19"/>
        </w:rPr>
        <w:t xml:space="preserve">[1] Dowell et al. 2022. The High-Resolution Rapid Refresh Part I. Table 5: HRRRDAS uses 36 members, hourly cycling and 6/12-km reflectivity thinning. </w:t>
      </w:r>
      <w:hyperlink r:id="rId10">
        <w:r>
          <w:rPr>
            <w:color w:val="24527A"/>
            <w:u w:val="single"/>
          </w:rPr>
          <w:t>Paper</w:t>
        </w:r>
      </w:hyperlink>
    </w:p>
    <w:p>
      <w:pPr>
        <w:spacing w:after="100"/>
      </w:pPr>
      <w:r>
        <w:rPr>
          <w:sz w:val="19"/>
        </w:rPr>
        <w:t xml:space="preserve">[2] Wheatley et al. 2015. Storm-Scale Data Assimilation and Ensemble Forecasting with NEWS-e Part I. Direct WRF-DART precedent: 36 members, 15-minute analyses and 6-km radar sampling. </w:t>
      </w:r>
      <w:hyperlink r:id="rId11">
        <w:r>
          <w:rPr>
            <w:color w:val="24527A"/>
            <w:u w:val="single"/>
          </w:rPr>
          <w:t>Paper</w:t>
        </w:r>
      </w:hyperlink>
    </w:p>
    <w:p>
      <w:pPr>
        <w:spacing w:after="100"/>
      </w:pPr>
      <w:r>
        <w:rPr>
          <w:sz w:val="19"/>
        </w:rPr>
        <w:t xml:space="preserve">[3] Yussouf et al. 2015. WRF-DART radar experiments using 36 members, 5-minute cycling and 6/12-km sampling; radar localization and additive perturbation examples. </w:t>
      </w:r>
      <w:hyperlink r:id="rId12">
        <w:r>
          <w:rPr>
            <w:color w:val="24527A"/>
            <w:u w:val="single"/>
          </w:rPr>
          <w:t>Paper</w:t>
        </w:r>
      </w:hyperlink>
    </w:p>
    <w:p>
      <w:pPr>
        <w:spacing w:after="100"/>
      </w:pPr>
      <w:r>
        <w:rPr>
          <w:sz w:val="19"/>
        </w:rPr>
        <w:t xml:space="preserve">[4] Schwartz, Romine and Dowell 2021. Continuously cycling 3-km WRF-DART over CONUS with 80 members; correlated covariance-based perturbations. </w:t>
      </w:r>
      <w:hyperlink r:id="rId13">
        <w:r>
          <w:rPr>
            <w:color w:val="24527A"/>
            <w:u w:val="single"/>
          </w:rPr>
          <w:t>Paper</w:t>
        </w:r>
      </w:hyperlink>
    </w:p>
    <w:p>
      <w:pPr>
        <w:spacing w:after="100"/>
      </w:pPr>
      <w:r>
        <w:rPr>
          <w:sz w:val="19"/>
        </w:rPr>
        <w:t xml:space="preserve">[5] NCAR DART 11.25.2 WRF-DART tutorial. Perturbation-bank, spinup and boundary-generation workflow. </w:t>
      </w:r>
      <w:hyperlink r:id="rId14">
        <w:r>
          <w:rPr>
            <w:color w:val="24527A"/>
            <w:u w:val="single"/>
          </w:rPr>
          <w:t>Documentation</w:t>
        </w:r>
      </w:hyperlink>
    </w:p>
    <w:p>
      <w:pPr>
        <w:spacing w:after="100"/>
      </w:pPr>
      <w:r>
        <w:rPr>
          <w:sz w:val="19"/>
        </w:rPr>
        <w:t xml:space="preserve">[6] NCAR DART WRF interface documentation. Prognostic state and coordinate compatibility. Consult the pinned release during implementation. </w:t>
      </w:r>
      <w:hyperlink r:id="rId15">
        <w:r>
          <w:rPr>
            <w:color w:val="24527A"/>
            <w:u w:val="single"/>
          </w:rPr>
          <w:t>Documentation</w:t>
        </w:r>
      </w:hyperlink>
    </w:p>
    <w:p>
      <w:pPr>
        <w:spacing w:after="100"/>
      </w:pPr>
      <w:r>
        <w:rPr>
          <w:sz w:val="19"/>
        </w:rPr>
        <w:t xml:space="preserve">[7] NCAR DART assimilation tools documentation. Localization half-width and vertical normalization. </w:t>
      </w:r>
      <w:hyperlink r:id="rId16">
        <w:r>
          <w:rPr>
            <w:color w:val="24527A"/>
            <w:u w:val="single"/>
          </w:rPr>
          <w:t>Documentation</w:t>
        </w:r>
      </w:hyperlink>
    </w:p>
    <w:p>
      <w:pPr>
        <w:spacing w:after="100"/>
      </w:pPr>
      <w:r>
        <w:rPr>
          <w:sz w:val="19"/>
        </w:rPr>
        <w:t xml:space="preserve">[8] Dowell 2020. HRRR Data-Assimilation System and HRRRE Forecasts. Supplied technical report; initial/boundary perturbations and boundary-adjustment experience. </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LASSO BNF 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59"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75/WAF-D-21-0151.1" TargetMode="External"/><Relationship Id="rId11" Type="http://schemas.openxmlformats.org/officeDocument/2006/relationships/hyperlink" Target="https://doi.org/10.1175/WAF-D-15-0043.1" TargetMode="External"/><Relationship Id="rId12" Type="http://schemas.openxmlformats.org/officeDocument/2006/relationships/hyperlink" Target="https://doi.org/10.1175/MWR-D-14-00268.1" TargetMode="External"/><Relationship Id="rId13" Type="http://schemas.openxmlformats.org/officeDocument/2006/relationships/hyperlink" Target="https://doi.org/10.1175/WAF-D-20-0110.1" TargetMode="External"/><Relationship Id="rId14" Type="http://schemas.openxmlformats.org/officeDocument/2006/relationships/hyperlink" Target="https://docs.dart.ucar.edu/en/v11.25.2/models/wrf/tutorial/README.html" TargetMode="External"/><Relationship Id="rId15" Type="http://schemas.openxmlformats.org/officeDocument/2006/relationships/hyperlink" Target="https://docs.dart.ucar.edu/en/stable/models/wrf/readme.html" TargetMode="External"/><Relationship Id="rId16" Type="http://schemas.openxmlformats.org/officeDocument/2006/relationships/hyperlink" Target="https://docs.dart.ucar.edu/en/v11.25.2/assimilation_code/modules/assimilation/assim_tools_mo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LASSO BNF data assimilation implementation plan</dc:title>
  <dc:subject>WRF DART radar assimilation for LES initial and boundary conditions</dc:subject>
  <dc:creator/>
  <cp:keywords>LASSO BNF, WRF, DART, EAKF, radar, LES</cp:keywords>
  <dc:description>generated by python-docx</dc:description>
  <cp:lastModifiedBy/>
  <cp:revision>1</cp:revision>
  <dcterms:created xsi:type="dcterms:W3CDTF">2013-12-23T23:15:00Z</dcterms:created>
  <dcterms:modified xsi:type="dcterms:W3CDTF">2013-12-23T23:15:00Z</dcterms:modified>
  <cp:category/>
</cp:coreProperties>
</file>