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Nifi-test V4 | Requirements and architecture</w:t>
      </w:r>
    </w:p>
    <w:p>
      <w:pPr>
        <w:pStyle w:val="Subtitle"/>
      </w:pPr>
      <w:r>
        <w:t>Current implementation • Windows/RHEL lab • Linux migration considerations</w:t>
      </w:r>
    </w:p>
    <w:p>
      <w:pPr>
        <w:pStyle w:val="Heading1"/>
      </w:pPr>
      <w:r>
        <w:t>1. Purpose, scope and requirements</w:t>
      </w:r>
    </w:p>
    <w:p>
      <w:r>
        <w:t>Nifi-test transfers original files from a watched directory on Server A, submits them to MetaDefender Core (MDC) on Server C, and delivers them back to a result directory on Server A. NiFi on Server B orchestrates transfer, asynchronous polling, routing and retries. Baseline: saved V4 template, 22 processors and 38 connections, NiFi 2.12.0; MDC lab version 5.23. Documentation date: 18 October 2026.</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pPr>
              <w:spacing w:after="80" w:before="40"/>
            </w:pPr>
            <w:r>
              <w:rPr>
                <w:color w:val="17212B"/>
                <w:sz w:val="19"/>
              </w:rPr>
              <w:t>Requirement</w:t>
            </w:r>
          </w:p>
        </w:tc>
        <w:tc>
          <w:tcPr>
            <w:tcW w:type="dxa" w:w="5112"/>
          </w:tcPr>
          <w:p>
            <w:pPr>
              <w:spacing w:after="80" w:before="40"/>
            </w:pPr>
            <w:r>
              <w:rPr>
                <w:color w:val="17212B"/>
                <w:sz w:val="19"/>
              </w:rPr>
              <w:t>V4 design / status</w:t>
            </w:r>
          </w:p>
        </w:tc>
      </w:tr>
      <w:tr>
        <w:trPr>
          <w:cantSplit/>
        </w:trPr>
        <w:tc>
          <w:tcPr>
            <w:tcW w:type="dxa" w:w="5112"/>
          </w:tcPr>
          <w:p>
            <w:pPr>
              <w:spacing w:after="80" w:before="40"/>
            </w:pPr>
            <w:r>
              <w:rPr>
                <w:color w:val="17212B"/>
                <w:sz w:val="19"/>
              </w:rPr>
              <w:t>Process newly available files, including old timestamps</w:t>
            </w:r>
          </w:p>
        </w:tc>
        <w:tc>
          <w:tcPr>
            <w:tcW w:type="dxa" w:w="5112"/>
          </w:tcPr>
          <w:p>
            <w:pPr>
              <w:spacing w:after="80" w:before="40"/>
            </w:pPr>
            <w:r>
              <w:rPr>
                <w:color w:val="17212B"/>
                <w:sz w:val="19"/>
              </w:rPr>
              <w:t>GetSFTP pickup; no ListSFTP timestamp watermark. Same-name files can be tested again after previous pickup.</w:t>
            </w:r>
          </w:p>
        </w:tc>
      </w:tr>
      <w:tr>
        <w:trPr>
          <w:cantSplit/>
        </w:trPr>
        <w:tc>
          <w:tcPr>
            <w:tcW w:type="dxa" w:w="5112"/>
          </w:tcPr>
          <w:p>
            <w:pPr>
              <w:spacing w:after="80" w:before="40"/>
            </w:pPr>
            <w:r>
              <w:rPr>
                <w:color w:val="17212B"/>
                <w:sz w:val="19"/>
              </w:rPr>
              <w:t>Avoid processing partially copied files</w:t>
            </w:r>
          </w:p>
        </w:tc>
        <w:tc>
          <w:tcPr>
            <w:tcW w:type="dxa" w:w="5112"/>
          </w:tcPr>
          <w:p>
            <w:pPr>
              <w:spacing w:after="80" w:before="40"/>
            </w:pPr>
            <w:r>
              <w:rPr>
                <w:color w:val="17212B"/>
                <w:sz w:val="19"/>
              </w:rPr>
              <w:t>Producer/operator responsibility: stage complete files then move into source, or stop 01 during direct copying. No automatic size-stability check.</w:t>
            </w:r>
          </w:p>
        </w:tc>
      </w:tr>
      <w:tr>
        <w:trPr>
          <w:cantSplit/>
        </w:trPr>
        <w:tc>
          <w:tcPr>
            <w:tcW w:type="dxa" w:w="5112"/>
          </w:tcPr>
          <w:p>
            <w:pPr>
              <w:spacing w:after="80" w:before="40"/>
            </w:pPr>
            <w:r>
              <w:rPr>
                <w:color w:val="17212B"/>
                <w:sz w:val="19"/>
              </w:rPr>
              <w:t>Scan each retrieved original</w:t>
            </w:r>
          </w:p>
        </w:tc>
        <w:tc>
          <w:tcPr>
            <w:tcW w:type="dxa" w:w="5112"/>
          </w:tcPr>
          <w:p>
            <w:pPr>
              <w:spacing w:after="80" w:before="40"/>
            </w:pPr>
            <w:r>
              <w:rPr>
                <w:color w:val="17212B"/>
                <w:sz w:val="19"/>
              </w:rPr>
              <w:t>POST raw file to /file; validate returned 32-character hexadecimal data_id; poll by that ID.</w:t>
            </w:r>
          </w:p>
        </w:tc>
      </w:tr>
      <w:tr>
        <w:trPr>
          <w:cantSplit/>
        </w:trPr>
        <w:tc>
          <w:tcPr>
            <w:tcW w:type="dxa" w:w="5112"/>
          </w:tcPr>
          <w:p>
            <w:pPr>
              <w:spacing w:after="80" w:before="40"/>
            </w:pPr>
            <w:r>
              <w:rPr>
                <w:color w:val="17212B"/>
                <w:sz w:val="19"/>
              </w:rPr>
              <w:t>Remove delivered source files</w:t>
            </w:r>
          </w:p>
        </w:tc>
        <w:tc>
          <w:tcPr>
            <w:tcW w:type="dxa" w:w="5112"/>
          </w:tcPr>
          <w:p>
            <w:pPr>
              <w:spacing w:after="80" w:before="40"/>
            </w:pPr>
            <w:r>
              <w:rPr>
                <w:color w:val="17212B"/>
                <w:sz w:val="19"/>
              </w:rPr>
              <w:t>01 deletes the source after retrieval, BEFORE API acceptance and final target delivery. This is the current implementation.</w:t>
            </w:r>
          </w:p>
        </w:tc>
      </w:tr>
      <w:tr>
        <w:trPr>
          <w:cantSplit/>
        </w:trPr>
        <w:tc>
          <w:tcPr>
            <w:tcW w:type="dxa" w:w="5112"/>
          </w:tcPr>
          <w:p>
            <w:pPr>
              <w:spacing w:after="80" w:before="40"/>
            </w:pPr>
            <w:r>
              <w:rPr>
                <w:color w:val="17212B"/>
                <w:sz w:val="19"/>
              </w:rPr>
              <w:t>Separate outcomes</w:t>
            </w:r>
          </w:p>
        </w:tc>
        <w:tc>
          <w:tcPr>
            <w:tcW w:type="dxa" w:w="5112"/>
          </w:tcPr>
          <w:p>
            <w:pPr>
              <w:spacing w:after="80" w:before="40"/>
            </w:pPr>
            <w:r>
              <w:rPr>
                <w:color w:val="17212B"/>
                <w:sz w:val="19"/>
              </w:rPr>
              <w:t>Pass for clean Allowed results; Failed for explicit block/threat route; Others for other completed results or certain polling failures.</w:t>
            </w:r>
          </w:p>
        </w:tc>
      </w:tr>
      <w:tr>
        <w:trPr>
          <w:cantSplit/>
        </w:trPr>
        <w:tc>
          <w:tcPr>
            <w:tcW w:type="dxa" w:w="5112"/>
          </w:tcPr>
          <w:p>
            <w:pPr>
              <w:spacing w:after="80" w:before="40"/>
            </w:pPr>
            <w:r>
              <w:rPr>
                <w:color w:val="17212B"/>
                <w:sz w:val="19"/>
              </w:rPr>
              <w:t>Reuse in another environment</w:t>
            </w:r>
          </w:p>
        </w:tc>
        <w:tc>
          <w:tcPr>
            <w:tcW w:type="dxa" w:w="5112"/>
          </w:tcPr>
          <w:p>
            <w:pPr>
              <w:spacing w:after="80" w:before="40"/>
            </w:pPr>
            <w:r>
              <w:rPr>
                <w:color w:val="17212B"/>
                <w:sz w:val="19"/>
              </w:rPr>
              <w:t>35 values in external variables JSON; Bash/Python 3 generates import JSON. Manual NiFi import.</w:t>
            </w:r>
          </w:p>
        </w:tc>
      </w:tr>
      <w:tr>
        <w:trPr>
          <w:cantSplit/>
        </w:trPr>
        <w:tc>
          <w:tcPr>
            <w:tcW w:type="dxa" w:w="5112"/>
          </w:tcPr>
          <w:p>
            <w:pPr>
              <w:spacing w:after="80" w:before="40"/>
            </w:pPr>
            <w:r>
              <w:rPr>
                <w:color w:val="17212B"/>
                <w:sz w:val="19"/>
              </w:rPr>
              <w:t>Large-file operation</w:t>
            </w:r>
          </w:p>
        </w:tc>
        <w:tc>
          <w:tcPr>
            <w:tcW w:type="dxa" w:w="5112"/>
          </w:tcPr>
          <w:p>
            <w:pPr>
              <w:spacing w:after="80" w:before="40"/>
            </w:pPr>
            <w:r>
              <w:rPr>
                <w:color w:val="17212B"/>
                <w:sz w:val="19"/>
              </w:rPr>
              <w:t>Disk-backed NiFi content, bounded polling and delivery retries; no guaranteed size or throughput SLA.</w:t>
            </w:r>
          </w:p>
        </w:tc>
      </w:tr>
    </w:tbl>
    <w:p>
      <w:r>
        <w:t>V4 is a single-NiFi-node lab design. Exactly-once delivery, automatic copy-completion detection, local Server A↔C file copying, encrypted secret storage, cluster leadership and high availability are not implemented.</w:t>
      </w:r>
    </w:p>
    <w:p>
      <w:r>
        <w:br w:type="page"/>
      </w:r>
    </w:p>
    <w:p>
      <w:pPr>
        <w:pStyle w:val="Heading1"/>
      </w:pPr>
      <w:r>
        <w:t>2. Deployment and network design</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Role</w:t>
            </w:r>
          </w:p>
        </w:tc>
        <w:tc>
          <w:tcPr>
            <w:tcW w:type="dxa" w:w="3408"/>
          </w:tcPr>
          <w:p>
            <w:pPr>
              <w:spacing w:after="80" w:before="40"/>
            </w:pPr>
            <w:r>
              <w:rPr>
                <w:color w:val="17212B"/>
                <w:sz w:val="19"/>
              </w:rPr>
              <w:t>Current platform / address</w:t>
            </w:r>
          </w:p>
        </w:tc>
        <w:tc>
          <w:tcPr>
            <w:tcW w:type="dxa" w:w="3408"/>
          </w:tcPr>
          <w:p>
            <w:pPr>
              <w:spacing w:after="80" w:before="40"/>
            </w:pPr>
            <w:r>
              <w:rPr>
                <w:color w:val="17212B"/>
                <w:sz w:val="19"/>
              </w:rPr>
              <w:t>Responsibility</w:t>
            </w:r>
          </w:p>
        </w:tc>
      </w:tr>
      <w:tr>
        <w:trPr>
          <w:cantSplit/>
        </w:trPr>
        <w:tc>
          <w:tcPr>
            <w:tcW w:type="dxa" w:w="3408"/>
          </w:tcPr>
          <w:p>
            <w:pPr>
              <w:spacing w:after="80" w:before="40"/>
            </w:pPr>
            <w:r>
              <w:rPr>
                <w:color w:val="17212B"/>
                <w:sz w:val="19"/>
              </w:rPr>
              <w:t>Server A</w:t>
            </w:r>
          </w:p>
        </w:tc>
        <w:tc>
          <w:tcPr>
            <w:tcW w:type="dxa" w:w="3408"/>
          </w:tcPr>
          <w:p>
            <w:pPr>
              <w:spacing w:after="80" w:before="40"/>
            </w:pPr>
            <w:r>
              <w:rPr>
                <w:color w:val="17212B"/>
                <w:sz w:val="19"/>
              </w:rPr>
              <w:t>Windows; 192.168.2.207; SSH/SFTP 22</w:t>
            </w:r>
          </w:p>
        </w:tc>
        <w:tc>
          <w:tcPr>
            <w:tcW w:type="dxa" w:w="3408"/>
          </w:tcPr>
          <w:p>
            <w:pPr>
              <w:spacing w:after="80" w:before="40"/>
            </w:pPr>
            <w:r>
              <w:rPr>
                <w:color w:val="17212B"/>
                <w:sz w:val="19"/>
              </w:rPr>
              <w:t>Source /C:/Nifi-Test/MDUpdate1 and Pass, Failed, Others sibling directories.</w:t>
            </w:r>
          </w:p>
        </w:tc>
      </w:tr>
      <w:tr>
        <w:trPr>
          <w:cantSplit/>
        </w:trPr>
        <w:tc>
          <w:tcPr>
            <w:tcW w:type="dxa" w:w="3408"/>
          </w:tcPr>
          <w:p>
            <w:pPr>
              <w:spacing w:after="80" w:before="40"/>
            </w:pPr>
            <w:r>
              <w:rPr>
                <w:color w:val="17212B"/>
                <w:sz w:val="19"/>
              </w:rPr>
              <w:t>Server B</w:t>
            </w:r>
          </w:p>
        </w:tc>
        <w:tc>
          <w:tcPr>
            <w:tcW w:type="dxa" w:w="3408"/>
          </w:tcPr>
          <w:p>
            <w:pPr>
              <w:spacing w:after="80" w:before="40"/>
            </w:pPr>
            <w:r>
              <w:rPr>
                <w:color w:val="17212B"/>
                <w:sz w:val="19"/>
              </w:rPr>
              <w:t>RHEL; 192.168.195.130; NiFi 2.12.0</w:t>
            </w:r>
          </w:p>
        </w:tc>
        <w:tc>
          <w:tcPr>
            <w:tcW w:type="dxa" w:w="3408"/>
          </w:tcPr>
          <w:p>
            <w:pPr>
              <w:spacing w:after="80" w:before="40"/>
            </w:pPr>
            <w:r>
              <w:rPr>
                <w:color w:val="17212B"/>
                <w:sz w:val="19"/>
              </w:rPr>
              <w:t>Content storage, HTTP client, routing, queue/retry state. UI https://192.168.195.130:8443/nifi/.</w:t>
            </w:r>
          </w:p>
        </w:tc>
      </w:tr>
      <w:tr>
        <w:trPr>
          <w:cantSplit/>
        </w:trPr>
        <w:tc>
          <w:tcPr>
            <w:tcW w:type="dxa" w:w="3408"/>
          </w:tcPr>
          <w:p>
            <w:pPr>
              <w:spacing w:after="80" w:before="40"/>
            </w:pPr>
            <w:r>
              <w:rPr>
                <w:color w:val="17212B"/>
                <w:sz w:val="19"/>
              </w:rPr>
              <w:t>Server C</w:t>
            </w:r>
          </w:p>
        </w:tc>
        <w:tc>
          <w:tcPr>
            <w:tcW w:type="dxa" w:w="3408"/>
          </w:tcPr>
          <w:p>
            <w:pPr>
              <w:spacing w:after="80" w:before="40"/>
            </w:pPr>
            <w:r>
              <w:rPr>
                <w:color w:val="17212B"/>
                <w:sz w:val="19"/>
              </w:rPr>
              <w:t>Windows; 192.168.2.207; MDC 5.23, HTTP 8008</w:t>
            </w:r>
          </w:p>
        </w:tc>
        <w:tc>
          <w:tcPr>
            <w:tcW w:type="dxa" w:w="3408"/>
          </w:tcPr>
          <w:p>
            <w:pPr>
              <w:spacing w:after="80" w:before="40"/>
            </w:pPr>
            <w:r>
              <w:rPr>
                <w:color w:val="17212B"/>
                <w:sz w:val="19"/>
              </w:rPr>
              <w:t>MDC-Update workflow and scan results. A and C currently share a host/IP.</w:t>
            </w:r>
          </w:p>
        </w:tc>
      </w:tr>
    </w:tbl>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Connection initiated by B</w:t>
            </w:r>
          </w:p>
        </w:tc>
        <w:tc>
          <w:tcPr>
            <w:tcW w:type="dxa" w:w="3408"/>
          </w:tcPr>
          <w:p>
            <w:pPr>
              <w:spacing w:after="80" w:before="40"/>
            </w:pPr>
            <w:r>
              <w:rPr>
                <w:color w:val="17212B"/>
                <w:sz w:val="19"/>
              </w:rPr>
              <w:t>Purpose</w:t>
            </w:r>
          </w:p>
        </w:tc>
        <w:tc>
          <w:tcPr>
            <w:tcW w:type="dxa" w:w="3408"/>
          </w:tcPr>
          <w:p>
            <w:pPr>
              <w:spacing w:after="80" w:before="40"/>
            </w:pPr>
            <w:r>
              <w:rPr>
                <w:color w:val="17212B"/>
                <w:sz w:val="19"/>
              </w:rPr>
              <w:t>Payload / authentication</w:t>
            </w:r>
          </w:p>
        </w:tc>
      </w:tr>
      <w:tr>
        <w:trPr>
          <w:cantSplit/>
        </w:trPr>
        <w:tc>
          <w:tcPr>
            <w:tcW w:type="dxa" w:w="3408"/>
          </w:tcPr>
          <w:p>
            <w:pPr>
              <w:spacing w:after="80" w:before="40"/>
            </w:pPr>
            <w:r>
              <w:rPr>
                <w:color w:val="17212B"/>
                <w:sz w:val="19"/>
              </w:rPr>
              <w:t>B → A, TCP 22</w:t>
            </w:r>
          </w:p>
        </w:tc>
        <w:tc>
          <w:tcPr>
            <w:tcW w:type="dxa" w:w="3408"/>
          </w:tcPr>
          <w:p>
            <w:pPr>
              <w:spacing w:after="80" w:before="40"/>
            </w:pPr>
            <w:r>
              <w:rPr>
                <w:color w:val="17212B"/>
                <w:sz w:val="19"/>
              </w:rPr>
              <w:t>01 GetSFTP</w:t>
            </w:r>
          </w:p>
        </w:tc>
        <w:tc>
          <w:tcPr>
            <w:tcW w:type="dxa" w:w="3408"/>
          </w:tcPr>
          <w:p>
            <w:pPr>
              <w:spacing w:after="80" w:before="40"/>
            </w:pPr>
            <w:r>
              <w:rPr>
                <w:color w:val="17212B"/>
                <w:sz w:val="19"/>
              </w:rPr>
              <w:t>Download original to NiFi; UsernameA / PasswordA.</w:t>
            </w:r>
          </w:p>
        </w:tc>
      </w:tr>
      <w:tr>
        <w:trPr>
          <w:cantSplit/>
        </w:trPr>
        <w:tc>
          <w:tcPr>
            <w:tcW w:type="dxa" w:w="3408"/>
          </w:tcPr>
          <w:p>
            <w:pPr>
              <w:spacing w:after="80" w:before="40"/>
            </w:pPr>
            <w:r>
              <w:rPr>
                <w:color w:val="17212B"/>
                <w:sz w:val="19"/>
              </w:rPr>
              <w:t>B → C, TCP 8008</w:t>
            </w:r>
          </w:p>
        </w:tc>
        <w:tc>
          <w:tcPr>
            <w:tcW w:type="dxa" w:w="3408"/>
          </w:tcPr>
          <w:p>
            <w:pPr>
              <w:spacing w:after="80" w:before="40"/>
            </w:pPr>
            <w:r>
              <w:rPr>
                <w:color w:val="17212B"/>
                <w:sz w:val="19"/>
              </w:rPr>
              <w:t>03 POST /file</w:t>
            </w:r>
          </w:p>
        </w:tc>
        <w:tc>
          <w:tcPr>
            <w:tcW w:type="dxa" w:w="3408"/>
          </w:tcPr>
          <w:p>
            <w:pPr>
              <w:spacing w:after="80" w:before="40"/>
            </w:pPr>
            <w:r>
              <w:rPr>
                <w:color w:val="17212B"/>
                <w:sz w:val="19"/>
              </w:rPr>
              <w:t>Upload original; apikey, filename and rule headers.</w:t>
            </w:r>
          </w:p>
        </w:tc>
      </w:tr>
      <w:tr>
        <w:trPr>
          <w:cantSplit/>
        </w:trPr>
        <w:tc>
          <w:tcPr>
            <w:tcW w:type="dxa" w:w="3408"/>
          </w:tcPr>
          <w:p>
            <w:pPr>
              <w:spacing w:after="80" w:before="40"/>
            </w:pPr>
            <w:r>
              <w:rPr>
                <w:color w:val="17212B"/>
                <w:sz w:val="19"/>
              </w:rPr>
              <w:t>B → C, TCP 8008</w:t>
            </w:r>
          </w:p>
        </w:tc>
        <w:tc>
          <w:tcPr>
            <w:tcW w:type="dxa" w:w="3408"/>
          </w:tcPr>
          <w:p>
            <w:pPr>
              <w:spacing w:after="80" w:before="40"/>
            </w:pPr>
            <w:r>
              <w:rPr>
                <w:color w:val="17212B"/>
                <w:sz w:val="19"/>
              </w:rPr>
              <w:t>06 GET /file/{data_id}</w:t>
            </w:r>
          </w:p>
        </w:tc>
        <w:tc>
          <w:tcPr>
            <w:tcW w:type="dxa" w:w="3408"/>
          </w:tcPr>
          <w:p>
            <w:pPr>
              <w:spacing w:after="80" w:before="40"/>
            </w:pPr>
            <w:r>
              <w:rPr>
                <w:color w:val="17212B"/>
                <w:sz w:val="19"/>
              </w:rPr>
              <w:t>Retrieve report; apikey header; no request file body.</w:t>
            </w:r>
          </w:p>
        </w:tc>
      </w:tr>
      <w:tr>
        <w:trPr>
          <w:cantSplit/>
        </w:trPr>
        <w:tc>
          <w:tcPr>
            <w:tcW w:type="dxa" w:w="3408"/>
          </w:tcPr>
          <w:p>
            <w:pPr>
              <w:spacing w:after="80" w:before="40"/>
            </w:pPr>
            <w:r>
              <w:rPr>
                <w:color w:val="17212B"/>
                <w:sz w:val="19"/>
              </w:rPr>
              <w:t>B → A, TCP 22</w:t>
            </w:r>
          </w:p>
        </w:tc>
        <w:tc>
          <w:tcPr>
            <w:tcW w:type="dxa" w:w="3408"/>
          </w:tcPr>
          <w:p>
            <w:pPr>
              <w:spacing w:after="80" w:before="40"/>
            </w:pPr>
            <w:r>
              <w:rPr>
                <w:color w:val="17212B"/>
                <w:sz w:val="19"/>
              </w:rPr>
              <w:t>10 / 11 / 12 PutSFTP</w:t>
            </w:r>
          </w:p>
        </w:tc>
        <w:tc>
          <w:tcPr>
            <w:tcW w:type="dxa" w:w="3408"/>
          </w:tcPr>
          <w:p>
            <w:pPr>
              <w:spacing w:after="80" w:before="40"/>
            </w:pPr>
            <w:r>
              <w:rPr>
                <w:color w:val="17212B"/>
                <w:sz w:val="19"/>
              </w:rPr>
              <w:t>Upload original under outcome-prefixed filename.</w:t>
            </w:r>
          </w:p>
        </w:tc>
      </w:tr>
    </w:tbl>
    <w:p>
      <w:r>
        <w:t>A and C sharing one machine does not bypass Server B: an original is downloaded A→B, uploaded B→C, and delivered B→A. Polling adds report traffic. SFTP encrypts transport; the current MDC HTTP connection does not. NiFi UI HTTPS does not encrypt the separate B→C API connection.</w:t>
      </w:r>
    </w:p>
    <w:p>
      <w:r>
        <w:t>Server A account needs source list/read/delete rights plus target create/write/rename rights. Server B needs enough content-repository capacity for all in-flight large files, repository/log headroom and access to both endpoints. MDC needs separate extraction space and archive limits appropriate to installation media. Queue thresholds are flow control, not storage reservations.</w:t>
      </w:r>
    </w:p>
    <w:p>
      <w:r>
        <w:br w:type="page"/>
      </w:r>
    </w:p>
    <w:p>
      <w:pPr>
        <w:pStyle w:val="Heading1"/>
      </w:pPr>
      <w:r>
        <w:t>3. Data lifecycle and decision design</w:t>
      </w:r>
    </w:p>
    <w:p>
      <w:pPr>
        <w:pStyle w:val="ListBullet"/>
      </w:pPr>
      <w:r>
        <w:t>01 downloads and deletes source; 02 saves original filename attributes. Original bytes remain in NiFi content storage.</w:t>
      </w:r>
    </w:p>
    <w:p>
      <w:pPr>
        <w:pStyle w:val="ListBullet"/>
      </w:pPr>
      <w:r>
        <w:t>03 submits original and stores API response in md.response. 04 extracts md.data_id; 05 verifies its format. An accepted ID does not mean a scan passed.</w:t>
      </w:r>
    </w:p>
    <w:p>
      <w:pPr>
        <w:pStyle w:val="ListBullet"/>
      </w:pPr>
      <w:r>
        <w:t>06 polls; 07 extracts progress, result and verdict attributes. 08 waits for process_info.progress_percentage = 100.</w:t>
      </w:r>
    </w:p>
    <w:p>
      <w:pPr>
        <w:pStyle w:val="ListBullet"/>
      </w:pPr>
      <w:r>
        <w:t>09 passes only when scan progress = 100, aggregate result = 0, verdict = Allowed, engine count &gt; 0 and skipped = false.</w:t>
      </w:r>
    </w:p>
    <w:p>
      <w:pPr>
        <w:pStyle w:val="ListBullet"/>
      </w:pPr>
      <w:r>
        <w:t>09a sends explicit Blocked verdicts, or completed aggregate result 1/2, to Failed. Other completed outcomes go to Others.</w:t>
      </w:r>
    </w:p>
    <w:p>
      <w:pPr>
        <w:pStyle w:val="ListBullet"/>
      </w:pPr>
      <w:r>
        <w:t>09P / 09F / 09O prefix filename, then 10 / 11 / 12 deliver original. Successful delivery ends the FlowFile.</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Branch</w:t>
            </w:r>
          </w:p>
        </w:tc>
        <w:tc>
          <w:tcPr>
            <w:tcW w:type="dxa" w:w="3408"/>
          </w:tcPr>
          <w:p>
            <w:pPr>
              <w:spacing w:after="80" w:before="40"/>
            </w:pPr>
            <w:r>
              <w:rPr>
                <w:color w:val="17212B"/>
                <w:sz w:val="19"/>
              </w:rPr>
              <w:t>Result / filename</w:t>
            </w:r>
          </w:p>
        </w:tc>
        <w:tc>
          <w:tcPr>
            <w:tcW w:type="dxa" w:w="3408"/>
          </w:tcPr>
          <w:p>
            <w:pPr>
              <w:spacing w:after="80" w:before="40"/>
            </w:pPr>
            <w:r>
              <w:rPr>
                <w:color w:val="17212B"/>
                <w:sz w:val="19"/>
              </w:rPr>
              <w:t>Important distinction</w:t>
            </w:r>
          </w:p>
        </w:tc>
      </w:tr>
      <w:tr>
        <w:trPr>
          <w:cantSplit/>
        </w:trPr>
        <w:tc>
          <w:tcPr>
            <w:tcW w:type="dxa" w:w="3408"/>
          </w:tcPr>
          <w:p>
            <w:pPr>
              <w:spacing w:after="80" w:before="40"/>
            </w:pPr>
            <w:r>
              <w:rPr>
                <w:color w:val="17212B"/>
                <w:sz w:val="19"/>
              </w:rPr>
              <w:t>Clean route</w:t>
            </w:r>
          </w:p>
        </w:tc>
        <w:tc>
          <w:tcPr>
            <w:tcW w:type="dxa" w:w="3408"/>
          </w:tcPr>
          <w:p>
            <w:pPr>
              <w:spacing w:after="80" w:before="40"/>
            </w:pPr>
            <w:r>
              <w:rPr>
                <w:color w:val="17212B"/>
                <w:sz w:val="19"/>
              </w:rPr>
              <w:t>Pass / Allowed_&lt;original&gt;</w:t>
            </w:r>
          </w:p>
        </w:tc>
        <w:tc>
          <w:tcPr>
            <w:tcW w:type="dxa" w:w="3408"/>
          </w:tcPr>
          <w:p>
            <w:pPr>
              <w:spacing w:after="80" w:before="40"/>
            </w:pPr>
            <w:r>
              <w:rPr>
                <w:color w:val="17212B"/>
                <w:sz w:val="19"/>
              </w:rPr>
              <w:t>Original file, not an MDC-sanitized download.</w:t>
            </w:r>
          </w:p>
        </w:tc>
      </w:tr>
      <w:tr>
        <w:trPr>
          <w:cantSplit/>
        </w:trPr>
        <w:tc>
          <w:tcPr>
            <w:tcW w:type="dxa" w:w="3408"/>
          </w:tcPr>
          <w:p>
            <w:pPr>
              <w:spacing w:after="80" w:before="40"/>
            </w:pPr>
            <w:r>
              <w:rPr>
                <w:color w:val="17212B"/>
                <w:sz w:val="19"/>
              </w:rPr>
              <w:t>Block/threat route</w:t>
            </w:r>
          </w:p>
        </w:tc>
        <w:tc>
          <w:tcPr>
            <w:tcW w:type="dxa" w:w="3408"/>
          </w:tcPr>
          <w:p>
            <w:pPr>
              <w:spacing w:after="80" w:before="40"/>
            </w:pPr>
            <w:r>
              <w:rPr>
                <w:color w:val="17212B"/>
                <w:sz w:val="19"/>
              </w:rPr>
              <w:t>Failed / Blocked_&lt;original&gt;</w:t>
            </w:r>
          </w:p>
        </w:tc>
        <w:tc>
          <w:tcPr>
            <w:tcW w:type="dxa" w:w="3408"/>
          </w:tcPr>
          <w:p>
            <w:pPr>
              <w:spacing w:after="80" w:before="40"/>
            </w:pPr>
            <w:r>
              <w:rPr>
                <w:color w:val="17212B"/>
                <w:sz w:val="19"/>
              </w:rPr>
              <w:t>Includes policy blocks such as archive limits; does not always mean malware.</w:t>
            </w:r>
          </w:p>
        </w:tc>
      </w:tr>
      <w:tr>
        <w:trPr>
          <w:cantSplit/>
        </w:trPr>
        <w:tc>
          <w:tcPr>
            <w:tcW w:type="dxa" w:w="3408"/>
          </w:tcPr>
          <w:p>
            <w:pPr>
              <w:spacing w:after="80" w:before="40"/>
            </w:pPr>
            <w:r>
              <w:rPr>
                <w:color w:val="17212B"/>
                <w:sz w:val="19"/>
              </w:rPr>
              <w:t>Other / poll budget exhausted / polling No Retry</w:t>
            </w:r>
          </w:p>
        </w:tc>
        <w:tc>
          <w:tcPr>
            <w:tcW w:type="dxa" w:w="3408"/>
          </w:tcPr>
          <w:p>
            <w:pPr>
              <w:spacing w:after="80" w:before="40"/>
            </w:pPr>
            <w:r>
              <w:rPr>
                <w:color w:val="17212B"/>
                <w:sz w:val="19"/>
              </w:rPr>
              <w:t>Others / Others_&lt;original&gt;</w:t>
            </w:r>
          </w:p>
        </w:tc>
        <w:tc>
          <w:tcPr>
            <w:tcW w:type="dxa" w:w="3408"/>
          </w:tcPr>
          <w:p>
            <w:pPr>
              <w:spacing w:after="80" w:before="40"/>
            </w:pPr>
            <w:r>
              <w:rPr>
                <w:color w:val="17212B"/>
                <w:sz w:val="19"/>
              </w:rPr>
              <w:t>May occur while MDC continues scanning. Not an approval.</w:t>
            </w:r>
          </w:p>
        </w:tc>
      </w:tr>
      <w:tr>
        <w:trPr>
          <w:cantSplit/>
        </w:trPr>
        <w:tc>
          <w:tcPr>
            <w:tcW w:type="dxa" w:w="3408"/>
          </w:tcPr>
          <w:p>
            <w:pPr>
              <w:spacing w:after="80" w:before="40"/>
            </w:pPr>
            <w:r>
              <w:rPr>
                <w:color w:val="17212B"/>
                <w:sz w:val="19"/>
              </w:rPr>
              <w:t>Invalid submission / exhausted upload or delivery / retry processor failure</w:t>
            </w:r>
          </w:p>
        </w:tc>
        <w:tc>
          <w:tcPr>
            <w:tcW w:type="dxa" w:w="3408"/>
          </w:tcPr>
          <w:p>
            <w:pPr>
              <w:spacing w:after="80" w:before="40"/>
            </w:pPr>
            <w:r>
              <w:rPr>
                <w:color w:val="17212B"/>
                <w:sz w:val="19"/>
              </w:rPr>
              <w:t>Queues entering disabled HOLD ERRORS</w:t>
            </w:r>
          </w:p>
        </w:tc>
        <w:tc>
          <w:tcPr>
            <w:tcW w:type="dxa" w:w="3408"/>
          </w:tcPr>
          <w:p>
            <w:pPr>
              <w:spacing w:after="80" w:before="40"/>
            </w:pPr>
            <w:r>
              <w:rPr>
                <w:color w:val="17212B"/>
                <w:sz w:val="19"/>
              </w:rPr>
              <w:t>Requires operator review. Not necessarily represented by a target file.</w:t>
            </w:r>
          </w:p>
        </w:tc>
      </w:tr>
    </w:tbl>
    <w:p>
      <w:r>
        <w:t>The clean rule relies on selected aggregate MDC fields. It does not individually enforce success of SBOM, vulnerability assessment, AI or every optional module. Optional-module errors can coexist with an Allowed workflow result. A stricter policy requires explicit MDC workflow and/or NiFi rule changes.</w:t>
      </w:r>
    </w:p>
    <w:p>
      <w:r>
        <w:br w:type="page"/>
      </w:r>
    </w:p>
    <w:p>
      <w:pPr>
        <w:pStyle w:val="Heading1"/>
      </w:pPr>
      <w:r>
        <w:t>4. Reliability, deployment and acceptance</w:t>
      </w:r>
    </w:p>
    <w:p>
      <w:r>
        <w:t>PollingMaxRetries = 1440 with a 10-second penalty gives approximately four hours of penalty time, plus requests and scheduling delays. This is a retry-count budget, not a precise wall-clock timeout. Submission retries and each delivery branch have a budget of 5. Ambiguous POST failures can cause repeated submissions; NiFi and remote systems do not share a transaction.</w:t>
      </w:r>
    </w:p>
    <w:p>
      <w:r>
        <w:t>Source deletion is a remote side effect: it is not atomically committed with NiFi repository state. NiFi content retention supports recovery of queued work, but source deletion alone must never be treated as proof of scan or delivery success. Destination REPLACE can overwrite earlier same-name results; filenames do not provide immutable audit history.</w:t>
      </w:r>
    </w:p>
    <w:p>
      <w:pPr>
        <w:pStyle w:val="ListBullet"/>
      </w:pPr>
      <w:r>
        <w:t>Edit Nifi-test-v4-variables.json, including PasswordA and APIKeyC; run render-nifi-v4.sh with template, values and a new output path; manually import generated JSON.</w:t>
      </w:r>
    </w:p>
    <w:p>
      <w:pPr>
        <w:pStyle w:val="ListBullet"/>
      </w:pPr>
      <w:r>
        <w:t>Stop the old flow before activating the new one. Keep HOLD ERRORS disabled. Verify sensitive fields after import and process one known-clean small file first.</w:t>
      </w:r>
    </w:p>
    <w:p>
      <w:pPr>
        <w:pStyle w:val="ListBullet"/>
      </w:pPr>
      <w:r>
        <w:t>For Linux A/C, change hosts, credentials and full SFTP paths; preserve case. HTTPS requires additional NiFi certificate trust configuration, not just ProtocolC=https.</w:t>
      </w:r>
    </w:p>
    <w:p>
      <w:pPr>
        <w:pStyle w:val="ListBullet"/>
      </w:pPr>
      <w:r>
        <w:t>Current files contain plaintext secrets when populated/generated. Future scope: SSH-key authentication, verified host keys, HTTPS trust and managed secret handling.</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pPr>
              <w:spacing w:after="80" w:before="40"/>
            </w:pPr>
            <w:r>
              <w:rPr>
                <w:color w:val="17212B"/>
                <w:sz w:val="19"/>
              </w:rPr>
              <w:t>Acceptance check</w:t>
            </w:r>
          </w:p>
        </w:tc>
        <w:tc>
          <w:tcPr>
            <w:tcW w:type="dxa" w:w="5112"/>
          </w:tcPr>
          <w:p>
            <w:pPr>
              <w:spacing w:after="80" w:before="40"/>
            </w:pPr>
            <w:r>
              <w:rPr>
                <w:color w:val="17212B"/>
                <w:sz w:val="19"/>
              </w:rPr>
              <w:t>Expected evidence</w:t>
            </w:r>
          </w:p>
        </w:tc>
      </w:tr>
      <w:tr>
        <w:trPr>
          <w:cantSplit/>
        </w:trPr>
        <w:tc>
          <w:tcPr>
            <w:tcW w:type="dxa" w:w="5112"/>
          </w:tcPr>
          <w:p>
            <w:pPr>
              <w:spacing w:after="80" w:before="40"/>
            </w:pPr>
            <w:r>
              <w:rPr>
                <w:color w:val="17212B"/>
                <w:sz w:val="19"/>
              </w:rPr>
              <w:t>Clean small file</w:t>
            </w:r>
          </w:p>
        </w:tc>
        <w:tc>
          <w:tcPr>
            <w:tcW w:type="dxa" w:w="5112"/>
          </w:tcPr>
          <w:p>
            <w:pPr>
              <w:spacing w:after="80" w:before="40"/>
            </w:pPr>
            <w:r>
              <w:rPr>
                <w:color w:val="17212B"/>
                <w:sz w:val="19"/>
              </w:rPr>
              <w:t>MDC final Allowed + clean criteria; Allowed_ file in Pass; matching original bytes.</w:t>
            </w:r>
          </w:p>
        </w:tc>
      </w:tr>
      <w:tr>
        <w:trPr>
          <w:cantSplit/>
        </w:trPr>
        <w:tc>
          <w:tcPr>
            <w:tcW w:type="dxa" w:w="5112"/>
          </w:tcPr>
          <w:p>
            <w:pPr>
              <w:spacing w:after="80" w:before="40"/>
            </w:pPr>
            <w:r>
              <w:rPr>
                <w:color w:val="17212B"/>
                <w:sz w:val="19"/>
              </w:rPr>
              <w:t>Repeated/old-timestamp completed file</w:t>
            </w:r>
          </w:p>
        </w:tc>
        <w:tc>
          <w:tcPr>
            <w:tcW w:type="dxa" w:w="5112"/>
          </w:tcPr>
          <w:p>
            <w:pPr>
              <w:spacing w:after="80" w:before="40"/>
            </w:pPr>
            <w:r>
              <w:rPr>
                <w:color w:val="17212B"/>
                <w:sz w:val="19"/>
              </w:rPr>
              <w:t>Picked up after arrival with no timestamp reset; avoid overlapping identical-name tests.</w:t>
            </w:r>
          </w:p>
        </w:tc>
      </w:tr>
      <w:tr>
        <w:trPr>
          <w:cantSplit/>
        </w:trPr>
        <w:tc>
          <w:tcPr>
            <w:tcW w:type="dxa" w:w="5112"/>
          </w:tcPr>
          <w:p>
            <w:pPr>
              <w:spacing w:after="80" w:before="40"/>
            </w:pPr>
            <w:r>
              <w:rPr>
                <w:color w:val="17212B"/>
                <w:sz w:val="19"/>
              </w:rPr>
              <w:t>Blocked or inconclusive sample</w:t>
            </w:r>
          </w:p>
        </w:tc>
        <w:tc>
          <w:tcPr>
            <w:tcW w:type="dxa" w:w="5112"/>
          </w:tcPr>
          <w:p>
            <w:pPr>
              <w:spacing w:after="80" w:before="40"/>
            </w:pPr>
            <w:r>
              <w:rPr>
                <w:color w:val="17212B"/>
                <w:sz w:val="19"/>
              </w:rPr>
              <w:t>Appropriate Failed/Others route; inspect MDC reason and NiFi provenance.</w:t>
            </w:r>
          </w:p>
        </w:tc>
      </w:tr>
      <w:tr>
        <w:trPr>
          <w:cantSplit/>
        </w:trPr>
        <w:tc>
          <w:tcPr>
            <w:tcW w:type="dxa" w:w="5112"/>
          </w:tcPr>
          <w:p>
            <w:pPr>
              <w:spacing w:after="80" w:before="40"/>
            </w:pPr>
            <w:r>
              <w:rPr>
                <w:color w:val="17212B"/>
                <w:sz w:val="19"/>
              </w:rPr>
              <w:t>Large ISO</w:t>
            </w:r>
          </w:p>
        </w:tc>
        <w:tc>
          <w:tcPr>
            <w:tcW w:type="dxa" w:w="5112"/>
          </w:tcPr>
          <w:p>
            <w:pPr>
              <w:spacing w:after="80" w:before="40"/>
            </w:pPr>
            <w:r>
              <w:rPr>
                <w:color w:val="17212B"/>
                <w:sz w:val="19"/>
              </w:rPr>
              <w:t>No retrieval exception; observe pending loop, MDC limits and final delivery SEND.</w:t>
            </w:r>
          </w:p>
        </w:tc>
      </w:tr>
      <w:tr>
        <w:trPr>
          <w:cantSplit/>
        </w:trPr>
        <w:tc>
          <w:tcPr>
            <w:tcW w:type="dxa" w:w="5112"/>
          </w:tcPr>
          <w:p>
            <w:pPr>
              <w:spacing w:after="80" w:before="40"/>
            </w:pPr>
            <w:r>
              <w:rPr>
                <w:color w:val="17212B"/>
                <w:sz w:val="19"/>
              </w:rPr>
              <w:t>Delivery failure</w:t>
            </w:r>
          </w:p>
        </w:tc>
        <w:tc>
          <w:tcPr>
            <w:tcW w:type="dxa" w:w="5112"/>
          </w:tcPr>
          <w:p>
            <w:pPr>
              <w:spacing w:after="80" w:before="40"/>
            </w:pPr>
            <w:r>
              <w:rPr>
                <w:color w:val="17212B"/>
                <w:sz w:val="19"/>
              </w:rPr>
              <w:t>Bounded retries then HOLD queue; file remains available as NiFi queued content.</w:t>
            </w:r>
          </w:p>
        </w:tc>
      </w:tr>
      <w:tr>
        <w:trPr>
          <w:cantSplit/>
        </w:trPr>
        <w:tc>
          <w:tcPr>
            <w:tcW w:type="dxa" w:w="5112"/>
          </w:tcPr>
          <w:p>
            <w:pPr>
              <w:spacing w:after="80" w:before="40"/>
            </w:pPr>
            <w:r>
              <w:rPr>
                <w:color w:val="17212B"/>
                <w:sz w:val="19"/>
              </w:rPr>
              <w:t>Drain check</w:t>
            </w:r>
          </w:p>
        </w:tc>
        <w:tc>
          <w:tcPr>
            <w:tcW w:type="dxa" w:w="5112"/>
          </w:tcPr>
          <w:p>
            <w:pPr>
              <w:spacing w:after="80" w:before="40"/>
            </w:pPr>
            <w:r>
              <w:rPr>
                <w:color w:val="17212B"/>
                <w:sz w:val="19"/>
              </w:rPr>
              <w:t>Stop 01, wait for active tasks and all queues to empty; inspect provenance and destinations. Empty queues alone do not prove correct delivery.</w:t>
            </w:r>
          </w:p>
        </w:tc>
      </w:tr>
    </w:tbl>
    <w:p>
      <w:r>
        <w:t>Reference basis: saved V4 JSON, variables file and renderer; Apache NiFi processor documentation and MDC REST API. Official links are listed in the connector reference. The reported GetSFTP FlowFileHandlingException remains an unresolved test issue; no fix or live V4 validation is implied by these documents.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Nifi-test 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Noto Sans CJK SC"/>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Noto Sans CJK SC"/>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Nifi-test V4 | Requirements and architecture</dc:title>
  <dc:subject>Nifi-test V4 operational documentation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