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Nifi-test V4 | Connectors and parameter reference</w:t>
      </w:r>
    </w:p>
    <w:p>
      <w:pPr>
        <w:pStyle w:val="Subtitle"/>
      </w:pPr>
      <w:r>
        <w:t>All 35 deployment variables • Native processors • Generation and import</w:t>
      </w:r>
    </w:p>
    <w:p>
      <w:pPr>
        <w:pStyle w:val="Heading1"/>
      </w:pPr>
      <w:r>
        <w:t>1. Connectors, processors and relationships</w:t>
      </w:r>
    </w:p>
    <w:p>
      <w:r>
        <w:t>“Connector” here means a NiFi processor interacting with a remote service. GetSFTP and PutSFTP connect to Server A; InvokeHTTP connects to MDC. UpdateAttribute, RouteOnAttribute and RetryFlowFile are local flow-control processors. V4 has no custom SSH script or ListSFTP/FetchSFTP/DeleteSFTP chain.</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Processor type / instances</w:t>
            </w:r>
          </w:p>
        </w:tc>
        <w:tc>
          <w:tcPr>
            <w:tcW w:type="dxa" w:w="3408"/>
          </w:tcPr>
          <w:p>
            <w:pPr>
              <w:spacing w:after="80" w:before="40"/>
            </w:pPr>
            <w:r>
              <w:rPr>
                <w:color w:val="17212B"/>
                <w:sz w:val="19"/>
              </w:rPr>
              <w:t>Purpose</w:t>
            </w:r>
          </w:p>
        </w:tc>
        <w:tc>
          <w:tcPr>
            <w:tcW w:type="dxa" w:w="3408"/>
          </w:tcPr>
          <w:p>
            <w:pPr>
              <w:spacing w:after="80" w:before="40"/>
            </w:pPr>
            <w:r>
              <w:rPr>
                <w:color w:val="17212B"/>
                <w:sz w:val="19"/>
              </w:rPr>
              <w:t>Major relationships</w:t>
            </w:r>
          </w:p>
        </w:tc>
      </w:tr>
      <w:tr>
        <w:trPr>
          <w:cantSplit/>
        </w:trPr>
        <w:tc>
          <w:tcPr>
            <w:tcW w:type="dxa" w:w="3408"/>
          </w:tcPr>
          <w:p>
            <w:pPr>
              <w:spacing w:after="80" w:before="40"/>
            </w:pPr>
            <w:r>
              <w:rPr>
                <w:color w:val="17212B"/>
                <w:sz w:val="19"/>
              </w:rPr>
              <w:t>GetSFTP / 01</w:t>
            </w:r>
          </w:p>
        </w:tc>
        <w:tc>
          <w:tcPr>
            <w:tcW w:type="dxa" w:w="3408"/>
          </w:tcPr>
          <w:p>
            <w:pPr>
              <w:spacing w:after="80" w:before="40"/>
            </w:pPr>
            <w:r>
              <w:rPr>
                <w:color w:val="17212B"/>
                <w:sz w:val="19"/>
              </w:rPr>
              <w:t>Retrieve originals, deleting remote source after retrieval.</w:t>
            </w:r>
          </w:p>
        </w:tc>
        <w:tc>
          <w:tcPr>
            <w:tcW w:type="dxa" w:w="3408"/>
          </w:tcPr>
          <w:p>
            <w:pPr>
              <w:spacing w:after="80" w:before="40"/>
            </w:pPr>
            <w:r>
              <w:rPr>
                <w:color w:val="17212B"/>
                <w:sz w:val="19"/>
              </w:rPr>
              <w:t>success → 02; retrieval errors can yield/rollback, not a custom failure branch.</w:t>
            </w:r>
          </w:p>
        </w:tc>
      </w:tr>
      <w:tr>
        <w:trPr>
          <w:cantSplit/>
        </w:trPr>
        <w:tc>
          <w:tcPr>
            <w:tcW w:type="dxa" w:w="3408"/>
          </w:tcPr>
          <w:p>
            <w:pPr>
              <w:spacing w:after="80" w:before="40"/>
            </w:pPr>
            <w:r>
              <w:rPr>
                <w:color w:val="17212B"/>
                <w:sz w:val="19"/>
              </w:rPr>
              <w:t>InvokeHTTP / 03 and 06</w:t>
            </w:r>
          </w:p>
        </w:tc>
        <w:tc>
          <w:tcPr>
            <w:tcW w:type="dxa" w:w="3408"/>
          </w:tcPr>
          <w:p>
            <w:pPr>
              <w:spacing w:after="80" w:before="40"/>
            </w:pPr>
            <w:r>
              <w:rPr>
                <w:color w:val="17212B"/>
                <w:sz w:val="19"/>
              </w:rPr>
              <w:t>POST file, then GET asynchronous report.</w:t>
            </w:r>
          </w:p>
        </w:tc>
        <w:tc>
          <w:tcPr>
            <w:tcW w:type="dxa" w:w="3408"/>
          </w:tcPr>
          <w:p>
            <w:pPr>
              <w:spacing w:after="80" w:before="40"/>
            </w:pPr>
            <w:r>
              <w:rPr>
                <w:color w:val="17212B"/>
                <w:sz w:val="19"/>
              </w:rPr>
              <w:t>Original: 2xx request flow; Retry: 5xx; No Retry: 4xx; Failure: communication error; Response auto-terminated.</w:t>
            </w:r>
          </w:p>
        </w:tc>
      </w:tr>
      <w:tr>
        <w:trPr>
          <w:cantSplit/>
        </w:trPr>
        <w:tc>
          <w:tcPr>
            <w:tcW w:type="dxa" w:w="3408"/>
          </w:tcPr>
          <w:p>
            <w:pPr>
              <w:spacing w:after="80" w:before="40"/>
            </w:pPr>
            <w:r>
              <w:rPr>
                <w:color w:val="17212B"/>
                <w:sz w:val="19"/>
              </w:rPr>
              <w:t>PutSFTP / 10, 11, 12</w:t>
            </w:r>
          </w:p>
        </w:tc>
        <w:tc>
          <w:tcPr>
            <w:tcW w:type="dxa" w:w="3408"/>
          </w:tcPr>
          <w:p>
            <w:pPr>
              <w:spacing w:after="80" w:before="40"/>
            </w:pPr>
            <w:r>
              <w:rPr>
                <w:color w:val="17212B"/>
                <w:sz w:val="19"/>
              </w:rPr>
              <w:t>Write original to selected target.</w:t>
            </w:r>
          </w:p>
        </w:tc>
        <w:tc>
          <w:tcPr>
            <w:tcW w:type="dxa" w:w="3408"/>
          </w:tcPr>
          <w:p>
            <w:pPr>
              <w:spacing w:after="80" w:before="40"/>
            </w:pPr>
            <w:r>
              <w:rPr>
                <w:color w:val="17212B"/>
                <w:sz w:val="19"/>
              </w:rPr>
              <w:t>success auto-terminated; failure to matching retry; reject to HOLD.</w:t>
            </w:r>
          </w:p>
        </w:tc>
      </w:tr>
      <w:tr>
        <w:trPr>
          <w:cantSplit/>
        </w:trPr>
        <w:tc>
          <w:tcPr>
            <w:tcW w:type="dxa" w:w="3408"/>
          </w:tcPr>
          <w:p>
            <w:pPr>
              <w:spacing w:after="80" w:before="40"/>
            </w:pPr>
            <w:r>
              <w:rPr>
                <w:color w:val="17212B"/>
                <w:sz w:val="19"/>
              </w:rPr>
              <w:t>UpdateAttribute / 02, 04, 07, 09P/F/O, HOLD</w:t>
            </w:r>
          </w:p>
        </w:tc>
        <w:tc>
          <w:tcPr>
            <w:tcW w:type="dxa" w:w="3408"/>
          </w:tcPr>
          <w:p>
            <w:pPr>
              <w:spacing w:after="80" w:before="40"/>
            </w:pPr>
            <w:r>
              <w:rPr>
                <w:color w:val="17212B"/>
                <w:sz w:val="19"/>
              </w:rPr>
              <w:t>Preserve filename, parse JSON using Expression Language, set prefixes.</w:t>
            </w:r>
          </w:p>
        </w:tc>
        <w:tc>
          <w:tcPr>
            <w:tcW w:type="dxa" w:w="3408"/>
          </w:tcPr>
          <w:p>
            <w:pPr>
              <w:spacing w:after="80" w:before="40"/>
            </w:pPr>
            <w:r>
              <w:rPr>
                <w:color w:val="17212B"/>
                <w:sz w:val="19"/>
              </w:rPr>
              <w:t>success to next step; HOLD remains disabled.</w:t>
            </w:r>
          </w:p>
        </w:tc>
      </w:tr>
      <w:tr>
        <w:trPr>
          <w:cantSplit/>
        </w:trPr>
        <w:tc>
          <w:tcPr>
            <w:tcW w:type="dxa" w:w="3408"/>
          </w:tcPr>
          <w:p>
            <w:pPr>
              <w:spacing w:after="80" w:before="40"/>
            </w:pPr>
            <w:r>
              <w:rPr>
                <w:color w:val="17212B"/>
                <w:sz w:val="19"/>
              </w:rPr>
              <w:t>RouteOnAttribute / 05, 08, 09, 09a</w:t>
            </w:r>
          </w:p>
        </w:tc>
        <w:tc>
          <w:tcPr>
            <w:tcW w:type="dxa" w:w="3408"/>
          </w:tcPr>
          <w:p>
            <w:pPr>
              <w:spacing w:after="80" w:before="40"/>
            </w:pPr>
            <w:r>
              <w:rPr>
                <w:color w:val="17212B"/>
                <w:sz w:val="19"/>
              </w:rPr>
              <w:t>Evaluate data ID, progress and verdict.</w:t>
            </w:r>
          </w:p>
        </w:tc>
        <w:tc>
          <w:tcPr>
            <w:tcW w:type="dxa" w:w="3408"/>
          </w:tcPr>
          <w:p>
            <w:pPr>
              <w:spacing w:after="80" w:before="40"/>
            </w:pPr>
            <w:r>
              <w:rPr>
                <w:color w:val="17212B"/>
                <w:sz w:val="19"/>
              </w:rPr>
              <w:t>valid / complete / clean / failed plus unmatched.</w:t>
            </w:r>
          </w:p>
        </w:tc>
      </w:tr>
      <w:tr>
        <w:trPr>
          <w:cantSplit/>
        </w:trPr>
        <w:tc>
          <w:tcPr>
            <w:tcW w:type="dxa" w:w="3408"/>
          </w:tcPr>
          <w:p>
            <w:pPr>
              <w:spacing w:after="80" w:before="40"/>
            </w:pPr>
            <w:r>
              <w:rPr>
                <w:color w:val="17212B"/>
                <w:sz w:val="19"/>
              </w:rPr>
              <w:t>RetryFlowFile / five retry processors</w:t>
            </w:r>
          </w:p>
        </w:tc>
        <w:tc>
          <w:tcPr>
            <w:tcW w:type="dxa" w:w="3408"/>
          </w:tcPr>
          <w:p>
            <w:pPr>
              <w:spacing w:after="80" w:before="40"/>
            </w:pPr>
            <w:r>
              <w:rPr>
                <w:color w:val="17212B"/>
                <w:sz w:val="19"/>
              </w:rPr>
              <w:t>Maintain independent upload/poll/delivery counters.</w:t>
            </w:r>
          </w:p>
        </w:tc>
        <w:tc>
          <w:tcPr>
            <w:tcW w:type="dxa" w:w="3408"/>
          </w:tcPr>
          <w:p>
            <w:pPr>
              <w:spacing w:after="80" w:before="40"/>
            </w:pPr>
            <w:r>
              <w:rPr>
                <w:color w:val="17212B"/>
                <w:sz w:val="19"/>
              </w:rPr>
              <w:t>retry loops back; retries_exceeded and failure follow configured review/outcome paths.</w:t>
            </w:r>
          </w:p>
        </w:tc>
      </w:tr>
    </w:tbl>
    <w:p>
      <w:r>
        <w:t>Do not use InvokeHTTP Request Username/Password for the MDC API key. Set the dynamic apikey header using APIKeyC; it is marked sensitive in V4. UsernameA/PasswordA belong to SFTP. There is no MDC username/password setting in this flow.</w:t>
      </w:r>
    </w:p>
    <w:p>
      <w:r>
        <w:br w:type="page"/>
      </w:r>
    </w:p>
    <w:p>
      <w:pPr>
        <w:pStyle w:val="Heading1"/>
      </w:pPr>
      <w:r>
        <w:t>2. Server, credential and directory variables</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Variable</w:t>
            </w:r>
          </w:p>
        </w:tc>
        <w:tc>
          <w:tcPr>
            <w:tcW w:type="dxa" w:w="3408"/>
          </w:tcPr>
          <w:p>
            <w:pPr>
              <w:spacing w:after="80" w:before="40"/>
            </w:pPr>
            <w:r>
              <w:rPr>
                <w:color w:val="17212B"/>
                <w:sz w:val="19"/>
              </w:rPr>
              <w:t>Default</w:t>
            </w:r>
          </w:p>
        </w:tc>
        <w:tc>
          <w:tcPr>
            <w:tcW w:type="dxa" w:w="3408"/>
          </w:tcPr>
          <w:p>
            <w:pPr>
              <w:spacing w:after="80" w:before="40"/>
            </w:pPr>
            <w:r>
              <w:rPr>
                <w:color w:val="17212B"/>
                <w:sz w:val="19"/>
              </w:rPr>
              <w:t>Purpose</w:t>
            </w:r>
          </w:p>
        </w:tc>
      </w:tr>
      <w:tr>
        <w:trPr>
          <w:cantSplit/>
        </w:trPr>
        <w:tc>
          <w:tcPr>
            <w:tcW w:type="dxa" w:w="3408"/>
          </w:tcPr>
          <w:p>
            <w:pPr>
              <w:spacing w:after="80" w:before="40"/>
            </w:pPr>
            <w:r>
              <w:rPr>
                <w:color w:val="17212B"/>
                <w:sz w:val="19"/>
              </w:rPr>
              <w:t>ServerA</w:t>
            </w:r>
          </w:p>
        </w:tc>
        <w:tc>
          <w:tcPr>
            <w:tcW w:type="dxa" w:w="3408"/>
          </w:tcPr>
          <w:p>
            <w:pPr>
              <w:spacing w:after="80" w:before="40"/>
            </w:pPr>
            <w:r>
              <w:rPr>
                <w:color w:val="17212B"/>
                <w:sz w:val="19"/>
              </w:rPr>
              <w:t>192.168.2.207</w:t>
            </w:r>
          </w:p>
        </w:tc>
        <w:tc>
          <w:tcPr>
            <w:tcW w:type="dxa" w:w="3408"/>
          </w:tcPr>
          <w:p>
            <w:pPr>
              <w:spacing w:after="80" w:before="40"/>
            </w:pPr>
            <w:r>
              <w:rPr>
                <w:color w:val="17212B"/>
                <w:sz w:val="19"/>
              </w:rPr>
              <w:t>SFTP host/IP only; source and target server.</w:t>
            </w:r>
          </w:p>
        </w:tc>
      </w:tr>
      <w:tr>
        <w:trPr>
          <w:cantSplit/>
        </w:trPr>
        <w:tc>
          <w:tcPr>
            <w:tcW w:type="dxa" w:w="3408"/>
          </w:tcPr>
          <w:p>
            <w:pPr>
              <w:spacing w:after="80" w:before="40"/>
            </w:pPr>
            <w:r>
              <w:rPr>
                <w:color w:val="17212B"/>
                <w:sz w:val="19"/>
              </w:rPr>
              <w:t>PortA</w:t>
            </w:r>
          </w:p>
        </w:tc>
        <w:tc>
          <w:tcPr>
            <w:tcW w:type="dxa" w:w="3408"/>
          </w:tcPr>
          <w:p>
            <w:pPr>
              <w:spacing w:after="80" w:before="40"/>
            </w:pPr>
            <w:r>
              <w:rPr>
                <w:color w:val="17212B"/>
                <w:sz w:val="19"/>
              </w:rPr>
              <w:t>22</w:t>
            </w:r>
          </w:p>
        </w:tc>
        <w:tc>
          <w:tcPr>
            <w:tcW w:type="dxa" w:w="3408"/>
          </w:tcPr>
          <w:p>
            <w:pPr>
              <w:spacing w:after="80" w:before="40"/>
            </w:pPr>
            <w:r>
              <w:rPr>
                <w:color w:val="17212B"/>
                <w:sz w:val="19"/>
              </w:rPr>
              <w:t>SSH/SFTP TCP port.</w:t>
            </w:r>
          </w:p>
        </w:tc>
      </w:tr>
      <w:tr>
        <w:trPr>
          <w:cantSplit/>
        </w:trPr>
        <w:tc>
          <w:tcPr>
            <w:tcW w:type="dxa" w:w="3408"/>
          </w:tcPr>
          <w:p>
            <w:pPr>
              <w:spacing w:after="80" w:before="40"/>
            </w:pPr>
            <w:r>
              <w:rPr>
                <w:color w:val="17212B"/>
                <w:sz w:val="19"/>
              </w:rPr>
              <w:t>UsernameA</w:t>
            </w:r>
          </w:p>
        </w:tc>
        <w:tc>
          <w:tcPr>
            <w:tcW w:type="dxa" w:w="3408"/>
          </w:tcPr>
          <w:p>
            <w:pPr>
              <w:spacing w:after="80" w:before="40"/>
            </w:pPr>
            <w:r>
              <w:rPr>
                <w:color w:val="17212B"/>
                <w:sz w:val="19"/>
              </w:rPr>
              <w:t>henry.zhang</w:t>
            </w:r>
          </w:p>
        </w:tc>
        <w:tc>
          <w:tcPr>
            <w:tcW w:type="dxa" w:w="3408"/>
          </w:tcPr>
          <w:p>
            <w:pPr>
              <w:spacing w:after="80" w:before="40"/>
            </w:pPr>
            <w:r>
              <w:rPr>
                <w:color w:val="17212B"/>
                <w:sz w:val="19"/>
              </w:rPr>
              <w:t>SFTP account on A, used by 01/10/11/12.</w:t>
            </w:r>
          </w:p>
        </w:tc>
      </w:tr>
      <w:tr>
        <w:trPr>
          <w:cantSplit/>
        </w:trPr>
        <w:tc>
          <w:tcPr>
            <w:tcW w:type="dxa" w:w="3408"/>
          </w:tcPr>
          <w:p>
            <w:pPr>
              <w:spacing w:after="80" w:before="40"/>
            </w:pPr>
            <w:r>
              <w:rPr>
                <w:color w:val="17212B"/>
                <w:sz w:val="19"/>
              </w:rPr>
              <w:t>PasswordA</w:t>
            </w:r>
          </w:p>
        </w:tc>
        <w:tc>
          <w:tcPr>
            <w:tcW w:type="dxa" w:w="3408"/>
          </w:tcPr>
          <w:p>
            <w:pPr>
              <w:spacing w:after="80" w:before="40"/>
            </w:pPr>
            <w:r>
              <w:rPr>
                <w:color w:val="17212B"/>
                <w:sz w:val="19"/>
              </w:rPr>
              <w:t>FILL IN (sensitive)</w:t>
            </w:r>
          </w:p>
        </w:tc>
        <w:tc>
          <w:tcPr>
            <w:tcW w:type="dxa" w:w="3408"/>
          </w:tcPr>
          <w:p>
            <w:pPr>
              <w:spacing w:after="80" w:before="40"/>
            </w:pPr>
            <w:r>
              <w:rPr>
                <w:color w:val="17212B"/>
                <w:sz w:val="19"/>
              </w:rPr>
              <w:t>SFTP password; fill quoted string, do not leave null.</w:t>
            </w:r>
          </w:p>
        </w:tc>
      </w:tr>
      <w:tr>
        <w:trPr>
          <w:cantSplit/>
        </w:trPr>
        <w:tc>
          <w:tcPr>
            <w:tcW w:type="dxa" w:w="3408"/>
          </w:tcPr>
          <w:p>
            <w:pPr>
              <w:spacing w:after="80" w:before="40"/>
            </w:pPr>
            <w:r>
              <w:rPr>
                <w:color w:val="17212B"/>
                <w:sz w:val="19"/>
              </w:rPr>
              <w:t>SourceDirectoryA</w:t>
            </w:r>
          </w:p>
        </w:tc>
        <w:tc>
          <w:tcPr>
            <w:tcW w:type="dxa" w:w="3408"/>
          </w:tcPr>
          <w:p>
            <w:pPr>
              <w:spacing w:after="80" w:before="40"/>
            </w:pPr>
            <w:r>
              <w:rPr>
                <w:color w:val="17212B"/>
                <w:sz w:val="19"/>
              </w:rPr>
              <w:t>/C:/Nifi-Test/MDUpdate1</w:t>
            </w:r>
          </w:p>
        </w:tc>
        <w:tc>
          <w:tcPr>
            <w:tcW w:type="dxa" w:w="3408"/>
          </w:tcPr>
          <w:p>
            <w:pPr>
              <w:spacing w:after="80" w:before="40"/>
            </w:pPr>
            <w:r>
              <w:rPr>
                <w:color w:val="17212B"/>
                <w:sz w:val="19"/>
              </w:rPr>
              <w:t>Complete SFTP source path, used by 01.</w:t>
            </w:r>
          </w:p>
        </w:tc>
      </w:tr>
      <w:tr>
        <w:trPr>
          <w:cantSplit/>
        </w:trPr>
        <w:tc>
          <w:tcPr>
            <w:tcW w:type="dxa" w:w="3408"/>
          </w:tcPr>
          <w:p>
            <w:pPr>
              <w:spacing w:after="80" w:before="40"/>
            </w:pPr>
            <w:r>
              <w:rPr>
                <w:color w:val="17212B"/>
                <w:sz w:val="19"/>
              </w:rPr>
              <w:t>PassDirectoryA</w:t>
            </w:r>
          </w:p>
        </w:tc>
        <w:tc>
          <w:tcPr>
            <w:tcW w:type="dxa" w:w="3408"/>
          </w:tcPr>
          <w:p>
            <w:pPr>
              <w:spacing w:after="80" w:before="40"/>
            </w:pPr>
            <w:r>
              <w:rPr>
                <w:color w:val="17212B"/>
                <w:sz w:val="19"/>
              </w:rPr>
              <w:t>/C:/Nifi-Test/Pass</w:t>
            </w:r>
          </w:p>
        </w:tc>
        <w:tc>
          <w:tcPr>
            <w:tcW w:type="dxa" w:w="3408"/>
          </w:tcPr>
          <w:p>
            <w:pPr>
              <w:spacing w:after="80" w:before="40"/>
            </w:pPr>
            <w:r>
              <w:rPr>
                <w:color w:val="17212B"/>
                <w:sz w:val="19"/>
              </w:rPr>
              <w:t>Complete target path for 10.</w:t>
            </w:r>
          </w:p>
        </w:tc>
      </w:tr>
      <w:tr>
        <w:trPr>
          <w:cantSplit/>
        </w:trPr>
        <w:tc>
          <w:tcPr>
            <w:tcW w:type="dxa" w:w="3408"/>
          </w:tcPr>
          <w:p>
            <w:pPr>
              <w:spacing w:after="80" w:before="40"/>
            </w:pPr>
            <w:r>
              <w:rPr>
                <w:color w:val="17212B"/>
                <w:sz w:val="19"/>
              </w:rPr>
              <w:t>FailedDirectoryA</w:t>
            </w:r>
          </w:p>
        </w:tc>
        <w:tc>
          <w:tcPr>
            <w:tcW w:type="dxa" w:w="3408"/>
          </w:tcPr>
          <w:p>
            <w:pPr>
              <w:spacing w:after="80" w:before="40"/>
            </w:pPr>
            <w:r>
              <w:rPr>
                <w:color w:val="17212B"/>
                <w:sz w:val="19"/>
              </w:rPr>
              <w:t>/C:/Nifi-Test/Failed</w:t>
            </w:r>
          </w:p>
        </w:tc>
        <w:tc>
          <w:tcPr>
            <w:tcW w:type="dxa" w:w="3408"/>
          </w:tcPr>
          <w:p>
            <w:pPr>
              <w:spacing w:after="80" w:before="40"/>
            </w:pPr>
            <w:r>
              <w:rPr>
                <w:color w:val="17212B"/>
                <w:sz w:val="19"/>
              </w:rPr>
              <w:t>Complete target path for 11.</w:t>
            </w:r>
          </w:p>
        </w:tc>
      </w:tr>
      <w:tr>
        <w:trPr>
          <w:cantSplit/>
        </w:trPr>
        <w:tc>
          <w:tcPr>
            <w:tcW w:type="dxa" w:w="3408"/>
          </w:tcPr>
          <w:p>
            <w:pPr>
              <w:spacing w:after="80" w:before="40"/>
            </w:pPr>
            <w:r>
              <w:rPr>
                <w:color w:val="17212B"/>
                <w:sz w:val="19"/>
              </w:rPr>
              <w:t>OthersDirectoryA</w:t>
            </w:r>
          </w:p>
        </w:tc>
        <w:tc>
          <w:tcPr>
            <w:tcW w:type="dxa" w:w="3408"/>
          </w:tcPr>
          <w:p>
            <w:pPr>
              <w:spacing w:after="80" w:before="40"/>
            </w:pPr>
            <w:r>
              <w:rPr>
                <w:color w:val="17212B"/>
                <w:sz w:val="19"/>
              </w:rPr>
              <w:t>/C:/Nifi-Test/Others</w:t>
            </w:r>
          </w:p>
        </w:tc>
        <w:tc>
          <w:tcPr>
            <w:tcW w:type="dxa" w:w="3408"/>
          </w:tcPr>
          <w:p>
            <w:pPr>
              <w:spacing w:after="80" w:before="40"/>
            </w:pPr>
            <w:r>
              <w:rPr>
                <w:color w:val="17212B"/>
                <w:sz w:val="19"/>
              </w:rPr>
              <w:t>Complete target path for 12.</w:t>
            </w:r>
          </w:p>
        </w:tc>
      </w:tr>
      <w:tr>
        <w:trPr>
          <w:cantSplit/>
        </w:trPr>
        <w:tc>
          <w:tcPr>
            <w:tcW w:type="dxa" w:w="3408"/>
          </w:tcPr>
          <w:p>
            <w:pPr>
              <w:spacing w:after="80" w:before="40"/>
            </w:pPr>
            <w:r>
              <w:rPr>
                <w:color w:val="17212B"/>
                <w:sz w:val="19"/>
              </w:rPr>
              <w:t>ServerC</w:t>
            </w:r>
          </w:p>
        </w:tc>
        <w:tc>
          <w:tcPr>
            <w:tcW w:type="dxa" w:w="3408"/>
          </w:tcPr>
          <w:p>
            <w:pPr>
              <w:spacing w:after="80" w:before="40"/>
            </w:pPr>
            <w:r>
              <w:rPr>
                <w:color w:val="17212B"/>
                <w:sz w:val="19"/>
              </w:rPr>
              <w:t>192.168.2.207</w:t>
            </w:r>
          </w:p>
        </w:tc>
        <w:tc>
          <w:tcPr>
            <w:tcW w:type="dxa" w:w="3408"/>
          </w:tcPr>
          <w:p>
            <w:pPr>
              <w:spacing w:after="80" w:before="40"/>
            </w:pPr>
            <w:r>
              <w:rPr>
                <w:color w:val="17212B"/>
                <w:sz w:val="19"/>
              </w:rPr>
              <w:t>MDC host/IP only; independent of A.</w:t>
            </w:r>
          </w:p>
        </w:tc>
      </w:tr>
      <w:tr>
        <w:trPr>
          <w:cantSplit/>
        </w:trPr>
        <w:tc>
          <w:tcPr>
            <w:tcW w:type="dxa" w:w="3408"/>
          </w:tcPr>
          <w:p>
            <w:pPr>
              <w:spacing w:after="80" w:before="40"/>
            </w:pPr>
            <w:r>
              <w:rPr>
                <w:color w:val="17212B"/>
                <w:sz w:val="19"/>
              </w:rPr>
              <w:t>ProtocolC</w:t>
            </w:r>
          </w:p>
        </w:tc>
        <w:tc>
          <w:tcPr>
            <w:tcW w:type="dxa" w:w="3408"/>
          </w:tcPr>
          <w:p>
            <w:pPr>
              <w:spacing w:after="80" w:before="40"/>
            </w:pPr>
            <w:r>
              <w:rPr>
                <w:color w:val="17212B"/>
                <w:sz w:val="19"/>
              </w:rPr>
              <w:t>http</w:t>
            </w:r>
          </w:p>
        </w:tc>
        <w:tc>
          <w:tcPr>
            <w:tcW w:type="dxa" w:w="3408"/>
          </w:tcPr>
          <w:p>
            <w:pPr>
              <w:spacing w:after="80" w:before="40"/>
            </w:pPr>
            <w:r>
              <w:rPr>
                <w:color w:val="17212B"/>
                <w:sz w:val="19"/>
              </w:rPr>
              <w:t>Current http; https additionally needs trust configuration.</w:t>
            </w:r>
          </w:p>
        </w:tc>
      </w:tr>
      <w:tr>
        <w:trPr>
          <w:cantSplit/>
        </w:trPr>
        <w:tc>
          <w:tcPr>
            <w:tcW w:type="dxa" w:w="3408"/>
          </w:tcPr>
          <w:p>
            <w:pPr>
              <w:spacing w:after="80" w:before="40"/>
            </w:pPr>
            <w:r>
              <w:rPr>
                <w:color w:val="17212B"/>
                <w:sz w:val="19"/>
              </w:rPr>
              <w:t>PortC</w:t>
            </w:r>
          </w:p>
        </w:tc>
        <w:tc>
          <w:tcPr>
            <w:tcW w:type="dxa" w:w="3408"/>
          </w:tcPr>
          <w:p>
            <w:pPr>
              <w:spacing w:after="80" w:before="40"/>
            </w:pPr>
            <w:r>
              <w:rPr>
                <w:color w:val="17212B"/>
                <w:sz w:val="19"/>
              </w:rPr>
              <w:t>8008</w:t>
            </w:r>
          </w:p>
        </w:tc>
        <w:tc>
          <w:tcPr>
            <w:tcW w:type="dxa" w:w="3408"/>
          </w:tcPr>
          <w:p>
            <w:pPr>
              <w:spacing w:after="80" w:before="40"/>
            </w:pPr>
            <w:r>
              <w:rPr>
                <w:color w:val="17212B"/>
                <w:sz w:val="19"/>
              </w:rPr>
              <w:t>MDC API TCP port.</w:t>
            </w:r>
          </w:p>
        </w:tc>
      </w:tr>
      <w:tr>
        <w:trPr>
          <w:cantSplit/>
        </w:trPr>
        <w:tc>
          <w:tcPr>
            <w:tcW w:type="dxa" w:w="3408"/>
          </w:tcPr>
          <w:p>
            <w:pPr>
              <w:spacing w:after="80" w:before="40"/>
            </w:pPr>
            <w:r>
              <w:rPr>
                <w:color w:val="17212B"/>
                <w:sz w:val="19"/>
              </w:rPr>
              <w:t>APIPathC</w:t>
            </w:r>
          </w:p>
        </w:tc>
        <w:tc>
          <w:tcPr>
            <w:tcW w:type="dxa" w:w="3408"/>
          </w:tcPr>
          <w:p>
            <w:pPr>
              <w:spacing w:after="80" w:before="40"/>
            </w:pPr>
            <w:r>
              <w:rPr>
                <w:color w:val="17212B"/>
                <w:sz w:val="19"/>
              </w:rPr>
              <w:t>/file</w:t>
            </w:r>
          </w:p>
        </w:tc>
        <w:tc>
          <w:tcPr>
            <w:tcW w:type="dxa" w:w="3408"/>
          </w:tcPr>
          <w:p>
            <w:pPr>
              <w:spacing w:after="80" w:before="40"/>
            </w:pPr>
            <w:r>
              <w:rPr>
                <w:color w:val="17212B"/>
                <w:sz w:val="19"/>
              </w:rPr>
              <w:t>Resource path; leading slash, no trailing slash.</w:t>
            </w:r>
          </w:p>
        </w:tc>
      </w:tr>
      <w:tr>
        <w:trPr>
          <w:cantSplit/>
        </w:trPr>
        <w:tc>
          <w:tcPr>
            <w:tcW w:type="dxa" w:w="3408"/>
          </w:tcPr>
          <w:p>
            <w:pPr>
              <w:spacing w:after="80" w:before="40"/>
            </w:pPr>
            <w:r>
              <w:rPr>
                <w:color w:val="17212B"/>
                <w:sz w:val="19"/>
              </w:rPr>
              <w:t>APIKeyC</w:t>
            </w:r>
          </w:p>
        </w:tc>
        <w:tc>
          <w:tcPr>
            <w:tcW w:type="dxa" w:w="3408"/>
          </w:tcPr>
          <w:p>
            <w:pPr>
              <w:spacing w:after="80" w:before="40"/>
            </w:pPr>
            <w:r>
              <w:rPr>
                <w:color w:val="17212B"/>
                <w:sz w:val="19"/>
              </w:rPr>
              <w:t>FILL IN (sensitive)</w:t>
            </w:r>
          </w:p>
        </w:tc>
        <w:tc>
          <w:tcPr>
            <w:tcW w:type="dxa" w:w="3408"/>
          </w:tcPr>
          <w:p>
            <w:pPr>
              <w:spacing w:after="80" w:before="40"/>
            </w:pPr>
            <w:r>
              <w:rPr>
                <w:color w:val="17212B"/>
                <w:sz w:val="19"/>
              </w:rPr>
              <w:t>MDC API credential; shared apikey header on 03/06.</w:t>
            </w:r>
          </w:p>
        </w:tc>
      </w:tr>
      <w:tr>
        <w:trPr>
          <w:cantSplit/>
        </w:trPr>
        <w:tc>
          <w:tcPr>
            <w:tcW w:type="dxa" w:w="3408"/>
          </w:tcPr>
          <w:p>
            <w:pPr>
              <w:spacing w:after="80" w:before="40"/>
            </w:pPr>
            <w:r>
              <w:rPr>
                <w:color w:val="17212B"/>
                <w:sz w:val="19"/>
              </w:rPr>
              <w:t>WorkflowC</w:t>
            </w:r>
          </w:p>
        </w:tc>
        <w:tc>
          <w:tcPr>
            <w:tcW w:type="dxa" w:w="3408"/>
          </w:tcPr>
          <w:p>
            <w:pPr>
              <w:spacing w:after="80" w:before="40"/>
            </w:pPr>
            <w:r>
              <w:rPr>
                <w:color w:val="17212B"/>
                <w:sz w:val="19"/>
              </w:rPr>
              <w:t>MDC-Update</w:t>
            </w:r>
          </w:p>
        </w:tc>
        <w:tc>
          <w:tcPr>
            <w:tcW w:type="dxa" w:w="3408"/>
          </w:tcPr>
          <w:p>
            <w:pPr>
              <w:spacing w:after="80" w:before="40"/>
            </w:pPr>
            <w:r>
              <w:rPr>
                <w:color w:val="17212B"/>
                <w:sz w:val="19"/>
              </w:rPr>
              <w:t>MDC rule header on 03; must exist and be authorized.</w:t>
            </w:r>
          </w:p>
        </w:tc>
      </w:tr>
    </w:tbl>
    <w:p>
      <w:r>
        <w:t>Use full SFTP paths: Windows defaults start /C:/Nifi-Test/. For Linux, use e.g. /data/nifi-test/MDUpdate1, /Pass, /Failed and /Others; paths are case-sensitive. An SFTP chroot can change what path is visible to the account. Test from Server B using the same account and path.</w:t>
      </w:r>
    </w:p>
    <w:p>
      <w:r>
        <w:t>Current API URLs resolve to http://192.168.2.207:8008/file and /file/${md.data_id}. The browser route /#/user/analyze is a UI route, not the API upload URL. Server B UI address is not a deployment variable because the processors do not call it.</w:t>
      </w:r>
    </w:p>
    <w:p>
      <w:r>
        <w:br w:type="page"/>
      </w:r>
    </w:p>
    <w:p>
      <w:pPr>
        <w:pStyle w:val="Heading1"/>
      </w:pPr>
      <w:r>
        <w:t>3. SFTP pickup and delivery configuration</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Variable</w:t>
            </w:r>
          </w:p>
        </w:tc>
        <w:tc>
          <w:tcPr>
            <w:tcW w:type="dxa" w:w="3408"/>
          </w:tcPr>
          <w:p>
            <w:pPr>
              <w:spacing w:after="80" w:before="40"/>
            </w:pPr>
            <w:r>
              <w:rPr>
                <w:color w:val="17212B"/>
                <w:sz w:val="19"/>
              </w:rPr>
              <w:t>Default</w:t>
            </w:r>
          </w:p>
        </w:tc>
        <w:tc>
          <w:tcPr>
            <w:tcW w:type="dxa" w:w="3408"/>
          </w:tcPr>
          <w:p>
            <w:pPr>
              <w:spacing w:after="80" w:before="40"/>
            </w:pPr>
            <w:r>
              <w:rPr>
                <w:color w:val="17212B"/>
                <w:sz w:val="19"/>
              </w:rPr>
              <w:t>Meaning</w:t>
            </w:r>
          </w:p>
        </w:tc>
      </w:tr>
      <w:tr>
        <w:trPr>
          <w:cantSplit/>
        </w:trPr>
        <w:tc>
          <w:tcPr>
            <w:tcW w:type="dxa" w:w="3408"/>
          </w:tcPr>
          <w:p>
            <w:pPr>
              <w:spacing w:after="80" w:before="40"/>
            </w:pPr>
            <w:r>
              <w:rPr>
                <w:color w:val="17212B"/>
                <w:sz w:val="19"/>
              </w:rPr>
              <w:t>SFTPConnectTimeout</w:t>
            </w:r>
          </w:p>
        </w:tc>
        <w:tc>
          <w:tcPr>
            <w:tcW w:type="dxa" w:w="3408"/>
          </w:tcPr>
          <w:p>
            <w:pPr>
              <w:spacing w:after="80" w:before="40"/>
            </w:pPr>
            <w:r>
              <w:rPr>
                <w:color w:val="17212B"/>
                <w:sz w:val="19"/>
              </w:rPr>
              <w:t>30 sec</w:t>
            </w:r>
          </w:p>
        </w:tc>
        <w:tc>
          <w:tcPr>
            <w:tcW w:type="dxa" w:w="3408"/>
          </w:tcPr>
          <w:p>
            <w:pPr>
              <w:spacing w:after="80" w:before="40"/>
            </w:pPr>
            <w:r>
              <w:rPr>
                <w:color w:val="17212B"/>
                <w:sz w:val="19"/>
              </w:rPr>
              <w:t>Connection-establishment timeout, 01/10/11/12.</w:t>
            </w:r>
          </w:p>
        </w:tc>
      </w:tr>
      <w:tr>
        <w:trPr>
          <w:cantSplit/>
        </w:trPr>
        <w:tc>
          <w:tcPr>
            <w:tcW w:type="dxa" w:w="3408"/>
          </w:tcPr>
          <w:p>
            <w:pPr>
              <w:spacing w:after="80" w:before="40"/>
            </w:pPr>
            <w:r>
              <w:rPr>
                <w:color w:val="17212B"/>
                <w:sz w:val="19"/>
              </w:rPr>
              <w:t>DownloadDataTimeoutA</w:t>
            </w:r>
          </w:p>
        </w:tc>
        <w:tc>
          <w:tcPr>
            <w:tcW w:type="dxa" w:w="3408"/>
          </w:tcPr>
          <w:p>
            <w:pPr>
              <w:spacing w:after="80" w:before="40"/>
            </w:pPr>
            <w:r>
              <w:rPr>
                <w:color w:val="17212B"/>
                <w:sz w:val="19"/>
              </w:rPr>
              <w:t>120 sec</w:t>
            </w:r>
          </w:p>
        </w:tc>
        <w:tc>
          <w:tcPr>
            <w:tcW w:type="dxa" w:w="3408"/>
          </w:tcPr>
          <w:p>
            <w:pPr>
              <w:spacing w:after="80" w:before="40"/>
            </w:pPr>
            <w:r>
              <w:rPr>
                <w:color w:val="17212B"/>
                <w:sz w:val="19"/>
              </w:rPr>
              <w:t>Data inactivity timeout on 01; not whole-file duration.</w:t>
            </w:r>
          </w:p>
        </w:tc>
      </w:tr>
      <w:tr>
        <w:trPr>
          <w:cantSplit/>
        </w:trPr>
        <w:tc>
          <w:tcPr>
            <w:tcW w:type="dxa" w:w="3408"/>
          </w:tcPr>
          <w:p>
            <w:pPr>
              <w:spacing w:after="80" w:before="40"/>
            </w:pPr>
            <w:r>
              <w:rPr>
                <w:color w:val="17212B"/>
                <w:sz w:val="19"/>
              </w:rPr>
              <w:t>UploadDataTimeoutA</w:t>
            </w:r>
          </w:p>
        </w:tc>
        <w:tc>
          <w:tcPr>
            <w:tcW w:type="dxa" w:w="3408"/>
          </w:tcPr>
          <w:p>
            <w:pPr>
              <w:spacing w:after="80" w:before="40"/>
            </w:pPr>
            <w:r>
              <w:rPr>
                <w:color w:val="17212B"/>
                <w:sz w:val="19"/>
              </w:rPr>
              <w:t>60 sec</w:t>
            </w:r>
          </w:p>
        </w:tc>
        <w:tc>
          <w:tcPr>
            <w:tcW w:type="dxa" w:w="3408"/>
          </w:tcPr>
          <w:p>
            <w:pPr>
              <w:spacing w:after="80" w:before="40"/>
            </w:pPr>
            <w:r>
              <w:rPr>
                <w:color w:val="17212B"/>
                <w:sz w:val="19"/>
              </w:rPr>
              <w:t>Data inactivity timeout on target PutSFTP.</w:t>
            </w:r>
          </w:p>
        </w:tc>
      </w:tr>
      <w:tr>
        <w:trPr>
          <w:cantSplit/>
        </w:trPr>
        <w:tc>
          <w:tcPr>
            <w:tcW w:type="dxa" w:w="3408"/>
          </w:tcPr>
          <w:p>
            <w:pPr>
              <w:spacing w:after="80" w:before="40"/>
            </w:pPr>
            <w:r>
              <w:rPr>
                <w:color w:val="17212B"/>
                <w:sz w:val="19"/>
              </w:rPr>
              <w:t>StrictHostKeyCheckingA</w:t>
            </w:r>
          </w:p>
        </w:tc>
        <w:tc>
          <w:tcPr>
            <w:tcW w:type="dxa" w:w="3408"/>
          </w:tcPr>
          <w:p>
            <w:pPr>
              <w:spacing w:after="80" w:before="40"/>
            </w:pPr>
            <w:r>
              <w:rPr>
                <w:color w:val="17212B"/>
                <w:sz w:val="19"/>
              </w:rPr>
              <w:t>false</w:t>
            </w:r>
          </w:p>
        </w:tc>
        <w:tc>
          <w:tcPr>
            <w:tcW w:type="dxa" w:w="3408"/>
          </w:tcPr>
          <w:p>
            <w:pPr>
              <w:spacing w:after="80" w:before="40"/>
            </w:pPr>
            <w:r>
              <w:rPr>
                <w:color w:val="17212B"/>
                <w:sz w:val="19"/>
              </w:rPr>
              <w:t>false preserves lab behavior; true requires known/verified host keys.</w:t>
            </w:r>
          </w:p>
        </w:tc>
      </w:tr>
      <w:tr>
        <w:trPr>
          <w:cantSplit/>
        </w:trPr>
        <w:tc>
          <w:tcPr>
            <w:tcW w:type="dxa" w:w="3408"/>
          </w:tcPr>
          <w:p>
            <w:pPr>
              <w:spacing w:after="80" w:before="40"/>
            </w:pPr>
            <w:r>
              <w:rPr>
                <w:color w:val="17212B"/>
                <w:sz w:val="19"/>
              </w:rPr>
              <w:t>PickupPollingInterval</w:t>
            </w:r>
          </w:p>
        </w:tc>
        <w:tc>
          <w:tcPr>
            <w:tcW w:type="dxa" w:w="3408"/>
          </w:tcPr>
          <w:p>
            <w:pPr>
              <w:spacing w:after="80" w:before="40"/>
            </w:pPr>
            <w:r>
              <w:rPr>
                <w:color w:val="17212B"/>
                <w:sz w:val="19"/>
              </w:rPr>
              <w:t>10 sec</w:t>
            </w:r>
          </w:p>
        </w:tc>
        <w:tc>
          <w:tcPr>
            <w:tcW w:type="dxa" w:w="3408"/>
          </w:tcPr>
          <w:p>
            <w:pPr>
              <w:spacing w:after="80" w:before="40"/>
            </w:pPr>
            <w:r>
              <w:rPr>
                <w:color w:val="17212B"/>
                <w:sz w:val="19"/>
              </w:rPr>
              <w:t>GetSFTP listing property; schedule separately remains 10 sec.</w:t>
            </w:r>
          </w:p>
        </w:tc>
      </w:tr>
      <w:tr>
        <w:trPr>
          <w:cantSplit/>
        </w:trPr>
        <w:tc>
          <w:tcPr>
            <w:tcW w:type="dxa" w:w="3408"/>
          </w:tcPr>
          <w:p>
            <w:pPr>
              <w:spacing w:after="80" w:before="40"/>
            </w:pPr>
            <w:r>
              <w:rPr>
                <w:color w:val="17212B"/>
                <w:sz w:val="19"/>
              </w:rPr>
              <w:t>PickupMaxSelects</w:t>
            </w:r>
          </w:p>
        </w:tc>
        <w:tc>
          <w:tcPr>
            <w:tcW w:type="dxa" w:w="3408"/>
          </w:tcPr>
          <w:p>
            <w:pPr>
              <w:spacing w:after="80" w:before="40"/>
            </w:pPr>
            <w:r>
              <w:rPr>
                <w:color w:val="17212B"/>
                <w:sz w:val="19"/>
              </w:rPr>
              <w:t>1</w:t>
            </w:r>
          </w:p>
        </w:tc>
        <w:tc>
          <w:tcPr>
            <w:tcW w:type="dxa" w:w="3408"/>
          </w:tcPr>
          <w:p>
            <w:pPr>
              <w:spacing w:after="80" w:before="40"/>
            </w:pPr>
            <w:r>
              <w:rPr>
                <w:color w:val="17212B"/>
                <w:sz w:val="19"/>
              </w:rPr>
              <w:t>Files selected per connection; current 1.</w:t>
            </w:r>
          </w:p>
        </w:tc>
      </w:tr>
      <w:tr>
        <w:trPr>
          <w:cantSplit/>
        </w:trPr>
        <w:tc>
          <w:tcPr>
            <w:tcW w:type="dxa" w:w="3408"/>
          </w:tcPr>
          <w:p>
            <w:pPr>
              <w:spacing w:after="80" w:before="40"/>
            </w:pPr>
            <w:r>
              <w:rPr>
                <w:color w:val="17212B"/>
                <w:sz w:val="19"/>
              </w:rPr>
              <w:t>PickupListingBatchSize</w:t>
            </w:r>
          </w:p>
        </w:tc>
        <w:tc>
          <w:tcPr>
            <w:tcW w:type="dxa" w:w="3408"/>
          </w:tcPr>
          <w:p>
            <w:pPr>
              <w:spacing w:after="80" w:before="40"/>
            </w:pPr>
            <w:r>
              <w:rPr>
                <w:color w:val="17212B"/>
                <w:sz w:val="19"/>
              </w:rPr>
              <w:t>100</w:t>
            </w:r>
          </w:p>
        </w:tc>
        <w:tc>
          <w:tcPr>
            <w:tcW w:type="dxa" w:w="3408"/>
          </w:tcPr>
          <w:p>
            <w:pPr>
              <w:spacing w:after="80" w:before="40"/>
            </w:pPr>
            <w:r>
              <w:rPr>
                <w:color w:val="17212B"/>
                <w:sz w:val="19"/>
              </w:rPr>
              <w:t>Remote listing batch size; distinct from queue limit.</w:t>
            </w:r>
          </w:p>
        </w:tc>
      </w:tr>
      <w:tr>
        <w:trPr>
          <w:cantSplit/>
        </w:trPr>
        <w:tc>
          <w:tcPr>
            <w:tcW w:type="dxa" w:w="3408"/>
          </w:tcPr>
          <w:p>
            <w:pPr>
              <w:spacing w:after="80" w:before="40"/>
            </w:pPr>
            <w:r>
              <w:rPr>
                <w:color w:val="17212B"/>
                <w:sz w:val="19"/>
              </w:rPr>
              <w:t>PickupFileFilter</w:t>
            </w:r>
          </w:p>
        </w:tc>
        <w:tc>
          <w:tcPr>
            <w:tcW w:type="dxa" w:w="3408"/>
          </w:tcPr>
          <w:p>
            <w:pPr>
              <w:spacing w:after="80" w:before="40"/>
            </w:pPr>
            <w:r>
              <w:rPr>
                <w:color w:val="17212B"/>
                <w:sz w:val="19"/>
              </w:rPr>
              <w:t>Regex; see variables file</w:t>
            </w:r>
          </w:p>
        </w:tc>
        <w:tc>
          <w:tcPr>
            <w:tcW w:type="dxa" w:w="3408"/>
          </w:tcPr>
          <w:p>
            <w:pPr>
              <w:spacing w:after="80" w:before="40"/>
            </w:pPr>
            <w:r>
              <w:rPr>
                <w:color w:val="17212B"/>
                <w:sz w:val="19"/>
              </w:rPr>
              <w:t>Regex excludes leading-dot and .part/.partial/.tmp/.crdownload endings, case-insensitive.</w:t>
            </w:r>
          </w:p>
        </w:tc>
      </w:tr>
      <w:tr>
        <w:trPr>
          <w:cantSplit/>
        </w:trPr>
        <w:tc>
          <w:tcPr>
            <w:tcW w:type="dxa" w:w="3408"/>
          </w:tcPr>
          <w:p>
            <w:pPr>
              <w:spacing w:after="80" w:before="40"/>
            </w:pPr>
            <w:r>
              <w:rPr>
                <w:color w:val="17212B"/>
                <w:sz w:val="19"/>
              </w:rPr>
              <w:t>DestinationConflictResolution</w:t>
            </w:r>
          </w:p>
        </w:tc>
        <w:tc>
          <w:tcPr>
            <w:tcW w:type="dxa" w:w="3408"/>
          </w:tcPr>
          <w:p>
            <w:pPr>
              <w:spacing w:after="80" w:before="40"/>
            </w:pPr>
            <w:r>
              <w:rPr>
                <w:color w:val="17212B"/>
                <w:sz w:val="19"/>
              </w:rPr>
              <w:t>REPLACE</w:t>
            </w:r>
          </w:p>
        </w:tc>
        <w:tc>
          <w:tcPr>
            <w:tcW w:type="dxa" w:w="3408"/>
          </w:tcPr>
          <w:p>
            <w:pPr>
              <w:spacing w:after="80" w:before="40"/>
            </w:pPr>
            <w:r>
              <w:rPr>
                <w:color w:val="17212B"/>
                <w:sz w:val="19"/>
              </w:rPr>
              <w:t>REPLACE overwrites existing same-name target.</w:t>
            </w:r>
          </w:p>
        </w:tc>
      </w:tr>
      <w:tr>
        <w:trPr>
          <w:cantSplit/>
        </w:trPr>
        <w:tc>
          <w:tcPr>
            <w:tcW w:type="dxa" w:w="3408"/>
          </w:tcPr>
          <w:p>
            <w:pPr>
              <w:spacing w:after="80" w:before="40"/>
            </w:pPr>
            <w:r>
              <w:rPr>
                <w:color w:val="17212B"/>
                <w:sz w:val="19"/>
              </w:rPr>
              <w:t>CreateDestinationDirectories</w:t>
            </w:r>
          </w:p>
        </w:tc>
        <w:tc>
          <w:tcPr>
            <w:tcW w:type="dxa" w:w="3408"/>
          </w:tcPr>
          <w:p>
            <w:pPr>
              <w:spacing w:after="80" w:before="40"/>
            </w:pPr>
            <w:r>
              <w:rPr>
                <w:color w:val="17212B"/>
                <w:sz w:val="19"/>
              </w:rPr>
              <w:t>true</w:t>
            </w:r>
          </w:p>
        </w:tc>
        <w:tc>
          <w:tcPr>
            <w:tcW w:type="dxa" w:w="3408"/>
          </w:tcPr>
          <w:p>
            <w:pPr>
              <w:spacing w:after="80" w:before="40"/>
            </w:pPr>
            <w:r>
              <w:rPr>
                <w:color w:val="17212B"/>
                <w:sz w:val="19"/>
              </w:rPr>
              <w:t>Allow target directory creation.</w:t>
            </w:r>
          </w:p>
        </w:tc>
      </w:tr>
      <w:tr>
        <w:trPr>
          <w:cantSplit/>
        </w:trPr>
        <w:tc>
          <w:tcPr>
            <w:tcW w:type="dxa" w:w="3408"/>
          </w:tcPr>
          <w:p>
            <w:pPr>
              <w:spacing w:after="80" w:before="40"/>
            </w:pPr>
            <w:r>
              <w:rPr>
                <w:color w:val="17212B"/>
                <w:sz w:val="19"/>
              </w:rPr>
              <w:t>DestinationDotRename</w:t>
            </w:r>
          </w:p>
        </w:tc>
        <w:tc>
          <w:tcPr>
            <w:tcW w:type="dxa" w:w="3408"/>
          </w:tcPr>
          <w:p>
            <w:pPr>
              <w:spacing w:after="80" w:before="40"/>
            </w:pPr>
            <w:r>
              <w:rPr>
                <w:color w:val="17212B"/>
                <w:sz w:val="19"/>
              </w:rPr>
              <w:t>true</w:t>
            </w:r>
          </w:p>
        </w:tc>
        <w:tc>
          <w:tcPr>
            <w:tcW w:type="dxa" w:w="3408"/>
          </w:tcPr>
          <w:p>
            <w:pPr>
              <w:spacing w:after="80" w:before="40"/>
            </w:pPr>
            <w:r>
              <w:rPr>
                <w:color w:val="17212B"/>
                <w:sz w:val="19"/>
              </w:rPr>
              <w:t>Use temporary dot filename then rename on delivery.</w:t>
            </w:r>
          </w:p>
        </w:tc>
      </w:tr>
      <w:tr>
        <w:trPr>
          <w:cantSplit/>
        </w:trPr>
        <w:tc>
          <w:tcPr>
            <w:tcW w:type="dxa" w:w="3408"/>
          </w:tcPr>
          <w:p>
            <w:pPr>
              <w:spacing w:after="80" w:before="40"/>
            </w:pPr>
            <w:r>
              <w:rPr>
                <w:color w:val="17212B"/>
                <w:sz w:val="19"/>
              </w:rPr>
              <w:t>AllowedPrefix</w:t>
            </w:r>
          </w:p>
        </w:tc>
        <w:tc>
          <w:tcPr>
            <w:tcW w:type="dxa" w:w="3408"/>
          </w:tcPr>
          <w:p>
            <w:pPr>
              <w:spacing w:after="80" w:before="40"/>
            </w:pPr>
            <w:r>
              <w:rPr>
                <w:color w:val="17212B"/>
                <w:sz w:val="19"/>
              </w:rPr>
              <w:t>Allowed_</w:t>
            </w:r>
          </w:p>
        </w:tc>
        <w:tc>
          <w:tcPr>
            <w:tcW w:type="dxa" w:w="3408"/>
          </w:tcPr>
          <w:p>
            <w:pPr>
              <w:spacing w:after="80" w:before="40"/>
            </w:pPr>
            <w:r>
              <w:rPr>
                <w:color w:val="17212B"/>
                <w:sz w:val="19"/>
              </w:rPr>
              <w:t>Target filename prefix at 09P.</w:t>
            </w:r>
          </w:p>
        </w:tc>
      </w:tr>
      <w:tr>
        <w:trPr>
          <w:cantSplit/>
        </w:trPr>
        <w:tc>
          <w:tcPr>
            <w:tcW w:type="dxa" w:w="3408"/>
          </w:tcPr>
          <w:p>
            <w:pPr>
              <w:spacing w:after="80" w:before="40"/>
            </w:pPr>
            <w:r>
              <w:rPr>
                <w:color w:val="17212B"/>
                <w:sz w:val="19"/>
              </w:rPr>
              <w:t>BlockedPrefix</w:t>
            </w:r>
          </w:p>
        </w:tc>
        <w:tc>
          <w:tcPr>
            <w:tcW w:type="dxa" w:w="3408"/>
          </w:tcPr>
          <w:p>
            <w:pPr>
              <w:spacing w:after="80" w:before="40"/>
            </w:pPr>
            <w:r>
              <w:rPr>
                <w:color w:val="17212B"/>
                <w:sz w:val="19"/>
              </w:rPr>
              <w:t>Blocked_</w:t>
            </w:r>
          </w:p>
        </w:tc>
        <w:tc>
          <w:tcPr>
            <w:tcW w:type="dxa" w:w="3408"/>
          </w:tcPr>
          <w:p>
            <w:pPr>
              <w:spacing w:after="80" w:before="40"/>
            </w:pPr>
            <w:r>
              <w:rPr>
                <w:color w:val="17212B"/>
                <w:sz w:val="19"/>
              </w:rPr>
              <w:t>Target filename prefix at 09F.</w:t>
            </w:r>
          </w:p>
        </w:tc>
      </w:tr>
      <w:tr>
        <w:trPr>
          <w:cantSplit/>
        </w:trPr>
        <w:tc>
          <w:tcPr>
            <w:tcW w:type="dxa" w:w="3408"/>
          </w:tcPr>
          <w:p>
            <w:pPr>
              <w:spacing w:after="80" w:before="40"/>
            </w:pPr>
            <w:r>
              <w:rPr>
                <w:color w:val="17212B"/>
                <w:sz w:val="19"/>
              </w:rPr>
              <w:t>OthersPrefix</w:t>
            </w:r>
          </w:p>
        </w:tc>
        <w:tc>
          <w:tcPr>
            <w:tcW w:type="dxa" w:w="3408"/>
          </w:tcPr>
          <w:p>
            <w:pPr>
              <w:spacing w:after="80" w:before="40"/>
            </w:pPr>
            <w:r>
              <w:rPr>
                <w:color w:val="17212B"/>
                <w:sz w:val="19"/>
              </w:rPr>
              <w:t>Others_</w:t>
            </w:r>
          </w:p>
        </w:tc>
        <w:tc>
          <w:tcPr>
            <w:tcW w:type="dxa" w:w="3408"/>
          </w:tcPr>
          <w:p>
            <w:pPr>
              <w:spacing w:after="80" w:before="40"/>
            </w:pPr>
            <w:r>
              <w:rPr>
                <w:color w:val="17212B"/>
                <w:sz w:val="19"/>
              </w:rPr>
              <w:t>Target filename prefix at 09O.</w:t>
            </w:r>
          </w:p>
        </w:tc>
      </w:tr>
    </w:tbl>
    <w:p>
      <w:r>
        <w:t>Fixed 01 settings: Delete Original=true; Search Recursively=false; Follow Symbolic Links=false; Ignore Dotted Files=true; Use Natural Ordering=true; scheduling period 10 sec; one concurrent task. No minimum-age or size-stability gate is added. Stop 01 during direct copies or stage completed files.</w:t>
      </w:r>
    </w:p>
    <w:p>
      <w:r>
        <w:t>Fixed delivery settings: Reject Zero-Byte Files=false. The account must be able to list/read/delete source files and create/write/rename targets. StrictHostKeyCheckingA=false is current lab behavior, not host identity verification. Changing to true needs an actual trusted host-key setup.</w:t>
      </w:r>
    </w:p>
    <w:p>
      <w:r>
        <w:br w:type="page"/>
      </w:r>
    </w:p>
    <w:p>
      <w:pPr>
        <w:pStyle w:val="Heading1"/>
      </w:pPr>
      <w:r>
        <w:t>4. HTTP, retry and queue configuration</w:t>
      </w:r>
    </w:p>
    <w:tbl>
      <w:tblPr>
        <w:tblStyle w:val="LightShading-Accent1"/>
        <w:tblW w:type="auto" w:w="0"/>
        <w:tblLook w:firstColumn="1" w:firstRow="1" w:lastColumn="0" w:lastRow="0" w:noHBand="0" w:noVBand="1" w:val="04A0"/>
      </w:tblPr>
      <w:tblGrid>
        <w:gridCol w:w="3408"/>
        <w:gridCol w:w="3408"/>
        <w:gridCol w:w="3408"/>
      </w:tblGrid>
      <w:tr>
        <w:trPr>
          <w:tblHeader/>
          <w:cantSplit/>
        </w:trPr>
        <w:tc>
          <w:tcPr>
            <w:tcW w:type="dxa" w:w="3408"/>
          </w:tcPr>
          <w:p>
            <w:pPr>
              <w:spacing w:after="80" w:before="40"/>
            </w:pPr>
            <w:r>
              <w:rPr>
                <w:color w:val="17212B"/>
                <w:sz w:val="19"/>
              </w:rPr>
              <w:t>Variable</w:t>
            </w:r>
          </w:p>
        </w:tc>
        <w:tc>
          <w:tcPr>
            <w:tcW w:type="dxa" w:w="3408"/>
          </w:tcPr>
          <w:p>
            <w:pPr>
              <w:spacing w:after="80" w:before="40"/>
            </w:pPr>
            <w:r>
              <w:rPr>
                <w:color w:val="17212B"/>
                <w:sz w:val="19"/>
              </w:rPr>
              <w:t>Default</w:t>
            </w:r>
          </w:p>
        </w:tc>
        <w:tc>
          <w:tcPr>
            <w:tcW w:type="dxa" w:w="3408"/>
          </w:tcPr>
          <w:p>
            <w:pPr>
              <w:spacing w:after="80" w:before="40"/>
            </w:pPr>
            <w:r>
              <w:rPr>
                <w:color w:val="17212B"/>
                <w:sz w:val="19"/>
              </w:rPr>
              <w:t>Meaning</w:t>
            </w:r>
          </w:p>
        </w:tc>
      </w:tr>
      <w:tr>
        <w:trPr>
          <w:cantSplit/>
        </w:trPr>
        <w:tc>
          <w:tcPr>
            <w:tcW w:type="dxa" w:w="3408"/>
          </w:tcPr>
          <w:p>
            <w:pPr>
              <w:spacing w:after="80" w:before="40"/>
            </w:pPr>
            <w:r>
              <w:rPr>
                <w:color w:val="17212B"/>
                <w:sz w:val="19"/>
              </w:rPr>
              <w:t>HTTPConnectTimeoutC</w:t>
            </w:r>
          </w:p>
        </w:tc>
        <w:tc>
          <w:tcPr>
            <w:tcW w:type="dxa" w:w="3408"/>
          </w:tcPr>
          <w:p>
            <w:pPr>
              <w:spacing w:after="80" w:before="40"/>
            </w:pPr>
            <w:r>
              <w:rPr>
                <w:color w:val="17212B"/>
                <w:sz w:val="19"/>
              </w:rPr>
              <w:t>30 sec</w:t>
            </w:r>
          </w:p>
        </w:tc>
        <w:tc>
          <w:tcPr>
            <w:tcW w:type="dxa" w:w="3408"/>
          </w:tcPr>
          <w:p>
            <w:pPr>
              <w:spacing w:after="80" w:before="40"/>
            </w:pPr>
            <w:r>
              <w:rPr>
                <w:color w:val="17212B"/>
                <w:sz w:val="19"/>
              </w:rPr>
              <w:t>Connect timeout for 03/06.</w:t>
            </w:r>
          </w:p>
        </w:tc>
      </w:tr>
      <w:tr>
        <w:trPr>
          <w:cantSplit/>
        </w:trPr>
        <w:tc>
          <w:tcPr>
            <w:tcW w:type="dxa" w:w="3408"/>
          </w:tcPr>
          <w:p>
            <w:pPr>
              <w:spacing w:after="80" w:before="40"/>
            </w:pPr>
            <w:r>
              <w:rPr>
                <w:color w:val="17212B"/>
                <w:sz w:val="19"/>
              </w:rPr>
              <w:t>HTTPReadTimeoutC</w:t>
            </w:r>
          </w:p>
        </w:tc>
        <w:tc>
          <w:tcPr>
            <w:tcW w:type="dxa" w:w="3408"/>
          </w:tcPr>
          <w:p>
            <w:pPr>
              <w:spacing w:after="80" w:before="40"/>
            </w:pPr>
            <w:r>
              <w:rPr>
                <w:color w:val="17212B"/>
                <w:sz w:val="19"/>
              </w:rPr>
              <w:t>60 sec</w:t>
            </w:r>
          </w:p>
        </w:tc>
        <w:tc>
          <w:tcPr>
            <w:tcW w:type="dxa" w:w="3408"/>
          </w:tcPr>
          <w:p>
            <w:pPr>
              <w:spacing w:after="80" w:before="40"/>
            </w:pPr>
            <w:r>
              <w:rPr>
                <w:color w:val="17212B"/>
                <w:sz w:val="19"/>
              </w:rPr>
              <w:t>Socket-read timeout; not total scan duration.</w:t>
            </w:r>
          </w:p>
        </w:tc>
      </w:tr>
      <w:tr>
        <w:trPr>
          <w:cantSplit/>
        </w:trPr>
        <w:tc>
          <w:tcPr>
            <w:tcW w:type="dxa" w:w="3408"/>
          </w:tcPr>
          <w:p>
            <w:pPr>
              <w:spacing w:after="80" w:before="40"/>
            </w:pPr>
            <w:r>
              <w:rPr>
                <w:color w:val="17212B"/>
                <w:sz w:val="19"/>
              </w:rPr>
              <w:t>HTTPWriteTimeoutC</w:t>
            </w:r>
          </w:p>
        </w:tc>
        <w:tc>
          <w:tcPr>
            <w:tcW w:type="dxa" w:w="3408"/>
          </w:tcPr>
          <w:p>
            <w:pPr>
              <w:spacing w:after="80" w:before="40"/>
            </w:pPr>
            <w:r>
              <w:rPr>
                <w:color w:val="17212B"/>
                <w:sz w:val="19"/>
              </w:rPr>
              <w:t>300 sec</w:t>
            </w:r>
          </w:p>
        </w:tc>
        <w:tc>
          <w:tcPr>
            <w:tcW w:type="dxa" w:w="3408"/>
          </w:tcPr>
          <w:p>
            <w:pPr>
              <w:spacing w:after="80" w:before="40"/>
            </w:pPr>
            <w:r>
              <w:rPr>
                <w:color w:val="17212B"/>
                <w:sz w:val="19"/>
              </w:rPr>
              <w:t>Socket-write timeout; not total scan duration.</w:t>
            </w:r>
          </w:p>
        </w:tc>
      </w:tr>
      <w:tr>
        <w:trPr>
          <w:cantSplit/>
        </w:trPr>
        <w:tc>
          <w:tcPr>
            <w:tcW w:type="dxa" w:w="3408"/>
          </w:tcPr>
          <w:p>
            <w:pPr>
              <w:spacing w:after="80" w:before="40"/>
            </w:pPr>
            <w:r>
              <w:rPr>
                <w:color w:val="17212B"/>
                <w:sz w:val="19"/>
              </w:rPr>
              <w:t>HTTPResponseMaxBytes</w:t>
            </w:r>
          </w:p>
        </w:tc>
        <w:tc>
          <w:tcPr>
            <w:tcW w:type="dxa" w:w="3408"/>
          </w:tcPr>
          <w:p>
            <w:pPr>
              <w:spacing w:after="80" w:before="40"/>
            </w:pPr>
            <w:r>
              <w:rPr>
                <w:color w:val="17212B"/>
                <w:sz w:val="19"/>
              </w:rPr>
              <w:t>2097152</w:t>
            </w:r>
          </w:p>
        </w:tc>
        <w:tc>
          <w:tcPr>
            <w:tcW w:type="dxa" w:w="3408"/>
          </w:tcPr>
          <w:p>
            <w:pPr>
              <w:spacing w:after="80" w:before="40"/>
            </w:pPr>
            <w:r>
              <w:rPr>
                <w:color w:val="17212B"/>
                <w:sz w:val="19"/>
              </w:rPr>
              <w:t>md.response attribute cap; large reports may be truncated.</w:t>
            </w:r>
          </w:p>
        </w:tc>
      </w:tr>
      <w:tr>
        <w:trPr>
          <w:cantSplit/>
        </w:trPr>
        <w:tc>
          <w:tcPr>
            <w:tcW w:type="dxa" w:w="3408"/>
          </w:tcPr>
          <w:p>
            <w:pPr>
              <w:spacing w:after="80" w:before="40"/>
            </w:pPr>
            <w:r>
              <w:rPr>
                <w:color w:val="17212B"/>
                <w:sz w:val="19"/>
              </w:rPr>
              <w:t>PollingMaxRetries</w:t>
            </w:r>
          </w:p>
        </w:tc>
        <w:tc>
          <w:tcPr>
            <w:tcW w:type="dxa" w:w="3408"/>
          </w:tcPr>
          <w:p>
            <w:pPr>
              <w:spacing w:after="80" w:before="40"/>
            </w:pPr>
            <w:r>
              <w:rPr>
                <w:color w:val="17212B"/>
                <w:sz w:val="19"/>
              </w:rPr>
              <w:t>1440</w:t>
            </w:r>
          </w:p>
        </w:tc>
        <w:tc>
          <w:tcPr>
            <w:tcW w:type="dxa" w:w="3408"/>
          </w:tcPr>
          <w:p>
            <w:pPr>
              <w:spacing w:after="80" w:before="40"/>
            </w:pPr>
            <w:r>
              <w:rPr>
                <w:color w:val="17212B"/>
                <w:sz w:val="19"/>
              </w:rPr>
              <w:t>Shared pending/network retry budget at polling retry.</w:t>
            </w:r>
          </w:p>
        </w:tc>
      </w:tr>
      <w:tr>
        <w:trPr>
          <w:cantSplit/>
        </w:trPr>
        <w:tc>
          <w:tcPr>
            <w:tcW w:type="dxa" w:w="3408"/>
          </w:tcPr>
          <w:p>
            <w:pPr>
              <w:spacing w:after="80" w:before="40"/>
            </w:pPr>
            <w:r>
              <w:rPr>
                <w:color w:val="17212B"/>
                <w:sz w:val="19"/>
              </w:rPr>
              <w:t>SubmissionMaxRetries</w:t>
            </w:r>
          </w:p>
        </w:tc>
        <w:tc>
          <w:tcPr>
            <w:tcW w:type="dxa" w:w="3408"/>
          </w:tcPr>
          <w:p>
            <w:pPr>
              <w:spacing w:after="80" w:before="40"/>
            </w:pPr>
            <w:r>
              <w:rPr>
                <w:color w:val="17212B"/>
                <w:sz w:val="19"/>
              </w:rPr>
              <w:t>5</w:t>
            </w:r>
          </w:p>
        </w:tc>
        <w:tc>
          <w:tcPr>
            <w:tcW w:type="dxa" w:w="3408"/>
          </w:tcPr>
          <w:p>
            <w:pPr>
              <w:spacing w:after="80" w:before="40"/>
            </w:pPr>
            <w:r>
              <w:rPr>
                <w:color w:val="17212B"/>
                <w:sz w:val="19"/>
              </w:rPr>
              <w:t>Retry budget for 03 failures/5xx.</w:t>
            </w:r>
          </w:p>
        </w:tc>
      </w:tr>
      <w:tr>
        <w:trPr>
          <w:cantSplit/>
        </w:trPr>
        <w:tc>
          <w:tcPr>
            <w:tcW w:type="dxa" w:w="3408"/>
          </w:tcPr>
          <w:p>
            <w:pPr>
              <w:spacing w:after="80" w:before="40"/>
            </w:pPr>
            <w:r>
              <w:rPr>
                <w:color w:val="17212B"/>
                <w:sz w:val="19"/>
              </w:rPr>
              <w:t>DeliveryMaxRetries</w:t>
            </w:r>
          </w:p>
        </w:tc>
        <w:tc>
          <w:tcPr>
            <w:tcW w:type="dxa" w:w="3408"/>
          </w:tcPr>
          <w:p>
            <w:pPr>
              <w:spacing w:after="80" w:before="40"/>
            </w:pPr>
            <w:r>
              <w:rPr>
                <w:color w:val="17212B"/>
                <w:sz w:val="19"/>
              </w:rPr>
              <w:t>5</w:t>
            </w:r>
          </w:p>
        </w:tc>
        <w:tc>
          <w:tcPr>
            <w:tcW w:type="dxa" w:w="3408"/>
          </w:tcPr>
          <w:p>
            <w:pPr>
              <w:spacing w:after="80" w:before="40"/>
            </w:pPr>
            <w:r>
              <w:rPr>
                <w:color w:val="17212B"/>
                <w:sz w:val="19"/>
              </w:rPr>
              <w:t>Separate per-branch retry budget for target writes.</w:t>
            </w:r>
          </w:p>
        </w:tc>
      </w:tr>
    </w:tbl>
    <w:p>
      <w:r>
        <w:t>03: POST, request body enabled, application/octet-stream, filename and rule headers, chunked transfer disabled. 06: GET with request body disabled. Both store response in md.response, disable redirect following and do not require a separate response FlowFile. A timeout is a socket/connection control, not a limit on MDC archive analysis.</w:t>
      </w:r>
    </w:p>
    <w:p>
      <w:r>
        <w:t>Five retry processors use a fixed 10-sec penalty, Penalize Retries=true, Fail on Nonnumerical Overwrite=true and Reuse Mode=fail. Pending and failed polling share one counter. Poll exhaustion routes to Others; submission/delivery exhaustion routes to disabled HOLD.</w:t>
      </w:r>
    </w:p>
    <w:p>
      <w:r>
        <w:t>Connections: backpressure defaults to 20 FlowFiles or 20 GB (either threshold can pause upstream scheduling); expiration is 0 sec (no expiry). These are per-connection settings, not a total storage quota or an exact maximum-file-size guarantee. A large FlowFile can cross a threshold. Scheduling, penalty duration, queue limits and routing expressions are fixed in this V4 template, not variables.</w:t>
      </w:r>
    </w:p>
    <w:p>
      <w:r>
        <w:t>MDC-side settings are separate: workflow MDC-Update, license, API-key authorization, enabled scan modules, archive maximum size/count/depth, archive analysis timeout and any global timeout. NiFi retry changes do not remove MDC archive limits or an infection verdict. No exact maximum nesting depth is established for the RHEL 8.10 DVD ISO.</w:t>
      </w:r>
    </w:p>
    <w:p>
      <w:r>
        <w:br w:type="page"/>
      </w:r>
    </w:p>
    <w:p>
      <w:pPr>
        <w:pStyle w:val="Heading1"/>
      </w:pPr>
      <w:r>
        <w:t>5. Generate, import and maintain configuration</w:t>
      </w:r>
    </w:p>
    <w:p>
      <w:pPr>
        <w:pStyle w:val="ListBullet"/>
      </w:pPr>
      <w:r>
        <w:t>Place Nifi-test-v4.json, Nifi-test-v4-variables.json and render-nifi-v4.sh together on Linux with Bash and Python 3.</w:t>
      </w:r>
    </w:p>
    <w:p>
      <w:pPr>
        <w:pStyle w:val="ListBullet"/>
      </w:pPr>
      <w:r>
        <w:t>Edit the values JSON. Use strings for every value, including ports, retry numbers and true/false settings. Replace null PasswordA and APIKeyC with quoted credentials. Escape literal backslashes and double quotes as JSON requires.</w:t>
      </w:r>
    </w:p>
    <w:p>
      <w:pPr>
        <w:pStyle w:val="ListBullet"/>
      </w:pPr>
      <w:r>
        <w:t>Run: bash render-nifi-v4.sh Nifi-test-v4.json Nifi-test-v4-variables.json Nifi-test-v4-ready.json</w:t>
      </w:r>
    </w:p>
    <w:p>
      <w:pPr>
        <w:pStyle w:val="ListBullet"/>
      </w:pPr>
      <w:r>
        <w:t>Import the generated file manually. Stop the old source-consuming flow first. Verify credentials and validation, leave HOLD disabled, then test one small completed file.</w:t>
      </w:r>
    </w:p>
    <w:p>
      <w:r>
        <w:t>The renderer replaces #{ParameterName} references and removes the unused Parameter Context by default. Runtime ${...} expressions remain. It rejects missing/empty/unknown/duplicate variables and refuses to overwrite inputs or an existing output. Output permissions are owner read/write only. Populated values and generated JSON contain plaintext secrets; credentials are not printed by the script.</w:t>
      </w:r>
    </w:p>
    <w:p>
      <w:r>
        <w:t>Optional --context mode fills the embedded Parameter Context and retains references. If import does not retain sensitive values, enter PasswordA and APIKeyC in that context, or set the affected sensitive properties in default inline mode (01/10/11/12 Password; 03/06 apikey). PasswordA is shared in the values file; it is not a separate password for each processor.</w:t>
      </w:r>
    </w:p>
    <w:p>
      <w:r>
        <w:t>References (official documentation; component pages may track newer releases, so compare with installed 2.12.0 Help):</w:t>
      </w:r>
    </w:p>
    <w:p>
      <w:r>
        <w:t>GetSFTP: https://nifi.apache.org/components/org.apache.nifi.processors.standard.GetSFTP/</w:t>
      </w:r>
    </w:p>
    <w:p>
      <w:r>
        <w:t>PutSFTP: https://nifi.apache.org/components/org.apache.nifi.processors.standard.PutSFTP/</w:t>
      </w:r>
    </w:p>
    <w:p>
      <w:r>
        <w:t>InvokeHTTP: https://nifi.apache.org/components/org.apache.nifi.processors.standard.InvokeHTTP/</w:t>
      </w:r>
    </w:p>
    <w:p>
      <w:r>
        <w:t>UpdateAttribute: https://nifi.apache.org/components/org.apache.nifi.processors.attributes.UpdateAttribute/</w:t>
      </w:r>
    </w:p>
    <w:p>
      <w:r>
        <w:t>RouteOnAttribute: https://nifi.apache.org/components/org.apache.nifi.processors.standard.RouteOnAttribute/</w:t>
      </w:r>
    </w:p>
    <w:p>
      <w:r>
        <w:t>RetryFlowFile: https://nifi.apache.org/components/org.apache.nifi.processors.standard.RetryFlowFile/</w:t>
      </w:r>
    </w:p>
    <w:p>
      <w:r>
        <w:t>NiFi User Guide: https://nifi.apache.org/nifi-docs/user-guide.html</w:t>
      </w:r>
    </w:p>
    <w:p>
      <w:r>
        <w:t>MDC REST API: https://www.opswat.com/docs/mdcore/v5.13.2/metadefender-core/ref</w:t>
      </w:r>
    </w:p>
    <w:p>
      <w:r>
        <w:t>MDC archive limits: https://www.opswat.com/docs/mdcore/v5.12.0/knowledge-base/my-scans-keep-failing-due-to-an-exceeded-archive-file-number--ho</w:t>
      </w:r>
    </w:p>
    <w:sectPr w:rsidR="00FC693F" w:rsidRPr="0006063C" w:rsidSect="00034616">
      <w:footerReference w:type="default" r:id="rId9"/>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Nifi-test V4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eastAsia="Noto Sans CJK SC"/>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eastAsia="Noto Sans CJK SC"/>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eastAsia="Noto Sans CJK SC"/>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eastAsia="Noto Sans CJK S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Nifi-test V4 | Connectors and parameter reference</dc:title>
  <dc:subject>Nifi-test V4 operational documentation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