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w:t>
      </w:r>
      <w:r>
        <w:rPr>
          <w:rFonts w:hint="eastAsia" w:ascii="方正大标宋简体" w:hAnsi="方正大标宋简体" w:eastAsia="方正大标宋简体" w:cs="方正大标宋简体"/>
          <w:b/>
          <w:bCs w:val="0"/>
          <w:color w:val="auto"/>
          <w:sz w:val="72"/>
          <w:szCs w:val="72"/>
          <w:highlight w:val="none"/>
          <w:lang w:val="en-US" w:eastAsia="zh-CN"/>
        </w:rPr>
        <w:t>认识实习</w:t>
      </w:r>
      <w:r>
        <w:rPr>
          <w:rFonts w:hint="eastAsia" w:ascii="方正大标宋简体" w:hAnsi="方正大标宋简体" w:eastAsia="方正大标宋简体" w:cs="方正大标宋简体"/>
          <w:b/>
          <w:bCs w:val="0"/>
          <w:color w:val="auto"/>
          <w:sz w:val="72"/>
          <w:szCs w:val="72"/>
          <w:highlight w:val="none"/>
          <w:lang w:eastAsia="zh-CN"/>
        </w:rPr>
        <w:t>》</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修订时间：2024年10月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7</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7</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13</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13</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18</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28</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31</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认识实习</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default" w:ascii="仿宋_GB2312" w:hAnsi="仿宋_GB2312" w:eastAsia="仿宋_GB2312" w:cs="仿宋_GB2312"/>
                <w:color w:val="auto"/>
                <w:sz w:val="24"/>
                <w:szCs w:val="24"/>
                <w:highlight w:val="none"/>
                <w:lang w:val="en-US" w:eastAsia="zh-CN"/>
              </w:rPr>
              <w:t>280</w:t>
            </w:r>
            <w:r>
              <w:rPr>
                <w:rFonts w:hint="eastAsia" w:ascii="仿宋_GB2312" w:hAnsi="仿宋_GB2312" w:eastAsia="仿宋_GB2312" w:cs="仿宋_GB2312"/>
                <w:color w:val="auto"/>
                <w:sz w:val="24"/>
                <w:szCs w:val="24"/>
                <w:highlight w:val="none"/>
                <w:lang w:val="en-US" w:eastAsia="zh-CN"/>
              </w:rPr>
              <w:t>059-1</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cs="仿宋"/>
                <w:bCs/>
                <w:color w:val="auto"/>
                <w:sz w:val="24"/>
                <w:szCs w:val="24"/>
                <w:highlight w:val="none"/>
                <w:lang w:val="en-US" w:eastAsia="zh-CN"/>
              </w:rPr>
              <w:t>无</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20</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rPr>
            </w:pPr>
            <w:r>
              <w:rPr>
                <w:rFonts w:hint="eastAsia" w:ascii="仿宋" w:hAnsi="仿宋" w:cs="仿宋"/>
                <w:b/>
                <w:color w:val="auto"/>
                <w:sz w:val="24"/>
                <w:szCs w:val="24"/>
                <w:highlight w:val="none"/>
                <w:lang w:val="en-US" w:eastAsia="zh-CN"/>
              </w:rPr>
              <w:t>分布式计算框架</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本实习是高职大数据技术专业的入门认识实习，在专业人才培养方案中占据基础启蒙地位。实习紧密对接大数据运维、数据可视化、数据处理等岗位实际工作场景，为学生直观了解大数据行业发展现状、岗位工作内容奠定坚实基础，同时培养学生的行业认知能力与职业素养，助力学生明确职业发展方向、提升岗位适配意识，为后续学习专业核心课程及规划职业发展筑牢根基</w:t>
      </w:r>
      <w:r>
        <w:rPr>
          <w:rFonts w:hint="eastAsia" w:ascii="仿宋_GB2312" w:hAnsi="仿宋_GB2312" w:eastAsia="仿宋_GB2312" w:cs="仿宋_GB2312"/>
          <w:color w:val="auto"/>
          <w:highlight w:val="none"/>
        </w:rPr>
        <w:t>。</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实习的教学对象为高职大数据技术大一学生，本实习作为专业入门实践环节，将企业真实工作场景、岗位核心职责、技能竞赛相关行业要求融入实习全过程，兼顾认知性与实践性，实现“认岗位、明需求、强素养、备学习”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本实习核心内容围绕大数据行业认知、岗位工作流程、核心技能要求、企业项目实操体验等模块展开，兼顾行业认知与实践感知。实习过程中严格遵循职业教育规律，采用“企业走访、岗位观摩、案例解析、实操体验”相结合的实习方式，以企业真实大数据项目运作流程为载体，将实习内容拆解为若干递进式认知任务，通过企业导师讲解夯实行业认知基础，通过沉浸式观摩与简易实操提升学生实践感知能力，充分体现职业教育“做中学、学中做”的特色，兼顾行业认知传授与职业能力启蒙</w:t>
      </w:r>
      <w:r>
        <w:rPr>
          <w:rFonts w:hint="eastAsia" w:ascii="仿宋_GB2312" w:hAnsi="仿宋_GB2312" w:eastAsia="仿宋_GB2312" w:cs="仿宋_GB2312"/>
          <w:color w:val="auto"/>
          <w:highlight w:val="none"/>
        </w:rPr>
        <w:t>。</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立足大数据产业快速发展背景，紧扣数据可视化及大数据相关岗位人才需求，以立德树人为根本任务，本实习的核心任务是：引导学生直观认知大数据行业发展趋势、数据可视化相关岗位工作内容与职业要求，初步了解数据可视化核心技术及应用场景，培养学生的行业认知能力与职业素养，同时渗透工匠精神与职业规范，引导学生树立严谨的职业态度、规范的工作意识和协同合作的职业理念，实现“认知启蒙、素养培育、方向引领”三位一体的实习目标</w:t>
      </w:r>
      <w:r>
        <w:rPr>
          <w:rFonts w:hint="eastAsia"/>
          <w:color w:val="auto"/>
          <w:highlight w:val="none"/>
          <w:lang w:val="en-US" w:eastAsia="en-US"/>
        </w:rPr>
        <w:t>。</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核心认知包括大数据行业认知、Python大数据相关岗位认知、Python应用认知及项目流程认知，具体为大数据产业发展现状、行业发展趋势及就业前景；Python大数据相关岗位（如大数据运维、数据处理、Python数据分析师）的岗位职责、工作流程及核心技能要求；Python在大数据处理中的基础应用场景、核心语法及基础数据处理逻辑；企业真实Python大数据处理项目的需求分析、方案设计、开发实施及优化调试的完整流。</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核心能力包括岗位认知能力、实践感知能力、观察分析能力、沟通表达能力及团队协作能力，具体为能准确识别Python大数据相关岗位的核心工作内容与职业要求，能清晰描述Python在大数据处理中的基础应用场景与核心逻辑，能通过观摩企业项目实操，分析Python在大数据收集、整理、分析等环节的应用思路，能主动与企业导师、实习同伴沟通交流实习心得，能参与小组实习任务，协作完成岗位观摩报告及实习总结，提升团队协同与表达能力。</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形成严谨细致的职业思维、规范履职的职业习惯，培养观察分析与问题思考能力、团队协同能力，树立职业敬畏心与终身学习意识，养成精益求精的工匠精神，适应大数据行业快速发展及岗位迭代的需求，为后续专业学习和职业发展奠定良好的素养基础。</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实习作为高职大数据技术的入门实践环节，是学生职业发展的重要启蒙载体，其育人价值主要体现在两方面：一是为学生后续学习数据可视化、大数据处理等专业核心课程提供直观的行业认知与实践基础，帮助学生明确学习目标、提升学习针对性，为从事大数据运维、数据可视化开发、数据处理等核心岗位做好前期认知铺垫；二是培养学生的职业认知能力与技术探索意识，引导学生掌握“做中学、学中做”的实践学习方法，提升自主观察与认知总结能力，为学生后续考取数据可视化相关职业技能等级证书、职业晋升及长远职业发展筑牢认知根基，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54320FF5">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培养严谨的逻辑思维与数据素养，树立“数据驱动决策”的理念，注重数据的准确性与数据处理的规范性。​</w:t>
      </w:r>
    </w:p>
    <w:p w14:paraId="5617F084">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培养精益求精的职业态度，注重Python数据处理的规范性、实用性，提升数据整理与分析的细节处理能力。​</w:t>
      </w:r>
    </w:p>
    <w:p w14:paraId="691A063E">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培养自主学习能力与创新意识，能够主动关注大数据行业新技术、新趋势，尤其是Python在大数据处理中的新应用，不断提升自身专业技能。​</w:t>
      </w:r>
    </w:p>
    <w:p w14:paraId="1EEC5DB6">
      <w:pPr>
        <w:pStyle w:val="6"/>
        <w:pageBreakBefore w:val="0"/>
        <w:widowControl/>
        <w:wordWrap/>
        <w:overflowPunct w:val="0"/>
        <w:autoSpaceDE w:val="0"/>
        <w:autoSpaceDN w:val="0"/>
        <w:bidi w:val="0"/>
        <w:adjustRightInd w:val="0"/>
        <w:snapToGrid w:val="0"/>
        <w:ind w:left="0" w:leftChars="0" w:firstLine="600" w:firstLineChars="200"/>
        <w:textAlignment w:val="baseline"/>
        <w:rPr>
          <w:color w:val="auto"/>
          <w:highlight w:val="none"/>
        </w:rPr>
      </w:pPr>
      <w:r>
        <w:rPr>
          <w:rFonts w:hint="eastAsia"/>
          <w:color w:val="auto"/>
          <w:highlight w:val="none"/>
          <w:lang w:val="en-US" w:eastAsia="en-US"/>
        </w:rPr>
        <w:t>培养职业道德与团队协作精神，遵守大数据项目处理规范，能够与团队成员高效配合完成实习任务及后续项目任务。</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02E04E5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掌握大数据的基本概念、分类、核心原则及应用场景，理解Python在大数据处理、数据分析中的价值。</w:t>
      </w:r>
    </w:p>
    <w:p w14:paraId="468F5B0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熟练掌握Python的基本语法、核心组件（数据类型、函数、模块等）的使用方法，理解Python在数据处理中的运行原理与数据处理逻辑。</w:t>
      </w:r>
    </w:p>
    <w:p w14:paraId="6C2443E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掌握Python数据收集、数据清洗、基础数据分析的基本方法，熟悉大数据处理的核心指标与分析思路。</w:t>
      </w:r>
    </w:p>
    <w:p w14:paraId="3A45FA9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了解基于Python的大数据处理平台的搭建流程，掌握Python大数据处理综合案例的设计与实现思路。</w:t>
      </w:r>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熟悉Python大数据处理项目的完整流程、规范及优化技巧，了解大数据行业最新技术与发展趋势。</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4953AB7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具备运用Python工具处理基础数据的能力，能够根据数据特点选择合适的数据处理方法，完成数据收集、整理与基础分析。</w:t>
      </w:r>
    </w:p>
    <w:p w14:paraId="34A14E4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能够独立完成简单的Python大数据处理任务，包括数据清洗、基础数据分析及结果呈现。</w:t>
      </w:r>
    </w:p>
    <w:p w14:paraId="3F54241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具备Python大数据处理综合案例的分析、设计与实操能力，能够初步解决数据处理中的常见问题。</w:t>
      </w:r>
    </w:p>
    <w:p w14:paraId="23BA0E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具备基于Python的大数据处理平台的基础认知与操作能力，能够配合完成数据处理与效果优化工作。</w:t>
      </w:r>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具备团队协作能力，能够参与小组实习任务的需求分析、方案设计与实操实施，提升沟通与协作效率。</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为保障实习效果，确保学生能顺利开展实习活动，学生需具备以下基础条件：学生需已修完计算机基础、大数据基础等先修课程，掌握计算机基本操作、基础办公软件使用能力，熟悉大数据基本概念，了解简单的代码编写逻辑，能够独立完成基础的数据整理工作，为实习中Python大数据处理认知、岗位观摩及简易实操奠定基础</w:t>
      </w:r>
      <w:r>
        <w:rPr>
          <w:rFonts w:hint="eastAsia"/>
          <w:color w:val="auto"/>
          <w:highlight w:val="none"/>
          <w:lang w:val="en-US" w:eastAsia="en-US"/>
        </w:rPr>
        <w:t>。</w:t>
      </w: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学生需灵活运用本实习所学核心知识与核心能力（如Python基础数据处理、岗位认知等），对接大数据运维、Python数据分析师等岗位基础需求，能够初步配合完成岗位相关的基础数据处理工作，同时支撑后续Python大数据处理、大数据分析与应用、企业级大数据项目实战、毕业设计等课程的学习，具备持续提升专业技能、适配行业发展的能力</w:t>
      </w:r>
      <w:r>
        <w:rPr>
          <w:rFonts w:hint="eastAsia"/>
          <w:color w:val="auto"/>
          <w:highlight w:val="none"/>
          <w:lang w:val="en-US" w:eastAsia="en-US"/>
        </w:rPr>
        <w:t>。</w:t>
      </w: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58714A7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本实习对标国家职业教育教学标准、大数据行业岗位标准（如大数据运维工程师、数据可视化开发工程师等岗位）、全国职业院校技能大赛大数据技术赛项标准及1+X 大数据工程技术人员（初级）职业技能等级证书标准，以 “岗课赛证” 深度融合为核心，结合认识实习的认知启蒙定位，严格遵循主选教材《大数据技术基础（第2版）》（林子雨主编）的编排逻辑，结合参考教材《大数据认知与实践入门》《计算机基础实操教程》的核心内容及企业真实工作场景，明确实习模块划分逻辑。</w:t>
      </w:r>
    </w:p>
    <w:p w14:paraId="52E447E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实习规律，结合主选教材及参考教材核心内容、企业岗位实际，按“行业认知—岗位观摩—技能感知—总结提升”的递进逻辑，构建四大核心实习模块，贴合数据可视化岗位工作流程，实现教材认知、岗位感知、竞赛标准与证书要求的精准衔接：</w:t>
      </w:r>
    </w:p>
    <w:p w14:paraId="3CB7E12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大数据行业与Python基础认知模块：对应主选教材《大数据技术基础（第2版）》（林子雨主编）及参考教材《大数据认知与实践入门》的大数据基础认知内容，聚焦大数据行业发展现状、大数据核心概念、Python在大数据处理中的基础认知，夯实实习的理论与认知基础，衔接参考教材《计算机基础实操教程》的基础内容及先修课程的计算机基础认知。</w:t>
      </w:r>
    </w:p>
    <w:p w14:paraId="370E9C1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处理岗位观摩模块：结合主选教材Python大数据应用场景及参考教材相关实践内容，聚焦Python大数据处理相关岗位工作，组织学生观摩Python数据收集、数据清洗、基础数据分析等岗位的实际工作流程，初步感知Python在大数据处理中的应用场景与岗位实操要点。</w:t>
      </w:r>
    </w:p>
    <w:p w14:paraId="123BD8A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处理案例感知模块：结合主选教材Python大数据综合应用案例及参考教材实践内容，通过企业导师讲解、项目实操观摩，让学生直观了解Python大数据处理综合项目的需求分析、方案设计、数据处理及结果分析的完整流程，感知岗位核心工作能力要求，对接岗位实际工作场景。</w:t>
      </w:r>
    </w:p>
    <w:p w14:paraId="0386939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平台认知模块：结合主选教材大数据平台相关基础内容，聚焦基于Python的大数据处理平台架构、数据处理流程的基础认知，通过企业现场观摩，拓宽学生专业视野，衔接后续Python大数据处理相关专业课程学习。</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层层递进：行业与Python基础认知模块为岗位观摩提供理论支撑，岗位观摩模块为案例感知奠定实践基础，案例感知模块为平台认知拓宽视野，最终实现从“行业认知”到“岗位感知”再到“能力启蒙”的闭环，形成“教材认知为基础、岗位观摩为核心、案例感知为特色”的实习结构模式，充分体现实习的系统性、实用性与完整性，贴合认识实习“认知启蒙、实践感知”的核心特点，同时精准贴合主选教材Python核心内容</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73228EB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rFonts w:hint="eastAsia"/>
          <w:color w:val="auto"/>
          <w:highlight w:val="none"/>
          <w:lang w:val="en-US" w:eastAsia="zh-CN"/>
        </w:rPr>
        <w:t>大数据认识实习模块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 xml:space="preserve">教学项目： </w:t>
            </w:r>
            <w:r>
              <w:rPr>
                <w:rFonts w:hint="eastAsia" w:ascii="仿宋_GB2312" w:hAnsi="仿宋_GB2312" w:eastAsia="仿宋_GB2312" w:cs="仿宋_GB2312"/>
                <w:color w:val="auto"/>
                <w:spacing w:val="-2"/>
                <w:sz w:val="24"/>
                <w:szCs w:val="24"/>
                <w:highlight w:val="none"/>
                <w:lang w:val="en-US" w:eastAsia="zh-CN"/>
              </w:rPr>
              <w:t>认识实习</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20</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17D113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w:t>
            </w:r>
            <w:r>
              <w:rPr>
                <w:rFonts w:hint="eastAsia" w:ascii="仿宋_GB2312" w:hAnsi="仿宋_GB2312" w:eastAsia="仿宋_GB2312" w:cs="仿宋_GB2312"/>
                <w:color w:val="auto"/>
                <w:sz w:val="24"/>
                <w:szCs w:val="24"/>
                <w:highlight w:val="none"/>
                <w:lang w:val="en-US" w:eastAsia="zh-CN"/>
              </w:rPr>
              <w:t>大</w:t>
            </w:r>
            <w:r>
              <w:rPr>
                <w:rFonts w:hint="eastAsia" w:ascii="仿宋_GB2312" w:hAnsi="仿宋_GB2312" w:eastAsia="仿宋_GB2312" w:cs="仿宋_GB2312"/>
                <w:color w:val="auto"/>
                <w:sz w:val="24"/>
                <w:szCs w:val="24"/>
                <w:highlight w:val="none"/>
              </w:rPr>
              <w:t>数据基本概念、发展与应用场景。</w:t>
            </w:r>
          </w:p>
          <w:p w14:paraId="50D7A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w:t>
            </w:r>
            <w:r>
              <w:rPr>
                <w:rFonts w:hint="eastAsia" w:ascii="仿宋_GB2312" w:hAnsi="仿宋_GB2312" w:eastAsia="仿宋_GB2312" w:cs="仿宋_GB2312"/>
                <w:color w:val="auto"/>
                <w:sz w:val="24"/>
                <w:szCs w:val="24"/>
                <w:highlight w:val="none"/>
                <w:lang w:val="en-US" w:eastAsia="zh-CN"/>
              </w:rPr>
              <w:t>python</w:t>
            </w:r>
            <w:r>
              <w:rPr>
                <w:rFonts w:hint="eastAsia" w:ascii="仿宋_GB2312" w:hAnsi="仿宋_GB2312" w:eastAsia="仿宋_GB2312" w:cs="仿宋_GB2312"/>
                <w:color w:val="auto"/>
                <w:sz w:val="24"/>
                <w:szCs w:val="24"/>
                <w:highlight w:val="none"/>
              </w:rPr>
              <w:t>。</w:t>
            </w:r>
          </w:p>
          <w:p w14:paraId="1BA10DA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w:t>
            </w:r>
            <w:r>
              <w:rPr>
                <w:rFonts w:hint="eastAsia" w:ascii="仿宋_GB2312" w:hAnsi="仿宋_GB2312" w:eastAsia="仿宋_GB2312" w:cs="仿宋_GB2312"/>
                <w:color w:val="auto"/>
                <w:sz w:val="24"/>
                <w:szCs w:val="24"/>
                <w:highlight w:val="none"/>
                <w:lang w:val="en-US" w:eastAsia="zh-CN"/>
              </w:rPr>
              <w:t>python</w:t>
            </w:r>
            <w:r>
              <w:rPr>
                <w:rFonts w:hint="eastAsia" w:ascii="仿宋_GB2312" w:hAnsi="仿宋_GB2312" w:eastAsia="仿宋_GB2312" w:cs="仿宋_GB2312"/>
                <w:color w:val="auto"/>
                <w:sz w:val="24"/>
                <w:szCs w:val="24"/>
                <w:highlight w:val="none"/>
              </w:rPr>
              <w:t>基础结构与开发流程。</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lang w:val="en-US" w:eastAsia="zh-CN"/>
              </w:rPr>
              <w:t>单元 1：数据可视化概述</w:t>
            </w:r>
            <w:r>
              <w:rPr>
                <w:rFonts w:hint="eastAsia" w:ascii="仿宋_GB2312" w:hAnsi="仿宋_GB2312" w:eastAsia="仿宋_GB2312" w:cs="仿宋_GB2312"/>
                <w:color w:val="auto"/>
                <w:sz w:val="24"/>
                <w:szCs w:val="24"/>
                <w:highlight w:val="none"/>
              </w:rPr>
              <w:t>：</w:t>
            </w:r>
          </w:p>
        </w:tc>
        <w:tc>
          <w:tcPr>
            <w:tcW w:w="3253" w:type="dxa"/>
            <w:shd w:val="clear" w:color="auto" w:fill="auto"/>
            <w:vAlign w:val="top"/>
          </w:tcPr>
          <w:p w14:paraId="1BAEE8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内容：大数据行业认知，python基础入门，python基础语法，python运算符及简单表达式，if-else，for，while 循环综合应用</w:t>
            </w:r>
            <w:r>
              <w:rPr>
                <w:rFonts w:hint="eastAsia" w:ascii="仿宋_GB2312" w:hAnsi="仿宋_GB2312" w:eastAsia="仿宋_GB2312" w:cs="仿宋_GB2312"/>
                <w:color w:val="auto"/>
                <w:sz w:val="24"/>
                <w:szCs w:val="24"/>
                <w:highlight w:val="none"/>
                <w:lang w:eastAsia="zh-CN"/>
              </w:rPr>
              <w:t>，</w:t>
            </w:r>
            <w:r>
              <w:rPr>
                <w:rFonts w:hint="eastAsia" w:ascii="仿宋_GB2312" w:hAnsi="仿宋_GB2312" w:eastAsia="仿宋_GB2312" w:cs="仿宋_GB2312"/>
                <w:color w:val="auto"/>
                <w:sz w:val="24"/>
                <w:szCs w:val="24"/>
                <w:highlight w:val="none"/>
              </w:rPr>
              <w:t>数据处理基础。</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20</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6D4EFA49">
      <w:pPr>
        <w:pageBreakBefore w:val="0"/>
        <w:widowControl/>
        <w:wordWrap/>
        <w:overflowPunct w:val="0"/>
        <w:autoSpaceDE w:val="0"/>
        <w:autoSpaceDN w:val="0"/>
        <w:bidi w:val="0"/>
        <w:adjustRightInd w:val="0"/>
        <w:snapToGrid w:val="0"/>
        <w:textAlignment w:val="baseline"/>
        <w:rPr>
          <w:color w:val="auto"/>
          <w:highlight w:val="none"/>
        </w:rPr>
      </w:pP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数据可视化开发工程师、数据分析师等）、全国职业院校技能大赛大数据技术赛项标准及1+X大数据工程技术人员（初级）职业技能等级证书标准，确保考核内容与岗位需求、竞赛要求、证书考点精准对接。核心考核维度包括：职业素养（规范操作、责任意识、团队协作）、专业知识</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数据可视化概述）到项目实战（农村电商大屏、综合案例）的纵向进步，记录学生技能提升轨迹，激发学生学习内生动力。结合专业课程特点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任务完成情况、课堂表现（小组讨论、问题回答、实操展示），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评价方式：结合课程实操性特点，多样化开展评价。过程性评价具体包括：课堂提问、作业完成情况、阶段测验、实训任务、课堂表现。终结性评价采用“综合项目答辩+技能实操”形式（各占终结性评价50%）。</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技能水平、工作成果、职业素养、学习态度与团队协作。明确各评价指标评分标准，如可视化编程技能重点考核代码正确性、规范性及优化能力，项目成果重点考核流程完整性、可视化效果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1. 完成课前预习任务，预习时长达标（8-10分）；2. 部分完成预习任务，时长基本达标（5-7分）；3. 未完成预习任务（0-4分）</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熟练完成E实操，步骤规范、无错误，符合可视化设计规范（12-15分）；2.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能灵活运用解决实操问题，思路清晰，能优化图（12-15分）；2.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1. 按时提交编程作业、实训报告，内容完整、代码规范，图表效果达标（8-10分）；2. 提交作业与报告，基本符合要求（5-7分）；3. 未提交或提交内容不合格</w:t>
            </w:r>
            <w:r>
              <w:rPr>
                <w:rFonts w:hint="eastAsia" w:ascii="仿宋_GB2312" w:hAnsi="仿宋_GB2312" w:eastAsia="仿宋_GB2312" w:cs="仿宋_GB2312"/>
                <w:color w:val="auto"/>
                <w:spacing w:val="-9"/>
                <w:sz w:val="24"/>
                <w:szCs w:val="24"/>
                <w:highlight w:val="none"/>
                <w:lang w:val="en-US" w:eastAsia="zh-CN"/>
              </w:rPr>
              <w:t>（0-4分）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作业贴合企业数据岗位实际需求，代码可复用、逻辑严谨，图表设计符合行业规范（8-10分）；2.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从课程入门到项目实战，技能提升显著，能自主优化可视化实操方案、提升图表效果（6-7分）；2.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综合项目成果优秀，贴合企业岗位标准（6-7分）；2.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1. 主动拓展相关技术（，能创新优化可视化实操方法（6分）；2.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以江西现代职业技术学院大数据技术专业人才培养方案为核心，明确“岗课赛证”深度融合为教学主线，采用“项目驱动+线上线下混合”双核心教学模式，立足大数据行业数据可视化岗位需求，对接全国职业院校技能大赛大数据技术赛项标准及1+X大数据工程技术人员（初级）职业技能等级证书考点，结合主选教材《大数据技术基础（第2版）》（林子雨主编）及参考教材《大数据认知与实践入门》《计算机基础实操教程》的核心认知内容，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对照主选教材《大数据技术基础（第2版）》（林子雨主编）的章节编排，结合参考教材相关内容，将数据可视化概述实习模块拆解为贴合岗位认知能力的若干子任务，明确每个子任务的完成标准、时间节点与认知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为江西现代职业技术学院大数据技术专业核心实践环节，实践学时占比超60%，实践教学以“贴合岗位实际、深化校企协同、衔接教材认知”为核心原则，明确实践目标与要求，丰富实施形式，结合学校现有实训条件，确保实践教学与大数据数据可视化岗位需求无缝接轨，同时落实主选教材《大数据技术基础（第2版）》（林子雨主编）及参考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可视化全流程（含海量数据处理、多场景图表开发、可视化大屏搭建），弥补真实项目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数据可视化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数据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（3）学科竞赛：组织学生参与全国职业院校技能大赛大数据技术赛项、省级大数据竞赛，以赛促学，强化教材核心技能的灵活运用；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（4）创新创业项目：指导学生开展大数据创新创业项目、校园大数据项目，结合教材综合项目内容，培养创新思维与项目开发能力；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（2）参与企业真实创新创业项目并取得阶段性成果（如项目报告、可落地的数据可视化方案）的学生，可认定本课程实践环节满分；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林子雨主编《大数据技术基础（第2版）》，贴合本实习数据可视化概述核心教学内容，编排贴合高职认知规律，案例丰富，符合高职“做中学、学中做”的教学理念，同时衔接1+X大数据工程技术人员职业技能等级证书考点，是本实习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大数据认知与实践入门》《计算机基础实操教程》，作为主选教材的补充，提供更多大数据认知、计算机基础及数据可视化相关案例与实操指导，助力学生深化实践感知能力，贴合企业数据可视化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w:t>
      </w:r>
      <w:r>
        <w:rPr>
          <w:rFonts w:hint="eastAsia"/>
          <w:color w:val="auto"/>
          <w:highlight w:val="none"/>
          <w:lang w:val="en-US" w:eastAsia="zh-CN"/>
        </w:rPr>
        <w:t>大数据技术基础（第2版）</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w:t>
      </w:r>
      <w:r>
        <w:rPr>
          <w:rFonts w:hint="eastAsia"/>
          <w:color w:val="auto"/>
          <w:highlight w:val="none"/>
          <w:lang w:val="en-US" w:eastAsia="zh-CN"/>
        </w:rPr>
        <w:t>大数据认知与实践入门</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大数据技术基础（第2版）</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主选教材（林子雨主编）</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大数据认知与实践入门</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（2）在线课程资源：智慧职教平台、中国大学MOOC相关课程，供学生自主拓展学习，补充课堂教学内容；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（3）实操资源：学校大数据教学云平台、虚拟仿真实训系统，提供E实训环境，支持学生在线完成实操训练，规避真实项目部署风险；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hint="eastAsia" w:ascii="宋体" w:hAnsi="宋体" w:eastAsia="宋体" w:cs="宋体"/>
                <w:snapToGrid w:val="0"/>
                <w:color w:val="auto"/>
                <w:kern w:val="0"/>
                <w:sz w:val="24"/>
                <w:szCs w:val="24"/>
                <w:highlight w:val="none"/>
                <w:lang w:val="en-US" w:eastAsia="zh-CN" w:bidi="ar"/>
              </w:rPr>
              <w:t>管理服务器1台、计算服务器3台、大数据服务器2台、大数据显示系统2台、电脑49台、48口交换机1台、8口交换机1台、POE交换机1台、室内无线AP1台，安装Hadoop、Python、Spark等大数据框架及Python开发工具，配套在线大数据教学实训平台、二节点一体化高密度大数据超融合平台等软件平台[1]。</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宋体" w:hAnsi="宋体" w:eastAsia="宋体" w:cs="宋体"/>
                <w:snapToGrid w:val="0"/>
                <w:color w:val="auto"/>
                <w:kern w:val="0"/>
                <w:sz w:val="24"/>
                <w:szCs w:val="24"/>
                <w:highlight w:val="none"/>
                <w:lang w:val="en-US" w:eastAsia="zh-CN" w:bidi="ar"/>
              </w:rPr>
              <w:t>开展Python环境搭建、基础语法实操、大数据基础处理演示与观摩等核心认知训练，支撑教材基础实操任务与综合项目实训，同时为技能竞赛训练提供场地支持，贴合本实习“认知启蒙、实践感知”的核心定位。</w:t>
            </w: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top"/>
          </w:tcPr>
          <w:p w14:paraId="5423F9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000000"/>
                <w:kern w:val="0"/>
                <w:sz w:val="20"/>
                <w:szCs w:val="20"/>
                <w:lang w:val="en-US" w:eastAsia="zh-CN" w:bidi="ar"/>
              </w:rPr>
              <w:t>开展企业真实项目观摩、跟岗观摩，聚焦Python大数据处理、基础数据分析等岗位，由企业导师指导学生了解Python技术在大数据处理中的应用，实现“岗课融合”，贴合本实习认知定位。</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top"/>
          </w:tcPr>
          <w:p w14:paraId="3005B9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000000"/>
                <w:kern w:val="0"/>
                <w:sz w:val="20"/>
                <w:szCs w:val="20"/>
                <w:lang w:val="en-US" w:eastAsia="zh-CN" w:bidi="ar"/>
              </w:rPr>
              <w:t>开展Python技术专项观摩、创新创业项目认知，引入企业真实Python大数据项目，培养学生项目认知与创新意识，同时为优秀学生提供定向就业推荐，衔接实习拓展教学要求。</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B61E1B0">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bookmarkStart w:id="26" w:name="_Toc24803"/>
      <w:r>
        <w:rPr>
          <w:color w:val="auto"/>
          <w:highlight w:val="none"/>
        </w:rPr>
        <w:t>（二）师资队伍</w:t>
      </w:r>
      <w:bookmarkEnd w:id="25"/>
    </w:p>
    <w:p w14:paraId="04EDC6C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6AD33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4F0179C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专业背景：具备计算机类、大数据类相关专业本科及以上学历，深入理解林子雨主编《大数据技术基础（第2版）》教材体系与知识点；</w:t>
      </w:r>
    </w:p>
    <w:p w14:paraId="3D6136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02C49C5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637032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679894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50F5F08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选聘标准：来自大数据相关企业，具备5年以上项目实操经验，具备良好的沟通表达能力与教学意愿，熟悉企业岗位规范，能够结合自身工作经验补充教材中的企业实际应用内容；</w:t>
      </w:r>
    </w:p>
    <w:p w14:paraId="6D916FE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1A1A34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（2）功能：覆具备计算机类、大数据类相关专业本科及以上学历，深入理解林子雨主编《大数据技术基础（第2版）》教材体系与知识点；</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（3）设备配置：配备高性能分布式服务器集群、GPU工作站、实训一体机等设备，安装E大数据相关软件，设备总数满足教学需求，定期更新维护，确保与企业技术同步；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Align w:val="center"/>
          </w:tcPr>
          <w:p w14:paraId="4902E3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认识实习</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认识实习</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20</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5</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6</w:t>
      </w:r>
      <w:r>
        <w:rPr>
          <w:b/>
          <w:bCs/>
          <w:color w:val="auto"/>
          <w:spacing w:val="0"/>
          <w:sz w:val="24"/>
          <w:szCs w:val="24"/>
          <w:highlight w:val="none"/>
        </w:rPr>
        <w:t>学年第</w:t>
      </w:r>
      <w:r>
        <w:rPr>
          <w:rFonts w:hint="eastAsia"/>
          <w:color w:val="auto"/>
          <w:spacing w:val="0"/>
          <w:sz w:val="24"/>
          <w:szCs w:val="24"/>
          <w:highlight w:val="none"/>
          <w:lang w:val="en-US" w:eastAsia="zh-CN"/>
        </w:rPr>
        <w:t>1</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认识实习</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5</w:t>
      </w:r>
      <w:bookmarkStart w:id="29" w:name="_GoBack"/>
      <w:bookmarkEnd w:id="29"/>
      <w:r>
        <w:rPr>
          <w:rFonts w:hint="eastAsia"/>
          <w:b/>
          <w:bCs/>
          <w:color w:val="auto"/>
          <w:spacing w:val="0"/>
          <w:sz w:val="24"/>
          <w:szCs w:val="24"/>
          <w:highlight w:val="none"/>
          <w:lang w:val="en-US" w:eastAsia="zh-CN"/>
        </w:rPr>
        <w:t>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45</w:t>
      </w:r>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center"/>
              <w:rPr>
                <w:rFonts w:hint="eastAsia"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5</w:t>
            </w:r>
          </w:p>
        </w:tc>
        <w:tc>
          <w:tcPr>
            <w:tcW w:w="585" w:type="dxa"/>
            <w:tcBorders>
              <w:tl2br w:val="nil"/>
              <w:tr2bl w:val="nil"/>
            </w:tcBorders>
            <w:shd w:val="clear" w:color="auto" w:fill="auto"/>
            <w:vAlign w:val="top"/>
          </w:tcPr>
          <w:p w14:paraId="33381B3F">
            <w:pPr>
              <w:spacing w:before="120" w:after="120" w:line="288" w:lineRule="auto"/>
              <w:ind w:left="0"/>
              <w:jc w:val="left"/>
              <w:rPr>
                <w:color w:val="auto"/>
                <w:highlight w:val="none"/>
              </w:rPr>
            </w:pPr>
            <w:r>
              <w:rPr>
                <w:rFonts w:ascii="Arial" w:hAnsi="Arial" w:eastAsia="等线" w:cs="Arial"/>
                <w:color w:val="auto"/>
                <w:sz w:val="22"/>
                <w:highlight w:val="none"/>
              </w:rPr>
              <w:t>1</w:t>
            </w:r>
          </w:p>
          <w:p w14:paraId="4505E605">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1178" w:type="dxa"/>
            <w:tcBorders>
              <w:tl2br w:val="nil"/>
              <w:tr2bl w:val="nil"/>
            </w:tcBorders>
            <w:shd w:val="clear" w:color="auto" w:fill="auto"/>
            <w:vAlign w:val="top"/>
          </w:tcPr>
          <w:p w14:paraId="36689C77">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周一12</w:t>
            </w:r>
          </w:p>
        </w:tc>
        <w:tc>
          <w:tcPr>
            <w:tcW w:w="3335" w:type="dxa"/>
            <w:tcBorders>
              <w:tl2br w:val="nil"/>
              <w:tr2bl w:val="nil"/>
            </w:tcBorders>
            <w:shd w:val="clear" w:color="auto" w:fill="auto"/>
            <w:vAlign w:val="top"/>
          </w:tcPr>
          <w:p w14:paraId="5CBCA99F">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sz w:val="22"/>
                <w:lang w:val="en-US" w:eastAsia="zh-CN"/>
              </w:rPr>
              <w:t>认识实习</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sz w:val="22"/>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大数据实训中心</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57C1C22">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1178" w:type="dxa"/>
            <w:tcBorders>
              <w:tl2br w:val="nil"/>
              <w:tr2bl w:val="nil"/>
            </w:tcBorders>
            <w:shd w:val="clear" w:color="auto" w:fill="auto"/>
            <w:vAlign w:val="top"/>
          </w:tcPr>
          <w:p w14:paraId="0E674FED">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周一34</w:t>
            </w:r>
          </w:p>
        </w:tc>
        <w:tc>
          <w:tcPr>
            <w:tcW w:w="3335" w:type="dxa"/>
            <w:tcBorders>
              <w:tl2br w:val="nil"/>
              <w:tr2bl w:val="nil"/>
            </w:tcBorders>
            <w:shd w:val="clear" w:color="auto" w:fill="auto"/>
            <w:vAlign w:val="top"/>
          </w:tcPr>
          <w:p w14:paraId="5FE4A217">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Python语法基础</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大数据实训中心</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4EE2AC5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w:t>
            </w:r>
          </w:p>
        </w:tc>
        <w:tc>
          <w:tcPr>
            <w:tcW w:w="1178" w:type="dxa"/>
            <w:tcBorders>
              <w:tl2br w:val="nil"/>
              <w:tr2bl w:val="nil"/>
            </w:tcBorders>
            <w:shd w:val="clear" w:color="auto" w:fill="auto"/>
            <w:vAlign w:val="top"/>
          </w:tcPr>
          <w:p w14:paraId="4B22799C">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周一56</w:t>
            </w:r>
          </w:p>
        </w:tc>
        <w:tc>
          <w:tcPr>
            <w:tcW w:w="3335" w:type="dxa"/>
            <w:tcBorders>
              <w:tl2br w:val="nil"/>
              <w:tr2bl w:val="nil"/>
            </w:tcBorders>
            <w:shd w:val="clear" w:color="auto" w:fill="auto"/>
            <w:vAlign w:val="top"/>
          </w:tcPr>
          <w:p w14:paraId="6896BE0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hint="eastAsia" w:eastAsia="等线" w:cs="Arial"/>
                <w:sz w:val="22"/>
                <w:lang w:val="en-US" w:eastAsia="zh-CN"/>
              </w:rPr>
              <w:t>操作符</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43AD70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67E34B7">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030B18D0">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4</w:t>
            </w:r>
          </w:p>
        </w:tc>
        <w:tc>
          <w:tcPr>
            <w:tcW w:w="1178" w:type="dxa"/>
            <w:tcBorders>
              <w:tl2br w:val="nil"/>
              <w:tr2bl w:val="nil"/>
            </w:tcBorders>
            <w:shd w:val="clear" w:color="auto" w:fill="auto"/>
            <w:vAlign w:val="top"/>
          </w:tcPr>
          <w:p w14:paraId="15AA6B7F">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周一78</w:t>
            </w:r>
          </w:p>
        </w:tc>
        <w:tc>
          <w:tcPr>
            <w:tcW w:w="3335" w:type="dxa"/>
            <w:tcBorders>
              <w:tl2br w:val="nil"/>
              <w:tr2bl w:val="nil"/>
            </w:tcBorders>
            <w:shd w:val="clear" w:color="auto" w:fill="auto"/>
            <w:vAlign w:val="top"/>
          </w:tcPr>
          <w:p w14:paraId="0B4729DE">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fi-else</w:t>
            </w:r>
          </w:p>
        </w:tc>
        <w:tc>
          <w:tcPr>
            <w:tcW w:w="1500" w:type="dxa"/>
            <w:tcBorders>
              <w:tl2br w:val="nil"/>
              <w:tr2bl w:val="nil"/>
            </w:tcBorders>
            <w:shd w:val="clear" w:color="auto" w:fill="auto"/>
            <w:vAlign w:val="top"/>
          </w:tcPr>
          <w:p w14:paraId="75AC982A">
            <w:pPr>
              <w:spacing w:before="120" w:after="120" w:line="288" w:lineRule="auto"/>
              <w:ind w:left="0" w:leftChars="0"/>
              <w:jc w:val="left"/>
              <w:rPr>
                <w:rFonts w:ascii="Arial" w:hAnsi="Arial" w:eastAsia="等线" w:cs="Arial"/>
                <w:sz w:val="22"/>
              </w:rPr>
            </w:pPr>
            <w:r>
              <w:rPr>
                <w:rFonts w:ascii="Arial" w:hAnsi="Arial" w:eastAsia="等线" w:cs="Arial"/>
                <w:sz w:val="22"/>
              </w:rPr>
              <w:t>理论+案例</w:t>
            </w:r>
          </w:p>
        </w:tc>
        <w:tc>
          <w:tcPr>
            <w:tcW w:w="662" w:type="dxa"/>
            <w:tcBorders>
              <w:tl2br w:val="nil"/>
              <w:tr2bl w:val="nil"/>
            </w:tcBorders>
            <w:shd w:val="clear" w:color="auto" w:fill="auto"/>
            <w:vAlign w:val="top"/>
          </w:tcPr>
          <w:p w14:paraId="7A86DB59">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408F25CA">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0D9508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D2E8F63">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2821D636">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5</w:t>
            </w:r>
          </w:p>
        </w:tc>
        <w:tc>
          <w:tcPr>
            <w:tcW w:w="1178" w:type="dxa"/>
            <w:tcBorders>
              <w:tl2br w:val="nil"/>
              <w:tr2bl w:val="nil"/>
            </w:tcBorders>
            <w:shd w:val="clear" w:color="auto" w:fill="auto"/>
            <w:vAlign w:val="top"/>
          </w:tcPr>
          <w:p w14:paraId="4E645A89">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周二12</w:t>
            </w:r>
          </w:p>
        </w:tc>
        <w:tc>
          <w:tcPr>
            <w:tcW w:w="3335" w:type="dxa"/>
            <w:tcBorders>
              <w:tl2br w:val="nil"/>
              <w:tr2bl w:val="nil"/>
            </w:tcBorders>
            <w:shd w:val="clear" w:color="auto" w:fill="auto"/>
            <w:vAlign w:val="top"/>
          </w:tcPr>
          <w:p w14:paraId="357A3F49">
            <w:pPr>
              <w:spacing w:before="120" w:after="120" w:line="288" w:lineRule="auto"/>
              <w:ind w:left="0" w:leftChars="0"/>
              <w:jc w:val="left"/>
              <w:rPr>
                <w:rFonts w:hint="default" w:ascii="Arial" w:hAnsi="Arial" w:eastAsia="等线" w:cs="Arial"/>
                <w:sz w:val="22"/>
                <w:lang w:val="en-US" w:eastAsia="zh-CN"/>
              </w:rPr>
            </w:pPr>
            <w:r>
              <w:rPr>
                <w:rFonts w:hint="eastAsia" w:eastAsia="等线" w:cs="Arial"/>
                <w:sz w:val="22"/>
                <w:lang w:val="en-US" w:eastAsia="zh-CN"/>
              </w:rPr>
              <w:t>For-while</w:t>
            </w:r>
          </w:p>
        </w:tc>
        <w:tc>
          <w:tcPr>
            <w:tcW w:w="1500" w:type="dxa"/>
            <w:tcBorders>
              <w:tl2br w:val="nil"/>
              <w:tr2bl w:val="nil"/>
            </w:tcBorders>
            <w:shd w:val="clear" w:color="auto" w:fill="auto"/>
            <w:vAlign w:val="top"/>
          </w:tcPr>
          <w:p w14:paraId="1DD645B0">
            <w:pPr>
              <w:spacing w:before="120" w:after="120" w:line="288" w:lineRule="auto"/>
              <w:ind w:left="0" w:leftChars="0"/>
              <w:jc w:val="left"/>
              <w:rPr>
                <w:rFonts w:ascii="Arial" w:hAnsi="Arial" w:eastAsia="等线" w:cs="Arial"/>
                <w:sz w:val="22"/>
              </w:rPr>
            </w:pPr>
            <w:r>
              <w:rPr>
                <w:rFonts w:ascii="Arial" w:hAnsi="Arial" w:eastAsia="等线" w:cs="Arial"/>
                <w:sz w:val="22"/>
              </w:rPr>
              <w:t>理论+答疑</w:t>
            </w:r>
          </w:p>
        </w:tc>
        <w:tc>
          <w:tcPr>
            <w:tcW w:w="662" w:type="dxa"/>
            <w:tcBorders>
              <w:tl2br w:val="nil"/>
              <w:tr2bl w:val="nil"/>
            </w:tcBorders>
            <w:shd w:val="clear" w:color="auto" w:fill="auto"/>
            <w:vAlign w:val="top"/>
          </w:tcPr>
          <w:p w14:paraId="31A5A416">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31F1467D">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787D4D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68DDF26">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63403B25">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6</w:t>
            </w:r>
          </w:p>
        </w:tc>
        <w:tc>
          <w:tcPr>
            <w:tcW w:w="1178" w:type="dxa"/>
            <w:tcBorders>
              <w:tl2br w:val="nil"/>
              <w:tr2bl w:val="nil"/>
            </w:tcBorders>
            <w:shd w:val="clear" w:color="auto" w:fill="auto"/>
            <w:vAlign w:val="top"/>
          </w:tcPr>
          <w:p w14:paraId="79FB9423">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周二34</w:t>
            </w:r>
          </w:p>
        </w:tc>
        <w:tc>
          <w:tcPr>
            <w:tcW w:w="3335" w:type="dxa"/>
            <w:tcBorders>
              <w:tl2br w:val="nil"/>
              <w:tr2bl w:val="nil"/>
            </w:tcBorders>
            <w:shd w:val="clear" w:color="auto" w:fill="auto"/>
            <w:vAlign w:val="top"/>
          </w:tcPr>
          <w:p w14:paraId="0B15629E">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For</w:t>
            </w:r>
          </w:p>
        </w:tc>
        <w:tc>
          <w:tcPr>
            <w:tcW w:w="1500" w:type="dxa"/>
            <w:tcBorders>
              <w:tl2br w:val="nil"/>
              <w:tr2bl w:val="nil"/>
            </w:tcBorders>
            <w:shd w:val="clear" w:color="auto" w:fill="auto"/>
            <w:vAlign w:val="top"/>
          </w:tcPr>
          <w:p w14:paraId="32681679">
            <w:pPr>
              <w:spacing w:before="120" w:after="120" w:line="288" w:lineRule="auto"/>
              <w:ind w:left="0" w:leftChars="0"/>
              <w:jc w:val="left"/>
              <w:rPr>
                <w:rFonts w:ascii="Arial" w:hAnsi="Arial" w:eastAsia="等线" w:cs="Arial"/>
                <w:sz w:val="22"/>
              </w:rPr>
            </w:pPr>
            <w:r>
              <w:rPr>
                <w:rFonts w:ascii="Arial" w:hAnsi="Arial" w:eastAsia="等线" w:cs="Arial"/>
                <w:sz w:val="22"/>
              </w:rPr>
              <w:t>理论+实操</w:t>
            </w:r>
          </w:p>
        </w:tc>
        <w:tc>
          <w:tcPr>
            <w:tcW w:w="662" w:type="dxa"/>
            <w:tcBorders>
              <w:tl2br w:val="nil"/>
              <w:tr2bl w:val="nil"/>
            </w:tcBorders>
            <w:shd w:val="clear" w:color="auto" w:fill="auto"/>
            <w:vAlign w:val="top"/>
          </w:tcPr>
          <w:p w14:paraId="0E932F1D">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41D07263">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42FC8C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AF7487B">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07001697">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7</w:t>
            </w:r>
          </w:p>
        </w:tc>
        <w:tc>
          <w:tcPr>
            <w:tcW w:w="1178" w:type="dxa"/>
            <w:tcBorders>
              <w:tl2br w:val="nil"/>
              <w:tr2bl w:val="nil"/>
            </w:tcBorders>
            <w:shd w:val="clear" w:color="auto" w:fill="auto"/>
            <w:vAlign w:val="top"/>
          </w:tcPr>
          <w:p w14:paraId="5633BE49">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周三12</w:t>
            </w:r>
          </w:p>
        </w:tc>
        <w:tc>
          <w:tcPr>
            <w:tcW w:w="3335" w:type="dxa"/>
            <w:tcBorders>
              <w:tl2br w:val="nil"/>
              <w:tr2bl w:val="nil"/>
            </w:tcBorders>
            <w:shd w:val="clear" w:color="auto" w:fill="auto"/>
            <w:vAlign w:val="top"/>
          </w:tcPr>
          <w:p w14:paraId="68F83605">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While</w:t>
            </w:r>
          </w:p>
        </w:tc>
        <w:tc>
          <w:tcPr>
            <w:tcW w:w="1500" w:type="dxa"/>
            <w:tcBorders>
              <w:tl2br w:val="nil"/>
              <w:tr2bl w:val="nil"/>
            </w:tcBorders>
            <w:shd w:val="clear" w:color="auto" w:fill="auto"/>
            <w:vAlign w:val="top"/>
          </w:tcPr>
          <w:p w14:paraId="5D89E82C">
            <w:pPr>
              <w:spacing w:before="120" w:after="120" w:line="288" w:lineRule="auto"/>
              <w:ind w:left="0" w:leftChars="0"/>
              <w:jc w:val="left"/>
              <w:rPr>
                <w:rFonts w:ascii="Arial" w:hAnsi="Arial" w:eastAsia="等线" w:cs="Arial"/>
                <w:sz w:val="22"/>
              </w:rPr>
            </w:pPr>
            <w:r>
              <w:rPr>
                <w:rFonts w:ascii="Arial" w:hAnsi="Arial" w:eastAsia="等线" w:cs="Arial"/>
                <w:sz w:val="22"/>
              </w:rPr>
              <w:t>理论+案例</w:t>
            </w:r>
          </w:p>
        </w:tc>
        <w:tc>
          <w:tcPr>
            <w:tcW w:w="662" w:type="dxa"/>
            <w:tcBorders>
              <w:tl2br w:val="nil"/>
              <w:tr2bl w:val="nil"/>
            </w:tcBorders>
            <w:shd w:val="clear" w:color="auto" w:fill="auto"/>
            <w:vAlign w:val="top"/>
          </w:tcPr>
          <w:p w14:paraId="3ABFCBEF">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6365F5F3">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6A3B60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CB93C86">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6740687A">
            <w:pPr>
              <w:spacing w:before="120" w:after="120" w:line="288" w:lineRule="auto"/>
              <w:ind w:left="0" w:leftChars="0"/>
              <w:jc w:val="left"/>
              <w:rPr>
                <w:rFonts w:hint="default" w:eastAsia="等线" w:cs="Arial"/>
                <w:color w:val="auto"/>
                <w:sz w:val="22"/>
                <w:highlight w:val="none"/>
                <w:lang w:val="en-US" w:eastAsia="zh-CN"/>
              </w:rPr>
            </w:pPr>
            <w:r>
              <w:rPr>
                <w:rFonts w:hint="eastAsia" w:eastAsia="等线" w:cs="Arial"/>
                <w:color w:val="auto"/>
                <w:sz w:val="22"/>
                <w:highlight w:val="none"/>
                <w:lang w:val="en-US" w:eastAsia="zh-CN"/>
              </w:rPr>
              <w:t>8</w:t>
            </w:r>
          </w:p>
        </w:tc>
        <w:tc>
          <w:tcPr>
            <w:tcW w:w="1178" w:type="dxa"/>
            <w:tcBorders>
              <w:tl2br w:val="nil"/>
              <w:tr2bl w:val="nil"/>
            </w:tcBorders>
            <w:shd w:val="clear" w:color="auto" w:fill="auto"/>
            <w:vAlign w:val="top"/>
          </w:tcPr>
          <w:p w14:paraId="51F8F4D1">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周三34</w:t>
            </w:r>
          </w:p>
        </w:tc>
        <w:tc>
          <w:tcPr>
            <w:tcW w:w="3335" w:type="dxa"/>
            <w:tcBorders>
              <w:tl2br w:val="nil"/>
              <w:tr2bl w:val="nil"/>
            </w:tcBorders>
            <w:shd w:val="clear" w:color="auto" w:fill="auto"/>
            <w:vAlign w:val="top"/>
          </w:tcPr>
          <w:p w14:paraId="3B57DBF8">
            <w:pPr>
              <w:spacing w:before="120" w:after="120" w:line="288" w:lineRule="auto"/>
              <w:ind w:left="0" w:leftChars="0"/>
              <w:jc w:val="left"/>
              <w:rPr>
                <w:rFonts w:hint="default" w:ascii="Arial" w:hAnsi="Arial" w:eastAsia="等线" w:cs="Arial"/>
                <w:sz w:val="22"/>
                <w:lang w:val="en-US" w:eastAsia="zh-CN"/>
              </w:rPr>
            </w:pPr>
            <w:r>
              <w:rPr>
                <w:rFonts w:hint="eastAsia" w:eastAsia="等线" w:cs="Arial"/>
                <w:sz w:val="22"/>
                <w:lang w:val="en-US" w:eastAsia="zh-CN"/>
              </w:rPr>
              <w:t>循环综合</w:t>
            </w:r>
          </w:p>
        </w:tc>
        <w:tc>
          <w:tcPr>
            <w:tcW w:w="1500" w:type="dxa"/>
            <w:tcBorders>
              <w:tl2br w:val="nil"/>
              <w:tr2bl w:val="nil"/>
            </w:tcBorders>
            <w:shd w:val="clear" w:color="auto" w:fill="auto"/>
            <w:vAlign w:val="top"/>
          </w:tcPr>
          <w:p w14:paraId="21176072">
            <w:pPr>
              <w:spacing w:before="120" w:after="120" w:line="288" w:lineRule="auto"/>
              <w:ind w:left="0" w:leftChars="0"/>
              <w:jc w:val="left"/>
              <w:rPr>
                <w:rFonts w:ascii="Arial" w:hAnsi="Arial" w:eastAsia="等线" w:cs="Arial"/>
                <w:sz w:val="22"/>
              </w:rPr>
            </w:pPr>
            <w:r>
              <w:rPr>
                <w:rFonts w:ascii="Arial" w:hAnsi="Arial" w:eastAsia="等线" w:cs="Arial"/>
                <w:sz w:val="22"/>
              </w:rPr>
              <w:t>理论+答疑</w:t>
            </w:r>
          </w:p>
        </w:tc>
        <w:tc>
          <w:tcPr>
            <w:tcW w:w="662" w:type="dxa"/>
            <w:tcBorders>
              <w:tl2br w:val="nil"/>
              <w:tr2bl w:val="nil"/>
            </w:tcBorders>
            <w:shd w:val="clear" w:color="auto" w:fill="auto"/>
            <w:vAlign w:val="top"/>
          </w:tcPr>
          <w:p w14:paraId="1FB6E5F3">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1C039DA0">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5D9CD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63CD23A">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78F45A93">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9</w:t>
            </w:r>
          </w:p>
        </w:tc>
        <w:tc>
          <w:tcPr>
            <w:tcW w:w="1178" w:type="dxa"/>
            <w:tcBorders>
              <w:tl2br w:val="nil"/>
              <w:tr2bl w:val="nil"/>
            </w:tcBorders>
            <w:shd w:val="clear" w:color="auto" w:fill="auto"/>
            <w:vAlign w:val="top"/>
          </w:tcPr>
          <w:p w14:paraId="3781D669">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周三56</w:t>
            </w:r>
          </w:p>
        </w:tc>
        <w:tc>
          <w:tcPr>
            <w:tcW w:w="3335" w:type="dxa"/>
            <w:tcBorders>
              <w:tl2br w:val="nil"/>
              <w:tr2bl w:val="nil"/>
            </w:tcBorders>
            <w:shd w:val="clear" w:color="auto" w:fill="auto"/>
            <w:vAlign w:val="top"/>
          </w:tcPr>
          <w:p w14:paraId="51E35494">
            <w:pPr>
              <w:spacing w:before="120" w:after="120" w:line="288" w:lineRule="auto"/>
              <w:ind w:left="0" w:leftChars="0"/>
              <w:jc w:val="left"/>
              <w:rPr>
                <w:rFonts w:hint="default" w:ascii="Arial" w:hAnsi="Arial" w:eastAsia="等线" w:cs="Arial"/>
                <w:sz w:val="22"/>
                <w:lang w:val="en-US" w:eastAsia="zh-CN"/>
              </w:rPr>
            </w:pPr>
            <w:r>
              <w:rPr>
                <w:rFonts w:hint="eastAsia" w:eastAsia="等线" w:cs="Arial"/>
                <w:sz w:val="22"/>
                <w:lang w:val="en-US" w:eastAsia="zh-CN"/>
              </w:rPr>
              <w:t>循环综合</w:t>
            </w:r>
          </w:p>
        </w:tc>
        <w:tc>
          <w:tcPr>
            <w:tcW w:w="1500" w:type="dxa"/>
            <w:tcBorders>
              <w:tl2br w:val="nil"/>
              <w:tr2bl w:val="nil"/>
            </w:tcBorders>
            <w:shd w:val="clear" w:color="auto" w:fill="auto"/>
            <w:vAlign w:val="top"/>
          </w:tcPr>
          <w:p w14:paraId="6D48CB2F">
            <w:pPr>
              <w:spacing w:before="120" w:after="120" w:line="288" w:lineRule="auto"/>
              <w:ind w:left="0" w:leftChars="0"/>
              <w:jc w:val="left"/>
              <w:rPr>
                <w:rFonts w:ascii="Arial" w:hAnsi="Arial" w:eastAsia="等线" w:cs="Arial"/>
                <w:sz w:val="22"/>
              </w:rPr>
            </w:pPr>
            <w:r>
              <w:rPr>
                <w:rFonts w:ascii="Arial" w:hAnsi="Arial" w:eastAsia="等线" w:cs="Arial"/>
                <w:sz w:val="22"/>
              </w:rPr>
              <w:t>理论+实操</w:t>
            </w:r>
          </w:p>
        </w:tc>
        <w:tc>
          <w:tcPr>
            <w:tcW w:w="662" w:type="dxa"/>
            <w:tcBorders>
              <w:tl2br w:val="nil"/>
              <w:tr2bl w:val="nil"/>
            </w:tcBorders>
            <w:shd w:val="clear" w:color="auto" w:fill="auto"/>
            <w:vAlign w:val="top"/>
          </w:tcPr>
          <w:p w14:paraId="7505B7B9">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5F10424E">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15D39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5AF408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1F0BF44F">
            <w:pPr>
              <w:spacing w:before="120" w:after="120" w:line="288" w:lineRule="auto"/>
              <w:ind w:left="0" w:leftChars="0"/>
              <w:jc w:val="left"/>
              <w:rPr>
                <w:rFonts w:hint="default" w:eastAsia="等线" w:cs="Arial"/>
                <w:color w:val="auto"/>
                <w:sz w:val="22"/>
                <w:highlight w:val="none"/>
                <w:lang w:val="en-US" w:eastAsia="zh-CN"/>
              </w:rPr>
            </w:pPr>
            <w:r>
              <w:rPr>
                <w:rFonts w:hint="eastAsia" w:eastAsia="等线" w:cs="Arial"/>
                <w:color w:val="auto"/>
                <w:sz w:val="22"/>
                <w:highlight w:val="none"/>
                <w:lang w:val="en-US" w:eastAsia="zh-CN"/>
              </w:rPr>
              <w:t>10</w:t>
            </w:r>
          </w:p>
        </w:tc>
        <w:tc>
          <w:tcPr>
            <w:tcW w:w="1178" w:type="dxa"/>
            <w:tcBorders>
              <w:tl2br w:val="nil"/>
              <w:tr2bl w:val="nil"/>
            </w:tcBorders>
            <w:shd w:val="clear" w:color="auto" w:fill="auto"/>
            <w:vAlign w:val="top"/>
          </w:tcPr>
          <w:p w14:paraId="360AB910">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周三78</w:t>
            </w:r>
          </w:p>
        </w:tc>
        <w:tc>
          <w:tcPr>
            <w:tcW w:w="3335" w:type="dxa"/>
            <w:tcBorders>
              <w:tl2br w:val="nil"/>
              <w:tr2bl w:val="nil"/>
            </w:tcBorders>
            <w:shd w:val="clear" w:color="auto" w:fill="auto"/>
            <w:vAlign w:val="top"/>
          </w:tcPr>
          <w:p w14:paraId="384EBA4F">
            <w:pPr>
              <w:spacing w:before="120" w:after="120" w:line="288" w:lineRule="auto"/>
              <w:ind w:left="0" w:leftChars="0"/>
              <w:jc w:val="left"/>
              <w:rPr>
                <w:rFonts w:ascii="Arial" w:hAnsi="Arial" w:eastAsia="等线" w:cs="Arial"/>
                <w:sz w:val="22"/>
              </w:rPr>
            </w:pPr>
            <w:r>
              <w:rPr>
                <w:rFonts w:hint="eastAsia" w:eastAsia="等线" w:cs="Arial"/>
                <w:sz w:val="22"/>
                <w:lang w:val="en-US" w:eastAsia="zh-CN"/>
              </w:rPr>
              <w:t>数据处理基础</w:t>
            </w:r>
          </w:p>
        </w:tc>
        <w:tc>
          <w:tcPr>
            <w:tcW w:w="1500" w:type="dxa"/>
            <w:tcBorders>
              <w:tl2br w:val="nil"/>
              <w:tr2bl w:val="nil"/>
            </w:tcBorders>
            <w:shd w:val="clear" w:color="auto" w:fill="auto"/>
            <w:vAlign w:val="top"/>
          </w:tcPr>
          <w:p w14:paraId="13889A3A">
            <w:pPr>
              <w:spacing w:before="120" w:after="120" w:line="288" w:lineRule="auto"/>
              <w:ind w:left="0" w:leftChars="0"/>
              <w:jc w:val="left"/>
              <w:rPr>
                <w:rFonts w:ascii="Arial" w:hAnsi="Arial" w:eastAsia="等线" w:cs="Arial"/>
                <w:sz w:val="22"/>
              </w:rPr>
            </w:pPr>
            <w:r>
              <w:rPr>
                <w:rFonts w:ascii="Arial" w:hAnsi="Arial" w:eastAsia="等线" w:cs="Arial"/>
                <w:sz w:val="22"/>
              </w:rPr>
              <w:t>理论+实操</w:t>
            </w:r>
          </w:p>
        </w:tc>
        <w:tc>
          <w:tcPr>
            <w:tcW w:w="662" w:type="dxa"/>
            <w:tcBorders>
              <w:tl2br w:val="nil"/>
              <w:tr2bl w:val="nil"/>
            </w:tcBorders>
            <w:shd w:val="clear" w:color="auto" w:fill="auto"/>
            <w:vAlign w:val="top"/>
          </w:tcPr>
          <w:p w14:paraId="5FCBBD30">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0340C6AF">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bl>
    <w:p w14:paraId="6E17A5B5">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6BC94BB8">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82455D5-9F78-4322-AABC-29D05791C38D}"/>
  </w:font>
  <w:font w:name="黑体">
    <w:panose1 w:val="02010609060101010101"/>
    <w:charset w:val="86"/>
    <w:family w:val="auto"/>
    <w:pitch w:val="default"/>
    <w:sig w:usb0="800002BF" w:usb1="38CF7CFA" w:usb2="00000016" w:usb3="00000000" w:csb0="00040001" w:csb1="00000000"/>
    <w:embedRegular r:id="rId2" w:fontKey="{8E3C8EE9-B823-4B89-8FF9-1664298ADB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67187D5-EC06-4A47-9323-108D484E6682}"/>
  </w:font>
  <w:font w:name="仿宋">
    <w:panose1 w:val="02010609060101010101"/>
    <w:charset w:val="86"/>
    <w:family w:val="auto"/>
    <w:pitch w:val="default"/>
    <w:sig w:usb0="800002BF" w:usb1="38CF7CFA" w:usb2="00000016" w:usb3="00000000" w:csb0="00040001" w:csb1="00000000"/>
    <w:embedRegular r:id="rId4" w:fontKey="{E8A0AC1F-FB61-4A77-8BD6-050BB9955207}"/>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6462AAF9-6C9C-4DAA-848A-DDC92AD11418}"/>
  </w:font>
  <w:font w:name="方正大标宋简体">
    <w:panose1 w:val="02000000000000000000"/>
    <w:charset w:val="86"/>
    <w:family w:val="auto"/>
    <w:pitch w:val="default"/>
    <w:sig w:usb0="A00002BF" w:usb1="184F6CFA" w:usb2="00000012" w:usb3="00000000" w:csb0="00040001" w:csb1="00000000"/>
    <w:embedRegular r:id="rId6" w:fontKey="{5A9812E8-5FFF-4A18-8110-5BD13A4916CB}"/>
  </w:font>
  <w:font w:name="微软雅黑">
    <w:panose1 w:val="020B0503020204020204"/>
    <w:charset w:val="86"/>
    <w:family w:val="auto"/>
    <w:pitch w:val="default"/>
    <w:sig w:usb0="80000287" w:usb1="2ACF3C50" w:usb2="00000016" w:usb3="00000000" w:csb0="0004001F" w:csb1="00000000"/>
    <w:embedRegular r:id="rId7" w:fontKey="{8EDE4F61-0323-4D69-837C-48B1FD6BBE5E}"/>
  </w:font>
  <w:font w:name="等线">
    <w:panose1 w:val="02010600030101010101"/>
    <w:charset w:val="86"/>
    <w:family w:val="auto"/>
    <w:pitch w:val="default"/>
    <w:sig w:usb0="A00002BF" w:usb1="38CF7CFA" w:usb2="00000016" w:usb3="00000000" w:csb0="0004000F" w:csb1="00000000"/>
    <w:embedRegular r:id="rId8" w:fontKey="{6C61367D-60DB-43A6-B21E-80AB4D53A9C8}"/>
  </w:font>
  <w:font w:name="WPSEMBED7">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5C13C8"/>
    <w:rsid w:val="157D1577"/>
    <w:rsid w:val="15BC3411"/>
    <w:rsid w:val="16104199"/>
    <w:rsid w:val="16223ECC"/>
    <w:rsid w:val="16E72704"/>
    <w:rsid w:val="179060E4"/>
    <w:rsid w:val="17B84AE8"/>
    <w:rsid w:val="18EF10D4"/>
    <w:rsid w:val="196250D8"/>
    <w:rsid w:val="196F11D7"/>
    <w:rsid w:val="19E35721"/>
    <w:rsid w:val="1A644AB4"/>
    <w:rsid w:val="1A670100"/>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363A0C"/>
    <w:rsid w:val="227930C6"/>
    <w:rsid w:val="227E633A"/>
    <w:rsid w:val="22857CBD"/>
    <w:rsid w:val="232A43C0"/>
    <w:rsid w:val="24123354"/>
    <w:rsid w:val="24A97118"/>
    <w:rsid w:val="25FF7BB1"/>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415D89"/>
    <w:rsid w:val="2F6D2868"/>
    <w:rsid w:val="2F81180C"/>
    <w:rsid w:val="30FD4EC2"/>
    <w:rsid w:val="31570A76"/>
    <w:rsid w:val="31A31F0E"/>
    <w:rsid w:val="31AF2660"/>
    <w:rsid w:val="31BE6E53"/>
    <w:rsid w:val="324F5BF1"/>
    <w:rsid w:val="336779CB"/>
    <w:rsid w:val="340622E0"/>
    <w:rsid w:val="340A7BE9"/>
    <w:rsid w:val="341B38A7"/>
    <w:rsid w:val="34525525"/>
    <w:rsid w:val="349F56CD"/>
    <w:rsid w:val="34AE58A6"/>
    <w:rsid w:val="34E402F2"/>
    <w:rsid w:val="34E940DB"/>
    <w:rsid w:val="34F82570"/>
    <w:rsid w:val="35AD6EB7"/>
    <w:rsid w:val="35E84393"/>
    <w:rsid w:val="362353CB"/>
    <w:rsid w:val="36624145"/>
    <w:rsid w:val="36B13AD8"/>
    <w:rsid w:val="36B424C7"/>
    <w:rsid w:val="36BE50F4"/>
    <w:rsid w:val="36CE3589"/>
    <w:rsid w:val="370F2DC1"/>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206224"/>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4A7D98"/>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DB78D0"/>
    <w:rsid w:val="579E26AC"/>
    <w:rsid w:val="582232DD"/>
    <w:rsid w:val="5844018D"/>
    <w:rsid w:val="58484609"/>
    <w:rsid w:val="58727AFE"/>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E1869E9"/>
    <w:rsid w:val="5F5A335C"/>
    <w:rsid w:val="5FA62A45"/>
    <w:rsid w:val="5FF732A1"/>
    <w:rsid w:val="60255718"/>
    <w:rsid w:val="605E50CE"/>
    <w:rsid w:val="60D07D7A"/>
    <w:rsid w:val="60F15F42"/>
    <w:rsid w:val="60FD48E7"/>
    <w:rsid w:val="60FF065F"/>
    <w:rsid w:val="611A0FF5"/>
    <w:rsid w:val="62233AD9"/>
    <w:rsid w:val="62C97DCC"/>
    <w:rsid w:val="62D87F2F"/>
    <w:rsid w:val="63185A08"/>
    <w:rsid w:val="633A2357"/>
    <w:rsid w:val="63FA3360"/>
    <w:rsid w:val="64656A2B"/>
    <w:rsid w:val="64DB6F6D"/>
    <w:rsid w:val="651313E3"/>
    <w:rsid w:val="652470FF"/>
    <w:rsid w:val="6525440C"/>
    <w:rsid w:val="65424FBE"/>
    <w:rsid w:val="66372649"/>
    <w:rsid w:val="664233C6"/>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064FA0"/>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6F1223B"/>
    <w:rsid w:val="77420E4E"/>
    <w:rsid w:val="775D392F"/>
    <w:rsid w:val="78417081"/>
    <w:rsid w:val="787466AD"/>
    <w:rsid w:val="79002D6F"/>
    <w:rsid w:val="79251525"/>
    <w:rsid w:val="796F5A50"/>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9143</Words>
  <Characters>9594</Characters>
  <TotalTime>2</TotalTime>
  <ScaleCrop>false</ScaleCrop>
  <LinksUpToDate>false</LinksUpToDate>
  <CharactersWithSpaces>9786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