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67D1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26" w:lineRule="auto"/>
        <w:textAlignment w:val="baseline"/>
        <w:rPr>
          <w:rFonts w:hint="default" w:ascii="黑体" w:hAnsi="黑体" w:eastAsia="黑体" w:cs="黑体"/>
          <w:sz w:val="32"/>
          <w:szCs w:val="32"/>
          <w:highlight w:val="yellow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yellow"/>
          <w:lang w:val="en-US" w:eastAsia="zh-CN"/>
        </w:rPr>
        <w:t>按照：摘要、实施背景、主要做法、成果成效、经验总结、</w:t>
      </w:r>
      <w:r>
        <w:rPr>
          <w:rFonts w:hint="eastAsia" w:ascii="黑体" w:hAnsi="黑体" w:eastAsia="黑体" w:cs="黑体"/>
          <w:spacing w:val="7"/>
          <w:sz w:val="32"/>
          <w:szCs w:val="32"/>
          <w:highlight w:val="yellow"/>
        </w:rPr>
        <w:t>完成单位与完成人</w:t>
      </w:r>
      <w:r>
        <w:rPr>
          <w:rFonts w:hint="eastAsia" w:ascii="黑体" w:hAnsi="黑体" w:eastAsia="黑体" w:cs="黑体"/>
          <w:spacing w:val="7"/>
          <w:sz w:val="32"/>
          <w:szCs w:val="32"/>
          <w:highlight w:val="yellow"/>
          <w:lang w:val="en-US" w:eastAsia="zh-CN"/>
        </w:rPr>
        <w:t xml:space="preserve"> 等完成案例撰写。可参照以下模版：</w:t>
      </w:r>
    </w:p>
    <w:p w14:paraId="1A783E9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201" w:lineRule="auto"/>
        <w:ind w:left="2388"/>
        <w:textAlignment w:val="baseline"/>
        <w:rPr>
          <w:rFonts w:hint="default" w:ascii="方正小标宋简体" w:hAnsi="方正小标宋简体" w:eastAsia="方正小标宋简体" w:cs="方正小标宋简体"/>
          <w:sz w:val="43"/>
          <w:szCs w:val="43"/>
          <w:lang w:val="en-US" w:eastAsia="zh-CN"/>
        </w:rPr>
      </w:pPr>
      <w:bookmarkStart w:id="1" w:name="_GoBack"/>
      <w:bookmarkEnd w:id="1"/>
    </w:p>
    <w:p w14:paraId="03D21C8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3" w:line="201" w:lineRule="auto"/>
        <w:ind w:left="2388"/>
        <w:textAlignment w:val="baseline"/>
        <w:rPr>
          <w:rFonts w:ascii="方正小标宋简体" w:hAnsi="方正小标宋简体" w:eastAsia="方正小标宋简体" w:cs="方正小标宋简体"/>
          <w:sz w:val="43"/>
          <w:szCs w:val="43"/>
        </w:rPr>
      </w:pPr>
      <w:r>
        <w:rPr>
          <w:rFonts w:ascii="方正小标宋简体" w:hAnsi="方正小标宋简体" w:eastAsia="方正小标宋简体" w:cs="方正小标宋简体"/>
          <w:sz w:val="43"/>
          <w:szCs w:val="43"/>
        </w:rPr>
        <w:t>VR</w:t>
      </w:r>
      <w:r>
        <w:rPr>
          <w:rFonts w:ascii="方正小标宋简体" w:hAnsi="方正小标宋简体" w:eastAsia="方正小标宋简体" w:cs="方正小标宋简体"/>
          <w:spacing w:val="1"/>
          <w:sz w:val="43"/>
          <w:szCs w:val="43"/>
        </w:rPr>
        <w:t xml:space="preserve"> 赋能</w:t>
      </w:r>
      <w:r>
        <w:rPr>
          <w:rFonts w:ascii="方正小标宋简体" w:hAnsi="方正小标宋简体" w:eastAsia="方正小标宋简体" w:cs="方正小标宋简体"/>
          <w:spacing w:val="-33"/>
          <w:sz w:val="43"/>
          <w:szCs w:val="43"/>
        </w:rPr>
        <w:t xml:space="preserve"> </w:t>
      </w:r>
      <w:r>
        <w:rPr>
          <w:rFonts w:ascii="方正小标宋简体" w:hAnsi="方正小标宋简体" w:eastAsia="方正小标宋简体" w:cs="方正小标宋简体"/>
          <w:spacing w:val="1"/>
          <w:sz w:val="43"/>
          <w:szCs w:val="43"/>
        </w:rPr>
        <w:t>，文旅融合</w:t>
      </w:r>
    </w:p>
    <w:p w14:paraId="60F649A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199" w:lineRule="auto"/>
        <w:ind w:left="337"/>
        <w:textAlignment w:val="baseline"/>
        <w:rPr>
          <w:rFonts w:ascii="方正小标宋简体" w:hAnsi="方正小标宋简体" w:eastAsia="方正小标宋简体" w:cs="方正小标宋简体"/>
          <w:sz w:val="43"/>
          <w:szCs w:val="43"/>
        </w:rPr>
      </w:pPr>
      <w:r>
        <w:rPr>
          <w:rFonts w:ascii="方正小标宋简体" w:hAnsi="方正小标宋简体" w:eastAsia="方正小标宋简体" w:cs="方正小标宋简体"/>
          <w:spacing w:val="9"/>
          <w:sz w:val="43"/>
          <w:szCs w:val="43"/>
        </w:rPr>
        <w:t>—江西省现代服务业开放型区域产教融合</w:t>
      </w:r>
    </w:p>
    <w:p w14:paraId="46E5D3A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9" w:lineRule="auto"/>
        <w:ind w:left="2548"/>
        <w:textAlignment w:val="baseline"/>
        <w:rPr>
          <w:rFonts w:ascii="方正小标宋简体" w:hAnsi="方正小标宋简体" w:eastAsia="方正小标宋简体" w:cs="方正小标宋简体"/>
          <w:sz w:val="43"/>
          <w:szCs w:val="43"/>
        </w:rPr>
      </w:pPr>
      <w:r>
        <w:rPr>
          <w:rFonts w:ascii="方正小标宋简体" w:hAnsi="方正小标宋简体" w:eastAsia="方正小标宋简体" w:cs="方正小标宋简体"/>
          <w:spacing w:val="8"/>
          <w:sz w:val="43"/>
          <w:szCs w:val="43"/>
        </w:rPr>
        <w:t>实践中心建设路径</w:t>
      </w:r>
    </w:p>
    <w:p w14:paraId="644B533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6" w:line="219" w:lineRule="auto"/>
        <w:ind w:left="2717"/>
        <w:textAlignment w:val="baseline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pacing w:val="8"/>
          <w:sz w:val="31"/>
          <w:szCs w:val="31"/>
        </w:rPr>
        <w:t>江西</w:t>
      </w:r>
      <w:r>
        <w:rPr>
          <w:rFonts w:hint="eastAsia" w:ascii="KaiTi_GB2312" w:hAnsi="KaiTi_GB2312" w:eastAsia="KaiTi_GB2312" w:cs="KaiTi_GB2312"/>
          <w:spacing w:val="8"/>
          <w:sz w:val="31"/>
          <w:szCs w:val="31"/>
          <w:lang w:val="en-US" w:eastAsia="zh-CN"/>
        </w:rPr>
        <w:t>现代</w:t>
      </w:r>
      <w:r>
        <w:rPr>
          <w:rFonts w:ascii="KaiTi_GB2312" w:hAnsi="KaiTi_GB2312" w:eastAsia="KaiTi_GB2312" w:cs="KaiTi_GB2312"/>
          <w:spacing w:val="8"/>
          <w:sz w:val="31"/>
          <w:szCs w:val="31"/>
        </w:rPr>
        <w:t>职业</w:t>
      </w:r>
      <w:r>
        <w:rPr>
          <w:rFonts w:hint="eastAsia" w:ascii="KaiTi_GB2312" w:hAnsi="KaiTi_GB2312" w:eastAsia="KaiTi_GB2312" w:cs="KaiTi_GB2312"/>
          <w:spacing w:val="8"/>
          <w:sz w:val="31"/>
          <w:szCs w:val="31"/>
          <w:lang w:val="en-US" w:eastAsia="zh-CN"/>
        </w:rPr>
        <w:t>技术</w:t>
      </w:r>
      <w:r>
        <w:rPr>
          <w:rFonts w:ascii="KaiTi_GB2312" w:hAnsi="KaiTi_GB2312" w:eastAsia="KaiTi_GB2312" w:cs="KaiTi_GB2312"/>
          <w:spacing w:val="8"/>
          <w:sz w:val="31"/>
          <w:szCs w:val="31"/>
        </w:rPr>
        <w:t>学院</w:t>
      </w:r>
    </w:p>
    <w:p w14:paraId="2B34460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5" w:line="333" w:lineRule="auto"/>
        <w:ind w:left="152" w:firstLine="644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摘要：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为服务国家职业教育改革与江西省第二轮“双高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计划”建设，破解旅游实践教学中“场景受限、成本高、更新慢”的痛点，旅游管理专业群依托现代服务业开放型区域产教融合实践中心，以虚拟现实（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）技术为引擎，构建了“规划驱动、科技赋能、协同联动”三位一体建设模式。通过体系化布局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智能实训平台、打造沉浸式文化体验空间、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搭建智慧管理中枢、创新“双师”培养机制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，实现了“教、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学、做、创”的深度融合，为文旅复合型技能人才培养“金基地”建设输出了可复制的“江西方案”。</w:t>
      </w:r>
    </w:p>
    <w:p w14:paraId="571153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" w:line="226" w:lineRule="auto"/>
        <w:ind w:left="803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一、实施背景</w:t>
      </w:r>
    </w:p>
    <w:p w14:paraId="56DEC2F7">
      <w:pPr>
        <w:keepNext w:val="0"/>
        <w:keepLines w:val="0"/>
        <w:pageBreakBefore w:val="0"/>
        <w:widowControl/>
        <w:tabs>
          <w:tab w:val="left" w:pos="48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6" w:line="333" w:lineRule="auto"/>
        <w:ind w:left="155" w:firstLine="653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22"/>
          <w:sz w:val="31"/>
          <w:szCs w:val="31"/>
        </w:rPr>
        <w:t>为落实国家职业教育数字化战略行动及文旅产业智能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化转型要求，教育部在《教育信息化</w:t>
      </w:r>
      <w:r>
        <w:rPr>
          <w:rFonts w:ascii="FangSong_GB2312" w:hAnsi="FangSong_GB2312" w:eastAsia="FangSong_GB2312" w:cs="FangSong_GB2312"/>
          <w:spacing w:val="-4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2.0</w:t>
      </w:r>
      <w:r>
        <w:rPr>
          <w:rFonts w:ascii="FangSong_GB2312" w:hAnsi="FangSong_GB2312" w:eastAsia="FangSong_GB2312" w:cs="FangSong_GB2312"/>
          <w:spacing w:val="-6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行动计划》中明确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提出建设示范性虚拟仿真实训基地，推动信息技术与教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育教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学深度融合；文化和旅游部《“十四五”文化和旅游发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展规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划》则要求发展智慧旅游新业态，加速</w:t>
      </w:r>
      <w:r>
        <w:rPr>
          <w:rFonts w:ascii="FangSong_GB2312" w:hAnsi="FangSong_GB2312" w:eastAsia="FangSong_GB2312" w:cs="FangSong_GB2312"/>
          <w:spacing w:val="-3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5G、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等技术应用。</w:t>
      </w:r>
      <w:r>
        <w:rPr>
          <w:rFonts w:ascii="FangSong_GB2312" w:hAnsi="FangSong_GB2312" w:eastAsia="FangSong_GB2312" w:cs="FangSong_GB2312"/>
          <w:sz w:val="31"/>
          <w:szCs w:val="31"/>
        </w:rPr>
        <w:tab/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在此背景下，江西省“双高计划”重点支持职业院校深化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产教融合，着力破解传统旅游职业教育“场景复现难、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技术</w:t>
      </w:r>
      <w:r>
        <w:rPr>
          <w:rFonts w:ascii="FangSong_GB2312" w:hAnsi="FangSong_GB2312" w:eastAsia="FangSong_GB2312" w:cs="FangSong_GB2312"/>
          <w:spacing w:val="1"/>
          <w:sz w:val="31"/>
          <w:szCs w:val="31"/>
        </w:rPr>
        <w:t>迭代慢”等痛点。旅游管理专业群紧扣双高计</w:t>
      </w:r>
      <w:r>
        <w:rPr>
          <w:rFonts w:ascii="FangSong_GB2312" w:hAnsi="FangSong_GB2312" w:eastAsia="FangSong_GB2312" w:cs="FangSong_GB2312"/>
          <w:sz w:val="31"/>
          <w:szCs w:val="31"/>
        </w:rPr>
        <w:t>划“产教融合、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科技赋能、优质共享”</w:t>
      </w:r>
      <w:r>
        <w:rPr>
          <w:rFonts w:ascii="FangSong_GB2312" w:hAnsi="FangSong_GB2312" w:eastAsia="FangSong_GB2312" w:cs="FangSong_GB2312"/>
          <w:spacing w:val="-10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的核心要求，以省级现代服务业开放</w:t>
      </w:r>
      <w:r>
        <w:rPr>
          <w:rFonts w:ascii="FangSong_GB2312" w:hAnsi="FangSong_GB2312" w:eastAsia="FangSong_GB2312" w:cs="FangSong_GB2312"/>
          <w:spacing w:val="-2"/>
          <w:sz w:val="31"/>
          <w:szCs w:val="31"/>
        </w:rPr>
        <w:t>型区域产教融合实践中心（以下简称“</w:t>
      </w:r>
      <w:r>
        <w:rPr>
          <w:rFonts w:ascii="FangSong_GB2312" w:hAnsi="FangSong_GB2312" w:eastAsia="FangSong_GB2312" w:cs="FangSong_GB2312"/>
          <w:spacing w:val="-9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-2"/>
          <w:sz w:val="31"/>
          <w:szCs w:val="31"/>
        </w:rPr>
        <w:t>中心”）为关键载体，</w:t>
      </w:r>
    </w:p>
    <w:p w14:paraId="01B6455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3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pgSz w:w="11906" w:h="16839"/>
          <w:pgMar w:top="400" w:right="1704" w:bottom="686" w:left="1654" w:header="0" w:footer="374" w:gutter="0"/>
          <w:cols w:space="720" w:num="1"/>
        </w:sectPr>
      </w:pPr>
    </w:p>
    <w:p w14:paraId="3DAECC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49EC64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4F608D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15A48C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32B067E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line="332" w:lineRule="auto"/>
        <w:ind w:left="26" w:firstLine="13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重点推进</w:t>
      </w:r>
      <w:r>
        <w:rPr>
          <w:rFonts w:ascii="FangSong_GB2312" w:hAnsi="FangSong_GB2312" w:eastAsia="FangSong_GB2312" w:cs="FangSong_GB2312"/>
          <w:spacing w:val="-6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技术与文旅实训深度融合，着力构建虚实结合、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智能驱动且开放共享的国内一流文旅产教融合实践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基地，打造可推广的职业教育创新范式。</w:t>
      </w:r>
    </w:p>
    <w:p w14:paraId="0658A62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" w:line="228" w:lineRule="auto"/>
        <w:ind w:left="672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二、主要做法</w:t>
      </w:r>
    </w:p>
    <w:p w14:paraId="34AF900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0" w:line="333" w:lineRule="auto"/>
        <w:ind w:left="34" w:right="95" w:firstLine="670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中心以“虚实融合、场景驱动、智能赋能”为导向，围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绕文旅产业全链条岗位能力需求，构建“服务类、规划类、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综合类”三大</w:t>
      </w:r>
      <w:r>
        <w:rPr>
          <w:rFonts w:ascii="FangSong_GB2312" w:hAnsi="FangSong_GB2312" w:eastAsia="FangSong_GB2312" w:cs="FangSong_GB2312"/>
          <w:spacing w:val="-5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实训集群，通过</w:t>
      </w:r>
      <w:r>
        <w:rPr>
          <w:rFonts w:ascii="FangSong_GB2312" w:hAnsi="FangSong_GB2312" w:eastAsia="FangSong_GB2312" w:cs="FangSong_GB2312"/>
          <w:spacing w:val="-3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102</w:t>
      </w:r>
      <w:r>
        <w:rPr>
          <w:rFonts w:ascii="FangSong_GB2312" w:hAnsi="FangSong_GB2312" w:eastAsia="FangSong_GB2312" w:cs="FangSong_GB2312"/>
          <w:spacing w:val="-5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个智能化实训模块空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间，形成覆盖“操作—运营—管理—创新”全能力层级的沉浸式实训生态，实现教学场景从静态单点模拟向动态全链实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战的跨越升级。</w:t>
      </w:r>
    </w:p>
    <w:p w14:paraId="0F0960E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（一）复刻真实场景，锤炼岗位硬技能</w:t>
      </w:r>
    </w:p>
    <w:p w14:paraId="54B42E7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9" w:line="333" w:lineRule="auto"/>
        <w:ind w:left="19" w:right="6" w:firstLine="642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针对酒店前厅、高铁乘务、旅行社计调、智慧客房服务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等文旅核心服务岗位，专项建设</w:t>
      </w:r>
      <w:r>
        <w:rPr>
          <w:rFonts w:ascii="FangSong_GB2312" w:hAnsi="FangSong_GB2312" w:eastAsia="FangSong_GB2312" w:cs="FangSong_GB2312"/>
          <w:spacing w:val="-3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6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类</w:t>
      </w:r>
      <w:r>
        <w:rPr>
          <w:rFonts w:ascii="FangSong_GB2312" w:hAnsi="FangSong_GB2312" w:eastAsia="FangSong_GB2312" w:cs="FangSong_GB2312"/>
          <w:spacing w:val="-5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服务实训场馆，运</w:t>
      </w:r>
      <w:r>
        <w:rPr>
          <w:rFonts w:ascii="FangSong_GB2312" w:hAnsi="FangSong_GB2312" w:eastAsia="FangSong_GB2312" w:cs="FangSong_GB2312"/>
          <w:spacing w:val="3"/>
          <w:sz w:val="31"/>
          <w:szCs w:val="31"/>
        </w:rPr>
        <w:t>用高精度三维建模与仿真交互技术，1:1</w:t>
      </w:r>
      <w:r>
        <w:rPr>
          <w:rFonts w:ascii="FangSong_GB2312" w:hAnsi="FangSong_GB2312" w:eastAsia="FangSong_GB2312" w:cs="FangSong_GB2312"/>
          <w:spacing w:val="-6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3"/>
          <w:sz w:val="31"/>
          <w:szCs w:val="31"/>
        </w:rPr>
        <w:t>还原真实</w:t>
      </w:r>
      <w:r>
        <w:rPr>
          <w:rFonts w:ascii="FangSong_GB2312" w:hAnsi="FangSong_GB2312" w:eastAsia="FangSong_GB2312" w:cs="FangSong_GB2312"/>
          <w:spacing w:val="2"/>
          <w:sz w:val="31"/>
          <w:szCs w:val="31"/>
        </w:rPr>
        <w:t>工作环境。</w:t>
      </w:r>
      <w:r>
        <w:rPr>
          <w:rFonts w:ascii="FangSong_GB2312" w:hAnsi="FangSong_GB2312" w:eastAsia="FangSong_GB2312" w:cs="FangSong_GB2312"/>
          <w:spacing w:val="24"/>
          <w:sz w:val="31"/>
          <w:szCs w:val="31"/>
        </w:rPr>
        <w:t>代表性场馆建设中</w:t>
      </w:r>
      <w:r>
        <w:rPr>
          <w:rFonts w:ascii="FangSong_GB2312" w:hAnsi="FangSong_GB2312" w:eastAsia="FangSong_GB2312" w:cs="FangSong_GB2312"/>
          <w:spacing w:val="-7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24"/>
          <w:sz w:val="31"/>
          <w:szCs w:val="31"/>
        </w:rPr>
        <w:t>，酒店前厅</w:t>
      </w:r>
      <w:r>
        <w:rPr>
          <w:rFonts w:ascii="FangSong_GB2312" w:hAnsi="FangSong_GB2312" w:eastAsia="FangSong_GB2312" w:cs="FangSong_GB2312"/>
          <w:spacing w:val="-4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24"/>
          <w:sz w:val="31"/>
          <w:szCs w:val="31"/>
        </w:rPr>
        <w:t>场馆深度集成国际主流</w:t>
      </w:r>
      <w:r>
        <w:rPr>
          <w:rFonts w:ascii="FangSong_GB2312" w:hAnsi="FangSong_GB2312" w:eastAsia="FangSong_GB2312" w:cs="FangSong_GB2312"/>
          <w:sz w:val="31"/>
          <w:szCs w:val="31"/>
        </w:rPr>
        <w:t>Opera</w:t>
      </w:r>
      <w:r>
        <w:rPr>
          <w:rFonts w:ascii="FangSong_GB2312" w:hAnsi="FangSong_GB2312" w:eastAsia="FangSong_GB2312" w:cs="FangSong_GB2312"/>
          <w:spacing w:val="-6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管理系统，结合实景化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界面复现预订、入住、投诉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处理等服务环节（见图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1</w:t>
      </w:r>
      <w:r>
        <w:rPr>
          <w:rFonts w:ascii="FangSong_GB2312" w:hAnsi="FangSong_GB2312" w:eastAsia="FangSong_GB2312" w:cs="FangSong_GB2312"/>
          <w:spacing w:val="23"/>
          <w:sz w:val="31"/>
          <w:szCs w:val="31"/>
        </w:rPr>
        <w:t>），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并嵌入“酒店英语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课件”</w:t>
      </w:r>
      <w:r>
        <w:rPr>
          <w:rFonts w:ascii="FangSong_GB2312" w:hAnsi="FangSong_GB2312" w:eastAsia="FangSong_GB2312" w:cs="FangSong_GB2312"/>
          <w:spacing w:val="-10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，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实现服务流程与语言能力的同步训练；高铁乘务</w:t>
      </w:r>
      <w:r>
        <w:rPr>
          <w:rFonts w:ascii="FangSong_GB2312" w:hAnsi="FangSong_GB2312" w:eastAsia="FangSong_GB2312" w:cs="FangSong_GB2312"/>
          <w:spacing w:val="-5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实训场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馆基于真实动车结构建模，完整模拟列车运行、设备操作及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应急处置全流程；智慧客房及餐饮</w:t>
      </w:r>
      <w:r>
        <w:rPr>
          <w:rFonts w:ascii="FangSong_GB2312" w:hAnsi="FangSong_GB2312" w:eastAsia="FangSong_GB2312" w:cs="FangSong_GB2312"/>
          <w:spacing w:val="-4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场馆创新融合“云管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理+智能硬件+5D</w:t>
      </w:r>
      <w:r>
        <w:rPr>
          <w:rFonts w:ascii="FangSong_GB2312" w:hAnsi="FangSong_GB2312" w:eastAsia="FangSong_GB2312" w:cs="FangSong_GB2312"/>
          <w:spacing w:val="-5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情景”技术，支持海景房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、民宿房等主题的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动态切换及智能灯光协同操作，精准培养学生应对个性化服</w:t>
      </w:r>
      <w:r>
        <w:rPr>
          <w:rFonts w:ascii="FangSong_GB2312" w:hAnsi="FangSong_GB2312" w:eastAsia="FangSong_GB2312" w:cs="FangSong_GB2312"/>
          <w:spacing w:val="15"/>
          <w:sz w:val="31"/>
          <w:szCs w:val="31"/>
        </w:rPr>
        <w:t>务需求的能力。依托“沉浸式操作+实时反馈纠错”训练模</w:t>
      </w:r>
      <w:r>
        <w:rPr>
          <w:rFonts w:ascii="FangSong_GB2312" w:hAnsi="FangSong_GB2312" w:eastAsia="FangSong_GB2312" w:cs="FangSong_GB2312"/>
          <w:spacing w:val="1"/>
          <w:sz w:val="31"/>
          <w:szCs w:val="31"/>
        </w:rPr>
        <w:t>式，学生岗位适应周期缩短</w:t>
      </w:r>
      <w:r>
        <w:rPr>
          <w:rFonts w:ascii="FangSong_GB2312" w:hAnsi="FangSong_GB2312" w:eastAsia="FangSong_GB2312" w:cs="FangSong_GB2312"/>
          <w:spacing w:val="-4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"/>
          <w:sz w:val="31"/>
          <w:szCs w:val="31"/>
        </w:rPr>
        <w:t>50%，实操技能达</w:t>
      </w:r>
      <w:r>
        <w:rPr>
          <w:rFonts w:ascii="FangSong_GB2312" w:hAnsi="FangSong_GB2312" w:eastAsia="FangSong_GB2312" w:cs="FangSong_GB2312"/>
          <w:sz w:val="31"/>
          <w:szCs w:val="31"/>
        </w:rPr>
        <w:t>标率提升至</w:t>
      </w:r>
      <w:r>
        <w:rPr>
          <w:rFonts w:ascii="FangSong_GB2312" w:hAnsi="FangSong_GB2312" w:eastAsia="FangSong_GB2312" w:cs="FangSong_GB2312"/>
          <w:spacing w:val="-4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95%</w:t>
      </w:r>
    </w:p>
    <w:p w14:paraId="67BE717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3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footerReference r:id="rId5" w:type="default"/>
          <w:pgSz w:w="11906" w:h="16839"/>
          <w:pgMar w:top="400" w:right="1704" w:bottom="686" w:left="1785" w:header="0" w:footer="374" w:gutter="0"/>
          <w:cols w:space="720" w:num="1"/>
        </w:sectPr>
      </w:pPr>
    </w:p>
    <w:p w14:paraId="628357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6303E2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3CECD5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6B728C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213764E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26" w:lineRule="auto"/>
        <w:ind w:left="70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2684780</wp:posOffset>
            </wp:positionH>
            <wp:positionV relativeFrom="paragraph">
              <wp:posOffset>332740</wp:posOffset>
            </wp:positionV>
            <wp:extent cx="2575560" cy="1929130"/>
            <wp:effectExtent l="0" t="0" r="15240" b="1397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_GB2312" w:hAnsi="FangSong_GB2312" w:eastAsia="FangSong_GB2312" w:cs="FangSong_GB2312"/>
          <w:spacing w:val="-13"/>
          <w:sz w:val="31"/>
          <w:szCs w:val="31"/>
        </w:rPr>
        <w:t>以上。</w:t>
      </w:r>
    </w:p>
    <w:p w14:paraId="31F97CB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2" w:line="3017" w:lineRule="exact"/>
        <w:ind w:firstLine="47"/>
        <w:textAlignment w:val="baseline"/>
      </w:pPr>
      <w:r>
        <w:rPr>
          <w:position w:val="-60"/>
        </w:rPr>
        <w:drawing>
          <wp:inline distT="0" distB="0" distL="0" distR="0">
            <wp:extent cx="2552700" cy="1915160"/>
            <wp:effectExtent l="0" t="0" r="0" b="889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29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6" w:lineRule="auto"/>
        <w:textAlignment w:val="baseline"/>
      </w:pPr>
    </w:p>
    <w:p w14:paraId="52A916B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31" w:lineRule="auto"/>
        <w:ind w:left="3370"/>
        <w:textAlignment w:val="baseline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图</w:t>
      </w:r>
      <w:r>
        <w:rPr>
          <w:rFonts w:ascii="黑体" w:hAnsi="黑体" w:eastAsia="黑体" w:cs="黑体"/>
          <w:spacing w:val="-2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1</w:t>
      </w:r>
      <w:r>
        <w:rPr>
          <w:rFonts w:ascii="黑体" w:hAnsi="黑体" w:eastAsia="黑体" w:cs="黑体"/>
          <w:spacing w:val="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酒店前厅</w:t>
      </w:r>
      <w:r>
        <w:rPr>
          <w:rFonts w:ascii="黑体" w:hAnsi="黑体" w:eastAsia="黑体" w:cs="黑体"/>
          <w:spacing w:val="-4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z w:val="20"/>
          <w:szCs w:val="20"/>
        </w:rPr>
        <w:t>VR</w:t>
      </w:r>
      <w:r>
        <w:rPr>
          <w:rFonts w:ascii="黑体" w:hAnsi="黑体" w:eastAsia="黑体" w:cs="黑体"/>
          <w:spacing w:val="-4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场馆</w:t>
      </w:r>
    </w:p>
    <w:p w14:paraId="4D8E24F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（二）虚拟推演创新，培育全域大思维</w:t>
      </w:r>
    </w:p>
    <w:p w14:paraId="2416906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0" w:line="371" w:lineRule="auto"/>
        <w:ind w:left="19" w:right="13" w:firstLine="658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聚焦文旅产业前端规划与运营需求，建设景观规划、景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区规划等</w:t>
      </w:r>
      <w:r>
        <w:rPr>
          <w:rFonts w:ascii="FangSong_GB2312" w:hAnsi="FangSong_GB2312" w:eastAsia="FangSong_GB2312" w:cs="FangSong_GB2312"/>
          <w:spacing w:val="-5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实训场馆，构建“虚拟设计—方案验证—效果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评估”闭环实训体系。景观规划</w:t>
      </w:r>
      <w:r>
        <w:rPr>
          <w:rFonts w:ascii="FangSong_GB2312" w:hAnsi="FangSong_GB2312" w:eastAsia="FangSong_GB2312" w:cs="FangSong_GB2312"/>
          <w:spacing w:val="-6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场馆（见图</w:t>
      </w:r>
      <w:r>
        <w:rPr>
          <w:rFonts w:ascii="FangSong_GB2312" w:hAnsi="FangSong_GB2312" w:eastAsia="FangSong_GB2312" w:cs="FangSong_GB2312"/>
          <w:spacing w:val="-4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2）依托高精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度三维景区模型，支持学生在虚拟空间完成景点选址、设施布局、游线设计等操作，系统实时反馈人流密度、景观协调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度等方案合理性，强化全域旅游规划能力；景区规划</w:t>
      </w:r>
      <w:r>
        <w:rPr>
          <w:rFonts w:ascii="FangSong_GB2312" w:hAnsi="FangSong_GB2312" w:eastAsia="FangSong_GB2312" w:cs="FangSong_GB2312"/>
          <w:spacing w:val="-4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4"/>
          <w:sz w:val="31"/>
          <w:szCs w:val="31"/>
        </w:rPr>
        <w:t>场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馆则通过高拟真渲染技术，复刻自然、人文、红色等多元景区场景，支持虚拟游览与空间优化实训，助力学生掌握“空</w:t>
      </w:r>
      <w:r>
        <w:rPr>
          <w:rFonts w:ascii="FangSong_GB2312" w:hAnsi="FangSong_GB2312" w:eastAsia="FangSong_GB2312" w:cs="FangSong_GB2312"/>
          <w:spacing w:val="15"/>
          <w:sz w:val="31"/>
          <w:szCs w:val="31"/>
        </w:rPr>
        <w:t>间设计+游客体验”双维度规划方法。实训室建设突破传统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规划“纸上谈兵”局限，使学生规划方案落地率提升</w:t>
      </w:r>
      <w:r>
        <w:rPr>
          <w:rFonts w:ascii="FangSong_GB2312" w:hAnsi="FangSong_GB2312" w:eastAsia="FangSong_GB2312" w:cs="FangSong_GB2312"/>
          <w:spacing w:val="-4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40%，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创新思维与数字化工具应用能力显著增强。</w:t>
      </w:r>
    </w:p>
    <w:p w14:paraId="0B653E8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1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footerReference r:id="rId6" w:type="default"/>
          <w:pgSz w:w="11906" w:h="16839"/>
          <w:pgMar w:top="400" w:right="1785" w:bottom="686" w:left="1785" w:header="0" w:footer="374" w:gutter="0"/>
          <w:cols w:space="720" w:num="1"/>
        </w:sectPr>
      </w:pPr>
    </w:p>
    <w:p w14:paraId="4376AD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0" w:lineRule="auto"/>
        <w:textAlignment w:val="baseline"/>
      </w:pPr>
    </w:p>
    <w:p w14:paraId="3205FB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0" w:lineRule="auto"/>
        <w:textAlignment w:val="baseline"/>
      </w:pPr>
    </w:p>
    <w:p w14:paraId="1A189B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0" w:lineRule="auto"/>
        <w:textAlignment w:val="baseline"/>
      </w:pPr>
    </w:p>
    <w:p w14:paraId="5F9610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1" w:lineRule="auto"/>
        <w:textAlignment w:val="baseline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2689225</wp:posOffset>
            </wp:positionH>
            <wp:positionV relativeFrom="paragraph">
              <wp:posOffset>170180</wp:posOffset>
            </wp:positionV>
            <wp:extent cx="2567940" cy="1926590"/>
            <wp:effectExtent l="0" t="0" r="3810" b="1651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7939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3CD7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21" w:lineRule="exact"/>
        <w:ind w:firstLine="47"/>
        <w:textAlignment w:val="baseline"/>
      </w:pPr>
      <w:r>
        <w:rPr>
          <w:position w:val="-60"/>
        </w:rPr>
        <w:drawing>
          <wp:inline distT="0" distB="0" distL="0" distR="0">
            <wp:extent cx="2557145" cy="1918335"/>
            <wp:effectExtent l="0" t="0" r="14605" b="5715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19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7E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2" w:lineRule="auto"/>
        <w:textAlignment w:val="baseline"/>
      </w:pPr>
    </w:p>
    <w:p w14:paraId="12427E8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29" w:lineRule="auto"/>
        <w:ind w:left="3370"/>
        <w:textAlignment w:val="baseline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图</w:t>
      </w:r>
      <w:r>
        <w:rPr>
          <w:rFonts w:ascii="黑体" w:hAnsi="黑体" w:eastAsia="黑体" w:cs="黑体"/>
          <w:spacing w:val="-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2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景观规划</w:t>
      </w:r>
      <w:r>
        <w:rPr>
          <w:rFonts w:ascii="黑体" w:hAnsi="黑体" w:eastAsia="黑体" w:cs="黑体"/>
          <w:spacing w:val="-4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z w:val="20"/>
          <w:szCs w:val="20"/>
        </w:rPr>
        <w:t>VR</w:t>
      </w:r>
      <w:r>
        <w:rPr>
          <w:rFonts w:ascii="黑体" w:hAnsi="黑体" w:eastAsia="黑体" w:cs="黑体"/>
          <w:spacing w:val="-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场馆</w:t>
      </w:r>
    </w:p>
    <w:p w14:paraId="0802BF0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（三）跨域融合创新，拓展应用宽边界</w:t>
      </w:r>
    </w:p>
    <w:p w14:paraId="4081EA7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9" w:line="333" w:lineRule="auto"/>
        <w:ind w:left="19" w:right="13" w:firstLine="675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-5"/>
          <w:sz w:val="31"/>
          <w:szCs w:val="31"/>
        </w:rPr>
        <w:t>围绕文旅产业延伸需求，建设非遗数字化传播基地</w:t>
      </w:r>
      <w:r>
        <w:rPr>
          <w:rFonts w:ascii="FangSong_GB2312" w:hAnsi="FangSong_GB2312" w:eastAsia="FangSong_GB2312" w:cs="FangSong_GB2312"/>
          <w:spacing w:val="-6"/>
          <w:sz w:val="31"/>
          <w:szCs w:val="31"/>
        </w:rPr>
        <w:t>、“江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西风景独好”展厅、智慧旅游体验馆等综合实训场馆，推动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技术与文化传承、智慧服务深度融合（见图</w:t>
      </w:r>
      <w:r>
        <w:rPr>
          <w:rFonts w:ascii="FangSong_GB2312" w:hAnsi="FangSong_GB2312" w:eastAsia="FangSong_GB2312" w:cs="FangSong_GB2312"/>
          <w:spacing w:val="-3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3）。夏布绣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场非遗数字化传播基地通过全息投影、数字展陈等技术，将</w:t>
      </w:r>
      <w:r>
        <w:rPr>
          <w:rFonts w:ascii="FangSong_GB2312" w:hAnsi="FangSong_GB2312" w:eastAsia="FangSong_GB2312" w:cs="FangSong_GB2312"/>
          <w:spacing w:val="15"/>
          <w:sz w:val="31"/>
          <w:szCs w:val="31"/>
        </w:rPr>
        <w:t>传统技艺转化为可交互、可传播的数字资源，构建“展示+</w:t>
      </w:r>
      <w:r>
        <w:rPr>
          <w:rFonts w:ascii="FangSong_GB2312" w:hAnsi="FangSong_GB2312" w:eastAsia="FangSong_GB2312" w:cs="FangSong_GB2312"/>
          <w:spacing w:val="-1"/>
          <w:sz w:val="31"/>
          <w:szCs w:val="31"/>
        </w:rPr>
        <w:t>传习”一体化实训空间；“江西风景独好”展厅依托大型</w:t>
      </w:r>
      <w:r>
        <w:rPr>
          <w:rFonts w:ascii="FangSong_GB2312" w:hAnsi="FangSong_GB2312" w:eastAsia="FangSong_GB2312" w:cs="FangSong_GB2312"/>
          <w:spacing w:val="-4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-1"/>
          <w:sz w:val="31"/>
          <w:szCs w:val="31"/>
        </w:rPr>
        <w:t>LED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屏、触控一体机等设备，运用三维虚拟技术动态呈现全省旅游资源，配套神州视景教学系统，实现“文化认知—场景解说—传播实践”全流程训练；智慧旅游体验馆则以“浓缩全景、跨越全时、预见全业”为特色，通过元宇宙平台模拟智能导览、数字营销等智慧旅游对产业升级的推动作用，培养学生数字化服务与创新能力，强化学生的文化传承使命感，推动文旅实训从服务技能向文化赋能延展。</w:t>
      </w:r>
    </w:p>
    <w:p w14:paraId="58B2AAE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3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footerReference r:id="rId7" w:type="default"/>
          <w:pgSz w:w="11906" w:h="16839"/>
          <w:pgMar w:top="400" w:right="1785" w:bottom="686" w:left="1785" w:header="0" w:footer="374" w:gutter="0"/>
          <w:cols w:space="720" w:num="1"/>
        </w:sectPr>
      </w:pPr>
    </w:p>
    <w:p w14:paraId="2C9F17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2" w:lineRule="auto"/>
        <w:textAlignment w:val="baseline"/>
      </w:pPr>
    </w:p>
    <w:p w14:paraId="297663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2" w:lineRule="auto"/>
        <w:textAlignment w:val="baseline"/>
      </w:pPr>
    </w:p>
    <w:p w14:paraId="268732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2" w:lineRule="auto"/>
        <w:textAlignment w:val="baseline"/>
      </w:pPr>
    </w:p>
    <w:p w14:paraId="007CC4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textAlignment w:val="baseline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2840355</wp:posOffset>
            </wp:positionH>
            <wp:positionV relativeFrom="paragraph">
              <wp:posOffset>184150</wp:posOffset>
            </wp:positionV>
            <wp:extent cx="2415540" cy="1812290"/>
            <wp:effectExtent l="0" t="0" r="3810" b="1651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53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16E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42" w:lineRule="exact"/>
        <w:ind w:firstLine="52"/>
        <w:textAlignment w:val="baseline"/>
      </w:pPr>
      <w:r>
        <w:rPr>
          <w:position w:val="-56"/>
        </w:rPr>
        <w:drawing>
          <wp:inline distT="0" distB="0" distL="0" distR="0">
            <wp:extent cx="2703195" cy="1804035"/>
            <wp:effectExtent l="0" t="0" r="1905" b="5715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357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95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2" w:lineRule="auto"/>
        <w:textAlignment w:val="baseline"/>
      </w:pPr>
    </w:p>
    <w:p w14:paraId="3AE417C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30" w:lineRule="auto"/>
        <w:ind w:left="3423"/>
        <w:textAlignment w:val="baseline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图</w:t>
      </w:r>
      <w:r>
        <w:rPr>
          <w:rFonts w:ascii="黑体" w:hAnsi="黑体" w:eastAsia="黑体" w:cs="黑体"/>
          <w:spacing w:val="-3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3</w:t>
      </w:r>
      <w:r>
        <w:rPr>
          <w:rFonts w:ascii="黑体" w:hAnsi="黑体" w:eastAsia="黑体" w:cs="黑体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智慧旅游体验馆</w:t>
      </w:r>
    </w:p>
    <w:p w14:paraId="45A1CBA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（四）数据驱动发力，激活实训高效能</w:t>
      </w:r>
    </w:p>
    <w:p w14:paraId="5D1F9FA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333" w:lineRule="auto"/>
        <w:ind w:left="26" w:firstLine="635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依托综合管理中心，集成物联感知与大数据技术构建全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域智能调度系统，覆盖</w:t>
      </w:r>
      <w:r>
        <w:rPr>
          <w:rFonts w:ascii="FangSong_GB2312" w:hAnsi="FangSong_GB2312" w:eastAsia="FangSong_GB2312" w:cs="FangSong_GB2312"/>
          <w:spacing w:val="-2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102</w:t>
      </w:r>
      <w:r>
        <w:rPr>
          <w:rFonts w:ascii="FangSong_GB2312" w:hAnsi="FangSong_GB2312" w:eastAsia="FangSong_GB2312" w:cs="FangSong_GB2312"/>
          <w:spacing w:val="-6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个实训空间。通过实时监测设备</w:t>
      </w:r>
      <w:r>
        <w:rPr>
          <w:rFonts w:ascii="FangSong_GB2312" w:hAnsi="FangSong_GB2312" w:eastAsia="FangSong_GB2312" w:cs="FangSong_GB2312"/>
          <w:sz w:val="31"/>
          <w:szCs w:val="31"/>
        </w:rPr>
        <w:t>状态、使用率等数据，实现高峰时段热门工位资源动态调配，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资源利用率提升</w:t>
      </w:r>
      <w:r>
        <w:rPr>
          <w:rFonts w:ascii="FangSong_GB2312" w:hAnsi="FangSong_GB2312" w:eastAsia="FangSong_GB2312" w:cs="FangSong_GB2312"/>
          <w:spacing w:val="-3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30%以上；采集操作轨迹、考核成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绩等过程数据生成个性化能力图谱，精准指导教学优化；建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立云端共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享机制，</w:t>
      </w:r>
      <w:r>
        <w:rPr>
          <w:rFonts w:ascii="FangSong_GB2312" w:hAnsi="FangSong_GB2312" w:eastAsia="FangSong_GB2312" w:cs="FangSong_GB2312"/>
          <w:spacing w:val="-6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向合作院校及企业开放优质</w:t>
      </w:r>
      <w:r>
        <w:rPr>
          <w:rFonts w:ascii="FangSong_GB2312" w:hAnsi="FangSong_GB2312" w:eastAsia="FangSong_GB2312" w:cs="FangSong_GB2312"/>
          <w:spacing w:val="-5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资源，年服务外部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用户超</w:t>
      </w:r>
      <w:r>
        <w:rPr>
          <w:rFonts w:ascii="FangSong_GB2312" w:hAnsi="FangSong_GB2312" w:eastAsia="FangSong_GB2312" w:cs="FangSong_GB2312"/>
          <w:spacing w:val="-4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2000</w:t>
      </w:r>
      <w:r>
        <w:rPr>
          <w:rFonts w:ascii="FangSong_GB2312" w:hAnsi="FangSong_GB2312" w:eastAsia="FangSong_GB2312" w:cs="FangSong_GB2312"/>
          <w:spacing w:val="-6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人次，持续扩大辐射效能。</w:t>
      </w:r>
    </w:p>
    <w:p w14:paraId="51D0DC7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（五）多元协同发力，筑牢长效保障网</w:t>
      </w:r>
    </w:p>
    <w:p w14:paraId="174505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5" w:line="371" w:lineRule="auto"/>
        <w:ind w:left="26" w:right="11" w:firstLine="644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在数据驱动的实训高效能实践中，通过建立三层协同驱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动体系实现系统化推进，组织协同上，成立专项工作组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及平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台技术团队，专职保障</w:t>
      </w:r>
      <w:r>
        <w:rPr>
          <w:rFonts w:ascii="FangSong_GB2312" w:hAnsi="FangSong_GB2312" w:eastAsia="FangSong_GB2312" w:cs="FangSong_GB2312"/>
          <w:spacing w:val="-6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设备运维、资源更新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及技术支持；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师资协同上，采用引育并举策略打造复合型团队，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一人一策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引进技术专家、外聘企业工程师，同步构建教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师</w:t>
      </w:r>
      <w:r>
        <w:rPr>
          <w:rFonts w:ascii="FangSong_GB2312" w:hAnsi="FangSong_GB2312" w:eastAsia="FangSong_GB2312" w:cs="FangSong_GB2312"/>
          <w:spacing w:val="-6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教学能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力培训体系，重点培育省级以上双师型名师工作室开展</w:t>
      </w:r>
      <w:r>
        <w:rPr>
          <w:rFonts w:ascii="FangSong_GB2312" w:hAnsi="FangSong_GB2312" w:eastAsia="FangSong_GB2312" w:cs="FangSong_GB2312"/>
          <w:spacing w:val="-5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教法创新；资源协同上，联合南昌威爱信息科技有限公司、江西科骏实业有限公司等头部企业共建动态资源库，配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套实</w:t>
      </w:r>
    </w:p>
    <w:p w14:paraId="33A9DB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71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footerReference r:id="rId8" w:type="default"/>
          <w:pgSz w:w="11906" w:h="16839"/>
          <w:pgMar w:top="400" w:right="1718" w:bottom="686" w:left="1785" w:header="0" w:footer="374" w:gutter="0"/>
          <w:cols w:space="720" w:num="1"/>
        </w:sectPr>
      </w:pPr>
    </w:p>
    <w:p w14:paraId="62850A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1" w:lineRule="auto"/>
        <w:textAlignment w:val="baseline"/>
      </w:pPr>
    </w:p>
    <w:p w14:paraId="3E26B1A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2" w:lineRule="auto"/>
        <w:textAlignment w:val="baseline"/>
      </w:pPr>
    </w:p>
    <w:p w14:paraId="7B81D4E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2" w:lineRule="auto"/>
        <w:textAlignment w:val="baseline"/>
      </w:pPr>
    </w:p>
    <w:p w14:paraId="4D64B5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2" w:lineRule="auto"/>
        <w:textAlignment w:val="baseline"/>
      </w:pPr>
    </w:p>
    <w:p w14:paraId="6E11A06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71" w:lineRule="auto"/>
        <w:ind w:left="39" w:right="91" w:hanging="12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施《教学资源更新制度》明确迭代标准，确保教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学内容与行业技术前沿同步，全面强化资源时效性与实用性。</w:t>
      </w:r>
    </w:p>
    <w:p w14:paraId="709A99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" w:line="226" w:lineRule="auto"/>
        <w:ind w:left="673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三、成果成效</w:t>
      </w:r>
    </w:p>
    <w:p w14:paraId="241AEC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（一）学生核心能力显著提升，竞赛与就业双突破</w:t>
      </w:r>
    </w:p>
    <w:p w14:paraId="4B19CF9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1" w:line="334" w:lineRule="auto"/>
        <w:ind w:left="28" w:firstLine="675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中心以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技术破解传统教学瓶颈，通过“沉浸式操作+</w:t>
      </w:r>
      <w:r>
        <w:rPr>
          <w:rFonts w:ascii="FangSong_GB2312" w:hAnsi="FangSong_GB2312" w:eastAsia="FangSong_GB2312" w:cs="FangSong_GB2312"/>
          <w:sz w:val="31"/>
          <w:szCs w:val="31"/>
        </w:rPr>
        <w:t>实时纠错”等模式，推动学生实操能力、应变能力大幅跃升。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202</w:t>
      </w:r>
      <w:r>
        <w:rPr>
          <w:rFonts w:hint="eastAsia" w:ascii="FangSong_GB2312" w:hAnsi="FangSong_GB2312" w:eastAsia="FangSong_GB2312" w:cs="FangSong_GB2312"/>
          <w:spacing w:val="4"/>
          <w:sz w:val="31"/>
          <w:szCs w:val="31"/>
          <w:lang w:val="en-US" w:eastAsia="zh-CN"/>
        </w:rPr>
        <w:t>3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—202</w:t>
      </w:r>
      <w:r>
        <w:rPr>
          <w:rFonts w:hint="eastAsia" w:ascii="FangSong_GB2312" w:hAnsi="FangSong_GB2312" w:eastAsia="FangSong_GB2312" w:cs="FangSong_GB2312"/>
          <w:spacing w:val="4"/>
          <w:sz w:val="31"/>
          <w:szCs w:val="31"/>
          <w:lang w:val="en-US" w:eastAsia="zh-CN"/>
        </w:rPr>
        <w:t>5</w:t>
      </w:r>
      <w:r>
        <w:rPr>
          <w:rFonts w:ascii="FangSong_GB2312" w:hAnsi="FangSong_GB2312" w:eastAsia="FangSong_GB2312" w:cs="FangSong_GB2312"/>
          <w:spacing w:val="-4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年，旅游类学生在国家级职业院校技能大赛斩获15</w:t>
      </w:r>
      <w:r>
        <w:rPr>
          <w:rFonts w:ascii="FangSong_GB2312" w:hAnsi="FangSong_GB2312" w:eastAsia="FangSong_GB2312" w:cs="FangSong_GB2312"/>
          <w:spacing w:val="-4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项奖项，省级大赛斩获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37</w:t>
      </w:r>
      <w:r>
        <w:rPr>
          <w:rFonts w:ascii="FangSong_GB2312" w:hAnsi="FangSong_GB2312" w:eastAsia="FangSong_GB2312" w:cs="FangSong_GB2312"/>
          <w:spacing w:val="-5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项奖项。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实训缩短岗位适应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期</w:t>
      </w:r>
      <w:r>
        <w:rPr>
          <w:rFonts w:ascii="FangSong_GB2312" w:hAnsi="FangSong_GB2312" w:eastAsia="FangSong_GB2312" w:cs="FangSong_GB2312"/>
          <w:spacing w:val="-4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50%，企业满意度达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1"/>
          <w:sz w:val="31"/>
          <w:szCs w:val="31"/>
        </w:rPr>
        <w:t>98%，实现从“技能达标”到“企业</w:t>
      </w:r>
      <w:r>
        <w:rPr>
          <w:rFonts w:ascii="FangSong_GB2312" w:hAnsi="FangSong_GB2312" w:eastAsia="FangSong_GB2312" w:cs="FangSong_GB2312"/>
          <w:spacing w:val="3"/>
          <w:sz w:val="31"/>
          <w:szCs w:val="31"/>
        </w:rPr>
        <w:t>适配”</w:t>
      </w:r>
      <w:r>
        <w:rPr>
          <w:rFonts w:ascii="FangSong_GB2312" w:hAnsi="FangSong_GB2312" w:eastAsia="FangSong_GB2312" w:cs="FangSong_GB2312"/>
          <w:spacing w:val="-11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3"/>
          <w:sz w:val="31"/>
          <w:szCs w:val="31"/>
        </w:rPr>
        <w:t>的高质量转化。</w:t>
      </w:r>
    </w:p>
    <w:p w14:paraId="55B84ED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（二）教学质量与模式创新领跑，标杆效应凸显</w:t>
      </w:r>
    </w:p>
    <w:p w14:paraId="2517C3D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333" w:lineRule="auto"/>
        <w:ind w:left="23" w:right="90" w:firstLine="680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中心以</w:t>
      </w:r>
      <w:r>
        <w:rPr>
          <w:rFonts w:ascii="FangSong_GB2312" w:hAnsi="FangSong_GB2312" w:eastAsia="FangSong_GB2312" w:cs="FangSong_GB2312"/>
          <w:spacing w:val="-3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技术深度赋能文旅实训创新，吸引全国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200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余所院校实地考察交流，成为行业科技化实训标杆。依托</w:t>
      </w:r>
      <w:r>
        <w:rPr>
          <w:rFonts w:ascii="FangSong_GB2312" w:hAnsi="FangSong_GB2312" w:eastAsia="FangSong_GB2312" w:cs="FangSong_GB2312"/>
          <w:spacing w:val="-4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平台开发项目式课程</w:t>
      </w:r>
      <w:r>
        <w:rPr>
          <w:rFonts w:ascii="FangSong_GB2312" w:hAnsi="FangSong_GB2312" w:eastAsia="FangSong_GB2312" w:cs="FangSong_GB2312"/>
          <w:spacing w:val="-3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12 门；创新推行“情境教学”“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虚拟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工坊”等模式，课堂实效性显著提升，普及率达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85%；旅游</w:t>
      </w: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管理专业累计取得国家级标志性成果</w:t>
      </w:r>
      <w:r>
        <w:rPr>
          <w:rFonts w:ascii="FangSong_GB2312" w:hAnsi="FangSong_GB2312" w:eastAsia="FangSong_GB2312" w:cs="FangSong_GB2312"/>
          <w:spacing w:val="-26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17</w:t>
      </w:r>
      <w:r>
        <w:rPr>
          <w:rFonts w:ascii="FangSong_GB2312" w:hAnsi="FangSong_GB2312" w:eastAsia="FangSong_GB2312" w:cs="FangSong_GB2312"/>
          <w:spacing w:val="-5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项、省级标志性成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果</w:t>
      </w:r>
      <w:r>
        <w:rPr>
          <w:rFonts w:ascii="FangSong_GB2312" w:hAnsi="FangSong_GB2312" w:eastAsia="FangSong_GB2312" w:cs="FangSong_GB2312"/>
          <w:spacing w:val="-2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33</w:t>
      </w:r>
      <w:r>
        <w:rPr>
          <w:rFonts w:ascii="FangSong_GB2312" w:hAnsi="FangSong_GB2312" w:eastAsia="FangSong_GB2312" w:cs="FangSong_GB2312"/>
          <w:spacing w:val="-5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项；成功获批“</w:t>
      </w:r>
      <w:r>
        <w:rPr>
          <w:rFonts w:ascii="FangSong_GB2312" w:hAnsi="FangSong_GB2312" w:eastAsia="FangSong_GB2312" w:cs="FangSong_GB2312"/>
          <w:spacing w:val="-10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国家职业教育虚拟仿真实训基地专业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课程资源开发建设项目”。</w:t>
      </w:r>
    </w:p>
    <w:p w14:paraId="19862E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（三）师资与资源协同增效，双师型队伍建设提质</w:t>
      </w:r>
    </w:p>
    <w:p w14:paraId="793156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4" w:line="333" w:lineRule="auto"/>
        <w:ind w:left="21" w:right="7" w:firstLine="683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-12"/>
          <w:sz w:val="31"/>
          <w:szCs w:val="31"/>
        </w:rPr>
        <w:t>中心深化产教双元协同，“双师型”教师占比提升至</w:t>
      </w:r>
      <w:r>
        <w:rPr>
          <w:rFonts w:ascii="FangSong_GB2312" w:hAnsi="FangSong_GB2312" w:eastAsia="FangSong_GB2312" w:cs="FangSong_GB2312"/>
          <w:spacing w:val="-4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-12"/>
          <w:sz w:val="31"/>
          <w:szCs w:val="31"/>
        </w:rPr>
        <w:t>93%，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企业兼职教师比例达</w:t>
      </w:r>
      <w:r>
        <w:rPr>
          <w:rFonts w:ascii="FangSong_GB2312" w:hAnsi="FangSong_GB2312" w:eastAsia="FangSong_GB2312" w:cs="FangSong_GB2312"/>
          <w:spacing w:val="-33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37%，实现队伍结构性跃升。吸引头部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企业高管及高工深度参与比例达</w:t>
      </w:r>
      <w:r>
        <w:rPr>
          <w:rFonts w:ascii="FangSong_GB2312" w:hAnsi="FangSong_GB2312" w:eastAsia="FangSong_GB2312" w:cs="FangSong_GB2312"/>
          <w:spacing w:val="-3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4"/>
          <w:sz w:val="31"/>
          <w:szCs w:val="31"/>
        </w:rPr>
        <w:t>25%，形成“技术导师+企业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名师”双轨驱动机制；省级双师型名师工作室聚焦沉浸式教学法创新，依托《校企师资互通管理办法》，实现企业技术</w:t>
      </w:r>
    </w:p>
    <w:p w14:paraId="14A3847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3" w:lineRule="auto"/>
        <w:textAlignment w:val="baseline"/>
        <w:rPr>
          <w:rFonts w:ascii="FangSong_GB2312" w:hAnsi="FangSong_GB2312" w:eastAsia="FangSong_GB2312" w:cs="FangSong_GB2312"/>
          <w:sz w:val="31"/>
          <w:szCs w:val="31"/>
        </w:rPr>
        <w:sectPr>
          <w:footerReference r:id="rId9" w:type="default"/>
          <w:pgSz w:w="11906" w:h="16839"/>
          <w:pgMar w:top="400" w:right="1710" w:bottom="686" w:left="1785" w:header="0" w:footer="374" w:gutter="0"/>
          <w:cols w:space="720" w:num="1"/>
        </w:sectPr>
      </w:pPr>
    </w:p>
    <w:p w14:paraId="4B21EE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121D88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4AEFC4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6D54DB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487FE47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33" w:lineRule="auto"/>
        <w:ind w:left="26" w:right="13" w:firstLine="23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bookmarkStart w:id="0" w:name="bookmark30"/>
      <w:bookmarkEnd w:id="0"/>
      <w:r>
        <w:rPr>
          <w:rFonts w:ascii="FangSong_GB2312" w:hAnsi="FangSong_GB2312" w:eastAsia="FangSong_GB2312" w:cs="FangSong_GB2312"/>
          <w:spacing w:val="8"/>
          <w:sz w:val="31"/>
          <w:szCs w:val="31"/>
        </w:rPr>
        <w:t>骨干与专职教师双向授课、共研课题，企业导师驻校授课率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达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85%；资源与师资的深度绑定，确保教学内容与行业技术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迭代同频共振，全面夯实文旅人才培养基石，旅游管理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专业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教师团队获评国家级职业教育教师教学创新团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队。</w:t>
      </w:r>
    </w:p>
    <w:p w14:paraId="61F0EC2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（四）社会服务与辐射能力跃升，产业赋能成效显著</w:t>
      </w:r>
    </w:p>
    <w:p w14:paraId="2C4576A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4" w:line="333" w:lineRule="auto"/>
        <w:ind w:left="29" w:right="16" w:firstLine="675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中心依托</w:t>
      </w:r>
      <w:r>
        <w:rPr>
          <w:rFonts w:ascii="FangSong_GB2312" w:hAnsi="FangSong_GB2312" w:eastAsia="FangSong_GB2312" w:cs="FangSong_GB2312"/>
          <w:spacing w:val="-5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实训资源，面向文旅企业提供智慧旅游、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数字营销等技术培训</w:t>
      </w:r>
      <w:r>
        <w:rPr>
          <w:rFonts w:ascii="FangSong_GB2312" w:hAnsi="FangSong_GB2312" w:eastAsia="FangSong_GB2312" w:cs="FangSong_GB2312"/>
          <w:spacing w:val="-5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4798</w:t>
      </w:r>
      <w:r>
        <w:rPr>
          <w:rFonts w:ascii="FangSong_GB2312" w:hAnsi="FangSong_GB2312" w:eastAsia="FangSong_GB2312" w:cs="FangSong_GB2312"/>
          <w:spacing w:val="-6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人次；承接景区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导览开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发、非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遗数字化保护等项目，技术交易到款额</w:t>
      </w:r>
      <w:r>
        <w:rPr>
          <w:rFonts w:ascii="FangSong_GB2312" w:hAnsi="FangSong_GB2312" w:eastAsia="FangSong_GB2312" w:cs="FangSong_GB2312"/>
          <w:spacing w:val="-1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320.32</w:t>
      </w:r>
      <w:r>
        <w:rPr>
          <w:rFonts w:ascii="FangSong_GB2312" w:hAnsi="FangSong_GB2312" w:eastAsia="FangSong_GB2312" w:cs="FangSong_GB2312"/>
          <w:spacing w:val="-38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0"/>
          <w:sz w:val="31"/>
          <w:szCs w:val="31"/>
        </w:rPr>
        <w:t>万元；为世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界</w:t>
      </w:r>
      <w:r>
        <w:rPr>
          <w:rFonts w:ascii="FangSong_GB2312" w:hAnsi="FangSong_GB2312" w:eastAsia="FangSong_GB2312" w:cs="FangSong_GB2312"/>
          <w:spacing w:val="-47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大会、江西省旅游产业大会等提供</w:t>
      </w:r>
      <w:r>
        <w:rPr>
          <w:rFonts w:ascii="FangSong_GB2312" w:hAnsi="FangSong_GB2312" w:eastAsia="FangSong_GB2312" w:cs="FangSong_GB2312"/>
          <w:spacing w:val="-6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6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技术支持与志愿</w:t>
      </w:r>
      <w:r>
        <w:rPr>
          <w:rFonts w:ascii="FangSong_GB2312" w:hAnsi="FangSong_GB2312" w:eastAsia="FangSong_GB2312" w:cs="FangSong_GB2312"/>
          <w:spacing w:val="9"/>
          <w:sz w:val="31"/>
          <w:szCs w:val="31"/>
        </w:rPr>
        <w:t>服务超千人次，获社会高度评价；搭建云平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台开放机制，共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享红色研学课程、景区规划等优质</w:t>
      </w:r>
      <w:r>
        <w:rPr>
          <w:rFonts w:ascii="FangSong_GB2312" w:hAnsi="FangSong_GB2312" w:eastAsia="FangSong_GB2312" w:cs="FangSong_GB2312"/>
          <w:spacing w:val="-4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资源，年服务外部用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户超</w:t>
      </w:r>
      <w:r>
        <w:rPr>
          <w:rFonts w:ascii="FangSong_GB2312" w:hAnsi="FangSong_GB2312" w:eastAsia="FangSong_GB2312" w:cs="FangSong_GB2312"/>
          <w:spacing w:val="-31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2000</w:t>
      </w:r>
      <w:r>
        <w:rPr>
          <w:rFonts w:ascii="FangSong_GB2312" w:hAnsi="FangSong_GB2312" w:eastAsia="FangSong_GB2312" w:cs="FangSong_GB2312"/>
          <w:spacing w:val="-5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人次，扩大了中心在行业内的辐射力与引领力。</w:t>
      </w:r>
    </w:p>
    <w:p w14:paraId="6AB79C3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" w:line="227" w:lineRule="auto"/>
        <w:ind w:left="686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四、经验总结</w:t>
      </w:r>
    </w:p>
    <w:p w14:paraId="3AD660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（一）坚持需求导向，锚定“双高计划”与产业升级双</w:t>
      </w:r>
      <w:r>
        <w:rPr>
          <w:rFonts w:hint="eastAsia" w:ascii="楷体" w:hAnsi="楷体" w:eastAsia="楷体" w:cs="楷体"/>
          <w:b/>
          <w:bCs/>
          <w:spacing w:val="-29"/>
          <w:sz w:val="31"/>
          <w:szCs w:val="31"/>
        </w:rPr>
        <w:t>目标</w:t>
      </w:r>
    </w:p>
    <w:p w14:paraId="52DC069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32" w:lineRule="auto"/>
        <w:ind w:left="27" w:right="16" w:firstLine="676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中心建设始终紧扣江西省“双高计划”任务书与文旅产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业数字化人才需求，确保</w:t>
      </w:r>
      <w:r>
        <w:rPr>
          <w:rFonts w:ascii="FangSong_GB2312" w:hAnsi="FangSong_GB2312" w:eastAsia="FangSong_GB2312" w:cs="FangSong_GB2312"/>
          <w:spacing w:val="-4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3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3"/>
          <w:sz w:val="31"/>
          <w:szCs w:val="31"/>
        </w:rPr>
        <w:t>实训内容与行业标准、专业发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展同频共振，使投入精准对接发展瓶颈。</w:t>
      </w:r>
    </w:p>
    <w:p w14:paraId="59E0D10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（二）突出科技赋能，打造“虚实互促”教学新范式</w:t>
      </w:r>
    </w:p>
    <w:p w14:paraId="20A7251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1" w:line="333" w:lineRule="auto"/>
        <w:ind w:left="34" w:right="16" w:firstLine="676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以</w:t>
      </w:r>
      <w:r>
        <w:rPr>
          <w:rFonts w:ascii="FangSong_GB2312" w:hAnsi="FangSong_GB2312" w:eastAsia="FangSong_GB2312" w:cs="FangSong_GB2312"/>
          <w:spacing w:val="-4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54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12"/>
          <w:sz w:val="31"/>
          <w:szCs w:val="31"/>
        </w:rPr>
        <w:t>技术为核心，突破时空限制，构建“高沉浸、强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交互、富资源”</w:t>
      </w:r>
      <w:r>
        <w:rPr>
          <w:rFonts w:ascii="FangSong_GB2312" w:hAnsi="FangSong_GB2312" w:eastAsia="FangSong_GB2312" w:cs="FangSong_GB2312"/>
          <w:spacing w:val="-115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的智能实训环境，推动实践教学从模拟操作</w:t>
      </w: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向解决复杂真实问题升级，为职业教育数字化改革提供核心</w:t>
      </w:r>
      <w:r>
        <w:rPr>
          <w:rFonts w:ascii="FangSong_GB2312" w:hAnsi="FangSong_GB2312" w:eastAsia="FangSong_GB2312" w:cs="FangSong_GB2312"/>
          <w:spacing w:val="-1"/>
          <w:sz w:val="31"/>
          <w:szCs w:val="31"/>
        </w:rPr>
        <w:t>支撑。</w:t>
      </w:r>
    </w:p>
    <w:p w14:paraId="5B5D488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</w:pPr>
      <w:r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t>（三）强化多元协同，构建“共建共享”长效新机制</w:t>
      </w:r>
    </w:p>
    <w:p w14:paraId="59DE00A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8" w:line="334" w:lineRule="auto"/>
        <w:ind w:left="85" w:right="18" w:firstLine="574"/>
        <w:textAlignment w:val="baseline"/>
        <w:rPr>
          <w:rFonts w:hint="eastAsia" w:ascii="楷体" w:hAnsi="楷体" w:eastAsia="楷体" w:cs="楷体"/>
          <w:b/>
          <w:bCs/>
          <w:spacing w:val="5"/>
          <w:sz w:val="31"/>
          <w:szCs w:val="31"/>
        </w:rPr>
        <w:sectPr>
          <w:footerReference r:id="rId10" w:type="default"/>
          <w:pgSz w:w="11906" w:h="16839"/>
          <w:pgMar w:top="400" w:right="1785" w:bottom="686" w:left="1785" w:header="0" w:footer="374" w:gutter="0"/>
          <w:cols w:space="720" w:num="1"/>
        </w:sectPr>
      </w:pPr>
    </w:p>
    <w:p w14:paraId="4A1BC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085242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7" w:lineRule="auto"/>
        <w:textAlignment w:val="baseline"/>
      </w:pPr>
    </w:p>
    <w:p w14:paraId="0E64B2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02CD32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</w:pPr>
    </w:p>
    <w:p w14:paraId="013F9BF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line="333" w:lineRule="auto"/>
        <w:ind w:left="34" w:right="16" w:firstLine="640"/>
        <w:jc w:val="both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通过政行企校跨域协作注入技术资源、师生协同开展项目化实训、部门协作实现闭环管理，建立技术迭代驱动教学应用、实践反馈反哺技术升级的可持续循环机制，系统性保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障</w:t>
      </w:r>
      <w:r>
        <w:rPr>
          <w:rFonts w:ascii="FangSong_GB2312" w:hAnsi="FangSong_GB2312" w:eastAsia="FangSong_GB2312" w:cs="FangSong_GB2312"/>
          <w:spacing w:val="-50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</w:rPr>
        <w:t>VR</w:t>
      </w:r>
      <w:r>
        <w:rPr>
          <w:rFonts w:ascii="FangSong_GB2312" w:hAnsi="FangSong_GB2312" w:eastAsia="FangSong_GB2312" w:cs="FangSong_GB2312"/>
          <w:spacing w:val="-49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实训生态的先进性与发展活力。</w:t>
      </w:r>
    </w:p>
    <w:p w14:paraId="0A052A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26" w:lineRule="auto"/>
        <w:ind w:left="675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五、完成单位与完成人</w:t>
      </w:r>
    </w:p>
    <w:p w14:paraId="48A1BF0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0" w:line="219" w:lineRule="auto"/>
        <w:ind w:left="684"/>
        <w:textAlignment w:val="baseline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完成单位：江西</w:t>
      </w:r>
      <w:r>
        <w:rPr>
          <w:rFonts w:hint="eastAsia" w:ascii="FangSong_GB2312" w:hAnsi="FangSong_GB2312" w:eastAsia="FangSong_GB2312" w:cs="FangSong_GB2312"/>
          <w:spacing w:val="7"/>
          <w:sz w:val="31"/>
          <w:szCs w:val="31"/>
          <w:lang w:val="en-US" w:eastAsia="zh-CN"/>
        </w:rPr>
        <w:t>现代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职业</w:t>
      </w:r>
      <w:r>
        <w:rPr>
          <w:rFonts w:hint="eastAsia" w:ascii="FangSong_GB2312" w:hAnsi="FangSong_GB2312" w:eastAsia="FangSong_GB2312" w:cs="FangSong_GB2312"/>
          <w:spacing w:val="7"/>
          <w:sz w:val="31"/>
          <w:szCs w:val="31"/>
          <w:lang w:val="en-US" w:eastAsia="zh-CN"/>
        </w:rPr>
        <w:t>技术</w:t>
      </w:r>
      <w:r>
        <w:rPr>
          <w:rFonts w:ascii="FangSong_GB2312" w:hAnsi="FangSong_GB2312" w:eastAsia="FangSong_GB2312" w:cs="FangSong_GB2312"/>
          <w:spacing w:val="7"/>
          <w:sz w:val="31"/>
          <w:szCs w:val="31"/>
        </w:rPr>
        <w:t>学院</w:t>
      </w:r>
    </w:p>
    <w:p w14:paraId="1B158F4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3" w:line="219" w:lineRule="auto"/>
        <w:ind w:left="684"/>
        <w:textAlignment w:val="baseline"/>
        <w:rPr>
          <w:rFonts w:hint="default" w:ascii="FangSong_GB2312" w:hAnsi="FangSong_GB2312" w:eastAsia="FangSong_GB2312" w:cs="FangSong_GB2312"/>
          <w:sz w:val="31"/>
          <w:szCs w:val="31"/>
          <w:lang w:val="en-US" w:eastAsia="zh-CN"/>
        </w:rPr>
      </w:pPr>
      <w:r>
        <w:rPr>
          <w:rFonts w:ascii="FangSong_GB2312" w:hAnsi="FangSong_GB2312" w:eastAsia="FangSong_GB2312" w:cs="FangSong_GB2312"/>
          <w:spacing w:val="8"/>
          <w:sz w:val="31"/>
          <w:szCs w:val="31"/>
        </w:rPr>
        <w:t>完成人：</w:t>
      </w:r>
      <w:r>
        <w:rPr>
          <w:rFonts w:hint="eastAsia" w:ascii="FangSong_GB2312" w:hAnsi="FangSong_GB2312" w:eastAsia="FangSong_GB2312" w:cs="FangSong_GB2312"/>
          <w:spacing w:val="8"/>
          <w:sz w:val="31"/>
          <w:szCs w:val="31"/>
          <w:lang w:val="en-US" w:eastAsia="zh-CN"/>
        </w:rPr>
        <w:t>张三、李四……</w:t>
      </w:r>
    </w:p>
    <w:p w14:paraId="787E0CC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275" w:lineRule="auto"/>
        <w:ind w:left="25" w:right="319" w:firstLine="643"/>
        <w:textAlignment w:val="baseline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color w:val="000000"/>
          <w:spacing w:val="-1"/>
          <w:sz w:val="32"/>
          <w:szCs w:val="32"/>
          <w14:textFill>
            <w14:solidFill>
              <w14:srgbClr w14:val="000000">
                <w14:alpha w14:val="392"/>
              </w14:srgbClr>
            </w14:solidFill>
          </w14:textFill>
        </w:rPr>
        <w:t>合作单位：江西科骏实</w:t>
      </w:r>
      <w:r>
        <w:rPr>
          <w:rFonts w:ascii="微软雅黑" w:hAnsi="微软雅黑" w:eastAsia="微软雅黑" w:cs="微软雅黑"/>
          <w:color w:val="000000"/>
          <w:spacing w:val="-2"/>
          <w:sz w:val="32"/>
          <w:szCs w:val="32"/>
          <w14:textFill>
            <w14:solidFill>
              <w14:srgbClr w14:val="000000">
                <w14:alpha w14:val="392"/>
              </w14:srgbClr>
            </w14:solidFill>
          </w14:textFill>
        </w:rPr>
        <w:t>业有限公司</w:t>
      </w:r>
    </w:p>
    <w:p w14:paraId="04AEE0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62D0453-4C95-4269-B813-8045D846A80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A9C8EAA2-BF6B-4877-B8B5-C82EDC19902F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CF3688A6-D291-4D32-A79F-EFD65D0F6C6E}"/>
  </w:font>
  <w:font w:name="KaiTi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CAE737A4-636F-4D1E-AD97-31A377609251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1E85BA31-3C98-4714-86C4-2261468EE7C8}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6" w:fontKey="{693E6F31-6F8E-4C6C-9FA9-839B18547EF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A8336074-B835-4233-970B-2A8DC308C15A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SOF260F9592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9D48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11B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40199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05DA6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77A6F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5281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D2B38"/>
    <w:rsid w:val="256C17CE"/>
    <w:rsid w:val="295B6DEE"/>
    <w:rsid w:val="36B3674F"/>
    <w:rsid w:val="513913D5"/>
    <w:rsid w:val="58B90D3E"/>
    <w:rsid w:val="78ED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3375</Words>
  <Characters>3475</Characters>
  <Lines>0</Lines>
  <Paragraphs>0</Paragraphs>
  <TotalTime>4</TotalTime>
  <ScaleCrop>false</ScaleCrop>
  <LinksUpToDate>false</LinksUpToDate>
  <CharactersWithSpaces>3593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2025-12-01T07:17:00Z</dcterms:created>
  <dc:creator>惟伊</dc:creator>
  <cp:lastModifiedBy>周周</cp:lastModifiedBy>
  <dcterms:modified xsi:type="dcterms:W3CDTF">2026-02-04T03:45:49Z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E1B9FD55818846F7ADB3232E4BE9DE5D_11</vt:lpwstr>
  </property>
  <property fmtid="{D5CDD505-2E9C-101B-9397-08002B2CF9AE}" pid="4" name="KSOTemplateDocerSaveRecord">
    <vt:lpwstr>eyJoZGlkIjoiNzViYjYwOWQwNDc2Nzk5MDIzMTBkZGFmN2RkZjVmNGQiLCJ1c2VySWQiOiIxOTU5OTU4NDgifQ==</vt:lpwstr>
  </property>
</Properties>
</file>