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8212F"/>
          <w:sz w:val="46"/>
        </w:rPr>
        <w:t>NOTE DE CADRAGE</w:t>
      </w:r>
    </w:p>
    <w:p>
      <w:pPr>
        <w:spacing w:after="280"/>
      </w:pPr>
      <w:r>
        <w:rPr>
          <w:rFonts w:ascii="Calibri" w:hAnsi="Calibri"/>
          <w:color w:val="5C687A"/>
          <w:sz w:val="28"/>
        </w:rPr>
        <w:t>P11 — Partie 1 : fiabilisation et professionnalisation du projet BottleNeck</w:t>
      </w:r>
    </w:p>
    <w:p>
      <w:pPr>
        <w:spacing w:after="120"/>
      </w:pPr>
      <w:r>
        <w:rPr>
          <w:b/>
          <w:color w:val="1F4D78"/>
        </w:rPr>
        <w:t xml:space="preserve">Destinataires : </w:t>
      </w:r>
      <w:r>
        <w:t>évaluateur OpenClassrooms, encadrant, recruteur et parties prenantes du projet</w:t>
      </w:r>
    </w:p>
    <w:p>
      <w:pPr>
        <w:spacing w:after="120"/>
      </w:pPr>
      <w:r>
        <w:rPr>
          <w:b/>
          <w:color w:val="1F4D78"/>
        </w:rPr>
        <w:t xml:space="preserve">Version : </w:t>
      </w:r>
      <w:r>
        <w:t>1.1 — 25 août 2026</w:t>
      </w:r>
    </w:p>
    <w:p>
      <w:pPr>
        <w:spacing w:after="120"/>
      </w:pPr>
      <w:r>
        <w:rPr>
          <w:b/>
          <w:color w:val="1F4D78"/>
        </w:rPr>
        <w:t xml:space="preserve">Périmètre : </w:t>
      </w:r>
      <w:r>
        <w:t>rapprochement ERP/Web, qualité, calculs, reproductibilité, expériences et validation</w:t>
      </w:r>
    </w:p>
    <w:p>
      <w:pPr>
        <w:spacing w:after="120"/>
      </w:pPr>
      <w:r>
        <w:rPr>
          <w:b/>
          <w:color w:val="1F4D78"/>
        </w:rPr>
        <w:t xml:space="preserve">Données : </w:t>
      </w:r>
      <w:r>
        <w:t>ventes d’octobre uniquement et stock arrêté au 31 octobre</w:t>
      </w:r>
    </w:p>
    <w:p>
      <w:pPr>
        <w:spacing w:after="120"/>
      </w:pPr>
      <w:r>
        <w:rPr>
          <w:b/>
          <w:color w:val="1F4D78"/>
        </w:rPr>
        <w:t xml:space="preserve">Statut : </w:t>
      </w:r>
      <w:r>
        <w:t>partie 1 terminée et documentée ; hypothèses métier encore à confirmer</w:t>
      </w:r>
    </w:p>
    <w:p>
      <w:pPr>
        <w:pStyle w:val="Heading1"/>
      </w:pPr>
      <w:r>
        <w:t>1. Finalité de la partie 1</w:t>
      </w:r>
    </w:p>
    <w:p>
      <w:r>
        <w:t>La partie 1 transforme un notebook dépendant de Google Colab en un projet d’analyse local, reproductible, testable et traçable. Le travail ne se limite pas à un audit : les corrections méthodologiques ont été implémentées, exécutées et reliées à des preuves persistantes.</w:t>
      </w:r>
    </w:p>
    <w:p>
      <w:pPr>
        <w:spacing w:after="120"/>
      </w:pPr>
      <w:r>
        <w:rPr>
          <w:b/>
          <w:color w:val="1F4D78"/>
        </w:rPr>
        <w:t xml:space="preserve">Résultat attendu : </w:t>
      </w:r>
      <w:r>
        <w:t>un tiers peut reproduire l’analyse, comprendre les décisions et distinguer faits, alertes, hypothèses et limites.</w:t>
      </w:r>
    </w:p>
    <w:p>
      <w:pPr>
        <w:pStyle w:val="Heading1"/>
      </w:pPr>
      <w:r>
        <w:t>2. Livrables associés au cadrage</w:t>
      </w:r>
    </w:p>
    <w:p>
      <w:pPr>
        <w:spacing w:after="120"/>
      </w:pPr>
      <w:r>
        <w:rPr>
          <w:b/>
          <w:color w:val="1F4D78"/>
        </w:rPr>
        <w:t xml:space="preserve">Trello : </w:t>
      </w:r>
      <w:r>
        <w:t>tableau de pilotage « P11 — Partie 1 », composé de quatre listes et de douze cartes E01 à E12, toutes terminées.</w:t>
      </w:r>
    </w:p>
    <w:p>
      <w:hyperlink r:id="rId11">
        <w:r>
          <w:rPr>
            <w:color w:val="2E74B5"/>
            <w:u w:val="single"/>
          </w:rPr>
          <w:t>Ouvrir le tableau Trello P11 — Partie 1</w:t>
        </w:r>
      </w:hyperlink>
    </w:p>
    <w:p>
      <w:pPr>
        <w:spacing w:after="120"/>
      </w:pPr>
      <w:r>
        <w:rPr>
          <w:b/>
          <w:color w:val="1F4D78"/>
        </w:rPr>
        <w:t xml:space="preserve">PowerPoint : </w:t>
      </w:r>
      <w:r>
        <w:t>support d’explication de 12 slides couvrant la démarche, les trois expériences, la validation et les limites.</w:t>
      </w:r>
    </w:p>
    <w:p>
      <w:hyperlink r:id="rId12">
        <w:r>
          <w:rPr>
            <w:color w:val="2E74B5"/>
            <w:u w:val="single"/>
          </w:rPr>
          <w:t>Ouvrir le PowerPoint P11 — Partie 1 (12 slides)</w:t>
        </w:r>
      </w:hyperlink>
    </w:p>
    <w:p>
      <w:r>
        <w:br w:type="page"/>
      </w:r>
    </w:p>
    <w:p>
      <w:pPr>
        <w:pStyle w:val="Heading1"/>
      </w:pPr>
      <w:r>
        <w:t>3. Tableau Trello intégré au cadrage</w:t>
      </w:r>
    </w:p>
    <w:p>
      <w:r>
        <w:t>Le tableau constitue l’index de pilotage de la partie 1. Au 25 août 2026, les listes Backlog, Todo et In progress sont vides ; les douze cartes sont dans Done. Chaque carte est reliée ci-dessous à une preuve disponible dans le dépôt.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440"/>
        <w:gridCol w:w="3160"/>
        <w:gridCol w:w="2860"/>
      </w:tblGrid>
      <w:tr>
        <w:trPr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Carte</w:t>
            </w:r>
          </w:p>
        </w:tc>
        <w:tc>
          <w:tcPr>
            <w:tcW w:type="dxa" w:w="2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Objectif</w:t>
            </w:r>
          </w:p>
        </w:tc>
        <w:tc>
          <w:tcPr>
            <w:tcW w:type="dxa" w:w="31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État / résultat</w:t>
            </w:r>
          </w:p>
        </w:tc>
        <w:tc>
          <w:tcPr>
            <w:tcW w:type="dxa" w:w="28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Preuve principale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E01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13">
              <w:r>
                <w:rPr>
                  <w:color w:val="2E74B5"/>
                  <w:u w:val="single"/>
                </w:rPr>
                <w:t>Préserver l’état initial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8 fichiers archivés et vérifiés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archive/original/MANIFEST.md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E02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14">
              <w:r>
                <w:rPr>
                  <w:color w:val="2E74B5"/>
                  <w:u w:val="single"/>
                </w:rPr>
                <w:t>Établir la baseline d’exécution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Échec strict objectivé : google.colab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reports/tables/baseline_execution.json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E03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15">
              <w:r>
                <w:rPr>
                  <w:color w:val="2E74B5"/>
                  <w:u w:val="single"/>
                </w:rPr>
                <w:t>Diagnostiquer la reproductibilité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Colab, chemins absolus et dépendances localisés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docs/audit_initial.md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E04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16">
              <w:r>
                <w:rPr>
                  <w:color w:val="2E74B5"/>
                  <w:u w:val="single"/>
                </w:rPr>
                <w:t>Auditer les calculs et la structure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Jointures, CA, marges, stock et conclusions revus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docs/audit_initial.md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E05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17">
              <w:r>
                <w:rPr>
                  <w:color w:val="2E74B5"/>
                  <w:u w:val="single"/>
                </w:rPr>
                <w:t>Transformer l’audit en projet fonctionnel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Pipeline, scripts, notebook et tests structurés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src/bottleneck_analysis/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E06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18">
              <w:r>
                <w:rPr>
                  <w:color w:val="2E74B5"/>
                  <w:u w:val="single"/>
                </w:rPr>
                <w:t>Ajouter des améliorations utiles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Indicateurs, segments stock et 11 figures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docs/registre_ameliorations.md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E07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19">
              <w:r>
                <w:rPr>
                  <w:color w:val="2E74B5"/>
                  <w:u w:val="single"/>
                </w:rPr>
                <w:t>Comparer plusieurs options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Trois expériences comparatives exécutées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reports/tables/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E08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20">
              <w:r>
                <w:rPr>
                  <w:color w:val="2E74B5"/>
                  <w:u w:val="single"/>
                </w:rPr>
                <w:t>Définir les critères avant l’expérience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Critères écrits avant lecture des résultats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docs/registre_experiences_ia.md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E09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21">
              <w:r>
                <w:rPr>
                  <w:color w:val="2E74B5"/>
                  <w:u w:val="single"/>
                </w:rPr>
                <w:t>Vérifier chaque amélioration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Implémentation, exécution et preuve obligatoires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tests/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E10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22">
              <w:r>
                <w:rPr>
                  <w:color w:val="2E74B5"/>
                  <w:u w:val="single"/>
                </w:rPr>
                <w:t>Revenir sur les choix invalidés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Filtre sémantique Web retenu sur mesures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src/bottleneck_analysis/pipeline.py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E11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23">
              <w:r>
                <w:rPr>
                  <w:color w:val="2E74B5"/>
                  <w:u w:val="single"/>
                </w:rPr>
                <w:t>Éviter le surdéveloppement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ML décoratif et dépendances non justifiées écartés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docs/limites_biais.md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E12</w:t>
              <w:br/>
              <w:t>Done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hyperlink r:id="rId24">
              <w:r>
                <w:rPr>
                  <w:color w:val="2E74B5"/>
                  <w:u w:val="single"/>
                </w:rPr>
                <w:t>Tenir le registre des améliorations</w:t>
              </w:r>
            </w:hyperlink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Décisions, preuves et limites rendues auditables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6"/>
              </w:rPr>
              <w:t>docs/registre_ameliorations.md</w:t>
            </w:r>
          </w:p>
        </w:tc>
      </w:tr>
    </w:tbl>
    <w:p>
      <w:pPr>
        <w:pStyle w:val="Heading1"/>
      </w:pPr>
      <w:r>
        <w:t>4. Contenu du PowerPoint de 12 slides</w:t>
      </w:r>
    </w:p>
    <w:p>
      <w:r>
        <w:t>Le support suit une progression simple : contexte, gouvernance, audit, reconstruction, expériences, discipline de validation, résultats et limites.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240"/>
        <w:gridCol w:w="5470"/>
      </w:tblGrid>
      <w:tr>
        <w:trPr>
          <w:tblHeader w:val="true"/>
        </w:trPr>
        <w:tc>
          <w:tcPr>
            <w:tcW w:type="dxa" w:w="6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N°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Titre</w:t>
            </w:r>
          </w:p>
        </w:tc>
        <w:tc>
          <w:tcPr>
            <w:tcW w:type="dxa" w:w="547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Rôle dans l’explication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P11 — Partie 1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Ouverture : objectif et transformation réalisée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2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Le point de départ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Contexte BottleNeck, sources et périmètre temporel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3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Le Trello rend l’avancement vérifiable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Tableau, quatre listes et 12 cartes terminées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4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E01 à E04 : établir des faits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Préservation, baseline, reproductibilité et audit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5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E05 : reconstruire un projet exécutable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Architecture du dépôt et chaîne reproductible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6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E06 : améliorer sans masquer les données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Qualité, indicateurs, stock et visualisations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7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E07–E08 : décider par l’expérience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Protocoles comparables et critères préalables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8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Le filtre Web évite le double comptage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Comparaison des cinq méthodes de sélection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9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La MAD produit un signal de revue robuste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Comparaison IQR, z-score, MAD brute et log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10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pandas reste le meilleur compromis courant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Comparaison pandas natif contre Pandera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11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E09 à E12 : verrouiller la qualité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Tests, retours arrière, sobriété et traçabilité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12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Partie 1 livrée et vérifiée</w:t>
            </w:r>
          </w:p>
        </w:tc>
        <w:tc>
          <w:tcPr>
            <w:tcW w:type="dxa" w:w="5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18212F"/>
                <w:sz w:val="17"/>
              </w:rPr>
              <w:t>Résultats, recette et limites à conserver</w:t>
            </w:r>
          </w:p>
        </w:tc>
      </w:tr>
    </w:tbl>
    <w:p>
      <w:pPr>
        <w:pStyle w:val="Heading1"/>
      </w:pPr>
      <w:r>
        <w:t>5. Critères de validation</w:t>
      </w:r>
    </w:p>
    <w:p>
      <w:pPr>
        <w:spacing w:after="120"/>
      </w:pPr>
      <w:r>
        <w:rPr>
          <w:b/>
          <w:color w:val="1F4D78"/>
        </w:rPr>
        <w:t xml:space="preserve">Recette intégrée : </w:t>
      </w:r>
      <w:r>
        <w:t>5 commandes sur 5 et 7 contrôles sur 7 réussis dans reports/tables/final_validation.json.</w:t>
      </w:r>
    </w:p>
    <w:p>
      <w:pPr>
        <w:spacing w:after="120"/>
      </w:pPr>
      <w:r>
        <w:rPr>
          <w:b/>
          <w:color w:val="1F4D78"/>
        </w:rPr>
        <w:t xml:space="preserve">Tests : </w:t>
      </w:r>
      <w:r>
        <w:t>17 tests pytest réussis sur l’état contrôlé du 8 août 2026.</w:t>
      </w:r>
    </w:p>
    <w:p>
      <w:pPr>
        <w:spacing w:after="120"/>
      </w:pPr>
      <w:r>
        <w:rPr>
          <w:b/>
          <w:color w:val="1F4D78"/>
        </w:rPr>
        <w:t xml:space="preserve">Notebook : </w:t>
      </w:r>
      <w:r>
        <w:t>24 cellules, dont 12 cellules de code exécutées, sans sortie d’erreur.</w:t>
      </w:r>
    </w:p>
    <w:p>
      <w:pPr>
        <w:spacing w:after="120"/>
      </w:pPr>
      <w:r>
        <w:rPr>
          <w:b/>
          <w:color w:val="1F4D78"/>
        </w:rPr>
        <w:t xml:space="preserve">Résultats réconciliés : </w:t>
      </w:r>
      <w:r>
        <w:t>714 produits Web, 5 751 unités et 143 680,10 € TTC de chiffre d’affaires d’octobre ; écart de contrôle indépendant égal à 0,00 €.</w:t>
      </w:r>
    </w:p>
    <w:p>
      <w:pPr>
        <w:spacing w:after="120"/>
      </w:pPr>
      <w:r>
        <w:rPr>
          <w:b/>
          <w:color w:val="1F4D78"/>
        </w:rPr>
        <w:t xml:space="preserve">Traçabilité : </w:t>
      </w:r>
      <w:r>
        <w:t>165 constats qualité, 11 figures en PNG et SVG, comparaisons exportées pour Web, outliers et validateurs.</w:t>
      </w:r>
    </w:p>
    <w:p>
      <w:pPr>
        <w:pStyle w:val="Heading1"/>
      </w:pPr>
      <w:r>
        <w:t>6. Limites à conserver dans toute restitution</w:t>
      </w:r>
    </w:p>
    <w:p>
      <w:r>
        <w:t>Les ventes couvrent octobre uniquement et le stock est un instantané au 31 octobre. L’année et l’horodatage des extractions ne sont pas certifiés. La TVA à 20 %, le caractère TTC du prix de vente et le caractère HT du coût d’achat restent des conventions à confirmer. Les alertes statistiques sont des signaux de revue humaine, jamais des corrections automatiques.</w:t>
      </w:r>
    </w:p>
    <w:p>
      <w:pPr>
        <w:spacing w:after="120"/>
      </w:pPr>
      <w:r>
        <w:rPr>
          <w:b/>
          <w:color w:val="1F4D78"/>
        </w:rPr>
        <w:t xml:space="preserve">Règle de mise à jour : </w:t>
      </w:r>
      <w:r>
        <w:t>si les données ou le pipeline changent, rejouer les tests, les expériences, le notebook, la recette et le contrôle visuel du PowerPoint avant de mettre à jour le statut Done.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87A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87A"/>
        <w:sz w:val="18"/>
      </w:rPr>
      <w:t>P11 — BottleNeck | Note de cadrage — Partie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821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ello.com/b/swp5d7fb/p11-partie-1" TargetMode="External"/><Relationship Id="rId12" Type="http://schemas.openxmlformats.org/officeDocument/2006/relationships/hyperlink" Target="../reports/P11_Partie_1_Explication_12_slides.pptx" TargetMode="External"/><Relationship Id="rId13" Type="http://schemas.openxmlformats.org/officeDocument/2006/relationships/hyperlink" Target="https://trello.com/c/u92Rl2gz" TargetMode="External"/><Relationship Id="rId14" Type="http://schemas.openxmlformats.org/officeDocument/2006/relationships/hyperlink" Target="https://trello.com/c/rID0I0U8" TargetMode="External"/><Relationship Id="rId15" Type="http://schemas.openxmlformats.org/officeDocument/2006/relationships/hyperlink" Target="https://trello.com/c/iK3PQRYp" TargetMode="External"/><Relationship Id="rId16" Type="http://schemas.openxmlformats.org/officeDocument/2006/relationships/hyperlink" Target="https://trello.com/c/QAUu6KkD" TargetMode="External"/><Relationship Id="rId17" Type="http://schemas.openxmlformats.org/officeDocument/2006/relationships/hyperlink" Target="https://trello.com/c/UZ5nOooO" TargetMode="External"/><Relationship Id="rId18" Type="http://schemas.openxmlformats.org/officeDocument/2006/relationships/hyperlink" Target="https://trello.com/c/y4gHM42U" TargetMode="External"/><Relationship Id="rId19" Type="http://schemas.openxmlformats.org/officeDocument/2006/relationships/hyperlink" Target="https://trello.com/c/XRW4NaEo" TargetMode="External"/><Relationship Id="rId20" Type="http://schemas.openxmlformats.org/officeDocument/2006/relationships/hyperlink" Target="https://trello.com/c/s0LR6pRk" TargetMode="External"/><Relationship Id="rId21" Type="http://schemas.openxmlformats.org/officeDocument/2006/relationships/hyperlink" Target="https://trello.com/c/oGTcRyq5" TargetMode="External"/><Relationship Id="rId22" Type="http://schemas.openxmlformats.org/officeDocument/2006/relationships/hyperlink" Target="https://trello.com/c/nM4hEkgk" TargetMode="External"/><Relationship Id="rId23" Type="http://schemas.openxmlformats.org/officeDocument/2006/relationships/hyperlink" Target="https://trello.com/c/HaUA2DFH" TargetMode="External"/><Relationship Id="rId24" Type="http://schemas.openxmlformats.org/officeDocument/2006/relationships/hyperlink" Target="https://trello.com/c/cuikVs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