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7118F" w14:textId="74069969" w:rsidR="00654941" w:rsidRPr="00CC58E7" w:rsidRDefault="00654941" w:rsidP="00654941">
      <w:pPr>
        <w:pStyle w:val="Heading1"/>
        <w:rPr>
          <w:lang w:val="en-GB"/>
        </w:rPr>
      </w:pPr>
      <w:bookmarkStart w:id="0" w:name="_Toc70529038"/>
      <w:bookmarkStart w:id="1" w:name="_Toc142898598"/>
      <w:r w:rsidRPr="00CC58E7">
        <w:rPr>
          <w:lang w:val="en-GB"/>
        </w:rPr>
        <w:t xml:space="preserve">Benchmark study for similar Special Economic Zones </w:t>
      </w:r>
      <w:proofErr w:type="gramStart"/>
      <w:r w:rsidRPr="00CC58E7">
        <w:rPr>
          <w:lang w:val="en-GB"/>
        </w:rPr>
        <w:t>projects</w:t>
      </w:r>
      <w:bookmarkEnd w:id="1"/>
      <w:proofErr w:type="gramEnd"/>
    </w:p>
    <w:p w14:paraId="3D867F47" w14:textId="77777777" w:rsidR="00E1196B" w:rsidRPr="00CC58E7" w:rsidRDefault="00E1196B" w:rsidP="00CC58E7">
      <w:pPr>
        <w:pStyle w:val="EPCMbodytext"/>
        <w:ind w:left="432"/>
        <w:rPr>
          <w:lang w:val="en-GB"/>
        </w:rPr>
      </w:pPr>
      <w:r w:rsidRPr="00CC58E7">
        <w:rPr>
          <w:lang w:val="en-GB"/>
        </w:rPr>
        <w:t>Based on documentary research as well as the Consultant's experience in advising clients on different modes of PPP procurement for similar projects around the world, we have conducted an international benchmark study of similar PPP projects for economic service zones, namely:</w:t>
      </w:r>
    </w:p>
    <w:p w14:paraId="6BCD8BE0" w14:textId="77777777" w:rsidR="00E1196B" w:rsidRPr="007D7B8E" w:rsidRDefault="00E1196B" w:rsidP="0011195A">
      <w:pPr>
        <w:pStyle w:val="EPCMbodytext"/>
        <w:numPr>
          <w:ilvl w:val="0"/>
          <w:numId w:val="36"/>
        </w:numPr>
        <w:rPr>
          <w:lang w:val="it-IT"/>
        </w:rPr>
      </w:pPr>
      <w:r w:rsidRPr="007D7B8E">
        <w:rPr>
          <w:lang w:val="it-IT"/>
        </w:rPr>
        <w:t>The Glo-Djigbé Industrial Zone (GDIZ), Benin</w:t>
      </w:r>
    </w:p>
    <w:p w14:paraId="477BFC59" w14:textId="77777777" w:rsidR="00E1196B" w:rsidRPr="00CC58E7" w:rsidRDefault="00E1196B" w:rsidP="0011195A">
      <w:pPr>
        <w:pStyle w:val="EPCMbodytext"/>
        <w:numPr>
          <w:ilvl w:val="0"/>
          <w:numId w:val="36"/>
        </w:numPr>
        <w:rPr>
          <w:lang w:val="en-GB"/>
        </w:rPr>
      </w:pPr>
      <w:r w:rsidRPr="00CC58E7">
        <w:rPr>
          <w:lang w:val="en-GB"/>
        </w:rPr>
        <w:t>Special Economic Zones in Bangladesh</w:t>
      </w:r>
    </w:p>
    <w:p w14:paraId="7A8CB26D" w14:textId="77777777" w:rsidR="00E1196B" w:rsidRPr="00CC58E7" w:rsidRDefault="00E1196B" w:rsidP="0011195A">
      <w:pPr>
        <w:pStyle w:val="EPCMbodytext"/>
        <w:numPr>
          <w:ilvl w:val="0"/>
          <w:numId w:val="36"/>
        </w:numPr>
        <w:rPr>
          <w:lang w:val="en-GB"/>
        </w:rPr>
      </w:pPr>
      <w:r w:rsidRPr="00CC58E7">
        <w:rPr>
          <w:lang w:val="en-GB"/>
        </w:rPr>
        <w:t>Free Industrial Zone Hualing Kutaisi 2, Georgia</w:t>
      </w:r>
    </w:p>
    <w:p w14:paraId="3A310CD0" w14:textId="02A60679" w:rsidR="00E1196B" w:rsidRPr="00CC58E7" w:rsidRDefault="00E1196B" w:rsidP="0011195A">
      <w:pPr>
        <w:pStyle w:val="EPCMbodytext"/>
        <w:numPr>
          <w:ilvl w:val="0"/>
          <w:numId w:val="36"/>
        </w:numPr>
        <w:rPr>
          <w:bCs/>
          <w:lang w:val="en-GB"/>
        </w:rPr>
      </w:pPr>
      <w:r w:rsidRPr="00CC58E7">
        <w:rPr>
          <w:bCs/>
          <w:lang w:val="en-GB"/>
        </w:rPr>
        <w:t>Lekki Free Trade Zone, Lagos State, Nigeria</w:t>
      </w:r>
    </w:p>
    <w:p w14:paraId="5674DEBB" w14:textId="40BB5B70" w:rsidR="0070640A" w:rsidRPr="007D7B8E" w:rsidRDefault="0070640A" w:rsidP="00E836BC">
      <w:pPr>
        <w:pStyle w:val="Heading2"/>
        <w:rPr>
          <w:lang w:val="it-IT"/>
        </w:rPr>
      </w:pPr>
      <w:bookmarkStart w:id="2" w:name="_Toc142898599"/>
      <w:r w:rsidRPr="007D7B8E">
        <w:rPr>
          <w:lang w:val="it-IT"/>
        </w:rPr>
        <w:t>The Glo-Djigbé Industrial Zone (GDIZ), Benin</w:t>
      </w:r>
      <w:bookmarkEnd w:id="2"/>
    </w:p>
    <w:p w14:paraId="51EBEAE4" w14:textId="60B544D7" w:rsidR="00C93452" w:rsidRPr="00CC58E7" w:rsidRDefault="00C93452" w:rsidP="00C93452">
      <w:pPr>
        <w:pStyle w:val="Heading3"/>
        <w:rPr>
          <w:lang w:val="en-GB"/>
        </w:rPr>
      </w:pPr>
      <w:bookmarkStart w:id="3" w:name="_Toc142898600"/>
      <w:r w:rsidRPr="00CC58E7">
        <w:rPr>
          <w:lang w:val="en-GB"/>
        </w:rPr>
        <w:t>Project presentation</w:t>
      </w:r>
      <w:bookmarkEnd w:id="3"/>
    </w:p>
    <w:p w14:paraId="58065AB4" w14:textId="77777777" w:rsidR="00D4286E" w:rsidRPr="00CC58E7" w:rsidRDefault="00D4286E" w:rsidP="00D4286E">
      <w:pPr>
        <w:pStyle w:val="EPCMbodytext"/>
        <w:rPr>
          <w:lang w:val="en-GB"/>
        </w:rPr>
      </w:pPr>
      <w:r w:rsidRPr="00CC58E7">
        <w:rPr>
          <w:lang w:val="en-GB"/>
        </w:rPr>
        <w:t>GDIZ is an integrated industrial area, developed over an area of 1,640 ha with the aim of creating flourishing value chains ranging from raw material supply to the export of finished products, including resource processing.</w:t>
      </w:r>
    </w:p>
    <w:p w14:paraId="06D29FE8" w14:textId="529EC8F2" w:rsidR="00D4286E" w:rsidRPr="00CC58E7" w:rsidRDefault="00D4286E" w:rsidP="00D4286E">
      <w:pPr>
        <w:pStyle w:val="EPCMbodytext"/>
        <w:rPr>
          <w:lang w:val="en-GB"/>
        </w:rPr>
      </w:pPr>
      <w:r w:rsidRPr="00CC58E7">
        <w:rPr>
          <w:lang w:val="en-GB"/>
        </w:rPr>
        <w:t>GDIZ’s objective is to provide investors with a gateway to the African landscape by providing them with the necessary infrastructure, creating an atmosphere conducive to business and supporting them in promoting their products through their ecosystem approach.</w:t>
      </w:r>
    </w:p>
    <w:p w14:paraId="14459D04" w14:textId="5F61285B" w:rsidR="00C93452" w:rsidRPr="00CC58E7" w:rsidRDefault="00D4286E" w:rsidP="00D4286E">
      <w:pPr>
        <w:pStyle w:val="EPCMbodytext"/>
        <w:rPr>
          <w:lang w:val="en-GB"/>
        </w:rPr>
      </w:pPr>
      <w:r w:rsidRPr="00CC58E7">
        <w:rPr>
          <w:lang w:val="en-GB"/>
        </w:rPr>
        <w:t xml:space="preserve">GDIZ is strategically located on a motorway that is connected to the airport and the Autonomous Port of Cotonou (PAC). GDIZ will be close to the future planned rail line for </w:t>
      </w:r>
      <w:r w:rsidR="00360EC8" w:rsidRPr="00CC58E7">
        <w:rPr>
          <w:lang w:val="en-GB"/>
        </w:rPr>
        <w:t>better</w:t>
      </w:r>
      <w:r w:rsidRPr="00CC58E7">
        <w:rPr>
          <w:lang w:val="en-GB"/>
        </w:rPr>
        <w:t xml:space="preserve"> economical freight management. In addition, the GDIZ has a single window, a police </w:t>
      </w:r>
      <w:r w:rsidR="00600D55" w:rsidRPr="00600D55">
        <w:rPr>
          <w:lang w:val="en-GB"/>
        </w:rPr>
        <w:t>station,</w:t>
      </w:r>
      <w:r w:rsidRPr="00CC58E7">
        <w:rPr>
          <w:lang w:val="en-GB"/>
        </w:rPr>
        <w:t xml:space="preserve"> and a fire station, among many other facilities.</w:t>
      </w:r>
    </w:p>
    <w:p w14:paraId="757F47F6" w14:textId="77777777" w:rsidR="00784A6C" w:rsidRPr="00CC58E7" w:rsidRDefault="00784A6C" w:rsidP="00784A6C">
      <w:pPr>
        <w:pStyle w:val="EPCMbodytext"/>
        <w:keepNext/>
        <w:jc w:val="center"/>
        <w:rPr>
          <w:lang w:val="en-GB"/>
        </w:rPr>
      </w:pPr>
      <w:r w:rsidRPr="00CC58E7">
        <w:rPr>
          <w:b/>
          <w:noProof/>
          <w:lang w:val="en-GB"/>
        </w:rPr>
        <w:drawing>
          <wp:inline distT="0" distB="0" distL="0" distR="0" wp14:anchorId="73C9EE56" wp14:editId="4E447817">
            <wp:extent cx="3835400" cy="2558118"/>
            <wp:effectExtent l="0" t="0" r="0" b="0"/>
            <wp:docPr id="4098" name="Picture 4098" descr="Découvrir GDIZ - GDIZ Benin">
              <a:extLst xmlns:a="http://schemas.openxmlformats.org/drawingml/2006/main">
                <a:ext uri="{FF2B5EF4-FFF2-40B4-BE49-F238E27FC236}">
                  <a16:creationId xmlns:a16="http://schemas.microsoft.com/office/drawing/2014/main" id="{3D105221-2F4C-96D9-E473-4E4172998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Découvrir GDIZ - GDIZ Benin">
                      <a:extLst>
                        <a:ext uri="{FF2B5EF4-FFF2-40B4-BE49-F238E27FC236}">
                          <a16:creationId xmlns:a16="http://schemas.microsoft.com/office/drawing/2014/main" id="{3D105221-2F4C-96D9-E473-4E4172998F4E}"/>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7315" cy="2559395"/>
                    </a:xfrm>
                    <a:prstGeom prst="rect">
                      <a:avLst/>
                    </a:prstGeom>
                    <a:noFill/>
                  </pic:spPr>
                </pic:pic>
              </a:graphicData>
            </a:graphic>
          </wp:inline>
        </w:drawing>
      </w:r>
    </w:p>
    <w:p w14:paraId="3E385521" w14:textId="15C16E98" w:rsidR="00784A6C" w:rsidRPr="00C15FBA" w:rsidRDefault="00784A6C" w:rsidP="00BF45DB">
      <w:pPr>
        <w:pStyle w:val="Caption"/>
      </w:pPr>
      <w:bookmarkStart w:id="4" w:name="_Toc142898683"/>
      <w:r w:rsidRPr="00C15FBA">
        <w:t xml:space="preserve">Figure </w:t>
      </w:r>
      <w:r w:rsidR="007B7732" w:rsidRPr="00C15FBA">
        <w:fldChar w:fldCharType="begin"/>
      </w:r>
      <w:r w:rsidR="007B7732" w:rsidRPr="00C15FBA">
        <w:instrText xml:space="preserve"> SEQ Figure \* ARABIC </w:instrText>
      </w:r>
      <w:r w:rsidR="007B7732" w:rsidRPr="00C15FBA">
        <w:fldChar w:fldCharType="separate"/>
      </w:r>
      <w:r w:rsidR="00A51A2E">
        <w:rPr>
          <w:noProof/>
        </w:rPr>
        <w:t>3</w:t>
      </w:r>
      <w:r w:rsidR="007B7732" w:rsidRPr="00C15FBA">
        <w:fldChar w:fldCharType="end"/>
      </w:r>
      <w:r w:rsidRPr="00C15FBA">
        <w:t>: The Glo-</w:t>
      </w:r>
      <w:proofErr w:type="spellStart"/>
      <w:r w:rsidRPr="00C15FBA">
        <w:t>Djigbé</w:t>
      </w:r>
      <w:proofErr w:type="spellEnd"/>
      <w:r w:rsidRPr="00C15FBA">
        <w:t xml:space="preserve"> Industrial Zone (GDIZ), Benin</w:t>
      </w:r>
      <w:bookmarkEnd w:id="4"/>
    </w:p>
    <w:p w14:paraId="29999B35" w14:textId="0D16E0F4" w:rsidR="00C93452" w:rsidRPr="00CC58E7" w:rsidRDefault="00C93452" w:rsidP="00C93452">
      <w:pPr>
        <w:pStyle w:val="Heading3"/>
        <w:rPr>
          <w:lang w:val="en-GB"/>
        </w:rPr>
      </w:pPr>
      <w:bookmarkStart w:id="5" w:name="_Toc142898601"/>
      <w:r w:rsidRPr="00CC58E7">
        <w:rPr>
          <w:lang w:val="en-GB"/>
        </w:rPr>
        <w:lastRenderedPageBreak/>
        <w:t>Project Structure</w:t>
      </w:r>
      <w:bookmarkEnd w:id="5"/>
    </w:p>
    <w:p w14:paraId="5B06235A" w14:textId="6AF241AC" w:rsidR="00C93452" w:rsidRPr="00CC58E7" w:rsidRDefault="00923250" w:rsidP="00C93452">
      <w:pPr>
        <w:pStyle w:val="EPCMbodytext"/>
        <w:rPr>
          <w:lang w:val="en-GB"/>
        </w:rPr>
      </w:pPr>
      <w:r w:rsidRPr="00CC58E7">
        <w:rPr>
          <w:lang w:val="en-GB"/>
        </w:rPr>
        <w:t>The Glo-</w:t>
      </w:r>
      <w:proofErr w:type="spellStart"/>
      <w:r w:rsidRPr="00CC58E7">
        <w:rPr>
          <w:lang w:val="en-GB"/>
        </w:rPr>
        <w:t>Djigbé</w:t>
      </w:r>
      <w:proofErr w:type="spellEnd"/>
      <w:r w:rsidRPr="00CC58E7">
        <w:rPr>
          <w:lang w:val="en-GB"/>
        </w:rPr>
        <w:t xml:space="preserve"> Industrial Zone (GDIZ) is a groundbreaking project in Benin, established through a public-private partnership. This partnership between the Republic of Benin and Arise IIP follows a joint venture structure, with the government holding a 35% stake and the private sector contributing 65%. Under the agreement, Arise IIP has taken on the responsibility of designing, financing, and operating GDIZ. As a testament to their commitment, Arise IIP has invested a staggering 1.5 billion USD to cover the entire construction cost of the industrial zone. The project area spans a substantial 1640 hectares, with the first stage already completed, comprising 400 hectares. GDIZ encompasses various vital components, including textile companies, cotton transformation facilities, and training </w:t>
      </w:r>
      <w:proofErr w:type="spellStart"/>
      <w:r w:rsidRPr="00CC58E7">
        <w:rPr>
          <w:lang w:val="en-GB"/>
        </w:rPr>
        <w:t>centers</w:t>
      </w:r>
      <w:proofErr w:type="spellEnd"/>
      <w:r w:rsidRPr="00CC58E7">
        <w:rPr>
          <w:lang w:val="en-GB"/>
        </w:rPr>
        <w:t xml:space="preserve">, among others. </w:t>
      </w:r>
    </w:p>
    <w:p w14:paraId="523107D9" w14:textId="3B9356E3" w:rsidR="00C87DE5" w:rsidRPr="00CC58E7" w:rsidRDefault="006D7045" w:rsidP="00C87DE5">
      <w:pPr>
        <w:pStyle w:val="Heading2"/>
        <w:rPr>
          <w:lang w:val="en-GB"/>
        </w:rPr>
      </w:pPr>
      <w:bookmarkStart w:id="6" w:name="_Toc142898602"/>
      <w:r w:rsidRPr="00CC58E7">
        <w:rPr>
          <w:lang w:val="en-GB"/>
        </w:rPr>
        <w:t>Special Economic Zones in Bangladesh</w:t>
      </w:r>
      <w:bookmarkEnd w:id="6"/>
    </w:p>
    <w:p w14:paraId="5E0A92D4" w14:textId="77777777" w:rsidR="00673F9C" w:rsidRPr="00CC58E7" w:rsidRDefault="00673F9C" w:rsidP="00673F9C">
      <w:pPr>
        <w:pStyle w:val="Heading3"/>
        <w:rPr>
          <w:lang w:val="en-GB"/>
        </w:rPr>
      </w:pPr>
      <w:bookmarkStart w:id="7" w:name="_Toc142898603"/>
      <w:r w:rsidRPr="00CC58E7">
        <w:rPr>
          <w:lang w:val="en-GB"/>
        </w:rPr>
        <w:t>Project presentation</w:t>
      </w:r>
      <w:bookmarkEnd w:id="7"/>
    </w:p>
    <w:p w14:paraId="374E9DDA" w14:textId="1E4A78C3" w:rsidR="00673F9C" w:rsidRPr="00CC58E7" w:rsidRDefault="00832DA3" w:rsidP="00673F9C">
      <w:pPr>
        <w:pStyle w:val="EPCMbodytext"/>
        <w:rPr>
          <w:lang w:val="en-GB"/>
        </w:rPr>
      </w:pPr>
      <w:r w:rsidRPr="00CC58E7">
        <w:rPr>
          <w:lang w:val="en-GB"/>
        </w:rPr>
        <w:t>The Special Economic Zones (SEZs) project in Bangladesh is an ambitious endeavour aimed at spurring economic growth and attracting foreign direct investment (FDI) to the country. These SEZs are designated areas that offer unique incentives, infrastructure, and facilities to both local and foreign businesses, promoting industrialization and export-oriented industries.</w:t>
      </w:r>
    </w:p>
    <w:p w14:paraId="1831A6C6" w14:textId="77777777" w:rsidR="003100C4" w:rsidRPr="00CC58E7" w:rsidRDefault="003100C4" w:rsidP="003100C4">
      <w:pPr>
        <w:pStyle w:val="EPCMbodytext"/>
        <w:rPr>
          <w:lang w:val="en-GB"/>
        </w:rPr>
      </w:pPr>
      <w:r w:rsidRPr="00CC58E7">
        <w:rPr>
          <w:lang w:val="en-GB"/>
        </w:rPr>
        <w:t>One of the primary objectives of the SEZ project is to diversify the economy and reduce dependency on traditional sectors. The SEZs cater to a wide range of industries, including manufacturing, textiles and garments, electronics, information technology, pharmaceuticals, and automobile manufacturing, among others. By focusing on these sectors, Bangladesh aims to enhance export competitiveness, create employment opportunities, and boost overall economic growth.</w:t>
      </w:r>
    </w:p>
    <w:p w14:paraId="2D99722A" w14:textId="0AA07B2F" w:rsidR="003100C4" w:rsidRPr="00CC58E7" w:rsidRDefault="003100C4" w:rsidP="003100C4">
      <w:pPr>
        <w:pStyle w:val="EPCMbodytext"/>
        <w:rPr>
          <w:lang w:val="en-GB"/>
        </w:rPr>
      </w:pPr>
      <w:r w:rsidRPr="00CC58E7">
        <w:rPr>
          <w:lang w:val="en-GB"/>
        </w:rPr>
        <w:t xml:space="preserve">The SEZs offer numerous benefits to investors, such as tax incentives, duty-free import of machinery and raw materials, streamlined bureaucratic processes, and improved infrastructure. The government has taken significant steps to ensure ease of doing business within the SEZs, implementing a one-stop service </w:t>
      </w:r>
      <w:proofErr w:type="spellStart"/>
      <w:r w:rsidRPr="00CC58E7">
        <w:rPr>
          <w:lang w:val="en-GB"/>
        </w:rPr>
        <w:t>center</w:t>
      </w:r>
      <w:proofErr w:type="spellEnd"/>
      <w:r w:rsidRPr="00CC58E7">
        <w:rPr>
          <w:lang w:val="en-GB"/>
        </w:rPr>
        <w:t xml:space="preserve"> that provides comprehensive support to investors, including licensing, permits, and utilities.</w:t>
      </w:r>
    </w:p>
    <w:p w14:paraId="35648DB8" w14:textId="5959EDF7" w:rsidR="00971AAF" w:rsidRPr="00CC58E7" w:rsidRDefault="003100C4" w:rsidP="00B9289A">
      <w:pPr>
        <w:pStyle w:val="EPCMbodytext"/>
        <w:rPr>
          <w:lang w:val="en-GB"/>
        </w:rPr>
      </w:pPr>
      <w:r w:rsidRPr="00CC58E7">
        <w:rPr>
          <w:lang w:val="en-GB"/>
        </w:rPr>
        <w:t>To date, several SEZs have been established across Bangladesh, including</w:t>
      </w:r>
      <w:r w:rsidR="009655D2" w:rsidRPr="00CC58E7">
        <w:rPr>
          <w:lang w:val="en-GB"/>
        </w:rPr>
        <w:t xml:space="preserve"> </w:t>
      </w:r>
      <w:r w:rsidR="009655D2" w:rsidRPr="00CC58E7">
        <w:rPr>
          <w:bCs/>
          <w:lang w:val="en-GB"/>
        </w:rPr>
        <w:t xml:space="preserve">the Bangabandhu Sheikh Mujib Shilpa Nagar 1 (BSMSN-1) and the Mongla Economic </w:t>
      </w:r>
      <w:r w:rsidR="00600D55" w:rsidRPr="00600D55">
        <w:rPr>
          <w:bCs/>
          <w:lang w:val="en-GB"/>
        </w:rPr>
        <w:t>Zone,</w:t>
      </w:r>
      <w:r w:rsidR="009655D2" w:rsidRPr="00CC58E7">
        <w:rPr>
          <w:bCs/>
          <w:lang w:val="en-GB"/>
        </w:rPr>
        <w:t xml:space="preserve"> </w:t>
      </w:r>
      <w:r w:rsidRPr="00CC58E7">
        <w:rPr>
          <w:bCs/>
          <w:lang w:val="en-GB"/>
        </w:rPr>
        <w:t>among others. These zones provide a conducive business environment, with</w:t>
      </w:r>
      <w:r w:rsidRPr="00CC58E7">
        <w:rPr>
          <w:lang w:val="en-GB"/>
        </w:rPr>
        <w:t xml:space="preserve"> well-planned industrial layouts, reliable power supply, water treatment facilities, and modern transportation </w:t>
      </w:r>
      <w:r w:rsidR="00B9289A" w:rsidRPr="00CC58E7">
        <w:rPr>
          <w:lang w:val="en-GB"/>
        </w:rPr>
        <w:t>networks. The</w:t>
      </w:r>
      <w:r w:rsidR="00971AAF" w:rsidRPr="00CC58E7">
        <w:rPr>
          <w:lang w:val="en-GB"/>
        </w:rPr>
        <w:t xml:space="preserve"> different zones</w:t>
      </w:r>
      <w:r w:rsidR="00B9289A" w:rsidRPr="00CC58E7">
        <w:rPr>
          <w:lang w:val="en-GB"/>
        </w:rPr>
        <w:t xml:space="preserve"> Cover an expansive area of 1,500 acres of land.</w:t>
      </w:r>
    </w:p>
    <w:p w14:paraId="556E37DD" w14:textId="77777777" w:rsidR="00484391" w:rsidRPr="00CC58E7" w:rsidRDefault="00484391" w:rsidP="00484391">
      <w:pPr>
        <w:pStyle w:val="EPCMbodytext"/>
        <w:keepNext/>
        <w:jc w:val="center"/>
        <w:rPr>
          <w:lang w:val="en-GB"/>
        </w:rPr>
      </w:pPr>
      <w:r w:rsidRPr="00CC58E7">
        <w:rPr>
          <w:b/>
          <w:noProof/>
          <w:lang w:val="en-GB"/>
        </w:rPr>
        <w:lastRenderedPageBreak/>
        <w:drawing>
          <wp:inline distT="0" distB="0" distL="0" distR="0" wp14:anchorId="6BE0A512" wp14:editId="33BFD8E2">
            <wp:extent cx="3602585" cy="2952750"/>
            <wp:effectExtent l="0" t="0" r="0" b="0"/>
            <wp:docPr id="3074" name="Picture 3074" descr="An Update on Special Economic Zones in Bangladesh - LightCastle Partners">
              <a:extLst xmlns:a="http://schemas.openxmlformats.org/drawingml/2006/main">
                <a:ext uri="{FF2B5EF4-FFF2-40B4-BE49-F238E27FC236}">
                  <a16:creationId xmlns:a16="http://schemas.microsoft.com/office/drawing/2014/main" id="{2139EFBC-5245-BE7E-0F63-7012BE0627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An Update on Special Economic Zones in Bangladesh - LightCastle Partners">
                      <a:extLst>
                        <a:ext uri="{FF2B5EF4-FFF2-40B4-BE49-F238E27FC236}">
                          <a16:creationId xmlns:a16="http://schemas.microsoft.com/office/drawing/2014/main" id="{2139EFBC-5245-BE7E-0F63-7012BE062741}"/>
                        </a:ext>
                      </a:extLs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l="14391" r="10332"/>
                    <a:stretch/>
                  </pic:blipFill>
                  <pic:spPr bwMode="auto">
                    <a:xfrm>
                      <a:off x="0" y="0"/>
                      <a:ext cx="3604167" cy="2954047"/>
                    </a:xfrm>
                    <a:prstGeom prst="rect">
                      <a:avLst/>
                    </a:prstGeom>
                    <a:noFill/>
                  </pic:spPr>
                </pic:pic>
              </a:graphicData>
            </a:graphic>
          </wp:inline>
        </w:drawing>
      </w:r>
    </w:p>
    <w:p w14:paraId="0631DEAC" w14:textId="7725F079" w:rsidR="00484391" w:rsidRPr="00C15FBA" w:rsidRDefault="00484391" w:rsidP="00BF45DB">
      <w:pPr>
        <w:pStyle w:val="Caption"/>
      </w:pPr>
      <w:bookmarkStart w:id="8" w:name="_Toc142898684"/>
      <w:r w:rsidRPr="00C15FBA">
        <w:t xml:space="preserve">Figure </w:t>
      </w:r>
      <w:r w:rsidR="007B7732" w:rsidRPr="00C15FBA">
        <w:fldChar w:fldCharType="begin"/>
      </w:r>
      <w:r w:rsidR="007B7732" w:rsidRPr="00C15FBA">
        <w:instrText xml:space="preserve"> SEQ Figure \* ARABIC </w:instrText>
      </w:r>
      <w:r w:rsidR="007B7732" w:rsidRPr="00C15FBA">
        <w:fldChar w:fldCharType="separate"/>
      </w:r>
      <w:r w:rsidR="00A51A2E">
        <w:rPr>
          <w:noProof/>
        </w:rPr>
        <w:t>4</w:t>
      </w:r>
      <w:r w:rsidR="007B7732" w:rsidRPr="00C15FBA">
        <w:fldChar w:fldCharType="end"/>
      </w:r>
      <w:r w:rsidRPr="00C15FBA">
        <w:t>: Special Economic Zone in Bangladesh</w:t>
      </w:r>
      <w:bookmarkEnd w:id="8"/>
    </w:p>
    <w:p w14:paraId="5D575434" w14:textId="77777777" w:rsidR="000C0DAA" w:rsidRPr="00CC58E7" w:rsidRDefault="000C0DAA" w:rsidP="000C0DAA">
      <w:pPr>
        <w:pStyle w:val="Heading3"/>
        <w:rPr>
          <w:lang w:val="en-GB"/>
        </w:rPr>
      </w:pPr>
      <w:bookmarkStart w:id="9" w:name="_Toc142898604"/>
      <w:r w:rsidRPr="00CC58E7">
        <w:rPr>
          <w:lang w:val="en-GB"/>
        </w:rPr>
        <w:t>Project Structure</w:t>
      </w:r>
      <w:bookmarkEnd w:id="9"/>
    </w:p>
    <w:p w14:paraId="15B50A42" w14:textId="08FBA98F" w:rsidR="000C0DAA" w:rsidRPr="00CC58E7" w:rsidRDefault="00974EE9" w:rsidP="00673F9C">
      <w:pPr>
        <w:pStyle w:val="EPCMbodytext"/>
        <w:rPr>
          <w:lang w:val="en-GB"/>
        </w:rPr>
      </w:pPr>
      <w:r w:rsidRPr="00CC58E7">
        <w:rPr>
          <w:lang w:val="en-GB"/>
        </w:rPr>
        <w:t>The SEZ project is structured as a public-private partnership, with the Bangladesh government playing a crucial role in providing policy support, land allocation, and infrastructure development. Private investors, both domestic and international, are encouraged to invest in the SEZs, bringing in capital, technology, and expertise to accelerate industrial development.</w:t>
      </w:r>
    </w:p>
    <w:p w14:paraId="120278BB" w14:textId="77777777" w:rsidR="00971AAF" w:rsidRPr="00CC58E7" w:rsidRDefault="00350723" w:rsidP="00350723">
      <w:pPr>
        <w:pStyle w:val="EPCMbodytext"/>
        <w:rPr>
          <w:lang w:val="en-GB"/>
        </w:rPr>
      </w:pPr>
      <w:r w:rsidRPr="00CC58E7">
        <w:rPr>
          <w:lang w:val="en-GB"/>
        </w:rPr>
        <w:t>The development of the Bangabandhu Sheikh Mujib Shilpa Nagar 1 (BSMSN-1) and the Mongla Economic Zone in Bangladesh</w:t>
      </w:r>
      <w:r w:rsidR="00971AAF" w:rsidRPr="00CC58E7">
        <w:rPr>
          <w:lang w:val="en-GB"/>
        </w:rPr>
        <w:t xml:space="preserve"> for example</w:t>
      </w:r>
      <w:r w:rsidRPr="00CC58E7">
        <w:rPr>
          <w:lang w:val="en-GB"/>
        </w:rPr>
        <w:t xml:space="preserve"> follows a unique project structure based on a private lease agreement. This arrangement has facilitated the establishment of these industrial zones, attracting significant private investment. </w:t>
      </w:r>
    </w:p>
    <w:p w14:paraId="0F3882CA" w14:textId="2FDD443F" w:rsidR="00350723" w:rsidRPr="00CC58E7" w:rsidRDefault="00350723" w:rsidP="00350723">
      <w:pPr>
        <w:pStyle w:val="EPCMbodytext"/>
        <w:rPr>
          <w:lang w:val="en-GB"/>
        </w:rPr>
      </w:pPr>
      <w:r w:rsidRPr="00CC58E7">
        <w:rPr>
          <w:lang w:val="en-GB"/>
        </w:rPr>
        <w:t>The project</w:t>
      </w:r>
      <w:r w:rsidR="00971AAF" w:rsidRPr="00CC58E7">
        <w:rPr>
          <w:lang w:val="en-GB"/>
        </w:rPr>
        <w:t>s</w:t>
      </w:r>
      <w:r w:rsidRPr="00CC58E7">
        <w:rPr>
          <w:lang w:val="en-GB"/>
        </w:rPr>
        <w:t xml:space="preserve"> </w:t>
      </w:r>
      <w:r w:rsidR="00971AAF" w:rsidRPr="00CC58E7">
        <w:rPr>
          <w:lang w:val="en-GB"/>
        </w:rPr>
        <w:t>have</w:t>
      </w:r>
      <w:r w:rsidRPr="00CC58E7">
        <w:rPr>
          <w:lang w:val="en-GB"/>
        </w:rPr>
        <w:t xml:space="preserve"> witnessed an impressive direct total private investment of over $3.9 billion, reflecting the confidence of investors in the potential of these zones.</w:t>
      </w:r>
    </w:p>
    <w:p w14:paraId="07087008" w14:textId="6B21AAA6" w:rsidR="00350723" w:rsidRPr="00CC58E7" w:rsidRDefault="00350723" w:rsidP="00350723">
      <w:pPr>
        <w:pStyle w:val="EPCMbodytext"/>
        <w:rPr>
          <w:lang w:val="en-GB"/>
        </w:rPr>
      </w:pPr>
      <w:r w:rsidRPr="00CC58E7">
        <w:rPr>
          <w:lang w:val="en-GB"/>
        </w:rPr>
        <w:t>The project</w:t>
      </w:r>
      <w:r w:rsidR="00971AAF" w:rsidRPr="00CC58E7">
        <w:rPr>
          <w:lang w:val="en-GB"/>
        </w:rPr>
        <w:t>s</w:t>
      </w:r>
      <w:r w:rsidRPr="00CC58E7">
        <w:rPr>
          <w:lang w:val="en-GB"/>
        </w:rPr>
        <w:t xml:space="preserve"> </w:t>
      </w:r>
      <w:r w:rsidR="00971AAF" w:rsidRPr="00CC58E7">
        <w:rPr>
          <w:lang w:val="en-GB"/>
        </w:rPr>
        <w:t>have</w:t>
      </w:r>
      <w:r w:rsidRPr="00CC58E7">
        <w:rPr>
          <w:lang w:val="en-GB"/>
        </w:rPr>
        <w:t xml:space="preserve"> received support from the World Bank, with credits </w:t>
      </w:r>
      <w:r w:rsidR="00B9289A" w:rsidRPr="00CC58E7">
        <w:rPr>
          <w:lang w:val="en-GB"/>
        </w:rPr>
        <w:t>totalling</w:t>
      </w:r>
      <w:r w:rsidRPr="00CC58E7">
        <w:rPr>
          <w:lang w:val="en-GB"/>
        </w:rPr>
        <w:t xml:space="preserve"> $170 million. This contribution from the World Bank demonstrates their recognition of the project's potential to drive economic growth and create employment opportunities in the region.</w:t>
      </w:r>
    </w:p>
    <w:p w14:paraId="522E41A8" w14:textId="1552FF4F" w:rsidR="00350723" w:rsidRPr="00CC58E7" w:rsidRDefault="00350723" w:rsidP="00350723">
      <w:pPr>
        <w:pStyle w:val="EPCMbodytext"/>
        <w:rPr>
          <w:lang w:val="en-GB"/>
        </w:rPr>
      </w:pPr>
      <w:r w:rsidRPr="00CC58E7">
        <w:rPr>
          <w:lang w:val="en-GB"/>
        </w:rPr>
        <w:t>Additionally, the project has forged a valuable partnership with the United Kingdom's Department for International Development (DFID) / Foreign, Commonwealth, and Development Office (FCDO). Through this collaboration, a recipient-executed grant of more than $20 million has been administered to finance crucial works and provide technical assistance. This partnership underscores the international support and cooperation involved in the successful implementation of the project.</w:t>
      </w:r>
    </w:p>
    <w:p w14:paraId="4989C77D" w14:textId="45F63E34" w:rsidR="00222757" w:rsidRPr="00CC58E7" w:rsidRDefault="00171566" w:rsidP="00222757">
      <w:pPr>
        <w:pStyle w:val="Heading2"/>
        <w:rPr>
          <w:lang w:val="en-GB"/>
        </w:rPr>
      </w:pPr>
      <w:bookmarkStart w:id="10" w:name="_Toc142898605"/>
      <w:r w:rsidRPr="00CC58E7">
        <w:rPr>
          <w:lang w:val="en-GB"/>
        </w:rPr>
        <w:lastRenderedPageBreak/>
        <w:t>Free Industrial Zone Hualing Kutaisi 2, Georgia</w:t>
      </w:r>
      <w:bookmarkEnd w:id="10"/>
    </w:p>
    <w:p w14:paraId="2084AD5D" w14:textId="77777777" w:rsidR="00694D93" w:rsidRPr="00CC58E7" w:rsidRDefault="00694D93" w:rsidP="00694D93">
      <w:pPr>
        <w:pStyle w:val="Heading3"/>
        <w:rPr>
          <w:lang w:val="en-GB"/>
        </w:rPr>
      </w:pPr>
      <w:bookmarkStart w:id="11" w:name="_Toc142898606"/>
      <w:r w:rsidRPr="00CC58E7">
        <w:rPr>
          <w:lang w:val="en-GB"/>
        </w:rPr>
        <w:t>Project presentation</w:t>
      </w:r>
      <w:bookmarkEnd w:id="11"/>
    </w:p>
    <w:p w14:paraId="1BC636E0" w14:textId="6D6A1E03" w:rsidR="00F348CE" w:rsidRPr="00CC58E7" w:rsidRDefault="00F348CE" w:rsidP="00F348CE">
      <w:pPr>
        <w:pStyle w:val="EPCMbodytext"/>
        <w:rPr>
          <w:lang w:val="en-GB"/>
        </w:rPr>
      </w:pPr>
      <w:r w:rsidRPr="00CC58E7">
        <w:rPr>
          <w:lang w:val="en-GB"/>
        </w:rPr>
        <w:t xml:space="preserve">The Hualing FIZ project started </w:t>
      </w:r>
      <w:r w:rsidR="00FC3E30" w:rsidRPr="00CC58E7">
        <w:rPr>
          <w:lang w:val="en-GB"/>
        </w:rPr>
        <w:t>i</w:t>
      </w:r>
      <w:r w:rsidRPr="00CC58E7">
        <w:rPr>
          <w:lang w:val="en-GB"/>
        </w:rPr>
        <w:t>n June 2012 when the Georgian government and the Hualing Group (China) signed a memorandum on establishing a free industrial zone in the city of Kutaisi. For a US$ 40 million investment, the Hualing Group was granted 36 hectares of land for use.</w:t>
      </w:r>
    </w:p>
    <w:p w14:paraId="1A5A43C3" w14:textId="77777777" w:rsidR="00BB7978" w:rsidRPr="00CC58E7" w:rsidRDefault="00BB7978" w:rsidP="00BB7978">
      <w:pPr>
        <w:pStyle w:val="EPCMbodytext"/>
        <w:rPr>
          <w:lang w:val="en-GB"/>
        </w:rPr>
      </w:pPr>
      <w:r w:rsidRPr="00CC58E7">
        <w:rPr>
          <w:lang w:val="en-GB"/>
        </w:rPr>
        <w:t xml:space="preserve">The Hualing Free Industrial Zone </w:t>
      </w:r>
      <w:proofErr w:type="gramStart"/>
      <w:r w:rsidRPr="00CC58E7">
        <w:rPr>
          <w:lang w:val="en-GB"/>
        </w:rPr>
        <w:t>is located in</w:t>
      </w:r>
      <w:proofErr w:type="gramEnd"/>
      <w:r w:rsidRPr="00CC58E7">
        <w:rPr>
          <w:lang w:val="en-GB"/>
        </w:rPr>
        <w:t xml:space="preserve"> the city of Kutaisi on the premises of a former motorcar factory close both to a highway and to a railroad. The distance to the closest airport in 19 </w:t>
      </w:r>
      <w:proofErr w:type="spellStart"/>
      <w:r w:rsidRPr="00CC58E7">
        <w:rPr>
          <w:lang w:val="en-GB"/>
        </w:rPr>
        <w:t>kilometers</w:t>
      </w:r>
      <w:proofErr w:type="spellEnd"/>
      <w:r w:rsidRPr="00CC58E7">
        <w:rPr>
          <w:lang w:val="en-GB"/>
        </w:rPr>
        <w:t xml:space="preserve"> (less than 12 miles) and to the seaport in Poti – 95 </w:t>
      </w:r>
      <w:proofErr w:type="spellStart"/>
      <w:r w:rsidRPr="00CC58E7">
        <w:rPr>
          <w:lang w:val="en-GB"/>
        </w:rPr>
        <w:t>kilometers</w:t>
      </w:r>
      <w:proofErr w:type="spellEnd"/>
      <w:r w:rsidRPr="00CC58E7">
        <w:rPr>
          <w:lang w:val="en-GB"/>
        </w:rPr>
        <w:t xml:space="preserve"> (less than 60 miles).</w:t>
      </w:r>
    </w:p>
    <w:p w14:paraId="1C6EB1C4" w14:textId="1B0E3CE6" w:rsidR="0024190F" w:rsidRPr="00CC58E7" w:rsidRDefault="0024190F" w:rsidP="0024190F">
      <w:pPr>
        <w:pStyle w:val="EPCMbodytext"/>
        <w:rPr>
          <w:lang w:val="en-GB"/>
        </w:rPr>
      </w:pPr>
      <w:r w:rsidRPr="00CC58E7">
        <w:rPr>
          <w:lang w:val="en-GB"/>
        </w:rPr>
        <w:t xml:space="preserve">The following products were manufactured in the zone: ferroalloys, solar panels, matrasses, paper, construction materials, furniture, and textile. Besides, wood and stone are processed in this Zone. It is worth noting that not only foreign companies are present here: around 25% of the FIZ companies belong to Georgian citizens. Many companies located in the Zone use it as a logistic </w:t>
      </w:r>
      <w:proofErr w:type="spellStart"/>
      <w:r w:rsidRPr="00CC58E7">
        <w:rPr>
          <w:lang w:val="en-GB"/>
        </w:rPr>
        <w:t>center</w:t>
      </w:r>
      <w:proofErr w:type="spellEnd"/>
      <w:r w:rsidRPr="00CC58E7">
        <w:rPr>
          <w:lang w:val="en-GB"/>
        </w:rPr>
        <w:t xml:space="preserve"> that allows optimizing the import – warehouse – export commerce. </w:t>
      </w:r>
      <w:r w:rsidR="00234631" w:rsidRPr="00234631">
        <w:rPr>
          <w:lang w:val="en-GB"/>
        </w:rPr>
        <w:t>A substantial portion</w:t>
      </w:r>
      <w:r w:rsidRPr="00CC58E7">
        <w:rPr>
          <w:lang w:val="en-GB"/>
        </w:rPr>
        <w:t xml:space="preserve"> of the Hualing FIZ businesses is engaged in processing wood and manufacturing consumer goods.</w:t>
      </w:r>
    </w:p>
    <w:p w14:paraId="330330AA" w14:textId="77777777" w:rsidR="0024190F" w:rsidRPr="00CC58E7" w:rsidRDefault="0024190F" w:rsidP="00BB7978">
      <w:pPr>
        <w:pStyle w:val="EPCMbodytext"/>
        <w:rPr>
          <w:lang w:val="en-GB"/>
        </w:rPr>
      </w:pPr>
    </w:p>
    <w:p w14:paraId="132418F3" w14:textId="77777777" w:rsidR="00E040B7" w:rsidRPr="00CC58E7" w:rsidRDefault="00BB7978" w:rsidP="00E040B7">
      <w:pPr>
        <w:pStyle w:val="EPCMbodytext"/>
        <w:keepNext/>
        <w:jc w:val="center"/>
        <w:rPr>
          <w:lang w:val="en-GB"/>
        </w:rPr>
      </w:pPr>
      <w:r w:rsidRPr="00CC58E7">
        <w:rPr>
          <w:b/>
          <w:noProof/>
          <w:lang w:val="en-GB"/>
        </w:rPr>
        <w:drawing>
          <wp:inline distT="0" distB="0" distL="0" distR="0" wp14:anchorId="0D980D84" wp14:editId="61F0175D">
            <wp:extent cx="3302000" cy="2574222"/>
            <wp:effectExtent l="0" t="0" r="0" b="0"/>
            <wp:docPr id="1026" name="Picture 1026" descr="Free Trade Zone in Tbilisi, Kutaisi and Poti, Georgia">
              <a:extLst xmlns:a="http://schemas.openxmlformats.org/drawingml/2006/main">
                <a:ext uri="{FF2B5EF4-FFF2-40B4-BE49-F238E27FC236}">
                  <a16:creationId xmlns:a16="http://schemas.microsoft.com/office/drawing/2014/main" id="{66E83095-86E5-9DBD-8004-7184131FE2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ree Trade Zone in Tbilisi, Kutaisi and Poti, Georgia">
                      <a:extLst>
                        <a:ext uri="{FF2B5EF4-FFF2-40B4-BE49-F238E27FC236}">
                          <a16:creationId xmlns:a16="http://schemas.microsoft.com/office/drawing/2014/main" id="{66E83095-86E5-9DBD-8004-7184131FE247}"/>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10820" r="11784"/>
                    <a:stretch/>
                  </pic:blipFill>
                  <pic:spPr bwMode="auto">
                    <a:xfrm>
                      <a:off x="0" y="0"/>
                      <a:ext cx="3303978" cy="2575764"/>
                    </a:xfrm>
                    <a:prstGeom prst="rect">
                      <a:avLst/>
                    </a:prstGeom>
                    <a:noFill/>
                  </pic:spPr>
                </pic:pic>
              </a:graphicData>
            </a:graphic>
          </wp:inline>
        </w:drawing>
      </w:r>
    </w:p>
    <w:p w14:paraId="620FFC98" w14:textId="550A216F" w:rsidR="00BB7978" w:rsidRPr="00C15FBA" w:rsidRDefault="00E040B7" w:rsidP="00BF45DB">
      <w:pPr>
        <w:pStyle w:val="Caption"/>
      </w:pPr>
      <w:bookmarkStart w:id="12" w:name="_Toc142898685"/>
      <w:r w:rsidRPr="00C15FBA">
        <w:t xml:space="preserve">Figure </w:t>
      </w:r>
      <w:r w:rsidR="007B7732" w:rsidRPr="00C15FBA">
        <w:fldChar w:fldCharType="begin"/>
      </w:r>
      <w:r w:rsidR="007B7732" w:rsidRPr="00C15FBA">
        <w:instrText xml:space="preserve"> SEQ Figure \* ARABIC </w:instrText>
      </w:r>
      <w:r w:rsidR="007B7732" w:rsidRPr="00C15FBA">
        <w:fldChar w:fldCharType="separate"/>
      </w:r>
      <w:r w:rsidR="00A51A2E">
        <w:rPr>
          <w:noProof/>
        </w:rPr>
        <w:t>5</w:t>
      </w:r>
      <w:r w:rsidR="007B7732" w:rsidRPr="00C15FBA">
        <w:fldChar w:fldCharType="end"/>
      </w:r>
      <w:r w:rsidRPr="00C15FBA">
        <w:t>: Free Industrial Zone Hualing Kutaisi 2, Georgia</w:t>
      </w:r>
      <w:bookmarkEnd w:id="12"/>
    </w:p>
    <w:p w14:paraId="273E6A67" w14:textId="2279FB48" w:rsidR="00694D93" w:rsidRPr="00CC58E7" w:rsidRDefault="00694D93" w:rsidP="00BB7978">
      <w:pPr>
        <w:pStyle w:val="Heading3"/>
        <w:rPr>
          <w:lang w:val="en-GB"/>
        </w:rPr>
      </w:pPr>
      <w:bookmarkStart w:id="13" w:name="_Toc142898607"/>
      <w:r w:rsidRPr="00CC58E7">
        <w:rPr>
          <w:lang w:val="en-GB"/>
        </w:rPr>
        <w:t>Project Structure</w:t>
      </w:r>
      <w:bookmarkEnd w:id="13"/>
    </w:p>
    <w:p w14:paraId="4D452C05" w14:textId="4E0DD537" w:rsidR="00416601" w:rsidRPr="00CC58E7" w:rsidRDefault="00416601" w:rsidP="00416601">
      <w:pPr>
        <w:pStyle w:val="EPCMbodytext"/>
        <w:rPr>
          <w:lang w:val="en-GB"/>
        </w:rPr>
      </w:pPr>
      <w:r w:rsidRPr="00CC58E7">
        <w:rPr>
          <w:lang w:val="en-GB"/>
        </w:rPr>
        <w:t xml:space="preserve">The agreement between the Georgian government and the Hualing Group on establishing a tax haven was signed on May 20, 2015. This agreement granted the </w:t>
      </w:r>
      <w:r w:rsidR="006F55D2">
        <w:rPr>
          <w:lang w:val="en-GB"/>
        </w:rPr>
        <w:t>H</w:t>
      </w:r>
      <w:r w:rsidRPr="00CC58E7">
        <w:rPr>
          <w:lang w:val="en-GB"/>
        </w:rPr>
        <w:t>ualing Group the status of the FIZ administrator. According to the agreement, the precise area of the Zone is 359 251 square meters (around 429 660 square yards</w:t>
      </w:r>
      <w:r w:rsidR="006F55D2" w:rsidRPr="006F55D2">
        <w:rPr>
          <w:lang w:val="en-GB"/>
        </w:rPr>
        <w:t>),</w:t>
      </w:r>
      <w:r w:rsidRPr="00CC58E7">
        <w:rPr>
          <w:lang w:val="en-GB"/>
        </w:rPr>
        <w:t xml:space="preserve"> and the contract duration is thirty years.</w:t>
      </w:r>
    </w:p>
    <w:p w14:paraId="76D1901A" w14:textId="4A46C524" w:rsidR="00416601" w:rsidRPr="00CC58E7" w:rsidRDefault="00416601" w:rsidP="0024190F">
      <w:pPr>
        <w:pStyle w:val="EPCMbodytext"/>
        <w:rPr>
          <w:lang w:val="en-GB"/>
        </w:rPr>
      </w:pPr>
      <w:r w:rsidRPr="00CC58E7">
        <w:rPr>
          <w:lang w:val="en-GB"/>
        </w:rPr>
        <w:lastRenderedPageBreak/>
        <w:t xml:space="preserve">Over the two and a half years the Hualing FIZ has been in operation, it has managed to attract to Georgia US$ 70 million in investment money. As of June 2018, 130 business companies are registered in this Zone. </w:t>
      </w:r>
    </w:p>
    <w:p w14:paraId="758A06DD" w14:textId="3D884950" w:rsidR="00840982" w:rsidRPr="00CC58E7" w:rsidRDefault="003F4A63" w:rsidP="00840982">
      <w:pPr>
        <w:pStyle w:val="Heading2"/>
        <w:rPr>
          <w:lang w:val="en-GB"/>
        </w:rPr>
      </w:pPr>
      <w:bookmarkStart w:id="14" w:name="_Toc142898608"/>
      <w:r w:rsidRPr="00CC58E7">
        <w:rPr>
          <w:lang w:val="en-GB"/>
        </w:rPr>
        <w:t>Lekki Free Trade Zone, Lagos State, Nigeria</w:t>
      </w:r>
      <w:bookmarkEnd w:id="14"/>
    </w:p>
    <w:p w14:paraId="6488F4F5" w14:textId="2BFCFA14" w:rsidR="0024190F" w:rsidRPr="00CC58E7" w:rsidRDefault="0024190F" w:rsidP="0024190F">
      <w:pPr>
        <w:pStyle w:val="Heading3"/>
        <w:rPr>
          <w:lang w:val="en-GB"/>
        </w:rPr>
      </w:pPr>
      <w:bookmarkStart w:id="15" w:name="_Toc142898609"/>
      <w:r w:rsidRPr="00CC58E7">
        <w:rPr>
          <w:lang w:val="en-GB"/>
        </w:rPr>
        <w:t>Project Presentation</w:t>
      </w:r>
      <w:bookmarkEnd w:id="15"/>
    </w:p>
    <w:p w14:paraId="54C6E115" w14:textId="77777777" w:rsidR="001D5968" w:rsidRPr="00CC58E7" w:rsidRDefault="001D5968" w:rsidP="001D5968">
      <w:pPr>
        <w:pStyle w:val="EPCMbodytext"/>
        <w:rPr>
          <w:lang w:val="en-GB"/>
        </w:rPr>
      </w:pPr>
      <w:r w:rsidRPr="00CC58E7">
        <w:rPr>
          <w:lang w:val="en-GB"/>
        </w:rPr>
        <w:t xml:space="preserve">The Lekki Free Trade Zone (LFTZ) is located 60 km east of Lagos on a sandy peninsula with the Atlantic Ocean to the south and Lekki Lagoon to the north. The LFTZ is part of the overall multi-use development plan for a new city on the Lekki peninsula which includes residential, commercial, industrial, logistics and recreational development as well as a new airport and deep-water port. The illustration plan reflects a large-scale vision plan that has been completed for the entire Lekki peninsula. </w:t>
      </w:r>
    </w:p>
    <w:p w14:paraId="194A3563" w14:textId="03B98928" w:rsidR="0024190F" w:rsidRPr="00CC58E7" w:rsidRDefault="001D5968" w:rsidP="001D5968">
      <w:pPr>
        <w:pStyle w:val="EPCMbodytext"/>
        <w:rPr>
          <w:lang w:val="en-GB"/>
        </w:rPr>
      </w:pPr>
      <w:r w:rsidRPr="00CC58E7">
        <w:rPr>
          <w:lang w:val="en-GB"/>
        </w:rPr>
        <w:t xml:space="preserve">The development objective of the LFTZ project is to establish a free economic zone and an international city with multi-functions of industry, commerce, trade, tourism, </w:t>
      </w:r>
      <w:r w:rsidR="00600D55" w:rsidRPr="00600D55">
        <w:rPr>
          <w:lang w:val="en-GB"/>
        </w:rPr>
        <w:t>recreation,</w:t>
      </w:r>
      <w:r w:rsidRPr="00CC58E7">
        <w:rPr>
          <w:lang w:val="en-GB"/>
        </w:rPr>
        <w:t xml:space="preserve"> and residence to attract foreign investment, create employment and expedite economic growth.</w:t>
      </w:r>
    </w:p>
    <w:p w14:paraId="13740E00" w14:textId="574B9FEC" w:rsidR="005A0DA8" w:rsidRPr="00CC58E7" w:rsidRDefault="005A0DA8" w:rsidP="005A0DA8">
      <w:pPr>
        <w:pStyle w:val="EPCMbodytext"/>
        <w:rPr>
          <w:lang w:val="en-GB"/>
        </w:rPr>
      </w:pPr>
      <w:r w:rsidRPr="00CC58E7">
        <w:rPr>
          <w:lang w:val="en-GB"/>
        </w:rPr>
        <w:t xml:space="preserve">According to the March 2009 Feasibility Study, Phase I of the LFTZ (the China-Nigeria Economic and Trade Cooperation Zone) consists of the development of 1,176 ha over a period of five years with a </w:t>
      </w:r>
      <w:r w:rsidR="00FF0286" w:rsidRPr="00CC58E7">
        <w:rPr>
          <w:lang w:val="en-GB"/>
        </w:rPr>
        <w:t>start-up</w:t>
      </w:r>
      <w:r w:rsidRPr="00CC58E7">
        <w:rPr>
          <w:lang w:val="en-GB"/>
        </w:rPr>
        <w:t xml:space="preserve"> area of 780 ha. Based on more recent information, it is understood that this plan has been scaled down considerably. The </w:t>
      </w:r>
      <w:r w:rsidR="00FF0286" w:rsidRPr="00CC58E7">
        <w:rPr>
          <w:lang w:val="en-GB"/>
        </w:rPr>
        <w:t>start-up</w:t>
      </w:r>
      <w:r w:rsidRPr="00CC58E7">
        <w:rPr>
          <w:lang w:val="en-GB"/>
        </w:rPr>
        <w:t xml:space="preserve"> phase, which is currently under construction, now of a total land area of 154 ha.</w:t>
      </w:r>
      <w:r w:rsidR="00FF0286" w:rsidRPr="00CC58E7">
        <w:rPr>
          <w:lang w:val="en-GB"/>
        </w:rPr>
        <w:t xml:space="preserve"> </w:t>
      </w:r>
      <w:r w:rsidRPr="00CC58E7">
        <w:rPr>
          <w:lang w:val="en-GB"/>
        </w:rPr>
        <w:t xml:space="preserve">The first stage of this development involves the construction works for the provision of necessary infrastructure facilities, including site clearance and </w:t>
      </w:r>
      <w:r w:rsidR="00FF0286" w:rsidRPr="00CC58E7">
        <w:rPr>
          <w:lang w:val="en-GB"/>
        </w:rPr>
        <w:t>levelling</w:t>
      </w:r>
      <w:r w:rsidRPr="00CC58E7">
        <w:rPr>
          <w:lang w:val="en-GB"/>
        </w:rPr>
        <w:t xml:space="preserve"> (partial), internal roads, landscaping, water supply and sewerage, power supply, telecommunications, gas supply, industrial workshops, warehousing/logistics/storage facilities,</w:t>
      </w:r>
      <w:r w:rsidR="00FF0286" w:rsidRPr="00CC58E7">
        <w:rPr>
          <w:lang w:val="en-GB"/>
        </w:rPr>
        <w:t xml:space="preserve"> </w:t>
      </w:r>
      <w:r w:rsidRPr="00CC58E7">
        <w:rPr>
          <w:lang w:val="en-GB"/>
        </w:rPr>
        <w:t xml:space="preserve">public/commercial facilities, residential </w:t>
      </w:r>
      <w:r w:rsidR="00600D55" w:rsidRPr="00600D55">
        <w:rPr>
          <w:lang w:val="en-GB"/>
        </w:rPr>
        <w:t>buildings,</w:t>
      </w:r>
      <w:r w:rsidRPr="00CC58E7">
        <w:rPr>
          <w:lang w:val="en-GB"/>
        </w:rPr>
        <w:t xml:space="preserve"> and environment protection facilities. This is expected to take up to five years to </w:t>
      </w:r>
      <w:r w:rsidR="00FF0286" w:rsidRPr="00CC58E7">
        <w:rPr>
          <w:lang w:val="en-GB"/>
        </w:rPr>
        <w:t>complete and</w:t>
      </w:r>
      <w:r w:rsidRPr="00CC58E7">
        <w:rPr>
          <w:lang w:val="en-GB"/>
        </w:rPr>
        <w:t xml:space="preserve"> will encompass 109 ha. The second stage, also estimated at five years, will see the completion of construction of the remaining 45 ha of land. The total project cost is estimated at US$400-500 million, with the financing sources from the developer, Chinese government, Lagos government and private investors. The project envisages a mixed use of industrial companies, service-sector companies, commercial property, residential property, and other amenities, such as school, </w:t>
      </w:r>
      <w:r w:rsidR="00600D55" w:rsidRPr="00600D55">
        <w:rPr>
          <w:lang w:val="en-GB"/>
        </w:rPr>
        <w:t>hospital,</w:t>
      </w:r>
      <w:r w:rsidRPr="00CC58E7">
        <w:rPr>
          <w:lang w:val="en-GB"/>
        </w:rPr>
        <w:t xml:space="preserve"> and hotels. The developer estimates that the full development of the zone could create more than 100,000 new jobs directly and many more indirectly once the zone was fully occupied and completely operational.</w:t>
      </w:r>
    </w:p>
    <w:p w14:paraId="78D166BB" w14:textId="77777777" w:rsidR="00462937" w:rsidRPr="00CC58E7" w:rsidRDefault="00462937" w:rsidP="00462937">
      <w:pPr>
        <w:pStyle w:val="EPCMbodytext"/>
        <w:keepNext/>
        <w:jc w:val="center"/>
        <w:rPr>
          <w:lang w:val="en-GB"/>
        </w:rPr>
      </w:pPr>
      <w:r w:rsidRPr="00CC58E7">
        <w:rPr>
          <w:b/>
          <w:noProof/>
          <w:lang w:val="en-GB"/>
        </w:rPr>
        <w:lastRenderedPageBreak/>
        <w:drawing>
          <wp:inline distT="0" distB="0" distL="0" distR="0" wp14:anchorId="3ADD42B5" wp14:editId="52BD2CA4">
            <wp:extent cx="3546070" cy="2679700"/>
            <wp:effectExtent l="0" t="0" r="0" b="6350"/>
            <wp:docPr id="2050" name="Picture 2050" descr="Land for sale @Lekki Free Trade Zone - industrial and commercial areas ...">
              <a:extLst xmlns:a="http://schemas.openxmlformats.org/drawingml/2006/main">
                <a:ext uri="{FF2B5EF4-FFF2-40B4-BE49-F238E27FC236}">
                  <a16:creationId xmlns:a16="http://schemas.microsoft.com/office/drawing/2014/main" id="{A0AB019D-A729-9176-FE2C-B22D345891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Land for sale @Lekki Free Trade Zone - industrial and commercial areas ...">
                      <a:extLst>
                        <a:ext uri="{FF2B5EF4-FFF2-40B4-BE49-F238E27FC236}">
                          <a16:creationId xmlns:a16="http://schemas.microsoft.com/office/drawing/2014/main" id="{A0AB019D-A729-9176-FE2C-B22D345891E6}"/>
                        </a:ext>
                      </a:extLst>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l="19997" r="3697"/>
                    <a:stretch/>
                  </pic:blipFill>
                  <pic:spPr bwMode="auto">
                    <a:xfrm>
                      <a:off x="0" y="0"/>
                      <a:ext cx="3547730" cy="2680955"/>
                    </a:xfrm>
                    <a:prstGeom prst="rect">
                      <a:avLst/>
                    </a:prstGeom>
                    <a:noFill/>
                  </pic:spPr>
                </pic:pic>
              </a:graphicData>
            </a:graphic>
          </wp:inline>
        </w:drawing>
      </w:r>
    </w:p>
    <w:p w14:paraId="1974086D" w14:textId="0C911FE5" w:rsidR="005A0DA8" w:rsidRPr="00C15FBA" w:rsidRDefault="00462937" w:rsidP="00BF45DB">
      <w:pPr>
        <w:pStyle w:val="Caption"/>
      </w:pPr>
      <w:bookmarkStart w:id="16" w:name="_Toc142898686"/>
      <w:r w:rsidRPr="00C15FBA">
        <w:t xml:space="preserve">Figure </w:t>
      </w:r>
      <w:r w:rsidR="007B7732" w:rsidRPr="00C15FBA">
        <w:fldChar w:fldCharType="begin"/>
      </w:r>
      <w:r w:rsidR="007B7732" w:rsidRPr="00C15FBA">
        <w:instrText xml:space="preserve"> SEQ Figure \* ARABIC </w:instrText>
      </w:r>
      <w:r w:rsidR="007B7732" w:rsidRPr="00C15FBA">
        <w:fldChar w:fldCharType="separate"/>
      </w:r>
      <w:r w:rsidR="00A51A2E">
        <w:rPr>
          <w:noProof/>
        </w:rPr>
        <w:t>6</w:t>
      </w:r>
      <w:r w:rsidR="007B7732" w:rsidRPr="00C15FBA">
        <w:fldChar w:fldCharType="end"/>
      </w:r>
      <w:r w:rsidRPr="00C15FBA">
        <w:t>: Lekki Free Trade Zone, Lagos State, Nigeria</w:t>
      </w:r>
      <w:bookmarkEnd w:id="16"/>
    </w:p>
    <w:p w14:paraId="4F4A3770" w14:textId="673E6BBB" w:rsidR="0024190F" w:rsidRPr="00CC58E7" w:rsidRDefault="0024190F" w:rsidP="001D5968">
      <w:pPr>
        <w:pStyle w:val="Heading3"/>
        <w:rPr>
          <w:lang w:val="en-GB"/>
        </w:rPr>
      </w:pPr>
      <w:bookmarkStart w:id="17" w:name="_Toc142898610"/>
      <w:r w:rsidRPr="00CC58E7">
        <w:rPr>
          <w:lang w:val="en-GB"/>
        </w:rPr>
        <w:t>Project Structure</w:t>
      </w:r>
      <w:bookmarkEnd w:id="17"/>
    </w:p>
    <w:p w14:paraId="7029FC5E" w14:textId="62BB4567" w:rsidR="005D50D7" w:rsidRPr="00CC58E7" w:rsidRDefault="005D50D7" w:rsidP="00EA2280">
      <w:pPr>
        <w:pStyle w:val="EPCMbodytext"/>
        <w:rPr>
          <w:lang w:val="en-GB"/>
        </w:rPr>
      </w:pPr>
      <w:r w:rsidRPr="00CC58E7">
        <w:rPr>
          <w:lang w:val="en-GB"/>
        </w:rPr>
        <w:t xml:space="preserve">The zone is owned by a joint venture between a Chinese consortium - China-Africa Lekki Investment Co. Ltd (CALIC) (60 percent), the Lagos State Government (20 percent) and its </w:t>
      </w:r>
      <w:proofErr w:type="spellStart"/>
      <w:r w:rsidRPr="00CC58E7">
        <w:rPr>
          <w:lang w:val="en-GB"/>
        </w:rPr>
        <w:t>subentity</w:t>
      </w:r>
      <w:proofErr w:type="spellEnd"/>
      <w:r w:rsidRPr="00CC58E7">
        <w:rPr>
          <w:lang w:val="en-GB"/>
        </w:rPr>
        <w:t xml:space="preserve">, Lekki Worldwide Investment Ltd (20 percent). The Chinese consortium CALIC is an investment holding company registered in China solely for the purpose of investing in the Lekki FTZ. CALIC consists of CRCC (35 percent), CADF (20 percent), Nanjing </w:t>
      </w:r>
      <w:proofErr w:type="spellStart"/>
      <w:r w:rsidRPr="00CC58E7">
        <w:rPr>
          <w:lang w:val="en-GB"/>
        </w:rPr>
        <w:t>Jiangying</w:t>
      </w:r>
      <w:proofErr w:type="spellEnd"/>
      <w:r w:rsidRPr="00CC58E7">
        <w:rPr>
          <w:lang w:val="en-GB"/>
        </w:rPr>
        <w:t xml:space="preserve"> Economic and</w:t>
      </w:r>
      <w:r w:rsidR="00EA2280" w:rsidRPr="00CC58E7">
        <w:rPr>
          <w:lang w:val="en-GB"/>
        </w:rPr>
        <w:t xml:space="preserve"> </w:t>
      </w:r>
      <w:r w:rsidRPr="00CC58E7">
        <w:rPr>
          <w:lang w:val="en-GB"/>
        </w:rPr>
        <w:t xml:space="preserve">Technology Development Corporation (NJETDC, 15 percent) Nanjing Beyond Investments Limited (NBIL, 15 percent) and China Civil Engineering Construction Corporation Ltd (CCECC, 15 percent). Lekki Worldwide Investments is an investment company, owned largely by the Lagos State Government: 40 percent of Lekki Worldwide Investments is owned by LSDPC, the Lagos State Government Development Corporation, with another 40 percent owned by Ibile Holdings, the investment company of Lagos State. The Lagos State government allocated 16,500 ha of land of which 3,000 ha has been officially transferred to the developer so far. The Lagos State Government’s equity share is in return for providing the land and the 50-year right to operate the zone to the Chinese consortium. The State Government is also contributing towards the construction costs of the zone infrastructure, together with the developer. </w:t>
      </w:r>
    </w:p>
    <w:p w14:paraId="584C4E47" w14:textId="390B4E61" w:rsidR="005D50D7" w:rsidRPr="00CC58E7" w:rsidRDefault="005D50D7" w:rsidP="00F6262D">
      <w:pPr>
        <w:pStyle w:val="EPCMbodytext"/>
        <w:rPr>
          <w:lang w:val="en-GB"/>
        </w:rPr>
      </w:pPr>
      <w:r w:rsidRPr="00CC58E7">
        <w:rPr>
          <w:lang w:val="en-GB"/>
        </w:rPr>
        <w:t xml:space="preserve">Completed works in the </w:t>
      </w:r>
      <w:r w:rsidR="00133D32" w:rsidRPr="00CC58E7">
        <w:rPr>
          <w:lang w:val="en-GB"/>
        </w:rPr>
        <w:t>start-up</w:t>
      </w:r>
      <w:r w:rsidRPr="00CC58E7">
        <w:rPr>
          <w:lang w:val="en-GB"/>
        </w:rPr>
        <w:t xml:space="preserve"> phase include an entry gate and associated offices, land clearing, construction of around 14 km of internal roads and drains, water supply from six bore wells and power supply from a </w:t>
      </w:r>
      <w:r w:rsidR="00133D32" w:rsidRPr="00CC58E7">
        <w:rPr>
          <w:lang w:val="en-GB"/>
        </w:rPr>
        <w:t>1,750-kw</w:t>
      </w:r>
      <w:r w:rsidRPr="00CC58E7">
        <w:rPr>
          <w:lang w:val="en-GB"/>
        </w:rPr>
        <w:t xml:space="preserve"> diesel generator. Two access roads have been built (including a toll road) and a water road is also being planned. A 7 km drainage canal is under construction. A Lekki One Stop Shop has been established at the zone and was formally launched in September 2010.</w:t>
      </w:r>
    </w:p>
    <w:p w14:paraId="342A1D9C" w14:textId="77777777" w:rsidR="006574ED" w:rsidRPr="00CC58E7" w:rsidRDefault="006574ED" w:rsidP="00117413">
      <w:pPr>
        <w:pStyle w:val="Heading2"/>
        <w:rPr>
          <w:lang w:val="en-GB"/>
        </w:rPr>
      </w:pPr>
      <w:bookmarkStart w:id="18" w:name="_Toc135309910"/>
      <w:bookmarkStart w:id="19" w:name="_Toc142898611"/>
      <w:r w:rsidRPr="00CC58E7">
        <w:rPr>
          <w:lang w:val="en-GB"/>
        </w:rPr>
        <w:t>Summary of the benchmark study, lessons learned and main recommendations.</w:t>
      </w:r>
      <w:bookmarkEnd w:id="18"/>
      <w:bookmarkEnd w:id="19"/>
    </w:p>
    <w:p w14:paraId="064271EB" w14:textId="7AA6FC0A" w:rsidR="00670EBD" w:rsidRPr="00CC58E7" w:rsidRDefault="00072A7A" w:rsidP="00670EBD">
      <w:pPr>
        <w:pStyle w:val="EPCMbodytext"/>
        <w:rPr>
          <w:lang w:val="en-GB"/>
        </w:rPr>
      </w:pPr>
      <w:r w:rsidRPr="00CC58E7">
        <w:rPr>
          <w:lang w:val="en-GB"/>
        </w:rPr>
        <w:t>According to</w:t>
      </w:r>
      <w:r w:rsidR="0024074F" w:rsidRPr="00CC58E7">
        <w:rPr>
          <w:lang w:val="en-GB"/>
        </w:rPr>
        <w:t xml:space="preserve"> the benchmarks mentioned above and the lessons learned from them, t</w:t>
      </w:r>
      <w:r w:rsidR="009B04BF" w:rsidRPr="00CC58E7">
        <w:rPr>
          <w:lang w:val="en-GB"/>
        </w:rPr>
        <w:t>here are four ess</w:t>
      </w:r>
      <w:r w:rsidR="00AE0738" w:rsidRPr="00CC58E7">
        <w:rPr>
          <w:lang w:val="en-GB"/>
        </w:rPr>
        <w:t>ential practices that need to be carefully followed when designing a</w:t>
      </w:r>
      <w:r w:rsidR="00314C4E" w:rsidRPr="00CC58E7">
        <w:rPr>
          <w:lang w:val="en-GB"/>
        </w:rPr>
        <w:t>nd developing a special economic zone</w:t>
      </w:r>
      <w:r w:rsidR="00BE732E" w:rsidRPr="00CC58E7">
        <w:rPr>
          <w:lang w:val="en-GB"/>
        </w:rPr>
        <w:t xml:space="preserve"> (SEZs)</w:t>
      </w:r>
      <w:r w:rsidR="00314C4E" w:rsidRPr="00CC58E7">
        <w:rPr>
          <w:lang w:val="en-GB"/>
        </w:rPr>
        <w:t xml:space="preserve"> project to increase the likelihood </w:t>
      </w:r>
      <w:r w:rsidRPr="00CC58E7">
        <w:rPr>
          <w:lang w:val="en-GB"/>
        </w:rPr>
        <w:t>of</w:t>
      </w:r>
      <w:r w:rsidR="00314C4E" w:rsidRPr="00CC58E7">
        <w:rPr>
          <w:lang w:val="en-GB"/>
        </w:rPr>
        <w:t xml:space="preserve"> success</w:t>
      </w:r>
      <w:r w:rsidR="0024074F" w:rsidRPr="00CC58E7">
        <w:rPr>
          <w:lang w:val="en-GB"/>
        </w:rPr>
        <w:t>:</w:t>
      </w:r>
    </w:p>
    <w:p w14:paraId="7E2EEEF1" w14:textId="675CA937" w:rsidR="0024074F" w:rsidRPr="00CC58E7" w:rsidRDefault="0024074F" w:rsidP="0011195A">
      <w:pPr>
        <w:pStyle w:val="EPCMbodytext"/>
        <w:numPr>
          <w:ilvl w:val="0"/>
          <w:numId w:val="34"/>
        </w:numPr>
        <w:rPr>
          <w:b/>
          <w:bCs/>
          <w:lang w:val="en-GB"/>
        </w:rPr>
      </w:pPr>
      <w:r w:rsidRPr="00CC58E7">
        <w:rPr>
          <w:b/>
          <w:bCs/>
          <w:lang w:val="en-GB"/>
        </w:rPr>
        <w:lastRenderedPageBreak/>
        <w:t xml:space="preserve">Choose the right location: </w:t>
      </w:r>
    </w:p>
    <w:p w14:paraId="0AB920A5" w14:textId="3739C17E" w:rsidR="003F2302" w:rsidRPr="00CC58E7" w:rsidRDefault="003F2302" w:rsidP="00C823DD">
      <w:pPr>
        <w:pStyle w:val="EPCMbodytext"/>
        <w:rPr>
          <w:lang w:val="en-GB"/>
        </w:rPr>
      </w:pPr>
      <w:r w:rsidRPr="00CC58E7">
        <w:rPr>
          <w:b/>
          <w:bCs/>
          <w:lang w:val="en-GB"/>
        </w:rPr>
        <w:t>The location choice of an SEZ could be the “make-it-or-break-it” factor</w:t>
      </w:r>
      <w:r w:rsidRPr="00CC58E7">
        <w:rPr>
          <w:lang w:val="en-GB"/>
        </w:rPr>
        <w:t>. International experience shows that SEZs tend to flourish in core areas and around gateway infrastructure (</w:t>
      </w:r>
      <w:r w:rsidR="00C823DD" w:rsidRPr="00CC58E7">
        <w:rPr>
          <w:lang w:val="en-GB"/>
        </w:rPr>
        <w:t>seaports</w:t>
      </w:r>
      <w:r w:rsidRPr="00CC58E7">
        <w:rPr>
          <w:lang w:val="en-GB"/>
        </w:rPr>
        <w:t xml:space="preserve"> and airports) (World Bank 2019). Cities offer features that tend to be essential to the success of large-scale, </w:t>
      </w:r>
      <w:r w:rsidR="00334B58" w:rsidRPr="00CC58E7">
        <w:rPr>
          <w:lang w:val="en-GB"/>
        </w:rPr>
        <w:t>labour-intensive</w:t>
      </w:r>
      <w:r w:rsidRPr="00CC58E7">
        <w:rPr>
          <w:lang w:val="en-GB"/>
        </w:rPr>
        <w:t xml:space="preserve"> SEZs, including access to deep and specialized </w:t>
      </w:r>
      <w:r w:rsidR="00334B58" w:rsidRPr="00CC58E7">
        <w:rPr>
          <w:lang w:val="en-GB"/>
        </w:rPr>
        <w:t>labour</w:t>
      </w:r>
      <w:r w:rsidRPr="00CC58E7">
        <w:rPr>
          <w:lang w:val="en-GB"/>
        </w:rPr>
        <w:t xml:space="preserve"> pools, specialized suppliers and business services, and social infrastructure, as well as connectivity to domestic, regional, and global markets</w:t>
      </w:r>
      <w:r w:rsidR="00334B58" w:rsidRPr="00CC58E7">
        <w:rPr>
          <w:lang w:val="en-GB"/>
        </w:rPr>
        <w:t xml:space="preserve">. </w:t>
      </w:r>
      <w:r w:rsidRPr="00CC58E7">
        <w:rPr>
          <w:lang w:val="en-GB"/>
        </w:rPr>
        <w:t xml:space="preserve">However, many country governments continue to try (and fail) to use zones as regional development tools. Some governments put social equality agenda above economic viability when deciding to locate at least one SEZ in each “lagging” or remote region, but few governments have done enough to address the infrastructure connectivity, </w:t>
      </w:r>
      <w:r w:rsidR="00A018DB" w:rsidRPr="00CC58E7">
        <w:rPr>
          <w:lang w:val="en-GB"/>
        </w:rPr>
        <w:t>labour</w:t>
      </w:r>
      <w:r w:rsidRPr="00CC58E7">
        <w:rPr>
          <w:lang w:val="en-GB"/>
        </w:rPr>
        <w:t xml:space="preserve"> skills, and supply access that the regions tend to lack. </w:t>
      </w:r>
    </w:p>
    <w:p w14:paraId="2E234DB7" w14:textId="19B8A2D6" w:rsidR="00481ED5" w:rsidRPr="00CC58E7" w:rsidRDefault="003F2302" w:rsidP="00C823DD">
      <w:pPr>
        <w:pStyle w:val="EPCMbodytext"/>
        <w:rPr>
          <w:lang w:val="en-GB"/>
        </w:rPr>
      </w:pPr>
      <w:r w:rsidRPr="00CC58E7">
        <w:rPr>
          <w:b/>
          <w:bCs/>
          <w:lang w:val="en-GB"/>
        </w:rPr>
        <w:t>Connectivity among individuals, firms, countries, and regions is increasingly understood as a key factor in achieving competitiveness and sustainable, inclusive economic growth</w:t>
      </w:r>
      <w:r w:rsidRPr="00CC58E7">
        <w:rPr>
          <w:lang w:val="en-GB"/>
        </w:rPr>
        <w:t xml:space="preserve">. Connectivity has both physical and policy dimensions. To be a catalyst for structural transformation, zones need the following: to have or to be linked to key elements of transportation infrastructure (such as ports, railways, and highways) with good trade logistics and customs services; to be well matched to local resources that leverage the nation or city’s comparative advantages (such as </w:t>
      </w:r>
      <w:proofErr w:type="spellStart"/>
      <w:r w:rsidRPr="00CC58E7">
        <w:rPr>
          <w:lang w:val="en-GB"/>
        </w:rPr>
        <w:t>agro</w:t>
      </w:r>
      <w:proofErr w:type="spellEnd"/>
      <w:r w:rsidRPr="00CC58E7">
        <w:rPr>
          <w:lang w:val="en-GB"/>
        </w:rPr>
        <w:t>-processing or electronics); to be part of the global value chain; and to be focused not only on exports, but also on the domestic market.</w:t>
      </w:r>
    </w:p>
    <w:p w14:paraId="6DA490FC" w14:textId="679B3B83" w:rsidR="00A23039" w:rsidRPr="00CC58E7" w:rsidRDefault="00A23039" w:rsidP="0011195A">
      <w:pPr>
        <w:pStyle w:val="EPCMbodytext"/>
        <w:numPr>
          <w:ilvl w:val="0"/>
          <w:numId w:val="34"/>
        </w:numPr>
        <w:rPr>
          <w:b/>
          <w:bCs/>
          <w:lang w:val="en-GB"/>
        </w:rPr>
      </w:pPr>
      <w:r w:rsidRPr="00CC58E7">
        <w:rPr>
          <w:b/>
          <w:bCs/>
          <w:lang w:val="en-GB"/>
        </w:rPr>
        <w:t>Foster a conducive business environment with a reform-oriented mindset:</w:t>
      </w:r>
    </w:p>
    <w:p w14:paraId="5DA0D536" w14:textId="2296B675" w:rsidR="00206E4D" w:rsidRPr="00CC58E7" w:rsidRDefault="00206E4D" w:rsidP="00380F09">
      <w:pPr>
        <w:pStyle w:val="EPCMbodytext"/>
        <w:rPr>
          <w:lang w:val="en-GB"/>
        </w:rPr>
      </w:pPr>
      <w:r w:rsidRPr="00CC58E7">
        <w:rPr>
          <w:b/>
          <w:bCs/>
          <w:lang w:val="en-GB"/>
        </w:rPr>
        <w:t xml:space="preserve">One of the key objectives of zone programs is to overcome the constraints (both soft and hard) for businesses to </w:t>
      </w:r>
      <w:r w:rsidR="004C1EFA" w:rsidRPr="00CC58E7">
        <w:rPr>
          <w:b/>
          <w:bCs/>
          <w:lang w:val="en-GB"/>
        </w:rPr>
        <w:t>efficiently</w:t>
      </w:r>
      <w:r w:rsidRPr="00CC58E7">
        <w:rPr>
          <w:b/>
          <w:bCs/>
          <w:lang w:val="en-GB"/>
        </w:rPr>
        <w:t xml:space="preserve"> operate in an economy</w:t>
      </w:r>
      <w:r w:rsidRPr="00CC58E7">
        <w:rPr>
          <w:lang w:val="en-GB"/>
        </w:rPr>
        <w:t>. Instead of focusing largely on fiscal incentives, such as tax holidays and free land, zones should strive to provide an environment conducive to business and to foster firm-level competitiveness, innovation, local economic integration, and social and environmental sustainability. Such programs must provide good infrastructure, such as power, water, roads, and telecommun</w:t>
      </w:r>
      <w:r w:rsidR="004C1EFA" w:rsidRPr="00CC58E7">
        <w:rPr>
          <w:lang w:val="en-GB"/>
        </w:rPr>
        <w:t>i</w:t>
      </w:r>
      <w:r w:rsidRPr="00CC58E7">
        <w:rPr>
          <w:lang w:val="en-GB"/>
        </w:rPr>
        <w:t xml:space="preserve">cations. Meanwhile, the SEZ policy framework should be part of the broader national policy context, including investment, trade, and tax policies, and zones can be used to “pilot” policy, legal, and regulatory reforms to support economic development, as evidenced in many East Asian countries. </w:t>
      </w:r>
      <w:r w:rsidR="003F55CB" w:rsidRPr="003F55CB">
        <w:rPr>
          <w:lang w:val="en-GB"/>
        </w:rPr>
        <w:t>What is</w:t>
      </w:r>
      <w:r w:rsidRPr="00CC58E7">
        <w:rPr>
          <w:lang w:val="en-GB"/>
        </w:rPr>
        <w:t xml:space="preserve"> important is to make sure that benefits (e.g., the simplification of customs procedures) can then be made available economywide. </w:t>
      </w:r>
    </w:p>
    <w:p w14:paraId="3F79A1AF" w14:textId="2B2C66A1" w:rsidR="00206E4D" w:rsidRPr="00CC58E7" w:rsidRDefault="00206E4D" w:rsidP="00380F09">
      <w:pPr>
        <w:pStyle w:val="EPCMbodytext"/>
        <w:rPr>
          <w:lang w:val="en-GB"/>
        </w:rPr>
      </w:pPr>
      <w:r w:rsidRPr="00CC58E7">
        <w:rPr>
          <w:b/>
          <w:bCs/>
          <w:lang w:val="en-GB"/>
        </w:rPr>
        <w:t>In almost all the successful zones in the world, basic infrastructure is of high quality, and public services and aftercare are efficient and effective</w:t>
      </w:r>
      <w:r w:rsidRPr="00CC58E7">
        <w:rPr>
          <w:lang w:val="en-GB"/>
        </w:rPr>
        <w:t xml:space="preserve">. One of the important value-added features of SEZs is the one-stop-shop (OSS) service. Since a zone program involves many government stakeholders in charge of such factors as land, transportation, utilities, customs, taxation, finance, immigration, and skills, an effective OSS could make the public services, such as registration, licensing, permits, taxation, and customs clearance, much simpler and efficient. For OSS to work, </w:t>
      </w:r>
      <w:r w:rsidR="003F55CB" w:rsidRPr="003F55CB">
        <w:rPr>
          <w:lang w:val="en-GB"/>
        </w:rPr>
        <w:t>it is</w:t>
      </w:r>
      <w:r w:rsidRPr="00CC58E7">
        <w:rPr>
          <w:lang w:val="en-GB"/>
        </w:rPr>
        <w:t xml:space="preserve"> </w:t>
      </w:r>
      <w:r w:rsidR="00FB77AF" w:rsidRPr="00FB77AF">
        <w:rPr>
          <w:lang w:val="en-GB"/>
        </w:rPr>
        <w:t>particularly important</w:t>
      </w:r>
      <w:r w:rsidRPr="00CC58E7">
        <w:rPr>
          <w:lang w:val="en-GB"/>
        </w:rPr>
        <w:t xml:space="preserve"> to establish a proper dialogue, coordination, and cooperation mechanism among the central, provincial, and local governments and across different government agencies. Wherever the capacity is permissible, such services could also be extended to firms outside zones by leveraging the increasingly available digital technologies.</w:t>
      </w:r>
    </w:p>
    <w:p w14:paraId="7711D60C" w14:textId="692D84AB" w:rsidR="000B468D" w:rsidRPr="00CC58E7" w:rsidRDefault="000B468D" w:rsidP="0011195A">
      <w:pPr>
        <w:pStyle w:val="EPCMbodytext"/>
        <w:numPr>
          <w:ilvl w:val="0"/>
          <w:numId w:val="34"/>
        </w:numPr>
        <w:rPr>
          <w:b/>
          <w:bCs/>
          <w:lang w:val="en-GB"/>
        </w:rPr>
      </w:pPr>
      <w:r w:rsidRPr="00CC58E7">
        <w:rPr>
          <w:b/>
          <w:bCs/>
          <w:lang w:val="en-GB"/>
        </w:rPr>
        <w:lastRenderedPageBreak/>
        <w:t>Increase the market contestability through a rigorous market demand assessment and private sector participation:</w:t>
      </w:r>
    </w:p>
    <w:p w14:paraId="54F8A8CB" w14:textId="3431E303" w:rsidR="00A40B18" w:rsidRPr="00CC58E7" w:rsidRDefault="00A40B18" w:rsidP="00FC2B0A">
      <w:pPr>
        <w:pStyle w:val="EPCMbodytext"/>
        <w:rPr>
          <w:lang w:val="en-GB"/>
        </w:rPr>
      </w:pPr>
      <w:r w:rsidRPr="00CC58E7">
        <w:rPr>
          <w:b/>
          <w:bCs/>
          <w:lang w:val="en-GB"/>
        </w:rPr>
        <w:t xml:space="preserve">Since a zone program or project is </w:t>
      </w:r>
      <w:r w:rsidR="00FB77AF" w:rsidRPr="00FB77AF">
        <w:rPr>
          <w:b/>
          <w:bCs/>
          <w:lang w:val="en-GB"/>
        </w:rPr>
        <w:t>an expensive</w:t>
      </w:r>
      <w:r w:rsidRPr="00CC58E7">
        <w:rPr>
          <w:b/>
          <w:bCs/>
          <w:lang w:val="en-GB"/>
        </w:rPr>
        <w:t xml:space="preserve"> undertaking, it requires </w:t>
      </w:r>
      <w:r w:rsidR="000C7D64" w:rsidRPr="000C7D64">
        <w:rPr>
          <w:b/>
          <w:bCs/>
          <w:lang w:val="en-GB"/>
        </w:rPr>
        <w:t>careful</w:t>
      </w:r>
      <w:r w:rsidRPr="00CC58E7">
        <w:rPr>
          <w:b/>
          <w:bCs/>
          <w:lang w:val="en-GB"/>
        </w:rPr>
        <w:t xml:space="preserve"> planning, design, and management</w:t>
      </w:r>
      <w:r w:rsidRPr="00CC58E7">
        <w:rPr>
          <w:lang w:val="en-GB"/>
        </w:rPr>
        <w:t xml:space="preserve">. Besides the development costs, which involve the basic infrastructures, land acquisition and development, and green facilities, the project also includes the cost of common services in the zone, as well as the public revenues foregone from the various incentives often associated with a zone program. Many low-income countries must rely on international donors or development agencies to launch such programs. However, the results are not guaranteed. As mentioned, because of the high-risk nature of such programs, many of them end up being “white elephants.” </w:t>
      </w:r>
      <w:r w:rsidR="003F55CB" w:rsidRPr="003F55CB">
        <w:rPr>
          <w:lang w:val="en-GB"/>
        </w:rPr>
        <w:t>That is</w:t>
      </w:r>
      <w:r w:rsidRPr="00CC58E7">
        <w:rPr>
          <w:lang w:val="en-GB"/>
        </w:rPr>
        <w:t xml:space="preserve"> why the implementation capacity of the government or private sector is crucial for success. </w:t>
      </w:r>
    </w:p>
    <w:p w14:paraId="4E7CC2A1" w14:textId="78DEA73A" w:rsidR="000B468D" w:rsidRPr="00CC58E7" w:rsidRDefault="00A40B18" w:rsidP="00FC2B0A">
      <w:pPr>
        <w:pStyle w:val="EPCMbodytext"/>
        <w:rPr>
          <w:lang w:val="en-GB"/>
        </w:rPr>
      </w:pPr>
      <w:r w:rsidRPr="00CC58E7">
        <w:rPr>
          <w:b/>
          <w:bCs/>
          <w:lang w:val="en-GB"/>
        </w:rPr>
        <w:t xml:space="preserve">Ensuring that the zone programs and projects are </w:t>
      </w:r>
      <w:r w:rsidR="00344DC4" w:rsidRPr="00344DC4">
        <w:rPr>
          <w:b/>
          <w:bCs/>
          <w:lang w:val="en-GB"/>
        </w:rPr>
        <w:t>based</w:t>
      </w:r>
      <w:r w:rsidRPr="00CC58E7">
        <w:rPr>
          <w:b/>
          <w:bCs/>
          <w:lang w:val="en-GB"/>
        </w:rPr>
        <w:t xml:space="preserve"> on business demand is of paramount importanc</w:t>
      </w:r>
      <w:r w:rsidRPr="00CC58E7">
        <w:rPr>
          <w:lang w:val="en-GB"/>
        </w:rPr>
        <w:t xml:space="preserve">e </w:t>
      </w:r>
      <w:proofErr w:type="gramStart"/>
      <w:r w:rsidRPr="00CC58E7">
        <w:rPr>
          <w:lang w:val="en-GB"/>
        </w:rPr>
        <w:t>in order to</w:t>
      </w:r>
      <w:proofErr w:type="gramEnd"/>
      <w:r w:rsidRPr="00CC58E7">
        <w:rPr>
          <w:lang w:val="en-GB"/>
        </w:rPr>
        <w:t xml:space="preserve"> avoid creating the poorly performing white elephant zones. The planning process should include a rigorous assessment of the demand situation (preferably done by the private sector) that will not only </w:t>
      </w:r>
      <w:r w:rsidR="00FA70D1" w:rsidRPr="00CC58E7">
        <w:rPr>
          <w:lang w:val="en-GB"/>
        </w:rPr>
        <w:t>analyse</w:t>
      </w:r>
      <w:r w:rsidRPr="00CC58E7">
        <w:rPr>
          <w:lang w:val="en-GB"/>
        </w:rPr>
        <w:t xml:space="preserve"> the global, regional, and domestic industrial and investment trends and the local comparative advantages, but also a solid understanding of the demand for industrial infrastructure in the designated area by the business sector, which often involves an investor or pre-investor survey to potential investors (both international and domestic). The demand assessment is typically part of a comprehensive feasibility study of a specific site and serves as the basis for the master planning and economic and financial analyses of the proposed zone. All this information will be used to determine the viability and market contestability of the zone.</w:t>
      </w:r>
    </w:p>
    <w:p w14:paraId="722C8F28" w14:textId="10C264AB" w:rsidR="00A40B18" w:rsidRPr="00CC58E7" w:rsidRDefault="00A40B18" w:rsidP="00806DD3">
      <w:pPr>
        <w:pStyle w:val="EPCMbodytext"/>
        <w:rPr>
          <w:lang w:val="en-GB"/>
        </w:rPr>
      </w:pPr>
      <w:r w:rsidRPr="00CC58E7">
        <w:rPr>
          <w:b/>
          <w:bCs/>
          <w:lang w:val="en-GB"/>
        </w:rPr>
        <w:t>To ensure smooth and efficient operations of zones, private sector participation is encouraged</w:t>
      </w:r>
      <w:r w:rsidRPr="00CC58E7">
        <w:rPr>
          <w:lang w:val="en-GB"/>
        </w:rPr>
        <w:t xml:space="preserve"> and should be provided for in the SEZ legislative framework or in the country’s broad land market legal framework, enabling the private sector to invest in </w:t>
      </w:r>
      <w:r w:rsidR="00FB77AF" w:rsidRPr="00FB77AF">
        <w:rPr>
          <w:lang w:val="en-GB"/>
        </w:rPr>
        <w:t>various kinds</w:t>
      </w:r>
      <w:r w:rsidRPr="00CC58E7">
        <w:rPr>
          <w:lang w:val="en-GB"/>
        </w:rPr>
        <w:t xml:space="preserve"> of land, including industrial land. This will not only reduce the financial burden to the government, but also reduce the risks by bringing professional expertise into play, thus increasing the chance of success. </w:t>
      </w:r>
    </w:p>
    <w:p w14:paraId="1C95B01D" w14:textId="0C9CACB2" w:rsidR="00A40B18" w:rsidRPr="00CC58E7" w:rsidRDefault="00A40B18" w:rsidP="00806DD3">
      <w:pPr>
        <w:pStyle w:val="EPCMbodytext"/>
        <w:rPr>
          <w:lang w:val="en-GB"/>
        </w:rPr>
      </w:pPr>
      <w:r w:rsidRPr="00CC58E7">
        <w:rPr>
          <w:b/>
          <w:bCs/>
          <w:lang w:val="en-GB"/>
        </w:rPr>
        <w:t>Private sector participation can take the form of either a pure private sector approach or a public-private partner</w:t>
      </w:r>
      <w:r w:rsidR="00806DD3" w:rsidRPr="00CC58E7">
        <w:rPr>
          <w:b/>
          <w:bCs/>
          <w:lang w:val="en-GB"/>
        </w:rPr>
        <w:t>s</w:t>
      </w:r>
      <w:r w:rsidRPr="00CC58E7">
        <w:rPr>
          <w:b/>
          <w:bCs/>
          <w:lang w:val="en-GB"/>
        </w:rPr>
        <w:t xml:space="preserve">hip (PPP) </w:t>
      </w:r>
      <w:r w:rsidR="00806DD3" w:rsidRPr="00CC58E7">
        <w:rPr>
          <w:b/>
          <w:bCs/>
          <w:lang w:val="en-GB"/>
        </w:rPr>
        <w:t>approach</w:t>
      </w:r>
      <w:r w:rsidR="00806DD3" w:rsidRPr="00CC58E7">
        <w:rPr>
          <w:lang w:val="en-GB"/>
        </w:rPr>
        <w:t xml:space="preserve"> and</w:t>
      </w:r>
      <w:r w:rsidRPr="00CC58E7">
        <w:rPr>
          <w:lang w:val="en-GB"/>
        </w:rPr>
        <w:t xml:space="preserve"> can be arranged at the </w:t>
      </w:r>
      <w:r w:rsidR="00FB77AF" w:rsidRPr="00FB77AF">
        <w:rPr>
          <w:lang w:val="en-GB"/>
        </w:rPr>
        <w:t>distinct stages</w:t>
      </w:r>
      <w:r w:rsidRPr="00CC58E7">
        <w:rPr>
          <w:lang w:val="en-GB"/>
        </w:rPr>
        <w:t xml:space="preserve"> of the zone project from planning and development to management and operation. The level of demand, local context, risk appetite of private developers, and government strategy will determine the most suitable configuration of private sector participation, ranging from wholly private to a PPP approach where experienced private sector partners can be brought in to help with the planning, infrastructure development, and management of the SEZ.</w:t>
      </w:r>
    </w:p>
    <w:p w14:paraId="71B4D63E" w14:textId="7199E175" w:rsidR="005D7720" w:rsidRPr="00CC58E7" w:rsidRDefault="0039353E" w:rsidP="0011195A">
      <w:pPr>
        <w:pStyle w:val="EPCMbodytext"/>
        <w:numPr>
          <w:ilvl w:val="0"/>
          <w:numId w:val="34"/>
        </w:numPr>
        <w:rPr>
          <w:b/>
          <w:bCs/>
          <w:lang w:val="en-GB"/>
        </w:rPr>
      </w:pPr>
      <w:r w:rsidRPr="00CC58E7">
        <w:rPr>
          <w:b/>
          <w:bCs/>
          <w:lang w:val="en-GB"/>
        </w:rPr>
        <w:t xml:space="preserve">Maximize the positive </w:t>
      </w:r>
      <w:r w:rsidR="006F55D2" w:rsidRPr="006F55D2">
        <w:rPr>
          <w:b/>
          <w:bCs/>
          <w:lang w:val="en-GB"/>
        </w:rPr>
        <w:t>spillovers</w:t>
      </w:r>
      <w:r w:rsidRPr="00CC58E7">
        <w:rPr>
          <w:b/>
          <w:bCs/>
          <w:lang w:val="en-GB"/>
        </w:rPr>
        <w:t xml:space="preserve"> through an inclusive and sustainable approach:</w:t>
      </w:r>
    </w:p>
    <w:p w14:paraId="174047BD" w14:textId="376B3992" w:rsidR="0039353E" w:rsidRPr="00CC58E7" w:rsidRDefault="0047258F" w:rsidP="0047258F">
      <w:pPr>
        <w:pStyle w:val="EPCMbodytext"/>
        <w:rPr>
          <w:lang w:val="en-GB"/>
        </w:rPr>
      </w:pPr>
      <w:r w:rsidRPr="00CC58E7">
        <w:rPr>
          <w:b/>
          <w:bCs/>
          <w:lang w:val="en-GB"/>
        </w:rPr>
        <w:t>T</w:t>
      </w:r>
      <w:r w:rsidR="00F46DBE" w:rsidRPr="00CC58E7">
        <w:rPr>
          <w:b/>
          <w:bCs/>
          <w:lang w:val="en-GB"/>
        </w:rPr>
        <w:t>he success of modern zones is increasingly entwined with the local economy to achieve structural transformation of the host economies</w:t>
      </w:r>
      <w:r w:rsidR="00F46DBE" w:rsidRPr="00CC58E7">
        <w:rPr>
          <w:lang w:val="en-GB"/>
        </w:rPr>
        <w:t xml:space="preserve">. Zones need to build on local comparative advantages and try to have local suppliers as part of their value chains through an inclusive approach. Proactive identification of opportunities, matching </w:t>
      </w:r>
      <w:proofErr w:type="gramStart"/>
      <w:r w:rsidR="00F46DBE" w:rsidRPr="00CC58E7">
        <w:rPr>
          <w:lang w:val="en-GB"/>
        </w:rPr>
        <w:t>efforts</w:t>
      </w:r>
      <w:proofErr w:type="gramEnd"/>
      <w:r w:rsidR="00F46DBE" w:rsidRPr="00CC58E7">
        <w:rPr>
          <w:lang w:val="en-GB"/>
        </w:rPr>
        <w:t xml:space="preserve"> and training programs between firms within and outside zones, would greatly enhance zones’ impact</w:t>
      </w:r>
      <w:r w:rsidRPr="00CC58E7">
        <w:rPr>
          <w:lang w:val="en-GB"/>
        </w:rPr>
        <w:t xml:space="preserve">. </w:t>
      </w:r>
      <w:r w:rsidR="00F46DBE" w:rsidRPr="00CC58E7">
        <w:rPr>
          <w:lang w:val="en-GB"/>
        </w:rPr>
        <w:t xml:space="preserve">In many countries, such as those in Sub-Saharan Africa, zones are often criticized as being </w:t>
      </w:r>
      <w:r w:rsidR="00F46DBE" w:rsidRPr="00CC58E7">
        <w:rPr>
          <w:lang w:val="en-GB"/>
        </w:rPr>
        <w:lastRenderedPageBreak/>
        <w:t xml:space="preserve">enclaves without much linkage to the local economy. Evidence from East Asia shows that, </w:t>
      </w:r>
      <w:r w:rsidR="00FB77AF" w:rsidRPr="00FB77AF">
        <w:rPr>
          <w:lang w:val="en-GB"/>
        </w:rPr>
        <w:t>eventually</w:t>
      </w:r>
      <w:r w:rsidR="00F46DBE" w:rsidRPr="00CC58E7">
        <w:rPr>
          <w:lang w:val="en-GB"/>
        </w:rPr>
        <w:t>, zones with strong linkages to the local economy tend to be the most successful. To fully benefit from the zone programs, governments and zone management need to consider the local comparative advantages as they target priority sectors. Governments and zone management should also help local firms link with zone investors through supply chains or subcontracting relationships</w:t>
      </w:r>
      <w:r w:rsidR="00DF1F07" w:rsidRPr="00CC58E7">
        <w:rPr>
          <w:lang w:val="en-GB"/>
        </w:rPr>
        <w:t xml:space="preserve">. </w:t>
      </w:r>
      <w:r w:rsidR="00F46DBE" w:rsidRPr="00CC58E7">
        <w:rPr>
          <w:lang w:val="en-GB"/>
        </w:rPr>
        <w:t>These backward and forward linkages hold the potential to maximize spill</w:t>
      </w:r>
      <w:r w:rsidR="00DF1F07" w:rsidRPr="00CC58E7">
        <w:rPr>
          <w:lang w:val="en-GB"/>
        </w:rPr>
        <w:t>-</w:t>
      </w:r>
      <w:r w:rsidR="00F46DBE" w:rsidRPr="00CC58E7">
        <w:rPr>
          <w:lang w:val="en-GB"/>
        </w:rPr>
        <w:t>over effects on the economic benefits (such as technology transfer, skills upgrading, and productivity gains of local firms) that accrue beyond the zone itself.</w:t>
      </w:r>
    </w:p>
    <w:p w14:paraId="5DD78D14" w14:textId="278C5774" w:rsidR="00714B8B" w:rsidRPr="00CC58E7" w:rsidRDefault="009B01ED" w:rsidP="006B6809">
      <w:pPr>
        <w:pStyle w:val="EPCMbodytext"/>
        <w:rPr>
          <w:lang w:val="en-GB"/>
        </w:rPr>
      </w:pPr>
      <w:r w:rsidRPr="00CC58E7">
        <w:rPr>
          <w:b/>
          <w:bCs/>
          <w:lang w:val="en-GB"/>
        </w:rPr>
        <w:t>In addition, it is important to make zones greener and sustainable to upscale their competitiveness stance in the global market</w:t>
      </w:r>
      <w:r w:rsidRPr="00CC58E7">
        <w:rPr>
          <w:lang w:val="en-GB"/>
        </w:rPr>
        <w:t>. Increasingly rigorous environmental and social standards of international investors mean that SEZs that adopt the principles of eco-industrial development and that align with or go beyond international good practice compliance requirements may have a competitive advantage over other locations competing for the same investors. In this regard, zones are encouraged to voluntarily adopt the EIP framework to make themselves resource-efficient, climate friendly, and overall greener. An EIP can broadly be defined as “a dedicated area for industrial use at a suitable site that ensures sustainability through the integration of social, economic, and environmental quality aspects into its siting, planning, management and operations</w:t>
      </w:r>
      <w:r w:rsidR="000C7D64" w:rsidRPr="000C7D64">
        <w:rPr>
          <w:lang w:val="en-GB"/>
        </w:rPr>
        <w:t>.”</w:t>
      </w:r>
      <w:r w:rsidRPr="00CC58E7">
        <w:rPr>
          <w:lang w:val="en-GB"/>
        </w:rPr>
        <w:t xml:space="preserve"> It has increasingly been recognized as an effective tool for overcoming challenges related to inclusive and sustainable industrial development within the scope of the Sustainable Development Goals. However, it is also used to respond to global demands for a green supply chain and to reduce resource constraints through improved resource management and conservation while ensuring national and international climate change commitments are met. While zones can be the pilots, such good practices should be promoted throughout the </w:t>
      </w:r>
      <w:r w:rsidR="00D17A8A" w:rsidRPr="00CC58E7">
        <w:rPr>
          <w:lang w:val="en-GB"/>
        </w:rPr>
        <w:t>economy.</w:t>
      </w:r>
    </w:p>
    <w:p w14:paraId="03419479" w14:textId="629810E4" w:rsidR="00072A7A" w:rsidRPr="00CC58E7" w:rsidRDefault="002F215C" w:rsidP="006B6809">
      <w:pPr>
        <w:pStyle w:val="EPCMbodytext"/>
        <w:rPr>
          <w:lang w:val="en-GB"/>
        </w:rPr>
      </w:pPr>
      <w:r w:rsidRPr="00CC58E7">
        <w:rPr>
          <w:lang w:val="en-GB"/>
        </w:rPr>
        <w:t>Besides the dos, there</w:t>
      </w:r>
      <w:r w:rsidR="00C45482" w:rsidRPr="00CC58E7">
        <w:rPr>
          <w:lang w:val="en-GB"/>
        </w:rPr>
        <w:t xml:space="preserve"> are some negative lessons in planning, developing and operating SEZs that should be </w:t>
      </w:r>
      <w:r w:rsidR="00344DC4" w:rsidRPr="00344DC4">
        <w:rPr>
          <w:lang w:val="en-GB"/>
        </w:rPr>
        <w:t>avoided, which</w:t>
      </w:r>
      <w:r w:rsidR="00EF7BEC" w:rsidRPr="00CC58E7">
        <w:rPr>
          <w:lang w:val="en-GB"/>
        </w:rPr>
        <w:t xml:space="preserve"> are summarised next as four </w:t>
      </w:r>
      <w:r w:rsidR="00E14478" w:rsidRPr="00E14478">
        <w:rPr>
          <w:lang w:val="en-GB"/>
        </w:rPr>
        <w:t>do not</w:t>
      </w:r>
      <w:r w:rsidR="00EF7BEC" w:rsidRPr="00CC58E7">
        <w:rPr>
          <w:lang w:val="en-GB"/>
        </w:rPr>
        <w:t>:</w:t>
      </w:r>
    </w:p>
    <w:p w14:paraId="35B693B4" w14:textId="3394B378" w:rsidR="00EF7BEC" w:rsidRPr="00CC58E7" w:rsidRDefault="00EF7BEC" w:rsidP="0011195A">
      <w:pPr>
        <w:pStyle w:val="EPCMbodytext"/>
        <w:numPr>
          <w:ilvl w:val="0"/>
          <w:numId w:val="35"/>
        </w:numPr>
        <w:rPr>
          <w:b/>
          <w:bCs/>
          <w:lang w:val="en-GB"/>
        </w:rPr>
      </w:pPr>
      <w:r w:rsidRPr="00CC58E7">
        <w:rPr>
          <w:b/>
          <w:bCs/>
          <w:lang w:val="en-GB"/>
        </w:rPr>
        <w:t>Lack of strategic planning and demand-driven approach</w:t>
      </w:r>
      <w:r w:rsidR="0072618C" w:rsidRPr="00CC58E7">
        <w:rPr>
          <w:b/>
          <w:bCs/>
          <w:lang w:val="en-GB"/>
        </w:rPr>
        <w:t>:</w:t>
      </w:r>
    </w:p>
    <w:p w14:paraId="01C83FEE" w14:textId="0493D2E9" w:rsidR="002B120F" w:rsidRPr="00CC58E7" w:rsidRDefault="002B120F" w:rsidP="002B120F">
      <w:pPr>
        <w:pStyle w:val="EPCMbodytext"/>
        <w:rPr>
          <w:lang w:val="en-GB"/>
        </w:rPr>
      </w:pPr>
      <w:r w:rsidRPr="00CC58E7">
        <w:rPr>
          <w:b/>
          <w:bCs/>
          <w:lang w:val="en-GB"/>
        </w:rPr>
        <w:t>International experience shows that effective zone</w:t>
      </w:r>
      <w:r w:rsidR="006F55D2">
        <w:rPr>
          <w:b/>
          <w:bCs/>
          <w:lang w:val="en-GB"/>
        </w:rPr>
        <w:t>s</w:t>
      </w:r>
      <w:r w:rsidRPr="00CC58E7">
        <w:rPr>
          <w:b/>
          <w:bCs/>
          <w:lang w:val="en-GB"/>
        </w:rPr>
        <w:t xml:space="preserve"> are an integral part of an overall national, regional, or municipal development strategy and build on strong demand from business sectors.</w:t>
      </w:r>
      <w:r w:rsidRPr="00CC58E7">
        <w:rPr>
          <w:lang w:val="en-GB"/>
        </w:rPr>
        <w:t xml:space="preserve"> For public zones, governments need to clearly define the role and objectives of the zone initiatives in their overall economic development agenda and to conduct thorough planning that involves all the major stakeholders in the process. Such a process will help to build a consensus within the government and throughout the country or region, thus gaining broad support. To anchor the zone programs on a solid market-based foundation, the private sector must be involved from early on to understand its specific needs and constraints and to test the zone approach. If a zone initiative is justified, the preliminary locations, sectors, and potential investors need to be identified; some cost-benefits analysis needs to be conducted; and a well-thought-out implementation plan needs to be developed. </w:t>
      </w:r>
    </w:p>
    <w:p w14:paraId="4E966E1E" w14:textId="60789999" w:rsidR="00307288" w:rsidRPr="00CC58E7" w:rsidRDefault="002B120F" w:rsidP="00307288">
      <w:pPr>
        <w:pStyle w:val="EPCMbodytext"/>
        <w:rPr>
          <w:lang w:val="en-GB"/>
        </w:rPr>
      </w:pPr>
      <w:r w:rsidRPr="00CC58E7">
        <w:rPr>
          <w:b/>
          <w:bCs/>
          <w:lang w:val="en-GB"/>
        </w:rPr>
        <w:t>However, in many cases, a strategic planning process is skipped or compromised.</w:t>
      </w:r>
      <w:r w:rsidRPr="00CC58E7">
        <w:rPr>
          <w:lang w:val="en-GB"/>
        </w:rPr>
        <w:t xml:space="preserve"> Many decisions are made through a purely top-down approach, without considering the real needs of the private sector. Some zones are politically motivated even without a proper feasibility study, and some are established mainly for equality purpose, not necessarily in line with a </w:t>
      </w:r>
      <w:proofErr w:type="gramStart"/>
      <w:r w:rsidRPr="00CC58E7">
        <w:rPr>
          <w:lang w:val="en-GB"/>
        </w:rPr>
        <w:t>country’s</w:t>
      </w:r>
      <w:proofErr w:type="gramEnd"/>
      <w:r w:rsidRPr="00CC58E7">
        <w:rPr>
          <w:lang w:val="en-GB"/>
        </w:rPr>
        <w:t xml:space="preserve"> or region’s economic development strategy. Given the nature of SEZs, </w:t>
      </w:r>
      <w:r w:rsidRPr="00CC58E7">
        <w:rPr>
          <w:lang w:val="en-GB"/>
        </w:rPr>
        <w:lastRenderedPageBreak/>
        <w:t>they may not be a suitable development instrument in a peripheral and remote region. A supply driven SEZ designed without business demand is a recipe for failure</w:t>
      </w:r>
      <w:r w:rsidR="006A3C94" w:rsidRPr="00CC58E7">
        <w:rPr>
          <w:lang w:val="en-GB"/>
        </w:rPr>
        <w:t>.</w:t>
      </w:r>
    </w:p>
    <w:p w14:paraId="61BE24CA" w14:textId="11B1740C" w:rsidR="0072618C" w:rsidRPr="00CC58E7" w:rsidRDefault="0072618C" w:rsidP="0011195A">
      <w:pPr>
        <w:pStyle w:val="EPCMbodytext"/>
        <w:numPr>
          <w:ilvl w:val="0"/>
          <w:numId w:val="35"/>
        </w:numPr>
        <w:rPr>
          <w:b/>
          <w:bCs/>
          <w:lang w:val="en-GB"/>
        </w:rPr>
      </w:pPr>
      <w:r w:rsidRPr="00CC58E7">
        <w:rPr>
          <w:b/>
          <w:bCs/>
          <w:lang w:val="en-GB"/>
        </w:rPr>
        <w:t>Fail</w:t>
      </w:r>
      <w:r w:rsidR="00457278" w:rsidRPr="00CC58E7">
        <w:rPr>
          <w:b/>
          <w:bCs/>
          <w:lang w:val="en-GB"/>
        </w:rPr>
        <w:t>ure</w:t>
      </w:r>
      <w:r w:rsidRPr="00CC58E7">
        <w:rPr>
          <w:b/>
          <w:bCs/>
          <w:lang w:val="en-GB"/>
        </w:rPr>
        <w:t xml:space="preserve"> to address the critical market and government failures:</w:t>
      </w:r>
    </w:p>
    <w:p w14:paraId="4099A9E6" w14:textId="2A07478F" w:rsidR="00C72732" w:rsidRPr="00CC58E7" w:rsidRDefault="00C72732" w:rsidP="00C72732">
      <w:pPr>
        <w:pStyle w:val="EPCMbodytext"/>
        <w:rPr>
          <w:lang w:val="en-GB"/>
        </w:rPr>
      </w:pPr>
      <w:r w:rsidRPr="00CC58E7">
        <w:rPr>
          <w:b/>
          <w:bCs/>
          <w:lang w:val="en-GB"/>
        </w:rPr>
        <w:t>From the economics point of view, an SEZ instrument is justified because of its possibility to complement market forces and to help deal with certain market and government failures.</w:t>
      </w:r>
      <w:r w:rsidRPr="00CC58E7">
        <w:rPr>
          <w:lang w:val="en-GB"/>
        </w:rPr>
        <w:t xml:space="preserve"> The important market failures and government failures that SEZs are intended to address would include a malfunctioning land market, deficient industrial infrastructure (such as power, water, gas, telecommunications, and waste treatment) needed for industrial agglomeration, and poor regulatory and business environment caused by coordination failures within governments or between the government and private sector. Strictly speaking, an SEZ approach is needed only when all the “failures” exist at the same time, otherwise an industrial park might be sufficient in cases where the regulatory and business environment is not the main constraint to investment, but rather deficiencies related to available and reliable sustainable infrastructure and investor services. </w:t>
      </w:r>
    </w:p>
    <w:p w14:paraId="38D7C40A" w14:textId="1CCA1FBB" w:rsidR="00307288" w:rsidRPr="00CC58E7" w:rsidRDefault="00C72732" w:rsidP="00C72732">
      <w:pPr>
        <w:pStyle w:val="EPCMbodytext"/>
        <w:rPr>
          <w:lang w:val="en-GB"/>
        </w:rPr>
      </w:pPr>
      <w:r w:rsidRPr="00CC58E7">
        <w:rPr>
          <w:b/>
          <w:bCs/>
          <w:lang w:val="en-GB"/>
        </w:rPr>
        <w:t>However, in many zones, even the basic infrastructures, such as power and roads, are not properly provided</w:t>
      </w:r>
      <w:r w:rsidRPr="00CC58E7">
        <w:rPr>
          <w:lang w:val="en-GB"/>
        </w:rPr>
        <w:t>. A World Bank study of six African zone programs (Ghana, Kenya, Lesotho, Nigeria, Senegal, and Tanzania) shows that the downtime in zones (measured by hours) because of power shortages is still quite high in absolute terms in most African zones despite some reduction compared with outside zones—on average, the reduction is about 54 percent in African zones versus 92 percent in non-African zones. Also, in many countries, the OSS does not live up to its name because of poor intra- or intergovernmental coordination. In such cases, the SEZs are unable to serve their true purpose. And in some countries, governments decide to implement SEZs to address other policy issues, such as regional development, notwithstanding the location of the zone and access to markets.</w:t>
      </w:r>
    </w:p>
    <w:p w14:paraId="24074487" w14:textId="13731AA4" w:rsidR="00437D73" w:rsidRPr="00CC58E7" w:rsidRDefault="002D34C3" w:rsidP="0011195A">
      <w:pPr>
        <w:pStyle w:val="EPCMbodytext"/>
        <w:numPr>
          <w:ilvl w:val="0"/>
          <w:numId w:val="35"/>
        </w:numPr>
        <w:rPr>
          <w:b/>
          <w:bCs/>
          <w:lang w:val="en-GB"/>
        </w:rPr>
      </w:pPr>
      <w:r w:rsidRPr="00CC58E7">
        <w:rPr>
          <w:b/>
          <w:bCs/>
          <w:lang w:val="en-GB"/>
        </w:rPr>
        <w:t>Poor policy and legal environment and weak implementation capacity</w:t>
      </w:r>
      <w:r w:rsidR="00196E59" w:rsidRPr="00CC58E7">
        <w:rPr>
          <w:b/>
          <w:bCs/>
          <w:lang w:val="en-GB"/>
        </w:rPr>
        <w:t>:</w:t>
      </w:r>
    </w:p>
    <w:p w14:paraId="70C860E7" w14:textId="7ECCEA18" w:rsidR="00E82BA0" w:rsidRPr="00CC58E7" w:rsidRDefault="00E82BA0" w:rsidP="00236278">
      <w:pPr>
        <w:pStyle w:val="EPCMbodytext"/>
        <w:rPr>
          <w:lang w:val="en-GB"/>
        </w:rPr>
      </w:pPr>
      <w:r w:rsidRPr="00CC58E7">
        <w:rPr>
          <w:b/>
          <w:bCs/>
          <w:lang w:val="en-GB"/>
        </w:rPr>
        <w:t>In an SEZ program, a predictable, transparent, and streamlined (not multiple or even self-contradicting) legal and regulatory framework is essential to provide protection and certainty to the developers and investors and to ensure the clarity of roles and responsibilities of various parties involved</w:t>
      </w:r>
      <w:r w:rsidRPr="00CC58E7">
        <w:rPr>
          <w:lang w:val="en-GB"/>
        </w:rPr>
        <w:t xml:space="preserve">. Such a framework also helps to ensure that the zones attract the right investments and are implemented with proper standards. It will also help avoid or minimize unpredictable risks, such as political setbacks or interference and land speculation, among other factors. In addition, the implementation capacity of government or private developers and operators are also among the key determinants of zone success. Governments and private sector players with strong expertise in planning, designing, and developing zones or industrial infrastructure programs tend to deliver better results. Strong, long-term government commitment provides an additional guarantee for the success of zones by ensuring policy continuity and adequate provision of various public goods and services. Meanwhile, close coordination between the central and local governments and clarity over their roles are </w:t>
      </w:r>
      <w:r w:rsidR="00FB77AF" w:rsidRPr="00FB77AF">
        <w:rPr>
          <w:lang w:val="en-GB"/>
        </w:rPr>
        <w:t>important</w:t>
      </w:r>
      <w:r w:rsidRPr="00CC58E7">
        <w:rPr>
          <w:lang w:val="en-GB"/>
        </w:rPr>
        <w:t xml:space="preserve"> for the smooth implementation of the different programs. </w:t>
      </w:r>
    </w:p>
    <w:p w14:paraId="0B7B0024" w14:textId="15F0A773" w:rsidR="00437D73" w:rsidRPr="00CC58E7" w:rsidRDefault="00E82BA0" w:rsidP="00236278">
      <w:pPr>
        <w:pStyle w:val="EPCMbodytext"/>
        <w:rPr>
          <w:lang w:val="en-GB"/>
        </w:rPr>
      </w:pPr>
      <w:r w:rsidRPr="00CC58E7">
        <w:rPr>
          <w:lang w:val="en-GB"/>
        </w:rPr>
        <w:t xml:space="preserve">However, in many low-capacity countries, especially those in Sub-Saharan Africa, the current legal, regulatory, and institutional framework for SEZs is either outdated or does not exist, and in some cases, the zones have been launched or built without a proper framework </w:t>
      </w:r>
      <w:r w:rsidRPr="00CC58E7">
        <w:rPr>
          <w:lang w:val="en-GB"/>
        </w:rPr>
        <w:lastRenderedPageBreak/>
        <w:t>in place</w:t>
      </w:r>
      <w:r w:rsidR="004304A7" w:rsidRPr="00CC58E7">
        <w:rPr>
          <w:lang w:val="en-GB"/>
        </w:rPr>
        <w:t xml:space="preserve">. </w:t>
      </w:r>
      <w:r w:rsidRPr="00CC58E7">
        <w:rPr>
          <w:lang w:val="en-GB"/>
        </w:rPr>
        <w:t>This tends to create a lot of confusion and to deter potential investors. Many governments or private developers and operators have never designed or run a zone program before, and they adopt a “learning-by-doing” approach, which makes such high-risk programs quite vulnerable. In such cases, if zones are indeed necessary, it might be better off to enable the private sector–led industrial zones with better regulations and better public services.</w:t>
      </w:r>
    </w:p>
    <w:p w14:paraId="269275CD" w14:textId="39D569C5" w:rsidR="00196E59" w:rsidRPr="00CC58E7" w:rsidRDefault="009E7D51" w:rsidP="0011195A">
      <w:pPr>
        <w:pStyle w:val="EPCMbodytext"/>
        <w:numPr>
          <w:ilvl w:val="0"/>
          <w:numId w:val="35"/>
        </w:numPr>
        <w:rPr>
          <w:b/>
          <w:bCs/>
          <w:lang w:val="en-GB"/>
        </w:rPr>
      </w:pPr>
      <w:r w:rsidRPr="00CC58E7">
        <w:rPr>
          <w:b/>
          <w:bCs/>
          <w:lang w:val="en-GB"/>
        </w:rPr>
        <w:t xml:space="preserve">Inability to mitigate the environmental and social </w:t>
      </w:r>
      <w:proofErr w:type="gramStart"/>
      <w:r w:rsidRPr="00CC58E7">
        <w:rPr>
          <w:b/>
          <w:bCs/>
          <w:lang w:val="en-GB"/>
        </w:rPr>
        <w:t>risks</w:t>
      </w:r>
      <w:proofErr w:type="gramEnd"/>
    </w:p>
    <w:p w14:paraId="43989431" w14:textId="747CE9D1" w:rsidR="009E7D51" w:rsidRPr="00CC58E7" w:rsidRDefault="009E7D51" w:rsidP="0043476D">
      <w:pPr>
        <w:pStyle w:val="EPCMbodytext"/>
        <w:rPr>
          <w:lang w:val="en-GB"/>
        </w:rPr>
      </w:pPr>
      <w:r w:rsidRPr="00CC58E7">
        <w:rPr>
          <w:b/>
          <w:bCs/>
          <w:lang w:val="en-GB"/>
        </w:rPr>
        <w:t>Because of the nature of SEZ projects, they often need to involve land acquisition and resettlement of displaced people, which makes them highly susceptible to environmental and social risks.</w:t>
      </w:r>
      <w:r w:rsidRPr="00CC58E7">
        <w:rPr>
          <w:lang w:val="en-GB"/>
        </w:rPr>
        <w:t xml:space="preserve"> Therefore, it is indispensable in SEZ programs and projects to properly identify and assess such risks during the feasibility study and to develop sound mitigation measures. Failing to do so may make or break such</w:t>
      </w:r>
      <w:r w:rsidR="001C1F4D" w:rsidRPr="00CC58E7">
        <w:rPr>
          <w:lang w:val="en-GB"/>
        </w:rPr>
        <w:t xml:space="preserve"> </w:t>
      </w:r>
      <w:r w:rsidRPr="00CC58E7">
        <w:rPr>
          <w:lang w:val="en-GB"/>
        </w:rPr>
        <w:t xml:space="preserve">projects, which has been the case in some African and South Asian countries, for example. </w:t>
      </w:r>
    </w:p>
    <w:p w14:paraId="6FB09332" w14:textId="4C79EEFA" w:rsidR="009E7D51" w:rsidRPr="00CC58E7" w:rsidRDefault="009E7D51" w:rsidP="0043476D">
      <w:pPr>
        <w:pStyle w:val="EPCMbodytext"/>
        <w:rPr>
          <w:lang w:val="en-GB"/>
        </w:rPr>
      </w:pPr>
      <w:r w:rsidRPr="00CC58E7">
        <w:rPr>
          <w:lang w:val="en-GB"/>
        </w:rPr>
        <w:t xml:space="preserve">The choice of zone location should try to involve as less displaced people and businesses as possible to minimize the social risks. Also, a thorough consultation process should be conducted with all the relevant stakeholders, especially the local communities that would be affected by the project. The displaced people should be properly compensated and resettled. As a good practice, the affected people who may lose their means of living due to the project should be trained or reskilled and employed within the zone, </w:t>
      </w:r>
      <w:r w:rsidR="00344DC4" w:rsidRPr="00344DC4">
        <w:rPr>
          <w:lang w:val="en-GB"/>
        </w:rPr>
        <w:t>if</w:t>
      </w:r>
      <w:r w:rsidRPr="00CC58E7">
        <w:rPr>
          <w:lang w:val="en-GB"/>
        </w:rPr>
        <w:t xml:space="preserve"> they are still at a working age. </w:t>
      </w:r>
      <w:r w:rsidR="009F2E00" w:rsidRPr="009F2E00">
        <w:rPr>
          <w:lang w:val="en-GB"/>
        </w:rPr>
        <w:t>The government and the zone developer or operator can jointly do this</w:t>
      </w:r>
      <w:r w:rsidRPr="00CC58E7">
        <w:rPr>
          <w:lang w:val="en-GB"/>
        </w:rPr>
        <w:t xml:space="preserve">. Zones should also adopt a high standard </w:t>
      </w:r>
      <w:r w:rsidR="00344DC4" w:rsidRPr="00344DC4">
        <w:rPr>
          <w:lang w:val="en-GB"/>
        </w:rPr>
        <w:t>regarding</w:t>
      </w:r>
      <w:r w:rsidRPr="00CC58E7">
        <w:rPr>
          <w:lang w:val="en-GB"/>
        </w:rPr>
        <w:t xml:space="preserve"> worker compensation and protection. To satisfy the needs of underrepresented worker groups (such as female workers), the zone should create an ecosystem to provide services and infrastructure, such as day care </w:t>
      </w:r>
      <w:r w:rsidR="001E27FC" w:rsidRPr="00CC58E7">
        <w:rPr>
          <w:lang w:val="en-GB"/>
        </w:rPr>
        <w:t>centres</w:t>
      </w:r>
      <w:r w:rsidRPr="00CC58E7">
        <w:rPr>
          <w:lang w:val="en-GB"/>
        </w:rPr>
        <w:t xml:space="preserve"> and kindergartens. </w:t>
      </w:r>
    </w:p>
    <w:p w14:paraId="75951154" w14:textId="34F04FB6" w:rsidR="009E7D51" w:rsidRPr="00CC58E7" w:rsidRDefault="009E7D51" w:rsidP="00653127">
      <w:pPr>
        <w:pStyle w:val="EPCMbodytext"/>
        <w:rPr>
          <w:lang w:val="en-GB"/>
        </w:rPr>
      </w:pPr>
      <w:r w:rsidRPr="00CC58E7">
        <w:rPr>
          <w:lang w:val="en-GB"/>
        </w:rPr>
        <w:t xml:space="preserve">In addition, some zones may host highly polluting sectors, such as textiles, leather, and petrochemicals, and may create severe </w:t>
      </w:r>
      <w:r w:rsidR="00A248DD" w:rsidRPr="00CC58E7">
        <w:rPr>
          <w:lang w:val="en-GB"/>
        </w:rPr>
        <w:t>damage</w:t>
      </w:r>
      <w:r w:rsidRPr="00CC58E7">
        <w:rPr>
          <w:lang w:val="en-GB"/>
        </w:rPr>
        <w:t xml:space="preserve"> to the natural and living environment. Such situations can cause huge </w:t>
      </w:r>
      <w:r w:rsidR="00A248DD" w:rsidRPr="00CC58E7">
        <w:rPr>
          <w:lang w:val="en-GB"/>
        </w:rPr>
        <w:t>setbacks</w:t>
      </w:r>
      <w:r w:rsidRPr="00CC58E7">
        <w:rPr>
          <w:lang w:val="en-GB"/>
        </w:rPr>
        <w:t xml:space="preserve"> or even social unrest. To avoid or minimize such risks, zones should be eco-friendly and environmentally sustainable. An effective way to do so is to adopt the international EIP framework mentioned earlier. </w:t>
      </w:r>
    </w:p>
    <w:p w14:paraId="6851D762" w14:textId="177B847E" w:rsidR="00196E59" w:rsidRPr="00CC58E7" w:rsidRDefault="009E7D51" w:rsidP="00653127">
      <w:pPr>
        <w:pStyle w:val="EPCMbodytext"/>
        <w:rPr>
          <w:lang w:val="en-GB"/>
        </w:rPr>
      </w:pPr>
      <w:r w:rsidRPr="00CC58E7">
        <w:rPr>
          <w:lang w:val="en-GB"/>
        </w:rPr>
        <w:t>To integrate and operationalize the EIP framework, zones should set up their own EIP performance indicators based on the guidance provided in the EIP Practitioner’s Handbook. They also should develop a rigorous system to regularly monitor and evaluate their performances in zone management and in economic, social, and environmental aspects and should report to key stakeholders. The absence of such monitoring, evaluation, and reporting system may result in zones diverging from their initial purposes.</w:t>
      </w:r>
    </w:p>
    <w:bookmarkEnd w:id="0"/>
    <w:p w14:paraId="611E2EF5" w14:textId="780BC993" w:rsidR="00E602A0" w:rsidRPr="00B10FE3" w:rsidRDefault="00E602A0" w:rsidP="00BF45DB">
      <w:pPr>
        <w:pStyle w:val="Caption"/>
      </w:pPr>
    </w:p>
    <w:sectPr w:rsidR="00E602A0" w:rsidRPr="00B10FE3" w:rsidSect="00721ED3">
      <w:headerReference w:type="default" r:id="rId15"/>
      <w:footerReference w:type="default" r:id="rId16"/>
      <w:pgSz w:w="11906" w:h="16838" w:code="9"/>
      <w:pgMar w:top="1440" w:right="1440" w:bottom="1440" w:left="1440" w:header="601" w:footer="102"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30190" w14:textId="77777777" w:rsidR="00721ED3" w:rsidRDefault="00721ED3">
      <w:r>
        <w:separator/>
      </w:r>
    </w:p>
    <w:p w14:paraId="092FAF48" w14:textId="77777777" w:rsidR="00721ED3" w:rsidRDefault="00721ED3"/>
  </w:endnote>
  <w:endnote w:type="continuationSeparator" w:id="0">
    <w:p w14:paraId="6C1DFA2A" w14:textId="77777777" w:rsidR="00721ED3" w:rsidRDefault="00721ED3">
      <w:r>
        <w:continuationSeparator/>
      </w:r>
    </w:p>
    <w:p w14:paraId="55131FEF" w14:textId="77777777" w:rsidR="00721ED3" w:rsidRDefault="00721ED3"/>
  </w:endnote>
  <w:endnote w:type="continuationNotice" w:id="1">
    <w:p w14:paraId="3EB472EA" w14:textId="77777777" w:rsidR="00721ED3" w:rsidRDefault="00721ED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EYInterstate">
    <w:altName w:val="Calibri"/>
    <w:charset w:val="00"/>
    <w:family w:val="auto"/>
    <w:pitch w:val="variable"/>
    <w:sig w:usb0="A00002AF" w:usb1="5000206A"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FF" w:usb1="C0007841" w:usb2="00000009" w:usb3="00000000" w:csb0="000001FF" w:csb1="00000000"/>
  </w:font>
  <w:font w:name="EYInterstate Light">
    <w:altName w:val="Calibri"/>
    <w:charset w:val="00"/>
    <w:family w:val="auto"/>
    <w:pitch w:val="variable"/>
    <w:sig w:usb0="A00002AF" w:usb1="5000206A"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A7C13" w14:textId="5323DA13" w:rsidR="00AE158C" w:rsidRDefault="00AE158C">
    <w:pPr>
      <w:pStyle w:val="BodyText"/>
      <w:spacing w:line="14" w:lineRule="auto"/>
      <w:rPr>
        <w:sz w:val="20"/>
      </w:rPr>
    </w:pPr>
    <w:r>
      <w:rPr>
        <w:noProof/>
      </w:rPr>
      <mc:AlternateContent>
        <mc:Choice Requires="wps">
          <w:drawing>
            <wp:anchor distT="0" distB="0" distL="0" distR="0" simplePos="0" relativeHeight="251658242" behindDoc="1" locked="0" layoutInCell="1" allowOverlap="1" wp14:anchorId="17ABD327" wp14:editId="35D048E6">
              <wp:simplePos x="0" y="0"/>
              <wp:positionH relativeFrom="page">
                <wp:posOffset>896937</wp:posOffset>
              </wp:positionH>
              <wp:positionV relativeFrom="page">
                <wp:posOffset>7040562</wp:posOffset>
              </wp:positionV>
              <wp:extent cx="8902065" cy="15240"/>
              <wp:effectExtent l="0" t="0" r="0" b="0"/>
              <wp:wrapNone/>
              <wp:docPr id="1440" name="Freeform: Shape 1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02065" cy="15240"/>
                      </a:xfrm>
                      <a:custGeom>
                        <a:avLst/>
                        <a:gdLst/>
                        <a:ahLst/>
                        <a:cxnLst/>
                        <a:rect l="l" t="t" r="r" b="b"/>
                        <a:pathLst>
                          <a:path w="8902065" h="15240">
                            <a:moveTo>
                              <a:pt x="8902065" y="10160"/>
                            </a:moveTo>
                            <a:lnTo>
                              <a:pt x="0" y="10160"/>
                            </a:lnTo>
                            <a:lnTo>
                              <a:pt x="0" y="15240"/>
                            </a:lnTo>
                            <a:lnTo>
                              <a:pt x="8902065" y="15240"/>
                            </a:lnTo>
                            <a:lnTo>
                              <a:pt x="8902065" y="10160"/>
                            </a:lnTo>
                            <a:close/>
                          </a:path>
                          <a:path w="8902065" h="15240">
                            <a:moveTo>
                              <a:pt x="8902065" y="0"/>
                            </a:moveTo>
                            <a:lnTo>
                              <a:pt x="0" y="0"/>
                            </a:lnTo>
                            <a:lnTo>
                              <a:pt x="0" y="5080"/>
                            </a:lnTo>
                            <a:lnTo>
                              <a:pt x="8902065" y="5080"/>
                            </a:lnTo>
                            <a:lnTo>
                              <a:pt x="8902065" y="0"/>
                            </a:lnTo>
                            <a:close/>
                          </a:path>
                        </a:pathLst>
                      </a:custGeom>
                      <a:solidFill>
                        <a:srgbClr val="3DB0C7"/>
                      </a:solidFill>
                    </wps:spPr>
                    <wps:bodyPr wrap="square" lIns="0" tIns="0" rIns="0" bIns="0" rtlCol="0">
                      <a:prstTxWarp prst="textNoShape">
                        <a:avLst/>
                      </a:prstTxWarp>
                      <a:noAutofit/>
                    </wps:bodyPr>
                  </wps:wsp>
                </a:graphicData>
              </a:graphic>
            </wp:anchor>
          </w:drawing>
        </mc:Choice>
        <mc:Fallback>
          <w:pict>
            <v:shape w14:anchorId="0BD9F8F4" id="Freeform: Shape 1440" o:spid="_x0000_s1026" style="position:absolute;margin-left:70.6pt;margin-top:554.35pt;width:700.95pt;height:1.2pt;z-index:-251658238;visibility:visible;mso-wrap-style:square;mso-wrap-distance-left:0;mso-wrap-distance-top:0;mso-wrap-distance-right:0;mso-wrap-distance-bottom:0;mso-position-horizontal:absolute;mso-position-horizontal-relative:page;mso-position-vertical:absolute;mso-position-vertical-relative:page;v-text-anchor:top" coordsize="8902065,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" path="m8902065,10160l,10160r,5080l8902065,15240r,-5080xem8902065,l,,,5080r8902065,l8902065,xe" fillcolor="#3db0c7" stroked="f">
              <v:path arrowok="t"/>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746F2" w14:textId="77777777" w:rsidR="00721ED3" w:rsidRDefault="00721ED3">
      <w:r>
        <w:separator/>
      </w:r>
    </w:p>
    <w:p w14:paraId="45B981A3" w14:textId="77777777" w:rsidR="00721ED3" w:rsidRDefault="00721ED3"/>
  </w:footnote>
  <w:footnote w:type="continuationSeparator" w:id="0">
    <w:p w14:paraId="738DED2B" w14:textId="77777777" w:rsidR="00721ED3" w:rsidRDefault="00721ED3">
      <w:r>
        <w:continuationSeparator/>
      </w:r>
    </w:p>
    <w:p w14:paraId="26D07326" w14:textId="77777777" w:rsidR="00721ED3" w:rsidRDefault="00721ED3"/>
  </w:footnote>
  <w:footnote w:type="continuationNotice" w:id="1">
    <w:p w14:paraId="59947DF6" w14:textId="77777777" w:rsidR="00721ED3" w:rsidRDefault="00721ED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35FD6" w14:textId="4141FA9F" w:rsidR="00AE158C" w:rsidRDefault="00AE158C">
    <w:pPr>
      <w:pStyle w:val="BodyText"/>
      <w:spacing w:line="14" w:lineRule="auto"/>
      <w:rPr>
        <w:sz w:val="20"/>
      </w:rPr>
    </w:pPr>
    <w:r>
      <w:rPr>
        <w:noProof/>
      </w:rPr>
      <mc:AlternateContent>
        <mc:Choice Requires="wps">
          <w:drawing>
            <wp:anchor distT="0" distB="0" distL="0" distR="0" simplePos="0" relativeHeight="251658241" behindDoc="1" locked="0" layoutInCell="1" allowOverlap="1" wp14:anchorId="52F5DC72" wp14:editId="1B387FAE">
              <wp:simplePos x="0" y="0"/>
              <wp:positionH relativeFrom="page">
                <wp:posOffset>975677</wp:posOffset>
              </wp:positionH>
              <wp:positionV relativeFrom="page">
                <wp:posOffset>998474</wp:posOffset>
              </wp:positionV>
              <wp:extent cx="8763000" cy="15240"/>
              <wp:effectExtent l="0" t="0" r="0" b="0"/>
              <wp:wrapNone/>
              <wp:docPr id="1438" name="Freeform: Shape 1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0" cy="15240"/>
                      </a:xfrm>
                      <a:custGeom>
                        <a:avLst/>
                        <a:gdLst/>
                        <a:ahLst/>
                        <a:cxnLst/>
                        <a:rect l="l" t="t" r="r" b="b"/>
                        <a:pathLst>
                          <a:path w="8763000" h="15240">
                            <a:moveTo>
                              <a:pt x="4359580" y="10160"/>
                            </a:moveTo>
                            <a:lnTo>
                              <a:pt x="4351909" y="10160"/>
                            </a:lnTo>
                            <a:lnTo>
                              <a:pt x="4344352" y="10160"/>
                            </a:lnTo>
                            <a:lnTo>
                              <a:pt x="0" y="10160"/>
                            </a:lnTo>
                            <a:lnTo>
                              <a:pt x="0" y="15240"/>
                            </a:lnTo>
                            <a:lnTo>
                              <a:pt x="4344352" y="15240"/>
                            </a:lnTo>
                            <a:lnTo>
                              <a:pt x="4351909" y="15240"/>
                            </a:lnTo>
                            <a:lnTo>
                              <a:pt x="4359580" y="15240"/>
                            </a:lnTo>
                            <a:lnTo>
                              <a:pt x="4359580" y="10160"/>
                            </a:lnTo>
                            <a:close/>
                          </a:path>
                          <a:path w="8763000" h="15240">
                            <a:moveTo>
                              <a:pt x="4359580" y="0"/>
                            </a:moveTo>
                            <a:lnTo>
                              <a:pt x="4351909" y="0"/>
                            </a:lnTo>
                            <a:lnTo>
                              <a:pt x="4344352" y="0"/>
                            </a:lnTo>
                            <a:lnTo>
                              <a:pt x="0" y="0"/>
                            </a:lnTo>
                            <a:lnTo>
                              <a:pt x="0" y="5080"/>
                            </a:lnTo>
                            <a:lnTo>
                              <a:pt x="4344352" y="5080"/>
                            </a:lnTo>
                            <a:lnTo>
                              <a:pt x="4351909" y="5080"/>
                            </a:lnTo>
                            <a:lnTo>
                              <a:pt x="4359580" y="5080"/>
                            </a:lnTo>
                            <a:lnTo>
                              <a:pt x="4359580" y="0"/>
                            </a:lnTo>
                            <a:close/>
                          </a:path>
                          <a:path w="8763000" h="15240">
                            <a:moveTo>
                              <a:pt x="8762428" y="10160"/>
                            </a:moveTo>
                            <a:lnTo>
                              <a:pt x="4359592" y="10160"/>
                            </a:lnTo>
                            <a:lnTo>
                              <a:pt x="4359592" y="15240"/>
                            </a:lnTo>
                            <a:lnTo>
                              <a:pt x="8762428" y="15240"/>
                            </a:lnTo>
                            <a:lnTo>
                              <a:pt x="8762428" y="10160"/>
                            </a:lnTo>
                            <a:close/>
                          </a:path>
                          <a:path w="8763000" h="15240">
                            <a:moveTo>
                              <a:pt x="8762428" y="0"/>
                            </a:moveTo>
                            <a:lnTo>
                              <a:pt x="4359592" y="0"/>
                            </a:lnTo>
                            <a:lnTo>
                              <a:pt x="4359592" y="5080"/>
                            </a:lnTo>
                            <a:lnTo>
                              <a:pt x="8762428" y="5080"/>
                            </a:lnTo>
                            <a:lnTo>
                              <a:pt x="8762428" y="0"/>
                            </a:lnTo>
                            <a:close/>
                          </a:path>
                        </a:pathLst>
                      </a:custGeom>
                      <a:solidFill>
                        <a:srgbClr val="3DB0C7"/>
                      </a:solidFill>
                    </wps:spPr>
                    <wps:bodyPr wrap="square" lIns="0" tIns="0" rIns="0" bIns="0" rtlCol="0">
                      <a:prstTxWarp prst="textNoShape">
                        <a:avLst/>
                      </a:prstTxWarp>
                      <a:noAutofit/>
                    </wps:bodyPr>
                  </wps:wsp>
                </a:graphicData>
              </a:graphic>
            </wp:anchor>
          </w:drawing>
        </mc:Choice>
        <mc:Fallback>
          <w:pict>
            <v:shape w14:anchorId="34CBC9FB" id="Freeform: Shape 1438" o:spid="_x0000_s1026" style="position:absolute;margin-left:76.8pt;margin-top:78.6pt;width:690pt;height:1.2pt;z-index:-251658239;visibility:visible;mso-wrap-style:square;mso-wrap-distance-left:0;mso-wrap-distance-top:0;mso-wrap-distance-right:0;mso-wrap-distance-bottom:0;mso-position-horizontal:absolute;mso-position-horizontal-relative:page;mso-position-vertical:absolute;mso-position-vertical-relative:page;v-text-anchor:top" coordsize="876300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" path="m4359580,10160r-7671,l4344352,10160,,10160r,5080l4344352,15240r7557,l4359580,15240r,-5080xem4359580,r-7671,l4344352,,,,,5080r4344352,l4351909,5080r7671,l4359580,xem8762428,10160r-4402836,l4359592,15240r4402836,l8762428,10160xem8762428,l4359592,r,5080l8762428,5080r,-5080xe" fillcolor="#3db0c7"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E3E9F04"/>
    <w:lvl w:ilvl="0">
      <w:start w:val="1"/>
      <w:numFmt w:val="bullet"/>
      <w:pStyle w:val="ListBullet3"/>
      <w:lvlText w:val="o"/>
      <w:lvlJc w:val="left"/>
      <w:pPr>
        <w:ind w:left="1800" w:hanging="360"/>
      </w:pPr>
      <w:rPr>
        <w:rFonts w:ascii="Courier New" w:hAnsi="Courier New" w:cs="Courier New" w:hint="default"/>
      </w:rPr>
    </w:lvl>
  </w:abstractNum>
  <w:abstractNum w:abstractNumId="1" w15:restartNumberingAfterBreak="0">
    <w:nsid w:val="FFFFFF83"/>
    <w:multiLevelType w:val="singleLevel"/>
    <w:tmpl w:val="C108DDA4"/>
    <w:lvl w:ilvl="0">
      <w:start w:val="1"/>
      <w:numFmt w:val="bullet"/>
      <w:pStyle w:val="ListBullet2"/>
      <w:lvlText w:val=""/>
      <w:lvlJc w:val="left"/>
      <w:pPr>
        <w:ind w:left="720" w:hanging="360"/>
      </w:pPr>
      <w:rPr>
        <w:rFonts w:ascii="Wingdings" w:hAnsi="Wingdings" w:hint="default"/>
      </w:rPr>
    </w:lvl>
  </w:abstractNum>
  <w:abstractNum w:abstractNumId="2" w15:restartNumberingAfterBreak="0">
    <w:nsid w:val="FFFFFF89"/>
    <w:multiLevelType w:val="singleLevel"/>
    <w:tmpl w:val="E2B86546"/>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5057FF"/>
    <w:multiLevelType w:val="hybridMultilevel"/>
    <w:tmpl w:val="170CA0B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3B03793"/>
    <w:multiLevelType w:val="hybridMultilevel"/>
    <w:tmpl w:val="628ABD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43630F5"/>
    <w:multiLevelType w:val="hybridMultilevel"/>
    <w:tmpl w:val="D3503E9E"/>
    <w:lvl w:ilvl="0" w:tplc="05DAE7FA">
      <w:start w:val="1"/>
      <w:numFmt w:val="lowerLetter"/>
      <w:pStyle w:val="EPCMListnumber2"/>
      <w:lvlText w:val="%1."/>
      <w:lvlJc w:val="left"/>
      <w:pPr>
        <w:ind w:left="1480" w:hanging="360"/>
      </w:pPr>
    </w:lvl>
    <w:lvl w:ilvl="1" w:tplc="1C090019" w:tentative="1">
      <w:start w:val="1"/>
      <w:numFmt w:val="lowerLetter"/>
      <w:lvlText w:val="%2."/>
      <w:lvlJc w:val="left"/>
      <w:pPr>
        <w:ind w:left="2200" w:hanging="360"/>
      </w:pPr>
    </w:lvl>
    <w:lvl w:ilvl="2" w:tplc="1C09001B" w:tentative="1">
      <w:start w:val="1"/>
      <w:numFmt w:val="lowerRoman"/>
      <w:lvlText w:val="%3."/>
      <w:lvlJc w:val="right"/>
      <w:pPr>
        <w:ind w:left="2920" w:hanging="180"/>
      </w:pPr>
    </w:lvl>
    <w:lvl w:ilvl="3" w:tplc="1C09000F" w:tentative="1">
      <w:start w:val="1"/>
      <w:numFmt w:val="decimal"/>
      <w:lvlText w:val="%4."/>
      <w:lvlJc w:val="left"/>
      <w:pPr>
        <w:ind w:left="3640" w:hanging="360"/>
      </w:pPr>
    </w:lvl>
    <w:lvl w:ilvl="4" w:tplc="1C090019" w:tentative="1">
      <w:start w:val="1"/>
      <w:numFmt w:val="lowerLetter"/>
      <w:lvlText w:val="%5."/>
      <w:lvlJc w:val="left"/>
      <w:pPr>
        <w:ind w:left="4360" w:hanging="360"/>
      </w:pPr>
    </w:lvl>
    <w:lvl w:ilvl="5" w:tplc="1C09001B" w:tentative="1">
      <w:start w:val="1"/>
      <w:numFmt w:val="lowerRoman"/>
      <w:lvlText w:val="%6."/>
      <w:lvlJc w:val="right"/>
      <w:pPr>
        <w:ind w:left="5080" w:hanging="180"/>
      </w:pPr>
    </w:lvl>
    <w:lvl w:ilvl="6" w:tplc="1C09000F" w:tentative="1">
      <w:start w:val="1"/>
      <w:numFmt w:val="decimal"/>
      <w:lvlText w:val="%7."/>
      <w:lvlJc w:val="left"/>
      <w:pPr>
        <w:ind w:left="5800" w:hanging="360"/>
      </w:pPr>
    </w:lvl>
    <w:lvl w:ilvl="7" w:tplc="1C090019" w:tentative="1">
      <w:start w:val="1"/>
      <w:numFmt w:val="lowerLetter"/>
      <w:lvlText w:val="%8."/>
      <w:lvlJc w:val="left"/>
      <w:pPr>
        <w:ind w:left="6520" w:hanging="360"/>
      </w:pPr>
    </w:lvl>
    <w:lvl w:ilvl="8" w:tplc="1C09001B" w:tentative="1">
      <w:start w:val="1"/>
      <w:numFmt w:val="lowerRoman"/>
      <w:lvlText w:val="%9."/>
      <w:lvlJc w:val="right"/>
      <w:pPr>
        <w:ind w:left="7240" w:hanging="180"/>
      </w:pPr>
    </w:lvl>
  </w:abstractNum>
  <w:abstractNum w:abstractNumId="6" w15:restartNumberingAfterBreak="0">
    <w:nsid w:val="047664B1"/>
    <w:multiLevelType w:val="multilevel"/>
    <w:tmpl w:val="027E167C"/>
    <w:lvl w:ilvl="0">
      <w:start w:val="1"/>
      <w:numFmt w:val="decimal"/>
      <w:pStyle w:val="ListNumber"/>
      <w:lvlText w:val="%1."/>
      <w:lvlJc w:val="left"/>
      <w:pPr>
        <w:ind w:left="11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5F960F4"/>
    <w:multiLevelType w:val="hybridMultilevel"/>
    <w:tmpl w:val="72A6D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70A3043"/>
    <w:multiLevelType w:val="hybridMultilevel"/>
    <w:tmpl w:val="9A7E4B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0DFD5AE8"/>
    <w:multiLevelType w:val="hybridMultilevel"/>
    <w:tmpl w:val="9BC44E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13854AE"/>
    <w:multiLevelType w:val="hybridMultilevel"/>
    <w:tmpl w:val="BA1443EA"/>
    <w:lvl w:ilvl="0" w:tplc="67F0C214">
      <w:start w:val="1"/>
      <w:numFmt w:val="decimal"/>
      <w:pStyle w:val="Bibliography"/>
      <w:lvlText w:val="%1."/>
      <w:lvlJc w:val="left"/>
      <w:pPr>
        <w:ind w:left="15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F4D8F"/>
    <w:multiLevelType w:val="hybridMultilevel"/>
    <w:tmpl w:val="4F969E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68B08AD"/>
    <w:multiLevelType w:val="hybridMultilevel"/>
    <w:tmpl w:val="F9D282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68D5738"/>
    <w:multiLevelType w:val="hybridMultilevel"/>
    <w:tmpl w:val="93D269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17402916"/>
    <w:multiLevelType w:val="hybridMultilevel"/>
    <w:tmpl w:val="C608BC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17AD7F66"/>
    <w:multiLevelType w:val="hybridMultilevel"/>
    <w:tmpl w:val="95E058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CB09A8"/>
    <w:multiLevelType w:val="hybridMultilevel"/>
    <w:tmpl w:val="42704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A317339"/>
    <w:multiLevelType w:val="hybridMultilevel"/>
    <w:tmpl w:val="58C0324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1A8936FF"/>
    <w:multiLevelType w:val="multilevel"/>
    <w:tmpl w:val="10EC7B92"/>
    <w:lvl w:ilvl="0">
      <w:start w:val="1"/>
      <w:numFmt w:val="upperLetter"/>
      <w:pStyle w:val="EPCMAppendixHeading"/>
      <w:suff w:val="nothing"/>
      <w:lvlText w:val="Appendix %1"/>
      <w:lvlJc w:val="left"/>
      <w:pPr>
        <w:ind w:left="0" w:firstLine="0"/>
      </w:pPr>
      <w:rPr>
        <w:specVanish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1CF7758F"/>
    <w:multiLevelType w:val="hybridMultilevel"/>
    <w:tmpl w:val="8272AF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204A7FF9"/>
    <w:multiLevelType w:val="hybridMultilevel"/>
    <w:tmpl w:val="7B1A1A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12E23AE"/>
    <w:multiLevelType w:val="hybridMultilevel"/>
    <w:tmpl w:val="17546E1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2" w15:restartNumberingAfterBreak="0">
    <w:nsid w:val="24574C35"/>
    <w:multiLevelType w:val="hybridMultilevel"/>
    <w:tmpl w:val="A48617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26856DC4"/>
    <w:multiLevelType w:val="hybridMultilevel"/>
    <w:tmpl w:val="B242FC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2A2F1832"/>
    <w:multiLevelType w:val="hybridMultilevel"/>
    <w:tmpl w:val="B1B60F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2BAE7CB1"/>
    <w:multiLevelType w:val="hybridMultilevel"/>
    <w:tmpl w:val="BC6894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2C706EFD"/>
    <w:multiLevelType w:val="multilevel"/>
    <w:tmpl w:val="76CAAE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Restart w:val="2"/>
      <w:pStyle w:val="EPCMHeading2para"/>
      <w:lvlText w:val="%1.%5"/>
      <w:lvlJc w:val="left"/>
      <w:rPr>
        <w:rFonts w:hint="default"/>
        <w:b w:val="0"/>
        <w:bCs w:val="0"/>
        <w:i w:val="0"/>
        <w:iCs w:val="0"/>
        <w:caps w:val="0"/>
        <w:smallCaps w:val="0"/>
        <w:strike w:val="0"/>
        <w:dstrike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3"/>
      <w:pStyle w:val="Heading3para"/>
      <w:lvlText w:val="%1.%2.%6"/>
      <w:lvlJc w:val="left"/>
      <w:pPr>
        <w:ind w:left="1152" w:hanging="1152"/>
      </w:pPr>
      <w:rPr>
        <w:rFonts w:hint="default"/>
      </w:rPr>
    </w:lvl>
    <w:lvl w:ilvl="6">
      <w:start w:val="1"/>
      <w:numFmt w:val="decimal"/>
      <w:lvlRestart w:val="4"/>
      <w:pStyle w:val="Heading4para"/>
      <w:lvlText w:val="%1.%2.%3.%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2E040A87"/>
    <w:multiLevelType w:val="hybridMultilevel"/>
    <w:tmpl w:val="25B29C9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15:restartNumberingAfterBreak="0">
    <w:nsid w:val="321335D5"/>
    <w:multiLevelType w:val="multilevel"/>
    <w:tmpl w:val="F50C66E8"/>
    <w:lvl w:ilvl="0">
      <w:start w:val="1"/>
      <w:numFmt w:val="decimal"/>
      <w:lvlText w:val="%1."/>
      <w:lvlJc w:val="left"/>
      <w:pPr>
        <w:ind w:left="720" w:hanging="720"/>
      </w:pPr>
      <w:rPr>
        <w:rFonts w:ascii="Verdana" w:hAnsi="Verdana" w:hint="default"/>
        <w:b/>
        <w:i w:val="0"/>
        <w:caps w:val="0"/>
        <w:sz w:val="28"/>
      </w:rPr>
    </w:lvl>
    <w:lvl w:ilvl="1">
      <w:start w:val="1"/>
      <w:numFmt w:val="decimal"/>
      <w:lvlText w:val="%1.%2."/>
      <w:lvlJc w:val="left"/>
      <w:pPr>
        <w:ind w:left="576" w:hanging="576"/>
      </w:pPr>
      <w:rPr>
        <w:rFonts w:ascii="Verdana" w:hAnsi="Verdana" w:hint="default"/>
        <w:b/>
        <w:i w:val="0"/>
        <w:caps w:val="0"/>
        <w:sz w:val="24"/>
      </w:rPr>
    </w:lvl>
    <w:lvl w:ilvl="2">
      <w:start w:val="1"/>
      <w:numFmt w:val="decimal"/>
      <w:lvlText w:val="%1.%2.%3."/>
      <w:lvlJc w:val="left"/>
      <w:pPr>
        <w:ind w:left="720" w:hanging="720"/>
      </w:pPr>
      <w:rPr>
        <w:rFonts w:ascii="Verdana" w:hAnsi="Verdana" w:hint="default"/>
        <w:b/>
        <w:i/>
        <w:caps w:val="0"/>
        <w:sz w:val="22"/>
      </w:rPr>
    </w:lvl>
    <w:lvl w:ilvl="3">
      <w:start w:val="1"/>
      <w:numFmt w:val="decimal"/>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357C21D7"/>
    <w:multiLevelType w:val="hybridMultilevel"/>
    <w:tmpl w:val="742AF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66923BB"/>
    <w:multiLevelType w:val="hybridMultilevel"/>
    <w:tmpl w:val="C75A6B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366E5350"/>
    <w:multiLevelType w:val="hybridMultilevel"/>
    <w:tmpl w:val="0A8866D0"/>
    <w:lvl w:ilvl="0" w:tplc="08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39D550AB"/>
    <w:multiLevelType w:val="hybridMultilevel"/>
    <w:tmpl w:val="ECA05A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3B526D47"/>
    <w:multiLevelType w:val="hybridMultilevel"/>
    <w:tmpl w:val="16342E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3C6A7AFC"/>
    <w:multiLevelType w:val="hybridMultilevel"/>
    <w:tmpl w:val="CDC6D0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3ECF4A4A"/>
    <w:multiLevelType w:val="hybridMultilevel"/>
    <w:tmpl w:val="9788E1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42FF644F"/>
    <w:multiLevelType w:val="hybridMultilevel"/>
    <w:tmpl w:val="ACF4AD80"/>
    <w:lvl w:ilvl="0" w:tplc="08090001">
      <w:start w:val="1"/>
      <w:numFmt w:val="bullet"/>
      <w:lvlText w:val=""/>
      <w:lvlJc w:val="left"/>
      <w:pPr>
        <w:ind w:left="1440" w:hanging="360"/>
      </w:pPr>
      <w:rPr>
        <w:rFonts w:ascii="Symbol" w:hAnsi="Symbol" w:hint="default"/>
      </w:rPr>
    </w:lvl>
    <w:lvl w:ilvl="1" w:tplc="B704A332">
      <w:numFmt w:val="bullet"/>
      <w:lvlText w:val="•"/>
      <w:lvlJc w:val="left"/>
      <w:pPr>
        <w:ind w:left="2520" w:hanging="720"/>
      </w:pPr>
      <w:rPr>
        <w:rFonts w:ascii="Verdana" w:eastAsiaTheme="minorEastAsia" w:hAnsi="Verdana" w:cstheme="minorBidi"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437B0D8D"/>
    <w:multiLevelType w:val="hybridMultilevel"/>
    <w:tmpl w:val="1A4C34C0"/>
    <w:lvl w:ilvl="0" w:tplc="355EDED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45045FE0"/>
    <w:multiLevelType w:val="hybridMultilevel"/>
    <w:tmpl w:val="9EC689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45755220"/>
    <w:multiLevelType w:val="hybridMultilevel"/>
    <w:tmpl w:val="6AE40906"/>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633" w:hanging="360"/>
      </w:pPr>
      <w:rPr>
        <w:rFonts w:ascii="Courier New" w:hAnsi="Courier New" w:cs="Courier New" w:hint="default"/>
      </w:rPr>
    </w:lvl>
    <w:lvl w:ilvl="2" w:tplc="08090005" w:tentative="1">
      <w:start w:val="1"/>
      <w:numFmt w:val="bullet"/>
      <w:lvlText w:val=""/>
      <w:lvlJc w:val="left"/>
      <w:pPr>
        <w:ind w:left="1353" w:hanging="360"/>
      </w:pPr>
      <w:rPr>
        <w:rFonts w:ascii="Wingdings" w:hAnsi="Wingdings" w:hint="default"/>
      </w:rPr>
    </w:lvl>
    <w:lvl w:ilvl="3" w:tplc="08090001" w:tentative="1">
      <w:start w:val="1"/>
      <w:numFmt w:val="bullet"/>
      <w:lvlText w:val=""/>
      <w:lvlJc w:val="left"/>
      <w:pPr>
        <w:ind w:left="2073" w:hanging="360"/>
      </w:pPr>
      <w:rPr>
        <w:rFonts w:ascii="Symbol" w:hAnsi="Symbol" w:hint="default"/>
      </w:rPr>
    </w:lvl>
    <w:lvl w:ilvl="4" w:tplc="08090003" w:tentative="1">
      <w:start w:val="1"/>
      <w:numFmt w:val="bullet"/>
      <w:lvlText w:val="o"/>
      <w:lvlJc w:val="left"/>
      <w:pPr>
        <w:ind w:left="2793" w:hanging="360"/>
      </w:pPr>
      <w:rPr>
        <w:rFonts w:ascii="Courier New" w:hAnsi="Courier New" w:cs="Courier New" w:hint="default"/>
      </w:rPr>
    </w:lvl>
    <w:lvl w:ilvl="5" w:tplc="08090005" w:tentative="1">
      <w:start w:val="1"/>
      <w:numFmt w:val="bullet"/>
      <w:lvlText w:val=""/>
      <w:lvlJc w:val="left"/>
      <w:pPr>
        <w:ind w:left="3513" w:hanging="360"/>
      </w:pPr>
      <w:rPr>
        <w:rFonts w:ascii="Wingdings" w:hAnsi="Wingdings" w:hint="default"/>
      </w:rPr>
    </w:lvl>
    <w:lvl w:ilvl="6" w:tplc="08090001" w:tentative="1">
      <w:start w:val="1"/>
      <w:numFmt w:val="bullet"/>
      <w:lvlText w:val=""/>
      <w:lvlJc w:val="left"/>
      <w:pPr>
        <w:ind w:left="4233" w:hanging="360"/>
      </w:pPr>
      <w:rPr>
        <w:rFonts w:ascii="Symbol" w:hAnsi="Symbol" w:hint="default"/>
      </w:rPr>
    </w:lvl>
    <w:lvl w:ilvl="7" w:tplc="08090003" w:tentative="1">
      <w:start w:val="1"/>
      <w:numFmt w:val="bullet"/>
      <w:lvlText w:val="o"/>
      <w:lvlJc w:val="left"/>
      <w:pPr>
        <w:ind w:left="4953" w:hanging="360"/>
      </w:pPr>
      <w:rPr>
        <w:rFonts w:ascii="Courier New" w:hAnsi="Courier New" w:cs="Courier New" w:hint="default"/>
      </w:rPr>
    </w:lvl>
    <w:lvl w:ilvl="8" w:tplc="08090005" w:tentative="1">
      <w:start w:val="1"/>
      <w:numFmt w:val="bullet"/>
      <w:lvlText w:val=""/>
      <w:lvlJc w:val="left"/>
      <w:pPr>
        <w:ind w:left="5673" w:hanging="360"/>
      </w:pPr>
      <w:rPr>
        <w:rFonts w:ascii="Wingdings" w:hAnsi="Wingdings" w:hint="default"/>
      </w:rPr>
    </w:lvl>
  </w:abstractNum>
  <w:abstractNum w:abstractNumId="40" w15:restartNumberingAfterBreak="0">
    <w:nsid w:val="46212614"/>
    <w:multiLevelType w:val="hybridMultilevel"/>
    <w:tmpl w:val="0FFA70AA"/>
    <w:lvl w:ilvl="0" w:tplc="B4F2576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49F5700C"/>
    <w:multiLevelType w:val="hybridMultilevel"/>
    <w:tmpl w:val="A970DB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4B496CA2"/>
    <w:multiLevelType w:val="hybridMultilevel"/>
    <w:tmpl w:val="C3CA95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57A0662D"/>
    <w:multiLevelType w:val="hybridMultilevel"/>
    <w:tmpl w:val="0D5E38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59D34BDE"/>
    <w:multiLevelType w:val="hybridMultilevel"/>
    <w:tmpl w:val="7ED2A4D4"/>
    <w:lvl w:ilvl="0" w:tplc="B302D2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A292437"/>
    <w:multiLevelType w:val="hybridMultilevel"/>
    <w:tmpl w:val="03F63AB4"/>
    <w:lvl w:ilvl="0" w:tplc="E3F024F2">
      <w:start w:val="1"/>
      <w:numFmt w:val="lowerLetter"/>
      <w:pStyle w:val="ListNumber21"/>
      <w:lvlText w:val="%1."/>
      <w:lvlJc w:val="left"/>
      <w:pPr>
        <w:ind w:left="1480" w:hanging="360"/>
      </w:pPr>
    </w:lvl>
    <w:lvl w:ilvl="1" w:tplc="1C090019" w:tentative="1">
      <w:start w:val="1"/>
      <w:numFmt w:val="lowerLetter"/>
      <w:lvlText w:val="%2."/>
      <w:lvlJc w:val="left"/>
      <w:pPr>
        <w:ind w:left="2200" w:hanging="360"/>
      </w:pPr>
    </w:lvl>
    <w:lvl w:ilvl="2" w:tplc="1C09001B" w:tentative="1">
      <w:start w:val="1"/>
      <w:numFmt w:val="lowerRoman"/>
      <w:lvlText w:val="%3."/>
      <w:lvlJc w:val="right"/>
      <w:pPr>
        <w:ind w:left="2920" w:hanging="180"/>
      </w:pPr>
    </w:lvl>
    <w:lvl w:ilvl="3" w:tplc="1C09000F" w:tentative="1">
      <w:start w:val="1"/>
      <w:numFmt w:val="decimal"/>
      <w:lvlText w:val="%4."/>
      <w:lvlJc w:val="left"/>
      <w:pPr>
        <w:ind w:left="3640" w:hanging="360"/>
      </w:pPr>
    </w:lvl>
    <w:lvl w:ilvl="4" w:tplc="1C090019" w:tentative="1">
      <w:start w:val="1"/>
      <w:numFmt w:val="lowerLetter"/>
      <w:lvlText w:val="%5."/>
      <w:lvlJc w:val="left"/>
      <w:pPr>
        <w:ind w:left="4360" w:hanging="360"/>
      </w:pPr>
    </w:lvl>
    <w:lvl w:ilvl="5" w:tplc="1C09001B" w:tentative="1">
      <w:start w:val="1"/>
      <w:numFmt w:val="lowerRoman"/>
      <w:lvlText w:val="%6."/>
      <w:lvlJc w:val="right"/>
      <w:pPr>
        <w:ind w:left="5080" w:hanging="180"/>
      </w:pPr>
    </w:lvl>
    <w:lvl w:ilvl="6" w:tplc="1C09000F" w:tentative="1">
      <w:start w:val="1"/>
      <w:numFmt w:val="decimal"/>
      <w:lvlText w:val="%7."/>
      <w:lvlJc w:val="left"/>
      <w:pPr>
        <w:ind w:left="5800" w:hanging="360"/>
      </w:pPr>
    </w:lvl>
    <w:lvl w:ilvl="7" w:tplc="1C090019" w:tentative="1">
      <w:start w:val="1"/>
      <w:numFmt w:val="lowerLetter"/>
      <w:lvlText w:val="%8."/>
      <w:lvlJc w:val="left"/>
      <w:pPr>
        <w:ind w:left="6520" w:hanging="360"/>
      </w:pPr>
    </w:lvl>
    <w:lvl w:ilvl="8" w:tplc="1C09001B" w:tentative="1">
      <w:start w:val="1"/>
      <w:numFmt w:val="lowerRoman"/>
      <w:lvlText w:val="%9."/>
      <w:lvlJc w:val="right"/>
      <w:pPr>
        <w:ind w:left="7240" w:hanging="180"/>
      </w:pPr>
    </w:lvl>
  </w:abstractNum>
  <w:abstractNum w:abstractNumId="46" w15:restartNumberingAfterBreak="0">
    <w:nsid w:val="5B005400"/>
    <w:multiLevelType w:val="hybridMultilevel"/>
    <w:tmpl w:val="EB6045B8"/>
    <w:lvl w:ilvl="0" w:tplc="36D03ABA">
      <w:start w:val="1"/>
      <w:numFmt w:val="bullet"/>
      <w:pStyle w:val="Item1"/>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26C1617"/>
    <w:multiLevelType w:val="hybridMultilevel"/>
    <w:tmpl w:val="259C51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62772DE3"/>
    <w:multiLevelType w:val="hybridMultilevel"/>
    <w:tmpl w:val="37984B08"/>
    <w:lvl w:ilvl="0" w:tplc="0C0A0005">
      <w:start w:val="1"/>
      <w:numFmt w:val="bullet"/>
      <w:lvlText w:val=""/>
      <w:lvlJc w:val="left"/>
      <w:pPr>
        <w:ind w:left="720" w:hanging="360"/>
      </w:pPr>
      <w:rPr>
        <w:rFonts w:ascii="Wingdings" w:hAnsi="Wingdings" w:hint="default"/>
      </w:rPr>
    </w:lvl>
    <w:lvl w:ilvl="1" w:tplc="0C0A0003" w:tentative="1">
      <w:start w:val="1"/>
      <w:numFmt w:val="bullet"/>
      <w:pStyle w:val="CR-2"/>
      <w:lvlText w:val="o"/>
      <w:lvlJc w:val="left"/>
      <w:pPr>
        <w:ind w:left="1440" w:hanging="360"/>
      </w:pPr>
      <w:rPr>
        <w:rFonts w:ascii="Courier New" w:hAnsi="Courier New" w:cs="Helvetica"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Helvetica"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Helvetica"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8A370A0"/>
    <w:multiLevelType w:val="hybridMultilevel"/>
    <w:tmpl w:val="FF481D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68FB3EFD"/>
    <w:multiLevelType w:val="hybridMultilevel"/>
    <w:tmpl w:val="81A402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69FD5738"/>
    <w:multiLevelType w:val="hybridMultilevel"/>
    <w:tmpl w:val="A01AA0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2" w15:restartNumberingAfterBreak="0">
    <w:nsid w:val="6F0D1A8C"/>
    <w:multiLevelType w:val="hybridMultilevel"/>
    <w:tmpl w:val="6BB214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3" w15:restartNumberingAfterBreak="0">
    <w:nsid w:val="703166C3"/>
    <w:multiLevelType w:val="hybridMultilevel"/>
    <w:tmpl w:val="360A8EF2"/>
    <w:lvl w:ilvl="0" w:tplc="16AC0CD4">
      <w:start w:val="1"/>
      <w:numFmt w:val="bullet"/>
      <w:pStyle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11921AE"/>
    <w:multiLevelType w:val="hybridMultilevel"/>
    <w:tmpl w:val="AABED4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5" w15:restartNumberingAfterBreak="0">
    <w:nsid w:val="717F695F"/>
    <w:multiLevelType w:val="hybridMultilevel"/>
    <w:tmpl w:val="3A1EDE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15:restartNumberingAfterBreak="0">
    <w:nsid w:val="71A05AF5"/>
    <w:multiLevelType w:val="hybridMultilevel"/>
    <w:tmpl w:val="049E6B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5514DD"/>
    <w:multiLevelType w:val="hybridMultilevel"/>
    <w:tmpl w:val="4ABC9A0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8" w15:restartNumberingAfterBreak="0">
    <w:nsid w:val="75FF0E17"/>
    <w:multiLevelType w:val="hybridMultilevel"/>
    <w:tmpl w:val="7EBA29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15:restartNumberingAfterBreak="0">
    <w:nsid w:val="76323F86"/>
    <w:multiLevelType w:val="hybridMultilevel"/>
    <w:tmpl w:val="26E227EE"/>
    <w:lvl w:ilvl="0" w:tplc="CF349E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0" w15:restartNumberingAfterBreak="0">
    <w:nsid w:val="798F30D8"/>
    <w:multiLevelType w:val="multilevel"/>
    <w:tmpl w:val="812CFC42"/>
    <w:styleLink w:val="ParaNumbering2"/>
    <w:lvl w:ilvl="0">
      <w:start w:val="1"/>
      <w:numFmt w:val="decimal"/>
      <w:lvlRestart w:val="0"/>
      <w:lvlText w:val=""/>
      <w:lvlJc w:val="left"/>
      <w:pPr>
        <w:tabs>
          <w:tab w:val="num" w:pos="0"/>
        </w:tabs>
        <w:ind w:left="0" w:firstLine="0"/>
      </w:pPr>
      <w:rPr>
        <w:b/>
        <w:color w:val="7F7E82"/>
        <w:sz w:val="40"/>
      </w:rPr>
    </w:lvl>
    <w:lvl w:ilvl="1">
      <w:start w:val="1"/>
      <w:numFmt w:val="decimal"/>
      <w:pStyle w:val="EYHeading2"/>
      <w:lvlText w:val=""/>
      <w:lvlJc w:val="left"/>
      <w:pPr>
        <w:tabs>
          <w:tab w:val="num" w:pos="0"/>
        </w:tabs>
        <w:ind w:left="0" w:firstLine="0"/>
      </w:pPr>
      <w:rPr>
        <w:rFonts w:hint="default"/>
        <w:b/>
        <w:color w:val="000000"/>
        <w:sz w:val="28"/>
      </w:rPr>
    </w:lvl>
    <w:lvl w:ilvl="2">
      <w:start w:val="1"/>
      <w:numFmt w:val="decimal"/>
      <w:lvlRestart w:val="1"/>
      <w:pStyle w:val="EYHeading3"/>
      <w:lvlText w:val=""/>
      <w:lvlJc w:val="left"/>
      <w:pPr>
        <w:tabs>
          <w:tab w:val="num" w:pos="0"/>
        </w:tabs>
        <w:ind w:left="0" w:firstLine="0"/>
      </w:pPr>
      <w:rPr>
        <w:rFonts w:hint="default"/>
        <w:b/>
        <w:color w:val="000000"/>
        <w:sz w:val="24"/>
      </w:rPr>
    </w:lvl>
    <w:lvl w:ilvl="3">
      <w:start w:val="1"/>
      <w:numFmt w:val="decimal"/>
      <w:lvlRestart w:val="1"/>
      <w:pStyle w:val="EYHeading4"/>
      <w:lvlText w:val=""/>
      <w:lvlJc w:val="left"/>
      <w:pPr>
        <w:tabs>
          <w:tab w:val="num" w:pos="0"/>
        </w:tabs>
        <w:ind w:left="0" w:firstLine="0"/>
      </w:pPr>
      <w:rPr>
        <w:rFonts w:hint="default"/>
        <w:b/>
        <w:color w:val="000000"/>
        <w:sz w:val="20"/>
      </w:rPr>
    </w:lvl>
    <w:lvl w:ilvl="4">
      <w:start w:val="1"/>
      <w:numFmt w:val="decimal"/>
      <w:lvlRestart w:val="1"/>
      <w:pStyle w:val="EYBodytextwithparaspace"/>
      <w:lvlText w:val=""/>
      <w:lvlJc w:val="left"/>
      <w:pPr>
        <w:tabs>
          <w:tab w:val="num" w:pos="0"/>
        </w:tabs>
        <w:ind w:left="0" w:firstLine="0"/>
      </w:pPr>
      <w:rPr>
        <w:rFonts w:hint="default"/>
        <w:b w:val="0"/>
        <w:color w:val="000000"/>
        <w:sz w:val="20"/>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61" w15:restartNumberingAfterBreak="0">
    <w:nsid w:val="7A7360D2"/>
    <w:multiLevelType w:val="hybridMultilevel"/>
    <w:tmpl w:val="4A46F208"/>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62" w15:restartNumberingAfterBreak="0">
    <w:nsid w:val="7B764094"/>
    <w:multiLevelType w:val="hybridMultilevel"/>
    <w:tmpl w:val="4BFA28A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3" w15:restartNumberingAfterBreak="0">
    <w:nsid w:val="7D1A2455"/>
    <w:multiLevelType w:val="hybridMultilevel"/>
    <w:tmpl w:val="0D2005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7F9D7831"/>
    <w:multiLevelType w:val="hybridMultilevel"/>
    <w:tmpl w:val="721C016C"/>
    <w:name w:val="ParaNumbering"/>
    <w:lvl w:ilvl="0" w:tplc="A8542F06">
      <w:start w:val="1"/>
      <w:numFmt w:val="decimal"/>
      <w:lvlRestart w:val="0"/>
      <w:lvlText w:val=""/>
      <w:lvlJc w:val="left"/>
      <w:pPr>
        <w:tabs>
          <w:tab w:val="num" w:pos="0"/>
        </w:tabs>
        <w:ind w:left="0" w:firstLine="0"/>
      </w:pPr>
      <w:rPr>
        <w:rFonts w:ascii="EYInterstate" w:hAnsi="EYInterstate" w:hint="default"/>
        <w:b/>
        <w:color w:val="7F7E82"/>
        <w:sz w:val="32"/>
      </w:rPr>
    </w:lvl>
    <w:lvl w:ilvl="1" w:tplc="46A47144">
      <w:start w:val="1"/>
      <w:numFmt w:val="decimal"/>
      <w:lvlText w:val=""/>
      <w:lvlJc w:val="left"/>
      <w:pPr>
        <w:tabs>
          <w:tab w:val="num" w:pos="0"/>
        </w:tabs>
        <w:ind w:left="0" w:firstLine="0"/>
      </w:pPr>
      <w:rPr>
        <w:rFonts w:ascii="Courier New" w:hAnsi="Courier New" w:cs="Courier New" w:hint="default"/>
        <w:b/>
        <w:color w:val="000000"/>
        <w:sz w:val="28"/>
      </w:rPr>
    </w:lvl>
    <w:lvl w:ilvl="2" w:tplc="D2324AEE">
      <w:start w:val="1"/>
      <w:numFmt w:val="decimal"/>
      <w:lvlRestart w:val="1"/>
      <w:lvlText w:val=""/>
      <w:lvlJc w:val="left"/>
      <w:pPr>
        <w:tabs>
          <w:tab w:val="num" w:pos="0"/>
        </w:tabs>
        <w:ind w:left="0" w:firstLine="0"/>
      </w:pPr>
      <w:rPr>
        <w:rFonts w:ascii="Wingdings" w:hAnsi="Wingdings" w:hint="default"/>
        <w:b/>
        <w:color w:val="000000"/>
        <w:sz w:val="24"/>
      </w:rPr>
    </w:lvl>
    <w:lvl w:ilvl="3" w:tplc="0DCA7DD0">
      <w:start w:val="1"/>
      <w:numFmt w:val="bullet"/>
      <w:lvlText w:val="►"/>
      <w:lvlJc w:val="left"/>
      <w:pPr>
        <w:tabs>
          <w:tab w:val="num" w:pos="0"/>
        </w:tabs>
        <w:ind w:left="0" w:firstLine="0"/>
      </w:pPr>
      <w:rPr>
        <w:rFonts w:ascii="Arial" w:hAnsi="Arial" w:hint="default"/>
        <w:b/>
        <w:color w:val="000000"/>
        <w:sz w:val="20"/>
      </w:rPr>
    </w:lvl>
    <w:lvl w:ilvl="4" w:tplc="2BC8EFBA">
      <w:start w:val="1"/>
      <w:numFmt w:val="decimal"/>
      <w:lvlRestart w:val="1"/>
      <w:lvlText w:val=""/>
      <w:lvlJc w:val="left"/>
      <w:pPr>
        <w:tabs>
          <w:tab w:val="num" w:pos="0"/>
        </w:tabs>
        <w:ind w:left="0" w:firstLine="0"/>
      </w:pPr>
      <w:rPr>
        <w:rFonts w:ascii="Courier New" w:hAnsi="Courier New" w:cs="Courier New" w:hint="default"/>
        <w:b w:val="0"/>
        <w:color w:val="000000"/>
        <w:sz w:val="20"/>
      </w:rPr>
    </w:lvl>
    <w:lvl w:ilvl="5" w:tplc="FFFFFFFF">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639455211">
    <w:abstractNumId w:val="28"/>
  </w:num>
  <w:num w:numId="2" w16cid:durableId="479345735">
    <w:abstractNumId w:val="2"/>
  </w:num>
  <w:num w:numId="3" w16cid:durableId="1741323067">
    <w:abstractNumId w:val="1"/>
  </w:num>
  <w:num w:numId="4" w16cid:durableId="1856118401">
    <w:abstractNumId w:val="0"/>
  </w:num>
  <w:num w:numId="5" w16cid:durableId="117187780">
    <w:abstractNumId w:val="6"/>
  </w:num>
  <w:num w:numId="6" w16cid:durableId="319508617">
    <w:abstractNumId w:val="10"/>
  </w:num>
  <w:num w:numId="7" w16cid:durableId="947007591">
    <w:abstractNumId w:val="18"/>
  </w:num>
  <w:num w:numId="8" w16cid:durableId="1503006892">
    <w:abstractNumId w:val="26"/>
  </w:num>
  <w:num w:numId="9" w16cid:durableId="1783911468">
    <w:abstractNumId w:val="45"/>
  </w:num>
  <w:num w:numId="10" w16cid:durableId="272712875">
    <w:abstractNumId w:val="5"/>
  </w:num>
  <w:num w:numId="11" w16cid:durableId="1573158443">
    <w:abstractNumId w:val="60"/>
    <w:lvlOverride w:ilvl="0">
      <w:lvl w:ilvl="0">
        <w:numFmt w:val="decimal"/>
        <w:lvlText w:val=""/>
        <w:lvlJc w:val="left"/>
      </w:lvl>
    </w:lvlOverride>
    <w:lvlOverride w:ilvl="1">
      <w:lvl w:ilvl="1">
        <w:start w:val="1"/>
        <w:numFmt w:val="decimal"/>
        <w:pStyle w:val="EYHeading2"/>
        <w:lvlText w:val=""/>
        <w:lvlJc w:val="left"/>
        <w:pPr>
          <w:tabs>
            <w:tab w:val="num" w:pos="0"/>
          </w:tabs>
          <w:ind w:left="0" w:firstLine="0"/>
        </w:pPr>
        <w:rPr>
          <w:rFonts w:hint="default"/>
          <w:b/>
          <w:color w:val="000000"/>
          <w:sz w:val="28"/>
        </w:rPr>
      </w:lvl>
    </w:lvlOverride>
    <w:lvlOverride w:ilvl="2">
      <w:lvl w:ilvl="2">
        <w:numFmt w:val="decimal"/>
        <w:pStyle w:val="EYHeading3"/>
        <w:lvlText w:val=""/>
        <w:lvlJc w:val="left"/>
      </w:lvl>
    </w:lvlOverride>
    <w:lvlOverride w:ilvl="3">
      <w:lvl w:ilvl="3">
        <w:numFmt w:val="decimal"/>
        <w:pStyle w:val="EYHeading4"/>
        <w:lvlText w:val=""/>
        <w:lvlJc w:val="left"/>
      </w:lvl>
    </w:lvlOverride>
    <w:lvlOverride w:ilvl="4">
      <w:lvl w:ilvl="4">
        <w:start w:val="1"/>
        <w:numFmt w:val="decimal"/>
        <w:lvlRestart w:val="1"/>
        <w:pStyle w:val="EYBodytextwithparaspace"/>
        <w:lvlText w:val=""/>
        <w:lvlJc w:val="left"/>
        <w:pPr>
          <w:tabs>
            <w:tab w:val="num" w:pos="0"/>
          </w:tabs>
          <w:ind w:left="0" w:firstLine="0"/>
        </w:pPr>
        <w:rPr>
          <w:rFonts w:hint="default"/>
          <w:b w:val="0"/>
          <w:color w:val="000000"/>
          <w:sz w:val="20"/>
          <w:lang w:val="en-GB"/>
        </w:rPr>
      </w:lvl>
    </w:lvlOverride>
  </w:num>
  <w:num w:numId="12" w16cid:durableId="650601276">
    <w:abstractNumId w:val="53"/>
  </w:num>
  <w:num w:numId="13" w16cid:durableId="55201828">
    <w:abstractNumId w:val="48"/>
  </w:num>
  <w:num w:numId="14" w16cid:durableId="1238397747">
    <w:abstractNumId w:val="46"/>
  </w:num>
  <w:num w:numId="15" w16cid:durableId="823207522">
    <w:abstractNumId w:val="23"/>
  </w:num>
  <w:num w:numId="16" w16cid:durableId="925310982">
    <w:abstractNumId w:val="38"/>
  </w:num>
  <w:num w:numId="17" w16cid:durableId="1181820339">
    <w:abstractNumId w:val="55"/>
  </w:num>
  <w:num w:numId="18" w16cid:durableId="2031641312">
    <w:abstractNumId w:val="8"/>
  </w:num>
  <w:num w:numId="19" w16cid:durableId="55902515">
    <w:abstractNumId w:val="19"/>
  </w:num>
  <w:num w:numId="20" w16cid:durableId="1830099450">
    <w:abstractNumId w:val="41"/>
  </w:num>
  <w:num w:numId="21" w16cid:durableId="1027828111">
    <w:abstractNumId w:val="60"/>
  </w:num>
  <w:num w:numId="22" w16cid:durableId="1071150415">
    <w:abstractNumId w:val="27"/>
  </w:num>
  <w:num w:numId="23" w16cid:durableId="298650825">
    <w:abstractNumId w:val="17"/>
  </w:num>
  <w:num w:numId="24" w16cid:durableId="2144107989">
    <w:abstractNumId w:val="32"/>
  </w:num>
  <w:num w:numId="25" w16cid:durableId="1589265137">
    <w:abstractNumId w:val="31"/>
  </w:num>
  <w:num w:numId="26" w16cid:durableId="297035821">
    <w:abstractNumId w:val="39"/>
  </w:num>
  <w:num w:numId="27" w16cid:durableId="718625816">
    <w:abstractNumId w:val="34"/>
  </w:num>
  <w:num w:numId="28" w16cid:durableId="48459787">
    <w:abstractNumId w:val="11"/>
  </w:num>
  <w:num w:numId="29" w16cid:durableId="1672563226">
    <w:abstractNumId w:val="9"/>
  </w:num>
  <w:num w:numId="30" w16cid:durableId="1229339909">
    <w:abstractNumId w:val="14"/>
  </w:num>
  <w:num w:numId="31" w16cid:durableId="421805280">
    <w:abstractNumId w:val="22"/>
  </w:num>
  <w:num w:numId="32" w16cid:durableId="710108980">
    <w:abstractNumId w:val="4"/>
  </w:num>
  <w:num w:numId="33" w16cid:durableId="268973064">
    <w:abstractNumId w:val="44"/>
  </w:num>
  <w:num w:numId="34" w16cid:durableId="214244159">
    <w:abstractNumId w:val="59"/>
  </w:num>
  <w:num w:numId="35" w16cid:durableId="89589557">
    <w:abstractNumId w:val="37"/>
  </w:num>
  <w:num w:numId="36" w16cid:durableId="686911148">
    <w:abstractNumId w:val="63"/>
  </w:num>
  <w:num w:numId="37" w16cid:durableId="224226732">
    <w:abstractNumId w:val="33"/>
  </w:num>
  <w:num w:numId="38" w16cid:durableId="1117986098">
    <w:abstractNumId w:val="35"/>
  </w:num>
  <w:num w:numId="39" w16cid:durableId="1281378127">
    <w:abstractNumId w:val="58"/>
  </w:num>
  <w:num w:numId="40" w16cid:durableId="1718116603">
    <w:abstractNumId w:val="29"/>
  </w:num>
  <w:num w:numId="41" w16cid:durableId="931352401">
    <w:abstractNumId w:val="25"/>
  </w:num>
  <w:num w:numId="42" w16cid:durableId="458108417">
    <w:abstractNumId w:val="20"/>
  </w:num>
  <w:num w:numId="43" w16cid:durableId="2035378075">
    <w:abstractNumId w:val="47"/>
  </w:num>
  <w:num w:numId="44" w16cid:durableId="356545695">
    <w:abstractNumId w:val="42"/>
  </w:num>
  <w:num w:numId="45" w16cid:durableId="1039479539">
    <w:abstractNumId w:val="43"/>
  </w:num>
  <w:num w:numId="46" w16cid:durableId="1029793488">
    <w:abstractNumId w:val="3"/>
  </w:num>
  <w:num w:numId="47" w16cid:durableId="143663895">
    <w:abstractNumId w:val="52"/>
  </w:num>
  <w:num w:numId="48" w16cid:durableId="781803933">
    <w:abstractNumId w:val="7"/>
  </w:num>
  <w:num w:numId="49" w16cid:durableId="497968521">
    <w:abstractNumId w:val="16"/>
  </w:num>
  <w:num w:numId="50" w16cid:durableId="600719238">
    <w:abstractNumId w:val="24"/>
  </w:num>
  <w:num w:numId="51" w16cid:durableId="1308783262">
    <w:abstractNumId w:val="61"/>
  </w:num>
  <w:num w:numId="52" w16cid:durableId="809174249">
    <w:abstractNumId w:val="21"/>
  </w:num>
  <w:num w:numId="53" w16cid:durableId="1374042937">
    <w:abstractNumId w:val="36"/>
  </w:num>
  <w:num w:numId="54" w16cid:durableId="1381248695">
    <w:abstractNumId w:val="51"/>
  </w:num>
  <w:num w:numId="55" w16cid:durableId="889413597">
    <w:abstractNumId w:val="57"/>
  </w:num>
  <w:num w:numId="56" w16cid:durableId="171574371">
    <w:abstractNumId w:val="50"/>
  </w:num>
  <w:num w:numId="57" w16cid:durableId="1468157785">
    <w:abstractNumId w:val="12"/>
  </w:num>
  <w:num w:numId="58" w16cid:durableId="1372219778">
    <w:abstractNumId w:val="49"/>
  </w:num>
  <w:num w:numId="59" w16cid:durableId="1986543924">
    <w:abstractNumId w:val="30"/>
  </w:num>
  <w:num w:numId="60" w16cid:durableId="12996259">
    <w:abstractNumId w:val="13"/>
  </w:num>
  <w:num w:numId="61" w16cid:durableId="1510867286">
    <w:abstractNumId w:val="54"/>
  </w:num>
  <w:num w:numId="62" w16cid:durableId="366414056">
    <w:abstractNumId w:val="15"/>
  </w:num>
  <w:num w:numId="63" w16cid:durableId="1889025855">
    <w:abstractNumId w:val="56"/>
  </w:num>
  <w:num w:numId="64" w16cid:durableId="848300051">
    <w:abstractNumId w:val="62"/>
  </w:num>
  <w:num w:numId="65" w16cid:durableId="606696080">
    <w:abstractNumId w:val="4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2tDQxNjOyMDc3NzFW0lEKTi0uzszPAymwqAUAJ89iQiwAAAA="/>
  </w:docVars>
  <w:rsids>
    <w:rsidRoot w:val="00F00072"/>
    <w:rsid w:val="00000A55"/>
    <w:rsid w:val="00001270"/>
    <w:rsid w:val="00002045"/>
    <w:rsid w:val="0000273E"/>
    <w:rsid w:val="00003757"/>
    <w:rsid w:val="000048FB"/>
    <w:rsid w:val="0000676E"/>
    <w:rsid w:val="000068CC"/>
    <w:rsid w:val="00006F93"/>
    <w:rsid w:val="00007C03"/>
    <w:rsid w:val="000107C7"/>
    <w:rsid w:val="00012A23"/>
    <w:rsid w:val="00015B2F"/>
    <w:rsid w:val="00015BCD"/>
    <w:rsid w:val="000175E2"/>
    <w:rsid w:val="000223E0"/>
    <w:rsid w:val="0002482E"/>
    <w:rsid w:val="000248E0"/>
    <w:rsid w:val="00025785"/>
    <w:rsid w:val="00026141"/>
    <w:rsid w:val="0002703D"/>
    <w:rsid w:val="00027532"/>
    <w:rsid w:val="00031074"/>
    <w:rsid w:val="000318D7"/>
    <w:rsid w:val="00031F5C"/>
    <w:rsid w:val="000322AD"/>
    <w:rsid w:val="0003401B"/>
    <w:rsid w:val="0003428A"/>
    <w:rsid w:val="000343EE"/>
    <w:rsid w:val="00035039"/>
    <w:rsid w:val="00035604"/>
    <w:rsid w:val="00035651"/>
    <w:rsid w:val="00035D88"/>
    <w:rsid w:val="00037EEF"/>
    <w:rsid w:val="00040DE5"/>
    <w:rsid w:val="000411D0"/>
    <w:rsid w:val="000414BF"/>
    <w:rsid w:val="00043EDF"/>
    <w:rsid w:val="00045798"/>
    <w:rsid w:val="00046265"/>
    <w:rsid w:val="00047A58"/>
    <w:rsid w:val="00050324"/>
    <w:rsid w:val="00050909"/>
    <w:rsid w:val="00050A23"/>
    <w:rsid w:val="00051781"/>
    <w:rsid w:val="00052121"/>
    <w:rsid w:val="00053E4C"/>
    <w:rsid w:val="00053EC0"/>
    <w:rsid w:val="00053ECE"/>
    <w:rsid w:val="00055773"/>
    <w:rsid w:val="000558A2"/>
    <w:rsid w:val="00055C24"/>
    <w:rsid w:val="00056CC0"/>
    <w:rsid w:val="00056D93"/>
    <w:rsid w:val="00057686"/>
    <w:rsid w:val="000578BB"/>
    <w:rsid w:val="00060CB9"/>
    <w:rsid w:val="00060CBB"/>
    <w:rsid w:val="0006107A"/>
    <w:rsid w:val="00062367"/>
    <w:rsid w:val="00062C66"/>
    <w:rsid w:val="0006403B"/>
    <w:rsid w:val="000652F7"/>
    <w:rsid w:val="00065B6F"/>
    <w:rsid w:val="0006619C"/>
    <w:rsid w:val="000665E4"/>
    <w:rsid w:val="000702F0"/>
    <w:rsid w:val="00072A7A"/>
    <w:rsid w:val="00072EC0"/>
    <w:rsid w:val="00073C2E"/>
    <w:rsid w:val="00074C53"/>
    <w:rsid w:val="000750E5"/>
    <w:rsid w:val="00075F0A"/>
    <w:rsid w:val="0007628C"/>
    <w:rsid w:val="00076684"/>
    <w:rsid w:val="00076E7F"/>
    <w:rsid w:val="00077267"/>
    <w:rsid w:val="00077B66"/>
    <w:rsid w:val="00081402"/>
    <w:rsid w:val="0008145B"/>
    <w:rsid w:val="00081467"/>
    <w:rsid w:val="00081605"/>
    <w:rsid w:val="000817A6"/>
    <w:rsid w:val="00082301"/>
    <w:rsid w:val="00082479"/>
    <w:rsid w:val="000826B4"/>
    <w:rsid w:val="00083843"/>
    <w:rsid w:val="00084A52"/>
    <w:rsid w:val="00084B49"/>
    <w:rsid w:val="000851E7"/>
    <w:rsid w:val="00085987"/>
    <w:rsid w:val="0008752E"/>
    <w:rsid w:val="000938D0"/>
    <w:rsid w:val="00094753"/>
    <w:rsid w:val="000953EE"/>
    <w:rsid w:val="00095EC5"/>
    <w:rsid w:val="00097054"/>
    <w:rsid w:val="000A0150"/>
    <w:rsid w:val="000A03D9"/>
    <w:rsid w:val="000A0B47"/>
    <w:rsid w:val="000A17A9"/>
    <w:rsid w:val="000A1A34"/>
    <w:rsid w:val="000A337C"/>
    <w:rsid w:val="000A38FD"/>
    <w:rsid w:val="000A46B3"/>
    <w:rsid w:val="000A52D0"/>
    <w:rsid w:val="000A7049"/>
    <w:rsid w:val="000A7631"/>
    <w:rsid w:val="000B1518"/>
    <w:rsid w:val="000B3043"/>
    <w:rsid w:val="000B41D5"/>
    <w:rsid w:val="000B468D"/>
    <w:rsid w:val="000C007C"/>
    <w:rsid w:val="000C0DAA"/>
    <w:rsid w:val="000C13EE"/>
    <w:rsid w:val="000C1E6E"/>
    <w:rsid w:val="000C286A"/>
    <w:rsid w:val="000C36C1"/>
    <w:rsid w:val="000C463C"/>
    <w:rsid w:val="000C49A4"/>
    <w:rsid w:val="000C5D64"/>
    <w:rsid w:val="000C72D0"/>
    <w:rsid w:val="000C798F"/>
    <w:rsid w:val="000C7D64"/>
    <w:rsid w:val="000D0845"/>
    <w:rsid w:val="000D19DB"/>
    <w:rsid w:val="000D2F7E"/>
    <w:rsid w:val="000D474F"/>
    <w:rsid w:val="000D502B"/>
    <w:rsid w:val="000D5312"/>
    <w:rsid w:val="000D5B7F"/>
    <w:rsid w:val="000D5ECE"/>
    <w:rsid w:val="000D6A6A"/>
    <w:rsid w:val="000E0B2C"/>
    <w:rsid w:val="000E12EA"/>
    <w:rsid w:val="000E17AB"/>
    <w:rsid w:val="000E2A72"/>
    <w:rsid w:val="000E3CFB"/>
    <w:rsid w:val="000E3E3F"/>
    <w:rsid w:val="000E55EF"/>
    <w:rsid w:val="000E5A7F"/>
    <w:rsid w:val="000E63C9"/>
    <w:rsid w:val="000E6633"/>
    <w:rsid w:val="000E71EF"/>
    <w:rsid w:val="000F1797"/>
    <w:rsid w:val="000F2216"/>
    <w:rsid w:val="000F35E6"/>
    <w:rsid w:val="000F387B"/>
    <w:rsid w:val="000F3AEA"/>
    <w:rsid w:val="000F413B"/>
    <w:rsid w:val="000F4599"/>
    <w:rsid w:val="000F4ED6"/>
    <w:rsid w:val="000F6084"/>
    <w:rsid w:val="000F72B8"/>
    <w:rsid w:val="00100A5D"/>
    <w:rsid w:val="001020B7"/>
    <w:rsid w:val="00102CF2"/>
    <w:rsid w:val="00103035"/>
    <w:rsid w:val="001035EE"/>
    <w:rsid w:val="001039FA"/>
    <w:rsid w:val="00111000"/>
    <w:rsid w:val="00111281"/>
    <w:rsid w:val="0011195A"/>
    <w:rsid w:val="0011470D"/>
    <w:rsid w:val="001147D0"/>
    <w:rsid w:val="00115019"/>
    <w:rsid w:val="00117413"/>
    <w:rsid w:val="0012058A"/>
    <w:rsid w:val="001215A2"/>
    <w:rsid w:val="001216E3"/>
    <w:rsid w:val="0012175E"/>
    <w:rsid w:val="0012176D"/>
    <w:rsid w:val="00124FCD"/>
    <w:rsid w:val="0012570C"/>
    <w:rsid w:val="00126167"/>
    <w:rsid w:val="001264CD"/>
    <w:rsid w:val="001269B4"/>
    <w:rsid w:val="001270C3"/>
    <w:rsid w:val="00127909"/>
    <w:rsid w:val="00127945"/>
    <w:rsid w:val="00130400"/>
    <w:rsid w:val="00130BC4"/>
    <w:rsid w:val="00130E9D"/>
    <w:rsid w:val="00130FD2"/>
    <w:rsid w:val="001314E7"/>
    <w:rsid w:val="00131A3F"/>
    <w:rsid w:val="001321F2"/>
    <w:rsid w:val="00132986"/>
    <w:rsid w:val="001335FF"/>
    <w:rsid w:val="00133D32"/>
    <w:rsid w:val="00135AB3"/>
    <w:rsid w:val="00136056"/>
    <w:rsid w:val="001379FE"/>
    <w:rsid w:val="001402B1"/>
    <w:rsid w:val="001411AE"/>
    <w:rsid w:val="001415B4"/>
    <w:rsid w:val="00143C49"/>
    <w:rsid w:val="00143DF9"/>
    <w:rsid w:val="00144D07"/>
    <w:rsid w:val="00146E6D"/>
    <w:rsid w:val="00150A6D"/>
    <w:rsid w:val="00151404"/>
    <w:rsid w:val="00152E75"/>
    <w:rsid w:val="001531B8"/>
    <w:rsid w:val="00155330"/>
    <w:rsid w:val="0015621D"/>
    <w:rsid w:val="0016223E"/>
    <w:rsid w:val="00164C7B"/>
    <w:rsid w:val="0016542F"/>
    <w:rsid w:val="00165D1E"/>
    <w:rsid w:val="001664C0"/>
    <w:rsid w:val="001671F4"/>
    <w:rsid w:val="001703C2"/>
    <w:rsid w:val="00171566"/>
    <w:rsid w:val="00173DB5"/>
    <w:rsid w:val="0017468C"/>
    <w:rsid w:val="00176206"/>
    <w:rsid w:val="001771FE"/>
    <w:rsid w:val="001772F0"/>
    <w:rsid w:val="00180950"/>
    <w:rsid w:val="00180EBB"/>
    <w:rsid w:val="0018107E"/>
    <w:rsid w:val="00181BE1"/>
    <w:rsid w:val="0018431C"/>
    <w:rsid w:val="00184E36"/>
    <w:rsid w:val="00185047"/>
    <w:rsid w:val="00185B35"/>
    <w:rsid w:val="00190362"/>
    <w:rsid w:val="00190628"/>
    <w:rsid w:val="00190A75"/>
    <w:rsid w:val="00190EB3"/>
    <w:rsid w:val="00190F75"/>
    <w:rsid w:val="0019125B"/>
    <w:rsid w:val="0019170B"/>
    <w:rsid w:val="00191867"/>
    <w:rsid w:val="00191AF3"/>
    <w:rsid w:val="001920B7"/>
    <w:rsid w:val="00192E2C"/>
    <w:rsid w:val="00193B4E"/>
    <w:rsid w:val="00193FCC"/>
    <w:rsid w:val="00196E59"/>
    <w:rsid w:val="00196F71"/>
    <w:rsid w:val="00196FAA"/>
    <w:rsid w:val="0019743B"/>
    <w:rsid w:val="00197885"/>
    <w:rsid w:val="001A09DF"/>
    <w:rsid w:val="001A14F1"/>
    <w:rsid w:val="001A46C8"/>
    <w:rsid w:val="001A4704"/>
    <w:rsid w:val="001A4E4D"/>
    <w:rsid w:val="001A57FF"/>
    <w:rsid w:val="001A71C5"/>
    <w:rsid w:val="001A720A"/>
    <w:rsid w:val="001A73C3"/>
    <w:rsid w:val="001B0349"/>
    <w:rsid w:val="001B1B5D"/>
    <w:rsid w:val="001B2660"/>
    <w:rsid w:val="001B2A0F"/>
    <w:rsid w:val="001B47A3"/>
    <w:rsid w:val="001B508D"/>
    <w:rsid w:val="001B5D8C"/>
    <w:rsid w:val="001B613A"/>
    <w:rsid w:val="001B6A98"/>
    <w:rsid w:val="001B6BFB"/>
    <w:rsid w:val="001B7260"/>
    <w:rsid w:val="001B74FA"/>
    <w:rsid w:val="001B755F"/>
    <w:rsid w:val="001C040F"/>
    <w:rsid w:val="001C0ED9"/>
    <w:rsid w:val="001C1F4D"/>
    <w:rsid w:val="001C5727"/>
    <w:rsid w:val="001C5A07"/>
    <w:rsid w:val="001C5C23"/>
    <w:rsid w:val="001C7004"/>
    <w:rsid w:val="001C7414"/>
    <w:rsid w:val="001D2C44"/>
    <w:rsid w:val="001D2DA0"/>
    <w:rsid w:val="001D3366"/>
    <w:rsid w:val="001D3878"/>
    <w:rsid w:val="001D39C3"/>
    <w:rsid w:val="001D39E2"/>
    <w:rsid w:val="001D5968"/>
    <w:rsid w:val="001D59A0"/>
    <w:rsid w:val="001D5AB6"/>
    <w:rsid w:val="001D609D"/>
    <w:rsid w:val="001D67B8"/>
    <w:rsid w:val="001E0583"/>
    <w:rsid w:val="001E11E2"/>
    <w:rsid w:val="001E1EC3"/>
    <w:rsid w:val="001E27FC"/>
    <w:rsid w:val="001E30F3"/>
    <w:rsid w:val="001E3279"/>
    <w:rsid w:val="001E3EA6"/>
    <w:rsid w:val="001E497B"/>
    <w:rsid w:val="001E572C"/>
    <w:rsid w:val="001E58D5"/>
    <w:rsid w:val="001E63F3"/>
    <w:rsid w:val="001E69EB"/>
    <w:rsid w:val="001F09BC"/>
    <w:rsid w:val="001F0D42"/>
    <w:rsid w:val="001F11D7"/>
    <w:rsid w:val="001F14A2"/>
    <w:rsid w:val="001F2348"/>
    <w:rsid w:val="001F2BC8"/>
    <w:rsid w:val="001F3365"/>
    <w:rsid w:val="001F3AD4"/>
    <w:rsid w:val="001F3B8D"/>
    <w:rsid w:val="001F4507"/>
    <w:rsid w:val="001F5904"/>
    <w:rsid w:val="001F5F6B"/>
    <w:rsid w:val="001F7809"/>
    <w:rsid w:val="00200583"/>
    <w:rsid w:val="002023FF"/>
    <w:rsid w:val="00202BD4"/>
    <w:rsid w:val="00204676"/>
    <w:rsid w:val="00206330"/>
    <w:rsid w:val="00206E4D"/>
    <w:rsid w:val="002076F6"/>
    <w:rsid w:val="002106B9"/>
    <w:rsid w:val="0021081F"/>
    <w:rsid w:val="00212306"/>
    <w:rsid w:val="002125F9"/>
    <w:rsid w:val="00212AB7"/>
    <w:rsid w:val="00213619"/>
    <w:rsid w:val="00214E6C"/>
    <w:rsid w:val="002156F5"/>
    <w:rsid w:val="00216027"/>
    <w:rsid w:val="00216DA0"/>
    <w:rsid w:val="00217165"/>
    <w:rsid w:val="00220314"/>
    <w:rsid w:val="002220AA"/>
    <w:rsid w:val="00222757"/>
    <w:rsid w:val="002239F3"/>
    <w:rsid w:val="0022429B"/>
    <w:rsid w:val="0022521F"/>
    <w:rsid w:val="00225F3B"/>
    <w:rsid w:val="00226179"/>
    <w:rsid w:val="00227806"/>
    <w:rsid w:val="002301A9"/>
    <w:rsid w:val="0023115D"/>
    <w:rsid w:val="00231ADF"/>
    <w:rsid w:val="00232470"/>
    <w:rsid w:val="0023442F"/>
    <w:rsid w:val="00234631"/>
    <w:rsid w:val="00236278"/>
    <w:rsid w:val="002374AF"/>
    <w:rsid w:val="00237F7B"/>
    <w:rsid w:val="0024074F"/>
    <w:rsid w:val="0024100D"/>
    <w:rsid w:val="0024190F"/>
    <w:rsid w:val="00241FF0"/>
    <w:rsid w:val="00242CEA"/>
    <w:rsid w:val="00243E8C"/>
    <w:rsid w:val="00243EBC"/>
    <w:rsid w:val="00245675"/>
    <w:rsid w:val="00246A35"/>
    <w:rsid w:val="00247077"/>
    <w:rsid w:val="00247B64"/>
    <w:rsid w:val="002504E3"/>
    <w:rsid w:val="00251350"/>
    <w:rsid w:val="0025284A"/>
    <w:rsid w:val="00252C65"/>
    <w:rsid w:val="002539F9"/>
    <w:rsid w:val="00254C39"/>
    <w:rsid w:val="00256C3D"/>
    <w:rsid w:val="00256F46"/>
    <w:rsid w:val="002570BB"/>
    <w:rsid w:val="002572AB"/>
    <w:rsid w:val="00257A7A"/>
    <w:rsid w:val="00260FF2"/>
    <w:rsid w:val="002611D5"/>
    <w:rsid w:val="002611FA"/>
    <w:rsid w:val="00262C59"/>
    <w:rsid w:val="00262D3F"/>
    <w:rsid w:val="00262E59"/>
    <w:rsid w:val="00265395"/>
    <w:rsid w:val="002658C4"/>
    <w:rsid w:val="00266990"/>
    <w:rsid w:val="0027076E"/>
    <w:rsid w:val="00271015"/>
    <w:rsid w:val="0027196A"/>
    <w:rsid w:val="00271F07"/>
    <w:rsid w:val="00273E43"/>
    <w:rsid w:val="002741CF"/>
    <w:rsid w:val="00274633"/>
    <w:rsid w:val="00277192"/>
    <w:rsid w:val="00283C4F"/>
    <w:rsid w:val="00284348"/>
    <w:rsid w:val="002844C7"/>
    <w:rsid w:val="0028460F"/>
    <w:rsid w:val="00284EA3"/>
    <w:rsid w:val="00286601"/>
    <w:rsid w:val="00286A0B"/>
    <w:rsid w:val="00287E48"/>
    <w:rsid w:val="00290354"/>
    <w:rsid w:val="00291958"/>
    <w:rsid w:val="00292E9E"/>
    <w:rsid w:val="002931D2"/>
    <w:rsid w:val="002941B9"/>
    <w:rsid w:val="00294C8D"/>
    <w:rsid w:val="00296BA9"/>
    <w:rsid w:val="00297207"/>
    <w:rsid w:val="002974D0"/>
    <w:rsid w:val="00297D18"/>
    <w:rsid w:val="002A0941"/>
    <w:rsid w:val="002A1F32"/>
    <w:rsid w:val="002A3E06"/>
    <w:rsid w:val="002A3E25"/>
    <w:rsid w:val="002A4581"/>
    <w:rsid w:val="002A4EB2"/>
    <w:rsid w:val="002A5089"/>
    <w:rsid w:val="002A5114"/>
    <w:rsid w:val="002A5A77"/>
    <w:rsid w:val="002A5A94"/>
    <w:rsid w:val="002A7005"/>
    <w:rsid w:val="002B06E7"/>
    <w:rsid w:val="002B0F73"/>
    <w:rsid w:val="002B120F"/>
    <w:rsid w:val="002B12E9"/>
    <w:rsid w:val="002B18EC"/>
    <w:rsid w:val="002B23F2"/>
    <w:rsid w:val="002B26C2"/>
    <w:rsid w:val="002B28F0"/>
    <w:rsid w:val="002B2D62"/>
    <w:rsid w:val="002B3172"/>
    <w:rsid w:val="002B370B"/>
    <w:rsid w:val="002B3DDB"/>
    <w:rsid w:val="002B7055"/>
    <w:rsid w:val="002C0DDE"/>
    <w:rsid w:val="002C1B8E"/>
    <w:rsid w:val="002C34F8"/>
    <w:rsid w:val="002C4A8C"/>
    <w:rsid w:val="002C5129"/>
    <w:rsid w:val="002D0C48"/>
    <w:rsid w:val="002D0F8C"/>
    <w:rsid w:val="002D1392"/>
    <w:rsid w:val="002D2CCB"/>
    <w:rsid w:val="002D3431"/>
    <w:rsid w:val="002D34C3"/>
    <w:rsid w:val="002D4346"/>
    <w:rsid w:val="002D4C3F"/>
    <w:rsid w:val="002D5C8A"/>
    <w:rsid w:val="002D6BB1"/>
    <w:rsid w:val="002D7773"/>
    <w:rsid w:val="002D7FF9"/>
    <w:rsid w:val="002E065F"/>
    <w:rsid w:val="002E18B7"/>
    <w:rsid w:val="002E3222"/>
    <w:rsid w:val="002E4084"/>
    <w:rsid w:val="002E5B9A"/>
    <w:rsid w:val="002E67E5"/>
    <w:rsid w:val="002E77B3"/>
    <w:rsid w:val="002E7B3B"/>
    <w:rsid w:val="002F07A2"/>
    <w:rsid w:val="002F215C"/>
    <w:rsid w:val="002F286A"/>
    <w:rsid w:val="002F51F5"/>
    <w:rsid w:val="002F5718"/>
    <w:rsid w:val="002F695C"/>
    <w:rsid w:val="002F719B"/>
    <w:rsid w:val="003002D3"/>
    <w:rsid w:val="00300707"/>
    <w:rsid w:val="00301321"/>
    <w:rsid w:val="00301524"/>
    <w:rsid w:val="00301B82"/>
    <w:rsid w:val="00301C6F"/>
    <w:rsid w:val="00302743"/>
    <w:rsid w:val="00302ABF"/>
    <w:rsid w:val="0030312C"/>
    <w:rsid w:val="00304A68"/>
    <w:rsid w:val="00304E12"/>
    <w:rsid w:val="00307288"/>
    <w:rsid w:val="003100C4"/>
    <w:rsid w:val="00310433"/>
    <w:rsid w:val="00310D36"/>
    <w:rsid w:val="00311CCE"/>
    <w:rsid w:val="00312137"/>
    <w:rsid w:val="00312233"/>
    <w:rsid w:val="00314362"/>
    <w:rsid w:val="00314C4E"/>
    <w:rsid w:val="00314CCF"/>
    <w:rsid w:val="00314F1D"/>
    <w:rsid w:val="003152F1"/>
    <w:rsid w:val="00315687"/>
    <w:rsid w:val="00316ED6"/>
    <w:rsid w:val="00317BDD"/>
    <w:rsid w:val="00320470"/>
    <w:rsid w:val="003205EE"/>
    <w:rsid w:val="00320CAA"/>
    <w:rsid w:val="00322A11"/>
    <w:rsid w:val="0032660B"/>
    <w:rsid w:val="00326B6F"/>
    <w:rsid w:val="00330359"/>
    <w:rsid w:val="003308B6"/>
    <w:rsid w:val="0033182C"/>
    <w:rsid w:val="00331C81"/>
    <w:rsid w:val="00331ED7"/>
    <w:rsid w:val="00331EEF"/>
    <w:rsid w:val="00334B58"/>
    <w:rsid w:val="00334DB3"/>
    <w:rsid w:val="0033510F"/>
    <w:rsid w:val="00335B49"/>
    <w:rsid w:val="00335FA1"/>
    <w:rsid w:val="0033675A"/>
    <w:rsid w:val="00336DC2"/>
    <w:rsid w:val="0033762F"/>
    <w:rsid w:val="003410A4"/>
    <w:rsid w:val="003411E2"/>
    <w:rsid w:val="003422CA"/>
    <w:rsid w:val="00342C6F"/>
    <w:rsid w:val="00342E48"/>
    <w:rsid w:val="00342F1E"/>
    <w:rsid w:val="00343B3E"/>
    <w:rsid w:val="00343F89"/>
    <w:rsid w:val="003441B2"/>
    <w:rsid w:val="003441FD"/>
    <w:rsid w:val="00344A25"/>
    <w:rsid w:val="00344D37"/>
    <w:rsid w:val="00344D6E"/>
    <w:rsid w:val="00344DC4"/>
    <w:rsid w:val="003468D3"/>
    <w:rsid w:val="00346D64"/>
    <w:rsid w:val="00347640"/>
    <w:rsid w:val="00350185"/>
    <w:rsid w:val="00350723"/>
    <w:rsid w:val="00351463"/>
    <w:rsid w:val="00353F90"/>
    <w:rsid w:val="0035608A"/>
    <w:rsid w:val="00357099"/>
    <w:rsid w:val="00357354"/>
    <w:rsid w:val="00360EC8"/>
    <w:rsid w:val="0036219F"/>
    <w:rsid w:val="00363D3D"/>
    <w:rsid w:val="00363E2B"/>
    <w:rsid w:val="003651F7"/>
    <w:rsid w:val="00365ED3"/>
    <w:rsid w:val="00366C7E"/>
    <w:rsid w:val="00367114"/>
    <w:rsid w:val="003672A4"/>
    <w:rsid w:val="003703C7"/>
    <w:rsid w:val="00370770"/>
    <w:rsid w:val="00370E59"/>
    <w:rsid w:val="003717C9"/>
    <w:rsid w:val="00372043"/>
    <w:rsid w:val="003737CE"/>
    <w:rsid w:val="003745D1"/>
    <w:rsid w:val="00375896"/>
    <w:rsid w:val="003762BC"/>
    <w:rsid w:val="0037686E"/>
    <w:rsid w:val="00380897"/>
    <w:rsid w:val="00380F09"/>
    <w:rsid w:val="00382817"/>
    <w:rsid w:val="00383727"/>
    <w:rsid w:val="00384EA3"/>
    <w:rsid w:val="003850F6"/>
    <w:rsid w:val="003864D3"/>
    <w:rsid w:val="00387385"/>
    <w:rsid w:val="00387CDC"/>
    <w:rsid w:val="00387F0F"/>
    <w:rsid w:val="00390ADF"/>
    <w:rsid w:val="00390E1A"/>
    <w:rsid w:val="0039115D"/>
    <w:rsid w:val="00391A2E"/>
    <w:rsid w:val="00391F6E"/>
    <w:rsid w:val="003921DE"/>
    <w:rsid w:val="0039317B"/>
    <w:rsid w:val="0039346A"/>
    <w:rsid w:val="0039353E"/>
    <w:rsid w:val="003936BF"/>
    <w:rsid w:val="003945A9"/>
    <w:rsid w:val="00394CC5"/>
    <w:rsid w:val="003950CD"/>
    <w:rsid w:val="00396811"/>
    <w:rsid w:val="00397462"/>
    <w:rsid w:val="003A07A1"/>
    <w:rsid w:val="003A0FBE"/>
    <w:rsid w:val="003A21D3"/>
    <w:rsid w:val="003A34B5"/>
    <w:rsid w:val="003A39A1"/>
    <w:rsid w:val="003A3F7F"/>
    <w:rsid w:val="003A40BF"/>
    <w:rsid w:val="003A472E"/>
    <w:rsid w:val="003A562A"/>
    <w:rsid w:val="003A5BD3"/>
    <w:rsid w:val="003A5D04"/>
    <w:rsid w:val="003A6071"/>
    <w:rsid w:val="003A7C18"/>
    <w:rsid w:val="003A7CC6"/>
    <w:rsid w:val="003B0727"/>
    <w:rsid w:val="003B0ABA"/>
    <w:rsid w:val="003B288B"/>
    <w:rsid w:val="003B4022"/>
    <w:rsid w:val="003B45BF"/>
    <w:rsid w:val="003B4CBE"/>
    <w:rsid w:val="003B5BAF"/>
    <w:rsid w:val="003B663A"/>
    <w:rsid w:val="003B687B"/>
    <w:rsid w:val="003B7046"/>
    <w:rsid w:val="003B76C9"/>
    <w:rsid w:val="003B76DB"/>
    <w:rsid w:val="003C0674"/>
    <w:rsid w:val="003C1A7B"/>
    <w:rsid w:val="003C2191"/>
    <w:rsid w:val="003C23FA"/>
    <w:rsid w:val="003C300A"/>
    <w:rsid w:val="003C37DA"/>
    <w:rsid w:val="003C3A17"/>
    <w:rsid w:val="003C3C74"/>
    <w:rsid w:val="003C46BF"/>
    <w:rsid w:val="003C54FD"/>
    <w:rsid w:val="003C6568"/>
    <w:rsid w:val="003C6782"/>
    <w:rsid w:val="003D0223"/>
    <w:rsid w:val="003D063E"/>
    <w:rsid w:val="003D3863"/>
    <w:rsid w:val="003D4848"/>
    <w:rsid w:val="003D54F5"/>
    <w:rsid w:val="003D61F9"/>
    <w:rsid w:val="003D6366"/>
    <w:rsid w:val="003D6F4E"/>
    <w:rsid w:val="003D72F1"/>
    <w:rsid w:val="003E1B4C"/>
    <w:rsid w:val="003E2993"/>
    <w:rsid w:val="003E4BC8"/>
    <w:rsid w:val="003E5D3B"/>
    <w:rsid w:val="003E61FA"/>
    <w:rsid w:val="003E7DBF"/>
    <w:rsid w:val="003F20B4"/>
    <w:rsid w:val="003F2302"/>
    <w:rsid w:val="003F28CB"/>
    <w:rsid w:val="003F31E6"/>
    <w:rsid w:val="003F3B79"/>
    <w:rsid w:val="003F42CE"/>
    <w:rsid w:val="003F43BE"/>
    <w:rsid w:val="003F47EE"/>
    <w:rsid w:val="003F4A02"/>
    <w:rsid w:val="003F4A63"/>
    <w:rsid w:val="003F55CB"/>
    <w:rsid w:val="004007D1"/>
    <w:rsid w:val="004011A3"/>
    <w:rsid w:val="004012DD"/>
    <w:rsid w:val="0040174F"/>
    <w:rsid w:val="00402342"/>
    <w:rsid w:val="0040349E"/>
    <w:rsid w:val="004036AA"/>
    <w:rsid w:val="00405031"/>
    <w:rsid w:val="004068AB"/>
    <w:rsid w:val="004110DE"/>
    <w:rsid w:val="00412A34"/>
    <w:rsid w:val="004132DF"/>
    <w:rsid w:val="00414847"/>
    <w:rsid w:val="00414DCE"/>
    <w:rsid w:val="004155A1"/>
    <w:rsid w:val="004155E0"/>
    <w:rsid w:val="00416601"/>
    <w:rsid w:val="00416CA0"/>
    <w:rsid w:val="00416FE3"/>
    <w:rsid w:val="0041799D"/>
    <w:rsid w:val="00420C73"/>
    <w:rsid w:val="0042289B"/>
    <w:rsid w:val="00423289"/>
    <w:rsid w:val="004237A1"/>
    <w:rsid w:val="00423AF9"/>
    <w:rsid w:val="0042491D"/>
    <w:rsid w:val="00424BEC"/>
    <w:rsid w:val="00425A8F"/>
    <w:rsid w:val="00425D3D"/>
    <w:rsid w:val="00426BC5"/>
    <w:rsid w:val="00427B1F"/>
    <w:rsid w:val="004304A7"/>
    <w:rsid w:val="00430602"/>
    <w:rsid w:val="00430725"/>
    <w:rsid w:val="00430CDB"/>
    <w:rsid w:val="00431E09"/>
    <w:rsid w:val="004329E0"/>
    <w:rsid w:val="00433DF1"/>
    <w:rsid w:val="0043455E"/>
    <w:rsid w:val="0043476D"/>
    <w:rsid w:val="004347F6"/>
    <w:rsid w:val="00434815"/>
    <w:rsid w:val="0043598B"/>
    <w:rsid w:val="00436DAF"/>
    <w:rsid w:val="00437D73"/>
    <w:rsid w:val="004403FC"/>
    <w:rsid w:val="00440859"/>
    <w:rsid w:val="0044085A"/>
    <w:rsid w:val="004436BD"/>
    <w:rsid w:val="00443D5E"/>
    <w:rsid w:val="00443E4D"/>
    <w:rsid w:val="00443ED0"/>
    <w:rsid w:val="00445A83"/>
    <w:rsid w:val="00445B8D"/>
    <w:rsid w:val="00445C16"/>
    <w:rsid w:val="004511D9"/>
    <w:rsid w:val="0045165B"/>
    <w:rsid w:val="00452395"/>
    <w:rsid w:val="0045346C"/>
    <w:rsid w:val="00454058"/>
    <w:rsid w:val="00455591"/>
    <w:rsid w:val="00457278"/>
    <w:rsid w:val="00460C3F"/>
    <w:rsid w:val="0046149C"/>
    <w:rsid w:val="004620CF"/>
    <w:rsid w:val="004628F1"/>
    <w:rsid w:val="00462937"/>
    <w:rsid w:val="00462BA4"/>
    <w:rsid w:val="00463B8B"/>
    <w:rsid w:val="004643D0"/>
    <w:rsid w:val="00466047"/>
    <w:rsid w:val="00466C95"/>
    <w:rsid w:val="004716E2"/>
    <w:rsid w:val="00472255"/>
    <w:rsid w:val="0047258F"/>
    <w:rsid w:val="00473AF2"/>
    <w:rsid w:val="00480BE7"/>
    <w:rsid w:val="004810E0"/>
    <w:rsid w:val="00481ED5"/>
    <w:rsid w:val="00482449"/>
    <w:rsid w:val="0048318B"/>
    <w:rsid w:val="00483D77"/>
    <w:rsid w:val="00484391"/>
    <w:rsid w:val="00486810"/>
    <w:rsid w:val="00486944"/>
    <w:rsid w:val="004869B4"/>
    <w:rsid w:val="004900A0"/>
    <w:rsid w:val="00490833"/>
    <w:rsid w:val="00491378"/>
    <w:rsid w:val="00491EB6"/>
    <w:rsid w:val="00492AE8"/>
    <w:rsid w:val="004935D4"/>
    <w:rsid w:val="00494725"/>
    <w:rsid w:val="00494A47"/>
    <w:rsid w:val="0049680F"/>
    <w:rsid w:val="00496D28"/>
    <w:rsid w:val="00497C4E"/>
    <w:rsid w:val="00497E95"/>
    <w:rsid w:val="004A1878"/>
    <w:rsid w:val="004A1A65"/>
    <w:rsid w:val="004A4D3B"/>
    <w:rsid w:val="004A5639"/>
    <w:rsid w:val="004A5F58"/>
    <w:rsid w:val="004A6069"/>
    <w:rsid w:val="004B046E"/>
    <w:rsid w:val="004B055C"/>
    <w:rsid w:val="004B0B1E"/>
    <w:rsid w:val="004B0F28"/>
    <w:rsid w:val="004B1590"/>
    <w:rsid w:val="004B21A5"/>
    <w:rsid w:val="004B2741"/>
    <w:rsid w:val="004B39C7"/>
    <w:rsid w:val="004B3A6A"/>
    <w:rsid w:val="004B6957"/>
    <w:rsid w:val="004B6CCC"/>
    <w:rsid w:val="004B6DEC"/>
    <w:rsid w:val="004B6F99"/>
    <w:rsid w:val="004B7623"/>
    <w:rsid w:val="004B7FB7"/>
    <w:rsid w:val="004C05CD"/>
    <w:rsid w:val="004C1EFA"/>
    <w:rsid w:val="004C2B36"/>
    <w:rsid w:val="004C320E"/>
    <w:rsid w:val="004C3638"/>
    <w:rsid w:val="004C3823"/>
    <w:rsid w:val="004C4B66"/>
    <w:rsid w:val="004C5B39"/>
    <w:rsid w:val="004C5BDB"/>
    <w:rsid w:val="004C606B"/>
    <w:rsid w:val="004D0013"/>
    <w:rsid w:val="004D0A0B"/>
    <w:rsid w:val="004D10D0"/>
    <w:rsid w:val="004D1AAD"/>
    <w:rsid w:val="004D23D8"/>
    <w:rsid w:val="004D3AA0"/>
    <w:rsid w:val="004D3FA2"/>
    <w:rsid w:val="004D4858"/>
    <w:rsid w:val="004D5DD0"/>
    <w:rsid w:val="004D5F41"/>
    <w:rsid w:val="004D6294"/>
    <w:rsid w:val="004D7986"/>
    <w:rsid w:val="004E18C4"/>
    <w:rsid w:val="004E1DD5"/>
    <w:rsid w:val="004E1E8B"/>
    <w:rsid w:val="004E32F5"/>
    <w:rsid w:val="004E3EA7"/>
    <w:rsid w:val="004E4436"/>
    <w:rsid w:val="004E4DE4"/>
    <w:rsid w:val="004E4E16"/>
    <w:rsid w:val="004E5CDA"/>
    <w:rsid w:val="004E6582"/>
    <w:rsid w:val="004E6A6B"/>
    <w:rsid w:val="004E72C4"/>
    <w:rsid w:val="004E7E73"/>
    <w:rsid w:val="004F0FBB"/>
    <w:rsid w:val="004F3204"/>
    <w:rsid w:val="004F5442"/>
    <w:rsid w:val="004F6248"/>
    <w:rsid w:val="005002E8"/>
    <w:rsid w:val="0050087A"/>
    <w:rsid w:val="00502626"/>
    <w:rsid w:val="00502654"/>
    <w:rsid w:val="00502D6E"/>
    <w:rsid w:val="005037F0"/>
    <w:rsid w:val="00503D51"/>
    <w:rsid w:val="005046D9"/>
    <w:rsid w:val="00505604"/>
    <w:rsid w:val="0050650F"/>
    <w:rsid w:val="0050752C"/>
    <w:rsid w:val="0051058E"/>
    <w:rsid w:val="00511AC8"/>
    <w:rsid w:val="00512614"/>
    <w:rsid w:val="00513231"/>
    <w:rsid w:val="005137A1"/>
    <w:rsid w:val="00513E5F"/>
    <w:rsid w:val="00515664"/>
    <w:rsid w:val="00515AD6"/>
    <w:rsid w:val="005161F0"/>
    <w:rsid w:val="00516A86"/>
    <w:rsid w:val="00516C99"/>
    <w:rsid w:val="00521C6C"/>
    <w:rsid w:val="00521DEE"/>
    <w:rsid w:val="00522352"/>
    <w:rsid w:val="005236F8"/>
    <w:rsid w:val="0052372F"/>
    <w:rsid w:val="00524A6C"/>
    <w:rsid w:val="00525A09"/>
    <w:rsid w:val="00525F91"/>
    <w:rsid w:val="00526120"/>
    <w:rsid w:val="005267BA"/>
    <w:rsid w:val="00526AB2"/>
    <w:rsid w:val="00527438"/>
    <w:rsid w:val="005275F6"/>
    <w:rsid w:val="00530726"/>
    <w:rsid w:val="00533EE4"/>
    <w:rsid w:val="005404D3"/>
    <w:rsid w:val="00540AC9"/>
    <w:rsid w:val="00540B92"/>
    <w:rsid w:val="00540F4A"/>
    <w:rsid w:val="00541555"/>
    <w:rsid w:val="00542728"/>
    <w:rsid w:val="00542D21"/>
    <w:rsid w:val="00543CDF"/>
    <w:rsid w:val="00544032"/>
    <w:rsid w:val="00544DAE"/>
    <w:rsid w:val="00544FF8"/>
    <w:rsid w:val="00545697"/>
    <w:rsid w:val="00546DDB"/>
    <w:rsid w:val="005502F5"/>
    <w:rsid w:val="00551BBC"/>
    <w:rsid w:val="00552588"/>
    <w:rsid w:val="00554F92"/>
    <w:rsid w:val="005558E6"/>
    <w:rsid w:val="00555ADC"/>
    <w:rsid w:val="00555C93"/>
    <w:rsid w:val="0055742A"/>
    <w:rsid w:val="00557527"/>
    <w:rsid w:val="00557C2D"/>
    <w:rsid w:val="0056097D"/>
    <w:rsid w:val="00560B0D"/>
    <w:rsid w:val="00560E05"/>
    <w:rsid w:val="00561F5A"/>
    <w:rsid w:val="0056357D"/>
    <w:rsid w:val="00563D99"/>
    <w:rsid w:val="005647ED"/>
    <w:rsid w:val="00564ED1"/>
    <w:rsid w:val="00566280"/>
    <w:rsid w:val="00566858"/>
    <w:rsid w:val="00566A93"/>
    <w:rsid w:val="00572102"/>
    <w:rsid w:val="005728A8"/>
    <w:rsid w:val="00574C33"/>
    <w:rsid w:val="005750A5"/>
    <w:rsid w:val="005756A2"/>
    <w:rsid w:val="0057760A"/>
    <w:rsid w:val="00577B06"/>
    <w:rsid w:val="00580814"/>
    <w:rsid w:val="00580C47"/>
    <w:rsid w:val="005813AB"/>
    <w:rsid w:val="0058160E"/>
    <w:rsid w:val="00581CF7"/>
    <w:rsid w:val="00582DD2"/>
    <w:rsid w:val="0058372D"/>
    <w:rsid w:val="005851B4"/>
    <w:rsid w:val="00586753"/>
    <w:rsid w:val="00586FC4"/>
    <w:rsid w:val="00587921"/>
    <w:rsid w:val="00587952"/>
    <w:rsid w:val="00591EFF"/>
    <w:rsid w:val="0059243E"/>
    <w:rsid w:val="00592543"/>
    <w:rsid w:val="005928E1"/>
    <w:rsid w:val="00592C1C"/>
    <w:rsid w:val="005948FF"/>
    <w:rsid w:val="005950C5"/>
    <w:rsid w:val="00595341"/>
    <w:rsid w:val="005955DF"/>
    <w:rsid w:val="00595E34"/>
    <w:rsid w:val="00596FF3"/>
    <w:rsid w:val="0059748D"/>
    <w:rsid w:val="005A0DA8"/>
    <w:rsid w:val="005A11FC"/>
    <w:rsid w:val="005A2CF8"/>
    <w:rsid w:val="005A338A"/>
    <w:rsid w:val="005A4161"/>
    <w:rsid w:val="005A6298"/>
    <w:rsid w:val="005A698D"/>
    <w:rsid w:val="005A6BC4"/>
    <w:rsid w:val="005A723C"/>
    <w:rsid w:val="005B07FA"/>
    <w:rsid w:val="005B28C3"/>
    <w:rsid w:val="005B2905"/>
    <w:rsid w:val="005B666E"/>
    <w:rsid w:val="005C06A2"/>
    <w:rsid w:val="005C3678"/>
    <w:rsid w:val="005C3F01"/>
    <w:rsid w:val="005C5CDD"/>
    <w:rsid w:val="005C6D0B"/>
    <w:rsid w:val="005D0628"/>
    <w:rsid w:val="005D0E2B"/>
    <w:rsid w:val="005D1670"/>
    <w:rsid w:val="005D1C32"/>
    <w:rsid w:val="005D499E"/>
    <w:rsid w:val="005D50D7"/>
    <w:rsid w:val="005D5271"/>
    <w:rsid w:val="005D61CD"/>
    <w:rsid w:val="005D69FA"/>
    <w:rsid w:val="005D7709"/>
    <w:rsid w:val="005D7720"/>
    <w:rsid w:val="005E15EA"/>
    <w:rsid w:val="005E24FD"/>
    <w:rsid w:val="005E2B36"/>
    <w:rsid w:val="005E3919"/>
    <w:rsid w:val="005E3A35"/>
    <w:rsid w:val="005E44FD"/>
    <w:rsid w:val="005F039C"/>
    <w:rsid w:val="005F19E0"/>
    <w:rsid w:val="005F1BB0"/>
    <w:rsid w:val="005F1E17"/>
    <w:rsid w:val="005F3C0A"/>
    <w:rsid w:val="005F43B5"/>
    <w:rsid w:val="005F44BB"/>
    <w:rsid w:val="005F4A61"/>
    <w:rsid w:val="005F56CC"/>
    <w:rsid w:val="005F78E5"/>
    <w:rsid w:val="00600D55"/>
    <w:rsid w:val="00601F29"/>
    <w:rsid w:val="00603270"/>
    <w:rsid w:val="006040EE"/>
    <w:rsid w:val="00605C23"/>
    <w:rsid w:val="0060690E"/>
    <w:rsid w:val="00606C68"/>
    <w:rsid w:val="00607408"/>
    <w:rsid w:val="00607C3D"/>
    <w:rsid w:val="0061004A"/>
    <w:rsid w:val="006114E5"/>
    <w:rsid w:val="00613371"/>
    <w:rsid w:val="00613DC5"/>
    <w:rsid w:val="00616261"/>
    <w:rsid w:val="00616AF6"/>
    <w:rsid w:val="006178AF"/>
    <w:rsid w:val="00620648"/>
    <w:rsid w:val="006207AB"/>
    <w:rsid w:val="00621EDE"/>
    <w:rsid w:val="00622767"/>
    <w:rsid w:val="00622D14"/>
    <w:rsid w:val="00623644"/>
    <w:rsid w:val="00623777"/>
    <w:rsid w:val="00623E3B"/>
    <w:rsid w:val="0062479E"/>
    <w:rsid w:val="006271B8"/>
    <w:rsid w:val="006314A6"/>
    <w:rsid w:val="00631A1C"/>
    <w:rsid w:val="006338CD"/>
    <w:rsid w:val="006362EE"/>
    <w:rsid w:val="00636DD6"/>
    <w:rsid w:val="00640E8F"/>
    <w:rsid w:val="0064150E"/>
    <w:rsid w:val="00643282"/>
    <w:rsid w:val="00643751"/>
    <w:rsid w:val="00643D51"/>
    <w:rsid w:val="00650EF6"/>
    <w:rsid w:val="00651829"/>
    <w:rsid w:val="00653127"/>
    <w:rsid w:val="00653684"/>
    <w:rsid w:val="00654829"/>
    <w:rsid w:val="00654941"/>
    <w:rsid w:val="00655655"/>
    <w:rsid w:val="00656C4D"/>
    <w:rsid w:val="00656E68"/>
    <w:rsid w:val="00656F00"/>
    <w:rsid w:val="006574ED"/>
    <w:rsid w:val="00660042"/>
    <w:rsid w:val="00660E44"/>
    <w:rsid w:val="0066122F"/>
    <w:rsid w:val="006612E8"/>
    <w:rsid w:val="00661935"/>
    <w:rsid w:val="00661F30"/>
    <w:rsid w:val="006632A9"/>
    <w:rsid w:val="00663F13"/>
    <w:rsid w:val="006672D8"/>
    <w:rsid w:val="00667554"/>
    <w:rsid w:val="006700D9"/>
    <w:rsid w:val="00670BEB"/>
    <w:rsid w:val="00670EBD"/>
    <w:rsid w:val="00671B18"/>
    <w:rsid w:val="00672A5B"/>
    <w:rsid w:val="00673619"/>
    <w:rsid w:val="00673F9C"/>
    <w:rsid w:val="00674BB8"/>
    <w:rsid w:val="00674C1B"/>
    <w:rsid w:val="006753D2"/>
    <w:rsid w:val="00676A97"/>
    <w:rsid w:val="006773F6"/>
    <w:rsid w:val="00680566"/>
    <w:rsid w:val="0068110A"/>
    <w:rsid w:val="00682478"/>
    <w:rsid w:val="0068284A"/>
    <w:rsid w:val="0068426A"/>
    <w:rsid w:val="00684380"/>
    <w:rsid w:val="006843D0"/>
    <w:rsid w:val="006852D4"/>
    <w:rsid w:val="00687554"/>
    <w:rsid w:val="00690AA2"/>
    <w:rsid w:val="00692155"/>
    <w:rsid w:val="0069289A"/>
    <w:rsid w:val="00692FFE"/>
    <w:rsid w:val="006932CE"/>
    <w:rsid w:val="00693F87"/>
    <w:rsid w:val="00694D93"/>
    <w:rsid w:val="0069626E"/>
    <w:rsid w:val="00697609"/>
    <w:rsid w:val="006A023E"/>
    <w:rsid w:val="006A117F"/>
    <w:rsid w:val="006A2079"/>
    <w:rsid w:val="006A349D"/>
    <w:rsid w:val="006A3C94"/>
    <w:rsid w:val="006A3FA4"/>
    <w:rsid w:val="006A422D"/>
    <w:rsid w:val="006A45D7"/>
    <w:rsid w:val="006A485B"/>
    <w:rsid w:val="006A4D21"/>
    <w:rsid w:val="006A5344"/>
    <w:rsid w:val="006A5C01"/>
    <w:rsid w:val="006A7379"/>
    <w:rsid w:val="006B1130"/>
    <w:rsid w:val="006B221D"/>
    <w:rsid w:val="006B3ADC"/>
    <w:rsid w:val="006B5002"/>
    <w:rsid w:val="006B5617"/>
    <w:rsid w:val="006B6809"/>
    <w:rsid w:val="006B6B5E"/>
    <w:rsid w:val="006C1534"/>
    <w:rsid w:val="006C1CD6"/>
    <w:rsid w:val="006C237D"/>
    <w:rsid w:val="006C2964"/>
    <w:rsid w:val="006C5AFE"/>
    <w:rsid w:val="006C5EDF"/>
    <w:rsid w:val="006C6112"/>
    <w:rsid w:val="006C61E8"/>
    <w:rsid w:val="006C739F"/>
    <w:rsid w:val="006D010B"/>
    <w:rsid w:val="006D0475"/>
    <w:rsid w:val="006D2BAA"/>
    <w:rsid w:val="006D2FFF"/>
    <w:rsid w:val="006D4355"/>
    <w:rsid w:val="006D462B"/>
    <w:rsid w:val="006D6062"/>
    <w:rsid w:val="006D6B70"/>
    <w:rsid w:val="006D7045"/>
    <w:rsid w:val="006E0678"/>
    <w:rsid w:val="006E12EF"/>
    <w:rsid w:val="006E2EB4"/>
    <w:rsid w:val="006E3434"/>
    <w:rsid w:val="006E37C6"/>
    <w:rsid w:val="006E3AA3"/>
    <w:rsid w:val="006E4551"/>
    <w:rsid w:val="006E50BC"/>
    <w:rsid w:val="006E553B"/>
    <w:rsid w:val="006E5716"/>
    <w:rsid w:val="006F1040"/>
    <w:rsid w:val="006F1128"/>
    <w:rsid w:val="006F2DBB"/>
    <w:rsid w:val="006F411E"/>
    <w:rsid w:val="006F4365"/>
    <w:rsid w:val="006F55D2"/>
    <w:rsid w:val="006F5656"/>
    <w:rsid w:val="006F752A"/>
    <w:rsid w:val="006F7E03"/>
    <w:rsid w:val="0070069B"/>
    <w:rsid w:val="00700E94"/>
    <w:rsid w:val="00702C73"/>
    <w:rsid w:val="007041CD"/>
    <w:rsid w:val="0070434A"/>
    <w:rsid w:val="007054A1"/>
    <w:rsid w:val="007054BF"/>
    <w:rsid w:val="0070640A"/>
    <w:rsid w:val="007103AE"/>
    <w:rsid w:val="007104E6"/>
    <w:rsid w:val="00710734"/>
    <w:rsid w:val="00710D07"/>
    <w:rsid w:val="00710F1C"/>
    <w:rsid w:val="0071215C"/>
    <w:rsid w:val="007130AC"/>
    <w:rsid w:val="00714B8B"/>
    <w:rsid w:val="007158DA"/>
    <w:rsid w:val="00715C6A"/>
    <w:rsid w:val="00716981"/>
    <w:rsid w:val="00716C72"/>
    <w:rsid w:val="00717BAF"/>
    <w:rsid w:val="00717EA7"/>
    <w:rsid w:val="00721ED3"/>
    <w:rsid w:val="00723A6B"/>
    <w:rsid w:val="007249CC"/>
    <w:rsid w:val="007249DE"/>
    <w:rsid w:val="0072618C"/>
    <w:rsid w:val="00730228"/>
    <w:rsid w:val="007302B3"/>
    <w:rsid w:val="00730733"/>
    <w:rsid w:val="007309E3"/>
    <w:rsid w:val="00730E3A"/>
    <w:rsid w:val="007327ED"/>
    <w:rsid w:val="00733F1B"/>
    <w:rsid w:val="00735A59"/>
    <w:rsid w:val="00736AAF"/>
    <w:rsid w:val="00736D19"/>
    <w:rsid w:val="00737C08"/>
    <w:rsid w:val="0074157F"/>
    <w:rsid w:val="00742C15"/>
    <w:rsid w:val="007446D8"/>
    <w:rsid w:val="00745CF9"/>
    <w:rsid w:val="00746649"/>
    <w:rsid w:val="0074697C"/>
    <w:rsid w:val="00747BD9"/>
    <w:rsid w:val="00750298"/>
    <w:rsid w:val="0075318C"/>
    <w:rsid w:val="0075356D"/>
    <w:rsid w:val="00756CD9"/>
    <w:rsid w:val="00760519"/>
    <w:rsid w:val="00760525"/>
    <w:rsid w:val="007607B5"/>
    <w:rsid w:val="0076083B"/>
    <w:rsid w:val="00761A11"/>
    <w:rsid w:val="007623C9"/>
    <w:rsid w:val="007647DB"/>
    <w:rsid w:val="00765B2A"/>
    <w:rsid w:val="00765F65"/>
    <w:rsid w:val="00766BF9"/>
    <w:rsid w:val="00767AF0"/>
    <w:rsid w:val="00767ECE"/>
    <w:rsid w:val="0077051D"/>
    <w:rsid w:val="00772E35"/>
    <w:rsid w:val="0077408C"/>
    <w:rsid w:val="007756C8"/>
    <w:rsid w:val="00776049"/>
    <w:rsid w:val="00776ACD"/>
    <w:rsid w:val="00776B8D"/>
    <w:rsid w:val="007770FD"/>
    <w:rsid w:val="00781FE2"/>
    <w:rsid w:val="007839B3"/>
    <w:rsid w:val="00783A34"/>
    <w:rsid w:val="0078425A"/>
    <w:rsid w:val="00784A6C"/>
    <w:rsid w:val="007855DF"/>
    <w:rsid w:val="007859AF"/>
    <w:rsid w:val="00785A12"/>
    <w:rsid w:val="00786887"/>
    <w:rsid w:val="0078738A"/>
    <w:rsid w:val="00790763"/>
    <w:rsid w:val="0079192B"/>
    <w:rsid w:val="0079428D"/>
    <w:rsid w:val="0079513C"/>
    <w:rsid w:val="00795238"/>
    <w:rsid w:val="00795469"/>
    <w:rsid w:val="00796B6A"/>
    <w:rsid w:val="007A1156"/>
    <w:rsid w:val="007A19E4"/>
    <w:rsid w:val="007A3196"/>
    <w:rsid w:val="007A33E0"/>
    <w:rsid w:val="007A3C66"/>
    <w:rsid w:val="007A3CFA"/>
    <w:rsid w:val="007A3FE2"/>
    <w:rsid w:val="007A4489"/>
    <w:rsid w:val="007A6D68"/>
    <w:rsid w:val="007B0F87"/>
    <w:rsid w:val="007B2BD1"/>
    <w:rsid w:val="007B437C"/>
    <w:rsid w:val="007B4924"/>
    <w:rsid w:val="007B4D26"/>
    <w:rsid w:val="007B7732"/>
    <w:rsid w:val="007B7B55"/>
    <w:rsid w:val="007C11B4"/>
    <w:rsid w:val="007C282A"/>
    <w:rsid w:val="007C3AF0"/>
    <w:rsid w:val="007C58C2"/>
    <w:rsid w:val="007C6B52"/>
    <w:rsid w:val="007D0B21"/>
    <w:rsid w:val="007D16C5"/>
    <w:rsid w:val="007D263C"/>
    <w:rsid w:val="007D4B12"/>
    <w:rsid w:val="007D4F83"/>
    <w:rsid w:val="007D5592"/>
    <w:rsid w:val="007D7B8E"/>
    <w:rsid w:val="007E17BF"/>
    <w:rsid w:val="007E22AC"/>
    <w:rsid w:val="007E26E8"/>
    <w:rsid w:val="007E4991"/>
    <w:rsid w:val="007E532B"/>
    <w:rsid w:val="007E641F"/>
    <w:rsid w:val="007E6622"/>
    <w:rsid w:val="007E6C69"/>
    <w:rsid w:val="007E6D6C"/>
    <w:rsid w:val="007F052F"/>
    <w:rsid w:val="007F0756"/>
    <w:rsid w:val="007F11D4"/>
    <w:rsid w:val="007F1E27"/>
    <w:rsid w:val="007F398A"/>
    <w:rsid w:val="007F4A82"/>
    <w:rsid w:val="007F4EA8"/>
    <w:rsid w:val="007F6332"/>
    <w:rsid w:val="007F6C72"/>
    <w:rsid w:val="007F7935"/>
    <w:rsid w:val="00800746"/>
    <w:rsid w:val="00801630"/>
    <w:rsid w:val="00801A44"/>
    <w:rsid w:val="00801F48"/>
    <w:rsid w:val="008034DE"/>
    <w:rsid w:val="00803814"/>
    <w:rsid w:val="00804ECC"/>
    <w:rsid w:val="0080629C"/>
    <w:rsid w:val="00806DD3"/>
    <w:rsid w:val="00807F64"/>
    <w:rsid w:val="008109D9"/>
    <w:rsid w:val="008124A8"/>
    <w:rsid w:val="008128AA"/>
    <w:rsid w:val="0081396D"/>
    <w:rsid w:val="008140EF"/>
    <w:rsid w:val="00815875"/>
    <w:rsid w:val="0081658A"/>
    <w:rsid w:val="00816734"/>
    <w:rsid w:val="00817302"/>
    <w:rsid w:val="00820DD9"/>
    <w:rsid w:val="00821A46"/>
    <w:rsid w:val="008228CB"/>
    <w:rsid w:val="0082367B"/>
    <w:rsid w:val="00823871"/>
    <w:rsid w:val="00823DB3"/>
    <w:rsid w:val="0082403A"/>
    <w:rsid w:val="0082434D"/>
    <w:rsid w:val="008256C0"/>
    <w:rsid w:val="00831284"/>
    <w:rsid w:val="008312C7"/>
    <w:rsid w:val="00831D7E"/>
    <w:rsid w:val="00832DA3"/>
    <w:rsid w:val="00833016"/>
    <w:rsid w:val="0083322D"/>
    <w:rsid w:val="00833CB6"/>
    <w:rsid w:val="00834543"/>
    <w:rsid w:val="00834C0D"/>
    <w:rsid w:val="00836984"/>
    <w:rsid w:val="00836E49"/>
    <w:rsid w:val="00837117"/>
    <w:rsid w:val="0083768D"/>
    <w:rsid w:val="00837FDE"/>
    <w:rsid w:val="0084023E"/>
    <w:rsid w:val="00840982"/>
    <w:rsid w:val="00840E5D"/>
    <w:rsid w:val="00841232"/>
    <w:rsid w:val="00841245"/>
    <w:rsid w:val="0084140F"/>
    <w:rsid w:val="0084209F"/>
    <w:rsid w:val="00842D79"/>
    <w:rsid w:val="008430F3"/>
    <w:rsid w:val="00843837"/>
    <w:rsid w:val="0084604E"/>
    <w:rsid w:val="0085118B"/>
    <w:rsid w:val="00853414"/>
    <w:rsid w:val="008538FD"/>
    <w:rsid w:val="00854182"/>
    <w:rsid w:val="00855FA0"/>
    <w:rsid w:val="0085711C"/>
    <w:rsid w:val="00861BFC"/>
    <w:rsid w:val="00862FE4"/>
    <w:rsid w:val="0086389A"/>
    <w:rsid w:val="0086451D"/>
    <w:rsid w:val="00867DB6"/>
    <w:rsid w:val="00870AB9"/>
    <w:rsid w:val="008722EB"/>
    <w:rsid w:val="00872B13"/>
    <w:rsid w:val="00873068"/>
    <w:rsid w:val="008736DE"/>
    <w:rsid w:val="008750BA"/>
    <w:rsid w:val="0087572D"/>
    <w:rsid w:val="0087605E"/>
    <w:rsid w:val="00876852"/>
    <w:rsid w:val="0087749D"/>
    <w:rsid w:val="00880F7D"/>
    <w:rsid w:val="0088370C"/>
    <w:rsid w:val="00883848"/>
    <w:rsid w:val="00883D02"/>
    <w:rsid w:val="00884C18"/>
    <w:rsid w:val="0088595A"/>
    <w:rsid w:val="00885FE9"/>
    <w:rsid w:val="00886C7A"/>
    <w:rsid w:val="00886D58"/>
    <w:rsid w:val="00886DF4"/>
    <w:rsid w:val="00886F85"/>
    <w:rsid w:val="00887505"/>
    <w:rsid w:val="00887602"/>
    <w:rsid w:val="0089036C"/>
    <w:rsid w:val="00891CE5"/>
    <w:rsid w:val="008927AF"/>
    <w:rsid w:val="00892B05"/>
    <w:rsid w:val="008933DA"/>
    <w:rsid w:val="00894CE0"/>
    <w:rsid w:val="008971AA"/>
    <w:rsid w:val="008A17F7"/>
    <w:rsid w:val="008A2BB3"/>
    <w:rsid w:val="008A2FDB"/>
    <w:rsid w:val="008A4530"/>
    <w:rsid w:val="008A6690"/>
    <w:rsid w:val="008A66F3"/>
    <w:rsid w:val="008A6F77"/>
    <w:rsid w:val="008A7360"/>
    <w:rsid w:val="008A7FE6"/>
    <w:rsid w:val="008B1FEE"/>
    <w:rsid w:val="008B2483"/>
    <w:rsid w:val="008B411D"/>
    <w:rsid w:val="008B5373"/>
    <w:rsid w:val="008B60A8"/>
    <w:rsid w:val="008B6619"/>
    <w:rsid w:val="008B77DC"/>
    <w:rsid w:val="008B7821"/>
    <w:rsid w:val="008C040B"/>
    <w:rsid w:val="008C24B8"/>
    <w:rsid w:val="008C25A7"/>
    <w:rsid w:val="008C2B9B"/>
    <w:rsid w:val="008C2D81"/>
    <w:rsid w:val="008C31CB"/>
    <w:rsid w:val="008C33BD"/>
    <w:rsid w:val="008C3809"/>
    <w:rsid w:val="008C4343"/>
    <w:rsid w:val="008C4745"/>
    <w:rsid w:val="008C4CB1"/>
    <w:rsid w:val="008C6658"/>
    <w:rsid w:val="008C6F09"/>
    <w:rsid w:val="008C74A1"/>
    <w:rsid w:val="008C7944"/>
    <w:rsid w:val="008C7AC8"/>
    <w:rsid w:val="008D04D2"/>
    <w:rsid w:val="008D12A8"/>
    <w:rsid w:val="008D238C"/>
    <w:rsid w:val="008D2F2D"/>
    <w:rsid w:val="008D3C41"/>
    <w:rsid w:val="008D4E62"/>
    <w:rsid w:val="008E2A67"/>
    <w:rsid w:val="008E4046"/>
    <w:rsid w:val="008E5996"/>
    <w:rsid w:val="008E59C4"/>
    <w:rsid w:val="008E63D8"/>
    <w:rsid w:val="008E6E0F"/>
    <w:rsid w:val="008E6E36"/>
    <w:rsid w:val="008E7469"/>
    <w:rsid w:val="008E788A"/>
    <w:rsid w:val="008E7F6E"/>
    <w:rsid w:val="008F3AA0"/>
    <w:rsid w:val="008F4CBD"/>
    <w:rsid w:val="008F544F"/>
    <w:rsid w:val="008F5810"/>
    <w:rsid w:val="008F59CF"/>
    <w:rsid w:val="008F5B1F"/>
    <w:rsid w:val="008F5C2B"/>
    <w:rsid w:val="008F5E9A"/>
    <w:rsid w:val="008F63E0"/>
    <w:rsid w:val="009009B5"/>
    <w:rsid w:val="00902F94"/>
    <w:rsid w:val="009035B5"/>
    <w:rsid w:val="00903C32"/>
    <w:rsid w:val="00903FC5"/>
    <w:rsid w:val="0090423A"/>
    <w:rsid w:val="00906256"/>
    <w:rsid w:val="0090668A"/>
    <w:rsid w:val="009076AC"/>
    <w:rsid w:val="00910555"/>
    <w:rsid w:val="00913271"/>
    <w:rsid w:val="009144DF"/>
    <w:rsid w:val="009155C4"/>
    <w:rsid w:val="009158DD"/>
    <w:rsid w:val="00915A35"/>
    <w:rsid w:val="00915DCD"/>
    <w:rsid w:val="00916A24"/>
    <w:rsid w:val="00916B16"/>
    <w:rsid w:val="0091725A"/>
    <w:rsid w:val="009173B9"/>
    <w:rsid w:val="0091755E"/>
    <w:rsid w:val="009177C5"/>
    <w:rsid w:val="00917A69"/>
    <w:rsid w:val="00920848"/>
    <w:rsid w:val="0092148D"/>
    <w:rsid w:val="00922A1B"/>
    <w:rsid w:val="009231B1"/>
    <w:rsid w:val="00923250"/>
    <w:rsid w:val="0092373B"/>
    <w:rsid w:val="0092442D"/>
    <w:rsid w:val="009250B7"/>
    <w:rsid w:val="0092518B"/>
    <w:rsid w:val="009264D4"/>
    <w:rsid w:val="00926700"/>
    <w:rsid w:val="009320CD"/>
    <w:rsid w:val="009321F1"/>
    <w:rsid w:val="00932611"/>
    <w:rsid w:val="00932EE5"/>
    <w:rsid w:val="00932F6F"/>
    <w:rsid w:val="0093335D"/>
    <w:rsid w:val="00934030"/>
    <w:rsid w:val="009342E8"/>
    <w:rsid w:val="0093482E"/>
    <w:rsid w:val="0093613E"/>
    <w:rsid w:val="009367F6"/>
    <w:rsid w:val="00936870"/>
    <w:rsid w:val="009373BA"/>
    <w:rsid w:val="00937838"/>
    <w:rsid w:val="009419A3"/>
    <w:rsid w:val="00942081"/>
    <w:rsid w:val="009426BA"/>
    <w:rsid w:val="00943026"/>
    <w:rsid w:val="009444F3"/>
    <w:rsid w:val="0094588B"/>
    <w:rsid w:val="0094674B"/>
    <w:rsid w:val="009470F2"/>
    <w:rsid w:val="00947FE1"/>
    <w:rsid w:val="009505F8"/>
    <w:rsid w:val="0095270B"/>
    <w:rsid w:val="00954436"/>
    <w:rsid w:val="009544AC"/>
    <w:rsid w:val="009550DB"/>
    <w:rsid w:val="0096142C"/>
    <w:rsid w:val="0096223A"/>
    <w:rsid w:val="00962265"/>
    <w:rsid w:val="009628AE"/>
    <w:rsid w:val="009630B6"/>
    <w:rsid w:val="0096464C"/>
    <w:rsid w:val="009655D2"/>
    <w:rsid w:val="00965CCF"/>
    <w:rsid w:val="00965F53"/>
    <w:rsid w:val="00966B81"/>
    <w:rsid w:val="009679BE"/>
    <w:rsid w:val="00971437"/>
    <w:rsid w:val="00971AAF"/>
    <w:rsid w:val="00971ACF"/>
    <w:rsid w:val="00971DDD"/>
    <w:rsid w:val="0097233E"/>
    <w:rsid w:val="00973E62"/>
    <w:rsid w:val="00973FF4"/>
    <w:rsid w:val="0097462D"/>
    <w:rsid w:val="00974EE9"/>
    <w:rsid w:val="0097518C"/>
    <w:rsid w:val="00975A06"/>
    <w:rsid w:val="0097620B"/>
    <w:rsid w:val="00980034"/>
    <w:rsid w:val="00980A6A"/>
    <w:rsid w:val="00980BF8"/>
    <w:rsid w:val="00981E87"/>
    <w:rsid w:val="0098380A"/>
    <w:rsid w:val="0098629F"/>
    <w:rsid w:val="00987D2B"/>
    <w:rsid w:val="009910CC"/>
    <w:rsid w:val="00994CDA"/>
    <w:rsid w:val="009953FC"/>
    <w:rsid w:val="00995A4F"/>
    <w:rsid w:val="00996048"/>
    <w:rsid w:val="00996AAE"/>
    <w:rsid w:val="009972DD"/>
    <w:rsid w:val="009A13F4"/>
    <w:rsid w:val="009A245C"/>
    <w:rsid w:val="009A367E"/>
    <w:rsid w:val="009A47F4"/>
    <w:rsid w:val="009A6126"/>
    <w:rsid w:val="009A7DA1"/>
    <w:rsid w:val="009B01ED"/>
    <w:rsid w:val="009B04BF"/>
    <w:rsid w:val="009B1FB2"/>
    <w:rsid w:val="009B2C53"/>
    <w:rsid w:val="009B32D7"/>
    <w:rsid w:val="009B38B1"/>
    <w:rsid w:val="009B538D"/>
    <w:rsid w:val="009B6849"/>
    <w:rsid w:val="009C15F5"/>
    <w:rsid w:val="009C1DF8"/>
    <w:rsid w:val="009C21EA"/>
    <w:rsid w:val="009C232D"/>
    <w:rsid w:val="009C28A4"/>
    <w:rsid w:val="009C2C4C"/>
    <w:rsid w:val="009C3BA2"/>
    <w:rsid w:val="009C4C06"/>
    <w:rsid w:val="009C542B"/>
    <w:rsid w:val="009C6723"/>
    <w:rsid w:val="009C7164"/>
    <w:rsid w:val="009C755E"/>
    <w:rsid w:val="009C7720"/>
    <w:rsid w:val="009D3327"/>
    <w:rsid w:val="009D3D75"/>
    <w:rsid w:val="009D3FEF"/>
    <w:rsid w:val="009D4E80"/>
    <w:rsid w:val="009D4E86"/>
    <w:rsid w:val="009D772A"/>
    <w:rsid w:val="009D792D"/>
    <w:rsid w:val="009E030E"/>
    <w:rsid w:val="009E054A"/>
    <w:rsid w:val="009E11F6"/>
    <w:rsid w:val="009E1AC2"/>
    <w:rsid w:val="009E20B6"/>
    <w:rsid w:val="009E221D"/>
    <w:rsid w:val="009E2534"/>
    <w:rsid w:val="009E29F1"/>
    <w:rsid w:val="009E321C"/>
    <w:rsid w:val="009E38CB"/>
    <w:rsid w:val="009E52ED"/>
    <w:rsid w:val="009E5877"/>
    <w:rsid w:val="009E5CD0"/>
    <w:rsid w:val="009E5EB0"/>
    <w:rsid w:val="009E641C"/>
    <w:rsid w:val="009E7D51"/>
    <w:rsid w:val="009F01EF"/>
    <w:rsid w:val="009F16CB"/>
    <w:rsid w:val="009F2E00"/>
    <w:rsid w:val="009F3F39"/>
    <w:rsid w:val="009F4418"/>
    <w:rsid w:val="009F4FAA"/>
    <w:rsid w:val="009F6C40"/>
    <w:rsid w:val="00A00F81"/>
    <w:rsid w:val="00A018DB"/>
    <w:rsid w:val="00A028D8"/>
    <w:rsid w:val="00A02D51"/>
    <w:rsid w:val="00A03E8A"/>
    <w:rsid w:val="00A0422C"/>
    <w:rsid w:val="00A04F01"/>
    <w:rsid w:val="00A05DC1"/>
    <w:rsid w:val="00A0629C"/>
    <w:rsid w:val="00A07C61"/>
    <w:rsid w:val="00A10513"/>
    <w:rsid w:val="00A118B5"/>
    <w:rsid w:val="00A12A87"/>
    <w:rsid w:val="00A13433"/>
    <w:rsid w:val="00A13D42"/>
    <w:rsid w:val="00A149C4"/>
    <w:rsid w:val="00A14E04"/>
    <w:rsid w:val="00A14E84"/>
    <w:rsid w:val="00A14F98"/>
    <w:rsid w:val="00A15F11"/>
    <w:rsid w:val="00A16C68"/>
    <w:rsid w:val="00A17BBB"/>
    <w:rsid w:val="00A208F4"/>
    <w:rsid w:val="00A21AD3"/>
    <w:rsid w:val="00A21B96"/>
    <w:rsid w:val="00A23039"/>
    <w:rsid w:val="00A23AA8"/>
    <w:rsid w:val="00A23AFA"/>
    <w:rsid w:val="00A23B9A"/>
    <w:rsid w:val="00A23F3E"/>
    <w:rsid w:val="00A24194"/>
    <w:rsid w:val="00A248DD"/>
    <w:rsid w:val="00A24B49"/>
    <w:rsid w:val="00A24ED6"/>
    <w:rsid w:val="00A31B3E"/>
    <w:rsid w:val="00A3646C"/>
    <w:rsid w:val="00A36F50"/>
    <w:rsid w:val="00A37B5A"/>
    <w:rsid w:val="00A40371"/>
    <w:rsid w:val="00A40B18"/>
    <w:rsid w:val="00A40CBE"/>
    <w:rsid w:val="00A42137"/>
    <w:rsid w:val="00A421C0"/>
    <w:rsid w:val="00A455E4"/>
    <w:rsid w:val="00A4616D"/>
    <w:rsid w:val="00A4746C"/>
    <w:rsid w:val="00A4776F"/>
    <w:rsid w:val="00A47E2D"/>
    <w:rsid w:val="00A50163"/>
    <w:rsid w:val="00A50243"/>
    <w:rsid w:val="00A511E2"/>
    <w:rsid w:val="00A51A2E"/>
    <w:rsid w:val="00A52EA1"/>
    <w:rsid w:val="00A5321A"/>
    <w:rsid w:val="00A532F3"/>
    <w:rsid w:val="00A54001"/>
    <w:rsid w:val="00A56961"/>
    <w:rsid w:val="00A57D07"/>
    <w:rsid w:val="00A57EE6"/>
    <w:rsid w:val="00A57FEA"/>
    <w:rsid w:val="00A60B2A"/>
    <w:rsid w:val="00A6163B"/>
    <w:rsid w:val="00A619B3"/>
    <w:rsid w:val="00A61E61"/>
    <w:rsid w:val="00A66F7F"/>
    <w:rsid w:val="00A670C6"/>
    <w:rsid w:val="00A70EBF"/>
    <w:rsid w:val="00A72A2A"/>
    <w:rsid w:val="00A7702C"/>
    <w:rsid w:val="00A77860"/>
    <w:rsid w:val="00A800AE"/>
    <w:rsid w:val="00A80F10"/>
    <w:rsid w:val="00A81EA8"/>
    <w:rsid w:val="00A83384"/>
    <w:rsid w:val="00A834C4"/>
    <w:rsid w:val="00A837C9"/>
    <w:rsid w:val="00A83867"/>
    <w:rsid w:val="00A83C63"/>
    <w:rsid w:val="00A83CBF"/>
    <w:rsid w:val="00A841EF"/>
    <w:rsid w:val="00A8489E"/>
    <w:rsid w:val="00A849E0"/>
    <w:rsid w:val="00A86064"/>
    <w:rsid w:val="00A91C81"/>
    <w:rsid w:val="00A92B12"/>
    <w:rsid w:val="00A93382"/>
    <w:rsid w:val="00A94F88"/>
    <w:rsid w:val="00A962C2"/>
    <w:rsid w:val="00A97F4E"/>
    <w:rsid w:val="00A97F82"/>
    <w:rsid w:val="00AA0762"/>
    <w:rsid w:val="00AA124A"/>
    <w:rsid w:val="00AA1A61"/>
    <w:rsid w:val="00AA1C49"/>
    <w:rsid w:val="00AA3501"/>
    <w:rsid w:val="00AA3ABF"/>
    <w:rsid w:val="00AA42BB"/>
    <w:rsid w:val="00AA4BD2"/>
    <w:rsid w:val="00AA51AB"/>
    <w:rsid w:val="00AA52EB"/>
    <w:rsid w:val="00AA5906"/>
    <w:rsid w:val="00AA5AA4"/>
    <w:rsid w:val="00AA6760"/>
    <w:rsid w:val="00AB125A"/>
    <w:rsid w:val="00AB1EB8"/>
    <w:rsid w:val="00AB467E"/>
    <w:rsid w:val="00AB54DE"/>
    <w:rsid w:val="00AB6C2D"/>
    <w:rsid w:val="00AB769D"/>
    <w:rsid w:val="00AB7B52"/>
    <w:rsid w:val="00AB7E5A"/>
    <w:rsid w:val="00AB7EBD"/>
    <w:rsid w:val="00AC075B"/>
    <w:rsid w:val="00AC08F4"/>
    <w:rsid w:val="00AC0A62"/>
    <w:rsid w:val="00AC16D7"/>
    <w:rsid w:val="00AC1880"/>
    <w:rsid w:val="00AC1997"/>
    <w:rsid w:val="00AC29F3"/>
    <w:rsid w:val="00AC3F1B"/>
    <w:rsid w:val="00AC40CE"/>
    <w:rsid w:val="00AC48C2"/>
    <w:rsid w:val="00AC689E"/>
    <w:rsid w:val="00AC713E"/>
    <w:rsid w:val="00AD06A3"/>
    <w:rsid w:val="00AD09AA"/>
    <w:rsid w:val="00AD0F8B"/>
    <w:rsid w:val="00AD1DC9"/>
    <w:rsid w:val="00AD2542"/>
    <w:rsid w:val="00AD46A0"/>
    <w:rsid w:val="00AD53A6"/>
    <w:rsid w:val="00AD5B7D"/>
    <w:rsid w:val="00AD644D"/>
    <w:rsid w:val="00AD6846"/>
    <w:rsid w:val="00AD6B41"/>
    <w:rsid w:val="00AD7440"/>
    <w:rsid w:val="00AD7D89"/>
    <w:rsid w:val="00AE0738"/>
    <w:rsid w:val="00AE0BE1"/>
    <w:rsid w:val="00AE158C"/>
    <w:rsid w:val="00AE173E"/>
    <w:rsid w:val="00AE186B"/>
    <w:rsid w:val="00AE2686"/>
    <w:rsid w:val="00AE4920"/>
    <w:rsid w:val="00AE49AC"/>
    <w:rsid w:val="00AE5348"/>
    <w:rsid w:val="00AE5C93"/>
    <w:rsid w:val="00AE5ED9"/>
    <w:rsid w:val="00AE7DED"/>
    <w:rsid w:val="00AF23F1"/>
    <w:rsid w:val="00AF352F"/>
    <w:rsid w:val="00AF414E"/>
    <w:rsid w:val="00AF46EB"/>
    <w:rsid w:val="00AF523E"/>
    <w:rsid w:val="00AF5C53"/>
    <w:rsid w:val="00AF5D3C"/>
    <w:rsid w:val="00AF7051"/>
    <w:rsid w:val="00B011BA"/>
    <w:rsid w:val="00B01AF9"/>
    <w:rsid w:val="00B01DC7"/>
    <w:rsid w:val="00B05587"/>
    <w:rsid w:val="00B06E85"/>
    <w:rsid w:val="00B07354"/>
    <w:rsid w:val="00B0748B"/>
    <w:rsid w:val="00B07C1F"/>
    <w:rsid w:val="00B07CA5"/>
    <w:rsid w:val="00B10FE3"/>
    <w:rsid w:val="00B11398"/>
    <w:rsid w:val="00B119E7"/>
    <w:rsid w:val="00B129C9"/>
    <w:rsid w:val="00B12B60"/>
    <w:rsid w:val="00B12EB5"/>
    <w:rsid w:val="00B13096"/>
    <w:rsid w:val="00B1462E"/>
    <w:rsid w:val="00B163DC"/>
    <w:rsid w:val="00B16715"/>
    <w:rsid w:val="00B16CCD"/>
    <w:rsid w:val="00B17A29"/>
    <w:rsid w:val="00B2015C"/>
    <w:rsid w:val="00B219DA"/>
    <w:rsid w:val="00B21BB5"/>
    <w:rsid w:val="00B231E5"/>
    <w:rsid w:val="00B23227"/>
    <w:rsid w:val="00B2360D"/>
    <w:rsid w:val="00B23AF4"/>
    <w:rsid w:val="00B2401C"/>
    <w:rsid w:val="00B261E5"/>
    <w:rsid w:val="00B26420"/>
    <w:rsid w:val="00B26781"/>
    <w:rsid w:val="00B270BE"/>
    <w:rsid w:val="00B31C2E"/>
    <w:rsid w:val="00B31F7F"/>
    <w:rsid w:val="00B32419"/>
    <w:rsid w:val="00B324CC"/>
    <w:rsid w:val="00B32D7D"/>
    <w:rsid w:val="00B3336D"/>
    <w:rsid w:val="00B36235"/>
    <w:rsid w:val="00B4044D"/>
    <w:rsid w:val="00B40CFC"/>
    <w:rsid w:val="00B41BC3"/>
    <w:rsid w:val="00B41E98"/>
    <w:rsid w:val="00B42326"/>
    <w:rsid w:val="00B423F8"/>
    <w:rsid w:val="00B43C4F"/>
    <w:rsid w:val="00B43C9D"/>
    <w:rsid w:val="00B43FAF"/>
    <w:rsid w:val="00B44E52"/>
    <w:rsid w:val="00B45BE6"/>
    <w:rsid w:val="00B46C66"/>
    <w:rsid w:val="00B47450"/>
    <w:rsid w:val="00B515E2"/>
    <w:rsid w:val="00B51B6A"/>
    <w:rsid w:val="00B52C51"/>
    <w:rsid w:val="00B544AA"/>
    <w:rsid w:val="00B554F4"/>
    <w:rsid w:val="00B5565C"/>
    <w:rsid w:val="00B55E56"/>
    <w:rsid w:val="00B56E77"/>
    <w:rsid w:val="00B6008D"/>
    <w:rsid w:val="00B61746"/>
    <w:rsid w:val="00B61935"/>
    <w:rsid w:val="00B622C4"/>
    <w:rsid w:val="00B6274A"/>
    <w:rsid w:val="00B62C8E"/>
    <w:rsid w:val="00B633A7"/>
    <w:rsid w:val="00B63975"/>
    <w:rsid w:val="00B65365"/>
    <w:rsid w:val="00B65C7F"/>
    <w:rsid w:val="00B65D14"/>
    <w:rsid w:val="00B66DB2"/>
    <w:rsid w:val="00B6743C"/>
    <w:rsid w:val="00B70C87"/>
    <w:rsid w:val="00B70F53"/>
    <w:rsid w:val="00B72072"/>
    <w:rsid w:val="00B72F95"/>
    <w:rsid w:val="00B7453E"/>
    <w:rsid w:val="00B75AC4"/>
    <w:rsid w:val="00B77B1E"/>
    <w:rsid w:val="00B81A48"/>
    <w:rsid w:val="00B81F23"/>
    <w:rsid w:val="00B82B56"/>
    <w:rsid w:val="00B82DCC"/>
    <w:rsid w:val="00B83B4D"/>
    <w:rsid w:val="00B84DD7"/>
    <w:rsid w:val="00B8521E"/>
    <w:rsid w:val="00B85407"/>
    <w:rsid w:val="00B85A5D"/>
    <w:rsid w:val="00B87B7E"/>
    <w:rsid w:val="00B91943"/>
    <w:rsid w:val="00B9289A"/>
    <w:rsid w:val="00B936EA"/>
    <w:rsid w:val="00B93995"/>
    <w:rsid w:val="00B945A6"/>
    <w:rsid w:val="00B94869"/>
    <w:rsid w:val="00B94C3E"/>
    <w:rsid w:val="00B9529E"/>
    <w:rsid w:val="00B956DF"/>
    <w:rsid w:val="00B97D0F"/>
    <w:rsid w:val="00BA030D"/>
    <w:rsid w:val="00BA08D5"/>
    <w:rsid w:val="00BA230D"/>
    <w:rsid w:val="00BA233C"/>
    <w:rsid w:val="00BA512F"/>
    <w:rsid w:val="00BA5495"/>
    <w:rsid w:val="00BA5A1D"/>
    <w:rsid w:val="00BA7022"/>
    <w:rsid w:val="00BA7482"/>
    <w:rsid w:val="00BB17CA"/>
    <w:rsid w:val="00BB1818"/>
    <w:rsid w:val="00BB20AC"/>
    <w:rsid w:val="00BB21AA"/>
    <w:rsid w:val="00BB2D1D"/>
    <w:rsid w:val="00BB41E0"/>
    <w:rsid w:val="00BB4E3D"/>
    <w:rsid w:val="00BB7978"/>
    <w:rsid w:val="00BC0169"/>
    <w:rsid w:val="00BC08CC"/>
    <w:rsid w:val="00BC0D1D"/>
    <w:rsid w:val="00BC1160"/>
    <w:rsid w:val="00BC13BC"/>
    <w:rsid w:val="00BC168A"/>
    <w:rsid w:val="00BC2F9A"/>
    <w:rsid w:val="00BC393E"/>
    <w:rsid w:val="00BC40F3"/>
    <w:rsid w:val="00BC6863"/>
    <w:rsid w:val="00BC694D"/>
    <w:rsid w:val="00BD1024"/>
    <w:rsid w:val="00BD27C7"/>
    <w:rsid w:val="00BD281D"/>
    <w:rsid w:val="00BD391E"/>
    <w:rsid w:val="00BD40D3"/>
    <w:rsid w:val="00BD542C"/>
    <w:rsid w:val="00BD5530"/>
    <w:rsid w:val="00BE0E2F"/>
    <w:rsid w:val="00BE1534"/>
    <w:rsid w:val="00BE1E9C"/>
    <w:rsid w:val="00BE3425"/>
    <w:rsid w:val="00BE5E00"/>
    <w:rsid w:val="00BE5E41"/>
    <w:rsid w:val="00BE6638"/>
    <w:rsid w:val="00BE732E"/>
    <w:rsid w:val="00BE7384"/>
    <w:rsid w:val="00BE7AC9"/>
    <w:rsid w:val="00BE7AFB"/>
    <w:rsid w:val="00BF0C29"/>
    <w:rsid w:val="00BF1258"/>
    <w:rsid w:val="00BF1A6F"/>
    <w:rsid w:val="00BF22C3"/>
    <w:rsid w:val="00BF2331"/>
    <w:rsid w:val="00BF2E3D"/>
    <w:rsid w:val="00BF45DB"/>
    <w:rsid w:val="00BF494A"/>
    <w:rsid w:val="00BF4D85"/>
    <w:rsid w:val="00BF5FA3"/>
    <w:rsid w:val="00BF620A"/>
    <w:rsid w:val="00BF68DE"/>
    <w:rsid w:val="00BF7C4C"/>
    <w:rsid w:val="00C007E2"/>
    <w:rsid w:val="00C01204"/>
    <w:rsid w:val="00C02B87"/>
    <w:rsid w:val="00C031F7"/>
    <w:rsid w:val="00C03DCA"/>
    <w:rsid w:val="00C04225"/>
    <w:rsid w:val="00C102BB"/>
    <w:rsid w:val="00C11131"/>
    <w:rsid w:val="00C116B1"/>
    <w:rsid w:val="00C12A35"/>
    <w:rsid w:val="00C13DCA"/>
    <w:rsid w:val="00C15175"/>
    <w:rsid w:val="00C15CA0"/>
    <w:rsid w:val="00C15FBA"/>
    <w:rsid w:val="00C162E1"/>
    <w:rsid w:val="00C17ACE"/>
    <w:rsid w:val="00C17F7A"/>
    <w:rsid w:val="00C20BF5"/>
    <w:rsid w:val="00C21C0F"/>
    <w:rsid w:val="00C2468A"/>
    <w:rsid w:val="00C24AF8"/>
    <w:rsid w:val="00C2684F"/>
    <w:rsid w:val="00C26DB0"/>
    <w:rsid w:val="00C272BF"/>
    <w:rsid w:val="00C31191"/>
    <w:rsid w:val="00C318FD"/>
    <w:rsid w:val="00C31EC9"/>
    <w:rsid w:val="00C329F6"/>
    <w:rsid w:val="00C34AE7"/>
    <w:rsid w:val="00C34BE4"/>
    <w:rsid w:val="00C36D79"/>
    <w:rsid w:val="00C37583"/>
    <w:rsid w:val="00C4086D"/>
    <w:rsid w:val="00C43A6C"/>
    <w:rsid w:val="00C43D92"/>
    <w:rsid w:val="00C45482"/>
    <w:rsid w:val="00C45E71"/>
    <w:rsid w:val="00C462A6"/>
    <w:rsid w:val="00C46741"/>
    <w:rsid w:val="00C47186"/>
    <w:rsid w:val="00C50D95"/>
    <w:rsid w:val="00C52083"/>
    <w:rsid w:val="00C521CF"/>
    <w:rsid w:val="00C52528"/>
    <w:rsid w:val="00C53810"/>
    <w:rsid w:val="00C56C17"/>
    <w:rsid w:val="00C56DEC"/>
    <w:rsid w:val="00C603E0"/>
    <w:rsid w:val="00C61AB5"/>
    <w:rsid w:val="00C62CD5"/>
    <w:rsid w:val="00C63C94"/>
    <w:rsid w:val="00C640EF"/>
    <w:rsid w:val="00C6415C"/>
    <w:rsid w:val="00C641BF"/>
    <w:rsid w:val="00C64599"/>
    <w:rsid w:val="00C662BC"/>
    <w:rsid w:val="00C6660E"/>
    <w:rsid w:val="00C66707"/>
    <w:rsid w:val="00C66CBA"/>
    <w:rsid w:val="00C66ED7"/>
    <w:rsid w:val="00C70C91"/>
    <w:rsid w:val="00C70E4D"/>
    <w:rsid w:val="00C7198D"/>
    <w:rsid w:val="00C72732"/>
    <w:rsid w:val="00C72DCD"/>
    <w:rsid w:val="00C74008"/>
    <w:rsid w:val="00C76786"/>
    <w:rsid w:val="00C76E30"/>
    <w:rsid w:val="00C77954"/>
    <w:rsid w:val="00C77DE6"/>
    <w:rsid w:val="00C806D5"/>
    <w:rsid w:val="00C817A7"/>
    <w:rsid w:val="00C823DD"/>
    <w:rsid w:val="00C8247A"/>
    <w:rsid w:val="00C833BC"/>
    <w:rsid w:val="00C8418E"/>
    <w:rsid w:val="00C848E0"/>
    <w:rsid w:val="00C850BC"/>
    <w:rsid w:val="00C85131"/>
    <w:rsid w:val="00C85140"/>
    <w:rsid w:val="00C85766"/>
    <w:rsid w:val="00C85D64"/>
    <w:rsid w:val="00C861C3"/>
    <w:rsid w:val="00C8745F"/>
    <w:rsid w:val="00C8757F"/>
    <w:rsid w:val="00C87BEC"/>
    <w:rsid w:val="00C87DE5"/>
    <w:rsid w:val="00C92662"/>
    <w:rsid w:val="00C931F2"/>
    <w:rsid w:val="00C9327E"/>
    <w:rsid w:val="00C93452"/>
    <w:rsid w:val="00C93C8E"/>
    <w:rsid w:val="00C941C0"/>
    <w:rsid w:val="00C947D8"/>
    <w:rsid w:val="00C94C42"/>
    <w:rsid w:val="00C9614F"/>
    <w:rsid w:val="00C96DF0"/>
    <w:rsid w:val="00C9763D"/>
    <w:rsid w:val="00C976C3"/>
    <w:rsid w:val="00CA0E15"/>
    <w:rsid w:val="00CA0E27"/>
    <w:rsid w:val="00CA1896"/>
    <w:rsid w:val="00CA1A2B"/>
    <w:rsid w:val="00CA1B9A"/>
    <w:rsid w:val="00CA2E34"/>
    <w:rsid w:val="00CA3E42"/>
    <w:rsid w:val="00CA3EEA"/>
    <w:rsid w:val="00CA557E"/>
    <w:rsid w:val="00CA56FD"/>
    <w:rsid w:val="00CA5711"/>
    <w:rsid w:val="00CA62B6"/>
    <w:rsid w:val="00CA76A1"/>
    <w:rsid w:val="00CA7FA3"/>
    <w:rsid w:val="00CB0024"/>
    <w:rsid w:val="00CB07E9"/>
    <w:rsid w:val="00CB0E9D"/>
    <w:rsid w:val="00CB1348"/>
    <w:rsid w:val="00CB14BF"/>
    <w:rsid w:val="00CB50A8"/>
    <w:rsid w:val="00CB5B28"/>
    <w:rsid w:val="00CB5BE2"/>
    <w:rsid w:val="00CB68EA"/>
    <w:rsid w:val="00CB7473"/>
    <w:rsid w:val="00CB79A8"/>
    <w:rsid w:val="00CB7BEA"/>
    <w:rsid w:val="00CC2E3F"/>
    <w:rsid w:val="00CC48CB"/>
    <w:rsid w:val="00CC58E7"/>
    <w:rsid w:val="00CD0702"/>
    <w:rsid w:val="00CD0CB8"/>
    <w:rsid w:val="00CD2106"/>
    <w:rsid w:val="00CD25A6"/>
    <w:rsid w:val="00CD268E"/>
    <w:rsid w:val="00CD2B24"/>
    <w:rsid w:val="00CD380D"/>
    <w:rsid w:val="00CD4CB7"/>
    <w:rsid w:val="00CD4CC3"/>
    <w:rsid w:val="00CD5D1F"/>
    <w:rsid w:val="00CD6C05"/>
    <w:rsid w:val="00CE0090"/>
    <w:rsid w:val="00CE0ADA"/>
    <w:rsid w:val="00CE0B28"/>
    <w:rsid w:val="00CE3B0C"/>
    <w:rsid w:val="00CE4834"/>
    <w:rsid w:val="00CE58D3"/>
    <w:rsid w:val="00CE59CE"/>
    <w:rsid w:val="00CE6D0F"/>
    <w:rsid w:val="00CE7326"/>
    <w:rsid w:val="00CF17DD"/>
    <w:rsid w:val="00CF1A59"/>
    <w:rsid w:val="00CF316A"/>
    <w:rsid w:val="00CF44FC"/>
    <w:rsid w:val="00CF4584"/>
    <w:rsid w:val="00CF4603"/>
    <w:rsid w:val="00CF46FC"/>
    <w:rsid w:val="00CF4FD1"/>
    <w:rsid w:val="00CF5371"/>
    <w:rsid w:val="00CF5AE7"/>
    <w:rsid w:val="00CF5C5E"/>
    <w:rsid w:val="00CF71CE"/>
    <w:rsid w:val="00CF72A7"/>
    <w:rsid w:val="00CF7854"/>
    <w:rsid w:val="00CF7BC3"/>
    <w:rsid w:val="00D01065"/>
    <w:rsid w:val="00D02674"/>
    <w:rsid w:val="00D02728"/>
    <w:rsid w:val="00D0312C"/>
    <w:rsid w:val="00D0323A"/>
    <w:rsid w:val="00D035CD"/>
    <w:rsid w:val="00D03F60"/>
    <w:rsid w:val="00D04144"/>
    <w:rsid w:val="00D04235"/>
    <w:rsid w:val="00D0559F"/>
    <w:rsid w:val="00D05C6B"/>
    <w:rsid w:val="00D077E9"/>
    <w:rsid w:val="00D07D48"/>
    <w:rsid w:val="00D10D80"/>
    <w:rsid w:val="00D1170A"/>
    <w:rsid w:val="00D1232C"/>
    <w:rsid w:val="00D13255"/>
    <w:rsid w:val="00D13690"/>
    <w:rsid w:val="00D13CD3"/>
    <w:rsid w:val="00D13FD0"/>
    <w:rsid w:val="00D1483A"/>
    <w:rsid w:val="00D17A8A"/>
    <w:rsid w:val="00D2074A"/>
    <w:rsid w:val="00D22A11"/>
    <w:rsid w:val="00D24051"/>
    <w:rsid w:val="00D250BA"/>
    <w:rsid w:val="00D26955"/>
    <w:rsid w:val="00D26C0C"/>
    <w:rsid w:val="00D27432"/>
    <w:rsid w:val="00D305F0"/>
    <w:rsid w:val="00D31608"/>
    <w:rsid w:val="00D31788"/>
    <w:rsid w:val="00D33DAE"/>
    <w:rsid w:val="00D34E9F"/>
    <w:rsid w:val="00D350C0"/>
    <w:rsid w:val="00D35DF2"/>
    <w:rsid w:val="00D36B89"/>
    <w:rsid w:val="00D37721"/>
    <w:rsid w:val="00D37F30"/>
    <w:rsid w:val="00D40F7D"/>
    <w:rsid w:val="00D41F56"/>
    <w:rsid w:val="00D4286E"/>
    <w:rsid w:val="00D42CB7"/>
    <w:rsid w:val="00D43265"/>
    <w:rsid w:val="00D43563"/>
    <w:rsid w:val="00D43E7B"/>
    <w:rsid w:val="00D4564C"/>
    <w:rsid w:val="00D463AA"/>
    <w:rsid w:val="00D46667"/>
    <w:rsid w:val="00D46CC3"/>
    <w:rsid w:val="00D47A34"/>
    <w:rsid w:val="00D50D44"/>
    <w:rsid w:val="00D51E68"/>
    <w:rsid w:val="00D5246B"/>
    <w:rsid w:val="00D52949"/>
    <w:rsid w:val="00D53D22"/>
    <w:rsid w:val="00D5413D"/>
    <w:rsid w:val="00D55950"/>
    <w:rsid w:val="00D570A9"/>
    <w:rsid w:val="00D579A8"/>
    <w:rsid w:val="00D57AF0"/>
    <w:rsid w:val="00D61193"/>
    <w:rsid w:val="00D62BA2"/>
    <w:rsid w:val="00D64004"/>
    <w:rsid w:val="00D643BA"/>
    <w:rsid w:val="00D662E5"/>
    <w:rsid w:val="00D67A5E"/>
    <w:rsid w:val="00D702D3"/>
    <w:rsid w:val="00D70D02"/>
    <w:rsid w:val="00D7124C"/>
    <w:rsid w:val="00D71393"/>
    <w:rsid w:val="00D71F7D"/>
    <w:rsid w:val="00D74DCB"/>
    <w:rsid w:val="00D75F80"/>
    <w:rsid w:val="00D7628B"/>
    <w:rsid w:val="00D7670E"/>
    <w:rsid w:val="00D770C7"/>
    <w:rsid w:val="00D77F47"/>
    <w:rsid w:val="00D8144B"/>
    <w:rsid w:val="00D819C6"/>
    <w:rsid w:val="00D83A33"/>
    <w:rsid w:val="00D84F8F"/>
    <w:rsid w:val="00D864BB"/>
    <w:rsid w:val="00D86945"/>
    <w:rsid w:val="00D86D4F"/>
    <w:rsid w:val="00D873DD"/>
    <w:rsid w:val="00D873F9"/>
    <w:rsid w:val="00D87ABA"/>
    <w:rsid w:val="00D90290"/>
    <w:rsid w:val="00D92491"/>
    <w:rsid w:val="00D9295F"/>
    <w:rsid w:val="00D9435C"/>
    <w:rsid w:val="00D94485"/>
    <w:rsid w:val="00D945F4"/>
    <w:rsid w:val="00D94AAF"/>
    <w:rsid w:val="00D96067"/>
    <w:rsid w:val="00DA014B"/>
    <w:rsid w:val="00DA28D6"/>
    <w:rsid w:val="00DA735E"/>
    <w:rsid w:val="00DB0A3A"/>
    <w:rsid w:val="00DB0E61"/>
    <w:rsid w:val="00DB0FE2"/>
    <w:rsid w:val="00DB1BCF"/>
    <w:rsid w:val="00DB2333"/>
    <w:rsid w:val="00DB3222"/>
    <w:rsid w:val="00DB3EAC"/>
    <w:rsid w:val="00DB505D"/>
    <w:rsid w:val="00DB512E"/>
    <w:rsid w:val="00DB5B96"/>
    <w:rsid w:val="00DB7957"/>
    <w:rsid w:val="00DB7B35"/>
    <w:rsid w:val="00DB7E50"/>
    <w:rsid w:val="00DC028E"/>
    <w:rsid w:val="00DC0B7D"/>
    <w:rsid w:val="00DC32C6"/>
    <w:rsid w:val="00DC35FF"/>
    <w:rsid w:val="00DC4447"/>
    <w:rsid w:val="00DC4669"/>
    <w:rsid w:val="00DC4A9A"/>
    <w:rsid w:val="00DC58EF"/>
    <w:rsid w:val="00DC5C35"/>
    <w:rsid w:val="00DC5DEE"/>
    <w:rsid w:val="00DC7BC9"/>
    <w:rsid w:val="00DD03AB"/>
    <w:rsid w:val="00DD0955"/>
    <w:rsid w:val="00DD152F"/>
    <w:rsid w:val="00DD21B0"/>
    <w:rsid w:val="00DD22F5"/>
    <w:rsid w:val="00DD5924"/>
    <w:rsid w:val="00DD5C7A"/>
    <w:rsid w:val="00DD6DF7"/>
    <w:rsid w:val="00DE2119"/>
    <w:rsid w:val="00DE213F"/>
    <w:rsid w:val="00DE2BE1"/>
    <w:rsid w:val="00DE3854"/>
    <w:rsid w:val="00DE3CA2"/>
    <w:rsid w:val="00DE4440"/>
    <w:rsid w:val="00DE44E8"/>
    <w:rsid w:val="00DE4E15"/>
    <w:rsid w:val="00DE4FEE"/>
    <w:rsid w:val="00DE70D6"/>
    <w:rsid w:val="00DE7685"/>
    <w:rsid w:val="00DE77DB"/>
    <w:rsid w:val="00DE7BC9"/>
    <w:rsid w:val="00DF027C"/>
    <w:rsid w:val="00DF0619"/>
    <w:rsid w:val="00DF0C0F"/>
    <w:rsid w:val="00DF0DFE"/>
    <w:rsid w:val="00DF1F07"/>
    <w:rsid w:val="00DF2492"/>
    <w:rsid w:val="00DF2A85"/>
    <w:rsid w:val="00DF306E"/>
    <w:rsid w:val="00DF334A"/>
    <w:rsid w:val="00DF4D49"/>
    <w:rsid w:val="00DF5357"/>
    <w:rsid w:val="00DF6988"/>
    <w:rsid w:val="00DF740A"/>
    <w:rsid w:val="00E00A32"/>
    <w:rsid w:val="00E01AE1"/>
    <w:rsid w:val="00E040B7"/>
    <w:rsid w:val="00E04C2D"/>
    <w:rsid w:val="00E05C0E"/>
    <w:rsid w:val="00E0615E"/>
    <w:rsid w:val="00E06ECF"/>
    <w:rsid w:val="00E101BE"/>
    <w:rsid w:val="00E10E83"/>
    <w:rsid w:val="00E1196B"/>
    <w:rsid w:val="00E11BBA"/>
    <w:rsid w:val="00E11FCC"/>
    <w:rsid w:val="00E139DB"/>
    <w:rsid w:val="00E13A07"/>
    <w:rsid w:val="00E13D0A"/>
    <w:rsid w:val="00E1439C"/>
    <w:rsid w:val="00E14478"/>
    <w:rsid w:val="00E1589A"/>
    <w:rsid w:val="00E15FB8"/>
    <w:rsid w:val="00E161D4"/>
    <w:rsid w:val="00E176E3"/>
    <w:rsid w:val="00E20BAA"/>
    <w:rsid w:val="00E22ACD"/>
    <w:rsid w:val="00E231FF"/>
    <w:rsid w:val="00E236EF"/>
    <w:rsid w:val="00E23847"/>
    <w:rsid w:val="00E23DCE"/>
    <w:rsid w:val="00E24903"/>
    <w:rsid w:val="00E2608A"/>
    <w:rsid w:val="00E267A0"/>
    <w:rsid w:val="00E3061D"/>
    <w:rsid w:val="00E3149D"/>
    <w:rsid w:val="00E32663"/>
    <w:rsid w:val="00E34A22"/>
    <w:rsid w:val="00E34B3C"/>
    <w:rsid w:val="00E357D0"/>
    <w:rsid w:val="00E3674E"/>
    <w:rsid w:val="00E37200"/>
    <w:rsid w:val="00E37EFE"/>
    <w:rsid w:val="00E408CA"/>
    <w:rsid w:val="00E40C86"/>
    <w:rsid w:val="00E4147B"/>
    <w:rsid w:val="00E42B71"/>
    <w:rsid w:val="00E4309C"/>
    <w:rsid w:val="00E44C41"/>
    <w:rsid w:val="00E457DF"/>
    <w:rsid w:val="00E46246"/>
    <w:rsid w:val="00E4637A"/>
    <w:rsid w:val="00E463AF"/>
    <w:rsid w:val="00E474A8"/>
    <w:rsid w:val="00E479FE"/>
    <w:rsid w:val="00E50285"/>
    <w:rsid w:val="00E51B7C"/>
    <w:rsid w:val="00E546B7"/>
    <w:rsid w:val="00E56253"/>
    <w:rsid w:val="00E5630B"/>
    <w:rsid w:val="00E56EBB"/>
    <w:rsid w:val="00E57053"/>
    <w:rsid w:val="00E602A0"/>
    <w:rsid w:val="00E60CBA"/>
    <w:rsid w:val="00E61155"/>
    <w:rsid w:val="00E620B0"/>
    <w:rsid w:val="00E63FCF"/>
    <w:rsid w:val="00E64A08"/>
    <w:rsid w:val="00E65767"/>
    <w:rsid w:val="00E662ED"/>
    <w:rsid w:val="00E66773"/>
    <w:rsid w:val="00E66EAB"/>
    <w:rsid w:val="00E67603"/>
    <w:rsid w:val="00E71453"/>
    <w:rsid w:val="00E71E14"/>
    <w:rsid w:val="00E74249"/>
    <w:rsid w:val="00E77539"/>
    <w:rsid w:val="00E778C7"/>
    <w:rsid w:val="00E77C6C"/>
    <w:rsid w:val="00E800F2"/>
    <w:rsid w:val="00E81B40"/>
    <w:rsid w:val="00E8207B"/>
    <w:rsid w:val="00E82BA0"/>
    <w:rsid w:val="00E836BC"/>
    <w:rsid w:val="00E83B67"/>
    <w:rsid w:val="00E84413"/>
    <w:rsid w:val="00E845A7"/>
    <w:rsid w:val="00E84C8D"/>
    <w:rsid w:val="00E8532A"/>
    <w:rsid w:val="00E869BC"/>
    <w:rsid w:val="00E869F9"/>
    <w:rsid w:val="00E873C7"/>
    <w:rsid w:val="00E879B0"/>
    <w:rsid w:val="00E90619"/>
    <w:rsid w:val="00E9128F"/>
    <w:rsid w:val="00E91CFA"/>
    <w:rsid w:val="00E91D28"/>
    <w:rsid w:val="00E92A8D"/>
    <w:rsid w:val="00E9355E"/>
    <w:rsid w:val="00E95ABE"/>
    <w:rsid w:val="00EA2210"/>
    <w:rsid w:val="00EA2280"/>
    <w:rsid w:val="00EA24E8"/>
    <w:rsid w:val="00EA2D80"/>
    <w:rsid w:val="00EA2E12"/>
    <w:rsid w:val="00EA2FF9"/>
    <w:rsid w:val="00EA3C1D"/>
    <w:rsid w:val="00EA6C0A"/>
    <w:rsid w:val="00EA723D"/>
    <w:rsid w:val="00EA72A3"/>
    <w:rsid w:val="00EA7845"/>
    <w:rsid w:val="00EA7ABD"/>
    <w:rsid w:val="00EB097D"/>
    <w:rsid w:val="00EB1689"/>
    <w:rsid w:val="00EB2826"/>
    <w:rsid w:val="00EB3221"/>
    <w:rsid w:val="00EB3A1D"/>
    <w:rsid w:val="00EB4684"/>
    <w:rsid w:val="00EB5331"/>
    <w:rsid w:val="00EB5832"/>
    <w:rsid w:val="00EB5973"/>
    <w:rsid w:val="00EB7FF5"/>
    <w:rsid w:val="00EC07F5"/>
    <w:rsid w:val="00EC17A4"/>
    <w:rsid w:val="00EC1D13"/>
    <w:rsid w:val="00EC1E9F"/>
    <w:rsid w:val="00EC275B"/>
    <w:rsid w:val="00EC3866"/>
    <w:rsid w:val="00EC3D5D"/>
    <w:rsid w:val="00EC41E4"/>
    <w:rsid w:val="00EC46C7"/>
    <w:rsid w:val="00EC53D6"/>
    <w:rsid w:val="00EC557A"/>
    <w:rsid w:val="00EC55AB"/>
    <w:rsid w:val="00EC583C"/>
    <w:rsid w:val="00EC5B82"/>
    <w:rsid w:val="00EC5BEC"/>
    <w:rsid w:val="00EC6337"/>
    <w:rsid w:val="00EC6B81"/>
    <w:rsid w:val="00EC6C18"/>
    <w:rsid w:val="00ED0B03"/>
    <w:rsid w:val="00ED10E8"/>
    <w:rsid w:val="00ED2F33"/>
    <w:rsid w:val="00ED589E"/>
    <w:rsid w:val="00ED639B"/>
    <w:rsid w:val="00ED7560"/>
    <w:rsid w:val="00EE0096"/>
    <w:rsid w:val="00EE126E"/>
    <w:rsid w:val="00EE355F"/>
    <w:rsid w:val="00EE4E8C"/>
    <w:rsid w:val="00EE75CE"/>
    <w:rsid w:val="00EE7DDB"/>
    <w:rsid w:val="00EF04B4"/>
    <w:rsid w:val="00EF2080"/>
    <w:rsid w:val="00EF2F0F"/>
    <w:rsid w:val="00EF3766"/>
    <w:rsid w:val="00EF3A74"/>
    <w:rsid w:val="00EF4F70"/>
    <w:rsid w:val="00EF555B"/>
    <w:rsid w:val="00EF60C0"/>
    <w:rsid w:val="00EF6112"/>
    <w:rsid w:val="00EF76EC"/>
    <w:rsid w:val="00EF7BEC"/>
    <w:rsid w:val="00F00072"/>
    <w:rsid w:val="00F01ECF"/>
    <w:rsid w:val="00F0211F"/>
    <w:rsid w:val="00F027BB"/>
    <w:rsid w:val="00F03190"/>
    <w:rsid w:val="00F05A04"/>
    <w:rsid w:val="00F0727B"/>
    <w:rsid w:val="00F10100"/>
    <w:rsid w:val="00F1014B"/>
    <w:rsid w:val="00F10434"/>
    <w:rsid w:val="00F10537"/>
    <w:rsid w:val="00F11DCF"/>
    <w:rsid w:val="00F1238B"/>
    <w:rsid w:val="00F12DA6"/>
    <w:rsid w:val="00F13586"/>
    <w:rsid w:val="00F14A82"/>
    <w:rsid w:val="00F14CB6"/>
    <w:rsid w:val="00F14FC8"/>
    <w:rsid w:val="00F14FED"/>
    <w:rsid w:val="00F1587E"/>
    <w:rsid w:val="00F162EA"/>
    <w:rsid w:val="00F17496"/>
    <w:rsid w:val="00F206A5"/>
    <w:rsid w:val="00F21441"/>
    <w:rsid w:val="00F215A3"/>
    <w:rsid w:val="00F22059"/>
    <w:rsid w:val="00F230A6"/>
    <w:rsid w:val="00F234C9"/>
    <w:rsid w:val="00F23502"/>
    <w:rsid w:val="00F24413"/>
    <w:rsid w:val="00F25041"/>
    <w:rsid w:val="00F252FD"/>
    <w:rsid w:val="00F30429"/>
    <w:rsid w:val="00F30798"/>
    <w:rsid w:val="00F30B4B"/>
    <w:rsid w:val="00F31356"/>
    <w:rsid w:val="00F32051"/>
    <w:rsid w:val="00F324B1"/>
    <w:rsid w:val="00F324E4"/>
    <w:rsid w:val="00F33517"/>
    <w:rsid w:val="00F3354F"/>
    <w:rsid w:val="00F33E70"/>
    <w:rsid w:val="00F343F4"/>
    <w:rsid w:val="00F3446E"/>
    <w:rsid w:val="00F348CE"/>
    <w:rsid w:val="00F353D7"/>
    <w:rsid w:val="00F357B6"/>
    <w:rsid w:val="00F35C23"/>
    <w:rsid w:val="00F37472"/>
    <w:rsid w:val="00F37973"/>
    <w:rsid w:val="00F40897"/>
    <w:rsid w:val="00F410DA"/>
    <w:rsid w:val="00F416AA"/>
    <w:rsid w:val="00F41D1D"/>
    <w:rsid w:val="00F421E7"/>
    <w:rsid w:val="00F4341E"/>
    <w:rsid w:val="00F43E43"/>
    <w:rsid w:val="00F447A7"/>
    <w:rsid w:val="00F46DBE"/>
    <w:rsid w:val="00F47299"/>
    <w:rsid w:val="00F47964"/>
    <w:rsid w:val="00F479E0"/>
    <w:rsid w:val="00F50B48"/>
    <w:rsid w:val="00F50FCE"/>
    <w:rsid w:val="00F52617"/>
    <w:rsid w:val="00F52D27"/>
    <w:rsid w:val="00F53050"/>
    <w:rsid w:val="00F61AC2"/>
    <w:rsid w:val="00F62040"/>
    <w:rsid w:val="00F6262D"/>
    <w:rsid w:val="00F628F8"/>
    <w:rsid w:val="00F639AD"/>
    <w:rsid w:val="00F63B1E"/>
    <w:rsid w:val="00F64610"/>
    <w:rsid w:val="00F653A5"/>
    <w:rsid w:val="00F655FB"/>
    <w:rsid w:val="00F65BFD"/>
    <w:rsid w:val="00F66D9E"/>
    <w:rsid w:val="00F67A57"/>
    <w:rsid w:val="00F67A8F"/>
    <w:rsid w:val="00F67E65"/>
    <w:rsid w:val="00F708A3"/>
    <w:rsid w:val="00F70B76"/>
    <w:rsid w:val="00F70E3A"/>
    <w:rsid w:val="00F71BC2"/>
    <w:rsid w:val="00F72BCE"/>
    <w:rsid w:val="00F739BC"/>
    <w:rsid w:val="00F743D1"/>
    <w:rsid w:val="00F748A6"/>
    <w:rsid w:val="00F75309"/>
    <w:rsid w:val="00F76396"/>
    <w:rsid w:val="00F77888"/>
    <w:rsid w:val="00F77A4F"/>
    <w:rsid w:val="00F77B2A"/>
    <w:rsid w:val="00F77FB7"/>
    <w:rsid w:val="00F80E30"/>
    <w:rsid w:val="00F80FED"/>
    <w:rsid w:val="00F81AC7"/>
    <w:rsid w:val="00F81F83"/>
    <w:rsid w:val="00F826D0"/>
    <w:rsid w:val="00F83527"/>
    <w:rsid w:val="00F83DA9"/>
    <w:rsid w:val="00F8424B"/>
    <w:rsid w:val="00F84675"/>
    <w:rsid w:val="00F84E81"/>
    <w:rsid w:val="00F8536E"/>
    <w:rsid w:val="00F855E2"/>
    <w:rsid w:val="00F85838"/>
    <w:rsid w:val="00F86270"/>
    <w:rsid w:val="00F9053A"/>
    <w:rsid w:val="00F91ED4"/>
    <w:rsid w:val="00F922BC"/>
    <w:rsid w:val="00F92F62"/>
    <w:rsid w:val="00F9449B"/>
    <w:rsid w:val="00F95BE4"/>
    <w:rsid w:val="00F9626F"/>
    <w:rsid w:val="00F979D2"/>
    <w:rsid w:val="00FA084E"/>
    <w:rsid w:val="00FA1672"/>
    <w:rsid w:val="00FA20FE"/>
    <w:rsid w:val="00FA2CA4"/>
    <w:rsid w:val="00FA471A"/>
    <w:rsid w:val="00FA5AE3"/>
    <w:rsid w:val="00FA6248"/>
    <w:rsid w:val="00FA70D1"/>
    <w:rsid w:val="00FA7D69"/>
    <w:rsid w:val="00FB0DB1"/>
    <w:rsid w:val="00FB2728"/>
    <w:rsid w:val="00FB3BD5"/>
    <w:rsid w:val="00FB422D"/>
    <w:rsid w:val="00FB71C6"/>
    <w:rsid w:val="00FB77AF"/>
    <w:rsid w:val="00FB77FC"/>
    <w:rsid w:val="00FC0727"/>
    <w:rsid w:val="00FC2B0A"/>
    <w:rsid w:val="00FC316B"/>
    <w:rsid w:val="00FC3840"/>
    <w:rsid w:val="00FC3E30"/>
    <w:rsid w:val="00FC40C8"/>
    <w:rsid w:val="00FC4994"/>
    <w:rsid w:val="00FC7B2D"/>
    <w:rsid w:val="00FC7D05"/>
    <w:rsid w:val="00FD0ABF"/>
    <w:rsid w:val="00FD2EFE"/>
    <w:rsid w:val="00FD35AD"/>
    <w:rsid w:val="00FD3DDB"/>
    <w:rsid w:val="00FD3F36"/>
    <w:rsid w:val="00FD4E61"/>
    <w:rsid w:val="00FD583F"/>
    <w:rsid w:val="00FD60FE"/>
    <w:rsid w:val="00FD6D36"/>
    <w:rsid w:val="00FD7488"/>
    <w:rsid w:val="00FD7591"/>
    <w:rsid w:val="00FE0407"/>
    <w:rsid w:val="00FE1424"/>
    <w:rsid w:val="00FE1E49"/>
    <w:rsid w:val="00FE2E1E"/>
    <w:rsid w:val="00FE456B"/>
    <w:rsid w:val="00FE642D"/>
    <w:rsid w:val="00FE78FA"/>
    <w:rsid w:val="00FE7D15"/>
    <w:rsid w:val="00FF0286"/>
    <w:rsid w:val="00FF0288"/>
    <w:rsid w:val="00FF0F5F"/>
    <w:rsid w:val="00FF164C"/>
    <w:rsid w:val="00FF16B4"/>
    <w:rsid w:val="00FF1B14"/>
    <w:rsid w:val="00FF43FE"/>
    <w:rsid w:val="00FF4E8C"/>
    <w:rsid w:val="00FF60FB"/>
    <w:rsid w:val="00FF7657"/>
    <w:rsid w:val="00FF7DBB"/>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B4CF6"/>
  <w15:docId w15:val="{1963240C-4057-4669-9497-9E309E115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C689E"/>
    <w:pPr>
      <w:spacing w:after="0"/>
    </w:pPr>
    <w:rPr>
      <w:rFonts w:ascii="Verdana" w:eastAsiaTheme="minorEastAsia" w:hAnsi="Verdana"/>
      <w:b/>
      <w:color w:val="333333"/>
      <w:sz w:val="22"/>
      <w:szCs w:val="22"/>
    </w:rPr>
  </w:style>
  <w:style w:type="paragraph" w:styleId="Heading1">
    <w:name w:val="heading 1"/>
    <w:basedOn w:val="Normal"/>
    <w:next w:val="EPCMbodytext"/>
    <w:link w:val="Heading1Char"/>
    <w:uiPriority w:val="9"/>
    <w:qFormat/>
    <w:rsid w:val="00EB5832"/>
    <w:pPr>
      <w:keepNext/>
      <w:numPr>
        <w:numId w:val="8"/>
      </w:numPr>
      <w:spacing w:before="240" w:after="120" w:line="280" w:lineRule="atLeast"/>
      <w:jc w:val="both"/>
      <w:outlineLvl w:val="0"/>
    </w:pPr>
    <w:rPr>
      <w:rFonts w:eastAsiaTheme="majorEastAsia" w:cstheme="majorBidi"/>
      <w:color w:val="2C5075"/>
      <w:kern w:val="28"/>
      <w:sz w:val="28"/>
      <w:szCs w:val="32"/>
    </w:rPr>
  </w:style>
  <w:style w:type="paragraph" w:styleId="Heading2">
    <w:name w:val="heading 2"/>
    <w:basedOn w:val="Normal"/>
    <w:next w:val="EPCMbodytext"/>
    <w:link w:val="Heading2Char"/>
    <w:uiPriority w:val="9"/>
    <w:qFormat/>
    <w:rsid w:val="00EB5832"/>
    <w:pPr>
      <w:keepNext/>
      <w:numPr>
        <w:ilvl w:val="1"/>
        <w:numId w:val="8"/>
      </w:numPr>
      <w:spacing w:before="240" w:after="120" w:line="280" w:lineRule="atLeast"/>
      <w:jc w:val="both"/>
      <w:outlineLvl w:val="1"/>
    </w:pPr>
    <w:rPr>
      <w:rFonts w:eastAsiaTheme="majorEastAsia" w:cstheme="majorBidi"/>
      <w:color w:val="2C5075"/>
      <w:sz w:val="24"/>
      <w:szCs w:val="26"/>
    </w:rPr>
  </w:style>
  <w:style w:type="paragraph" w:styleId="Heading3">
    <w:name w:val="heading 3"/>
    <w:basedOn w:val="Normal"/>
    <w:next w:val="EPCMbodytext"/>
    <w:link w:val="Heading3Char"/>
    <w:uiPriority w:val="9"/>
    <w:unhideWhenUsed/>
    <w:qFormat/>
    <w:rsid w:val="00EB5832"/>
    <w:pPr>
      <w:keepNext/>
      <w:keepLines/>
      <w:numPr>
        <w:ilvl w:val="2"/>
        <w:numId w:val="8"/>
      </w:numPr>
      <w:spacing w:before="240" w:after="120" w:line="280" w:lineRule="atLeast"/>
      <w:jc w:val="both"/>
      <w:outlineLvl w:val="2"/>
    </w:pPr>
    <w:rPr>
      <w:rFonts w:eastAsiaTheme="majorEastAsia" w:cstheme="majorBidi"/>
      <w:i/>
      <w:color w:val="2C5075"/>
      <w:szCs w:val="24"/>
    </w:rPr>
  </w:style>
  <w:style w:type="paragraph" w:styleId="Heading4">
    <w:name w:val="heading 4"/>
    <w:basedOn w:val="Normal"/>
    <w:next w:val="EPCMbodytext"/>
    <w:link w:val="Heading4Char"/>
    <w:uiPriority w:val="9"/>
    <w:unhideWhenUsed/>
    <w:qFormat/>
    <w:rsid w:val="00302743"/>
    <w:pPr>
      <w:keepNext/>
      <w:keepLines/>
      <w:numPr>
        <w:ilvl w:val="3"/>
        <w:numId w:val="8"/>
      </w:numPr>
      <w:tabs>
        <w:tab w:val="left" w:pos="720"/>
      </w:tabs>
      <w:spacing w:before="240" w:after="120" w:line="280" w:lineRule="atLeast"/>
      <w:outlineLvl w:val="3"/>
    </w:pPr>
    <w:rPr>
      <w:rFonts w:eastAsiaTheme="majorEastAsia" w:cstheme="majorBidi"/>
      <w:b w:val="0"/>
      <w:iCs/>
      <w:color w:val="2C5075"/>
    </w:rPr>
  </w:style>
  <w:style w:type="paragraph" w:styleId="Heading5">
    <w:name w:val="heading 5"/>
    <w:basedOn w:val="Normal"/>
    <w:next w:val="Normal"/>
    <w:link w:val="Heading5Char"/>
    <w:uiPriority w:val="9"/>
    <w:unhideWhenUsed/>
    <w:qFormat/>
    <w:rsid w:val="008109D9"/>
    <w:pPr>
      <w:keepNext/>
      <w:keepLines/>
      <w:numPr>
        <w:ilvl w:val="4"/>
        <w:numId w:val="1"/>
      </w:numPr>
      <w:spacing w:before="120" w:after="240" w:line="240" w:lineRule="atLeast"/>
      <w:outlineLvl w:val="4"/>
    </w:pPr>
    <w:rPr>
      <w:rFonts w:eastAsiaTheme="majorEastAsia" w:cstheme="majorBidi"/>
      <w:b w:val="0"/>
      <w:color w:val="013A57" w:themeColor="accent1" w:themeShade="BF"/>
      <w:sz w:val="20"/>
    </w:rPr>
  </w:style>
  <w:style w:type="paragraph" w:styleId="Heading6">
    <w:name w:val="heading 6"/>
    <w:basedOn w:val="Normal"/>
    <w:next w:val="Normal"/>
    <w:link w:val="Heading6Char"/>
    <w:uiPriority w:val="9"/>
    <w:unhideWhenUsed/>
    <w:qFormat/>
    <w:rsid w:val="00F22059"/>
    <w:pPr>
      <w:keepNext/>
      <w:keepLines/>
      <w:numPr>
        <w:ilvl w:val="5"/>
        <w:numId w:val="1"/>
      </w:numPr>
      <w:spacing w:before="40"/>
      <w:outlineLvl w:val="5"/>
    </w:pPr>
    <w:rPr>
      <w:rFonts w:asciiTheme="majorHAnsi" w:eastAsiaTheme="majorEastAsia" w:hAnsiTheme="majorHAnsi" w:cstheme="majorBidi"/>
      <w:color w:val="012639" w:themeColor="accent1" w:themeShade="7F"/>
    </w:rPr>
  </w:style>
  <w:style w:type="paragraph" w:styleId="Heading7">
    <w:name w:val="heading 7"/>
    <w:basedOn w:val="Normal"/>
    <w:next w:val="Normal"/>
    <w:link w:val="Heading7Char"/>
    <w:uiPriority w:val="1"/>
    <w:unhideWhenUsed/>
    <w:qFormat/>
    <w:rsid w:val="00F22059"/>
    <w:pPr>
      <w:keepNext/>
      <w:keepLines/>
      <w:numPr>
        <w:ilvl w:val="6"/>
        <w:numId w:val="1"/>
      </w:numPr>
      <w:spacing w:before="40"/>
      <w:outlineLvl w:val="6"/>
    </w:pPr>
    <w:rPr>
      <w:rFonts w:asciiTheme="majorHAnsi" w:eastAsiaTheme="majorEastAsia" w:hAnsiTheme="majorHAnsi" w:cstheme="majorBidi"/>
      <w:i/>
      <w:iCs/>
      <w:color w:val="012639" w:themeColor="accent1" w:themeShade="7F"/>
    </w:rPr>
  </w:style>
  <w:style w:type="paragraph" w:styleId="Heading8">
    <w:name w:val="heading 8"/>
    <w:basedOn w:val="Normal"/>
    <w:next w:val="Normal"/>
    <w:link w:val="Heading8Char"/>
    <w:uiPriority w:val="1"/>
    <w:semiHidden/>
    <w:unhideWhenUsed/>
    <w:qFormat/>
    <w:rsid w:val="00F22059"/>
    <w:pPr>
      <w:keepNext/>
      <w:keepLines/>
      <w:numPr>
        <w:ilvl w:val="7"/>
        <w:numId w:val="1"/>
      </w:numPr>
      <w:spacing w:before="40"/>
      <w:outlineLvl w:val="7"/>
    </w:pPr>
    <w:rPr>
      <w:rFonts w:asciiTheme="majorHAnsi" w:eastAsiaTheme="majorEastAsia" w:hAnsiTheme="majorHAnsi" w:cstheme="majorBidi"/>
      <w:color w:val="221D5D" w:themeColor="text1" w:themeTint="D8"/>
      <w:sz w:val="21"/>
      <w:szCs w:val="21"/>
    </w:rPr>
  </w:style>
  <w:style w:type="paragraph" w:styleId="Heading9">
    <w:name w:val="heading 9"/>
    <w:basedOn w:val="Normal"/>
    <w:next w:val="Normal"/>
    <w:link w:val="Heading9Char"/>
    <w:uiPriority w:val="1"/>
    <w:semiHidden/>
    <w:unhideWhenUsed/>
    <w:qFormat/>
    <w:rsid w:val="00F22059"/>
    <w:pPr>
      <w:keepNext/>
      <w:keepLines/>
      <w:numPr>
        <w:ilvl w:val="8"/>
        <w:numId w:val="1"/>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EB5832"/>
    <w:pPr>
      <w:spacing w:after="200" w:line="240" w:lineRule="auto"/>
      <w:jc w:val="both"/>
    </w:pPr>
    <w:rPr>
      <w:rFonts w:eastAsiaTheme="majorEastAsia" w:cstheme="majorBidi"/>
      <w:bCs/>
      <w:color w:val="2C5075"/>
      <w:sz w:val="28"/>
      <w:szCs w:val="52"/>
    </w:rPr>
  </w:style>
  <w:style w:type="character" w:customStyle="1" w:styleId="TitleChar">
    <w:name w:val="Title Char"/>
    <w:basedOn w:val="DefaultParagraphFont"/>
    <w:link w:val="Title"/>
    <w:uiPriority w:val="1"/>
    <w:rsid w:val="00EB5832"/>
    <w:rPr>
      <w:rFonts w:ascii="Verdana" w:eastAsiaTheme="majorEastAsia" w:hAnsi="Verdana" w:cstheme="majorBidi"/>
      <w:b/>
      <w:bCs/>
      <w:color w:val="2C5075"/>
      <w:sz w:val="28"/>
      <w:szCs w:val="52"/>
      <w:lang w:val="en-GB"/>
    </w:rPr>
  </w:style>
  <w:style w:type="paragraph" w:styleId="Subtitle">
    <w:name w:val="Subtitle"/>
    <w:basedOn w:val="Normal"/>
    <w:link w:val="SubtitleChar"/>
    <w:uiPriority w:val="2"/>
    <w:qFormat/>
    <w:rsid w:val="00F447A7"/>
    <w:pPr>
      <w:framePr w:hSpace="180" w:wrap="around" w:vAnchor="text" w:hAnchor="margin" w:y="1167"/>
    </w:pPr>
    <w:rPr>
      <w:color w:val="2484C6"/>
      <w:spacing w:val="20"/>
      <w:sz w:val="24"/>
    </w:rPr>
  </w:style>
  <w:style w:type="character" w:customStyle="1" w:styleId="SubtitleChar">
    <w:name w:val="Subtitle Char"/>
    <w:basedOn w:val="DefaultParagraphFont"/>
    <w:link w:val="Subtitle"/>
    <w:uiPriority w:val="2"/>
    <w:rsid w:val="00F447A7"/>
    <w:rPr>
      <w:rFonts w:ascii="Verdana" w:eastAsiaTheme="minorEastAsia" w:hAnsi="Verdana"/>
      <w:b/>
      <w:color w:val="2484C6"/>
      <w:spacing w:val="20"/>
      <w:szCs w:val="22"/>
    </w:rPr>
  </w:style>
  <w:style w:type="character" w:customStyle="1" w:styleId="Heading1Char">
    <w:name w:val="Heading 1 Char"/>
    <w:basedOn w:val="DefaultParagraphFont"/>
    <w:link w:val="Heading1"/>
    <w:uiPriority w:val="9"/>
    <w:rsid w:val="00EB5832"/>
    <w:rPr>
      <w:rFonts w:ascii="Verdana" w:eastAsiaTheme="majorEastAsia" w:hAnsi="Verdana" w:cstheme="majorBidi"/>
      <w:b/>
      <w:color w:val="2C5075"/>
      <w:kern w:val="28"/>
      <w:sz w:val="28"/>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66122F"/>
    <w:rPr>
      <w:b w:val="0"/>
      <w:sz w:val="14"/>
    </w:rPr>
  </w:style>
  <w:style w:type="character" w:customStyle="1" w:styleId="FooterChar">
    <w:name w:val="Footer Char"/>
    <w:basedOn w:val="DefaultParagraphFont"/>
    <w:link w:val="Footer"/>
    <w:uiPriority w:val="99"/>
    <w:rsid w:val="0066122F"/>
    <w:rPr>
      <w:rFonts w:ascii="Verdana" w:eastAsiaTheme="minorEastAsia" w:hAnsi="Verdana"/>
      <w:color w:val="333333"/>
      <w:sz w:val="14"/>
      <w:szCs w:val="22"/>
    </w:rPr>
  </w:style>
  <w:style w:type="paragraph" w:customStyle="1" w:styleId="Name">
    <w:name w:val="Name"/>
    <w:basedOn w:val="Normal"/>
    <w:uiPriority w:val="3"/>
    <w:rsid w:val="00B231E5"/>
    <w:pPr>
      <w:spacing w:line="240" w:lineRule="auto"/>
      <w:jc w:val="right"/>
    </w:pPr>
  </w:style>
  <w:style w:type="character" w:customStyle="1" w:styleId="Heading2Char">
    <w:name w:val="Heading 2 Char"/>
    <w:basedOn w:val="DefaultParagraphFont"/>
    <w:link w:val="Heading2"/>
    <w:uiPriority w:val="9"/>
    <w:rsid w:val="00EB5832"/>
    <w:rPr>
      <w:rFonts w:ascii="Verdana" w:eastAsiaTheme="majorEastAsia" w:hAnsi="Verdana" w:cstheme="majorBidi"/>
      <w:b/>
      <w:color w:val="2C5075"/>
      <w:szCs w:val="26"/>
    </w:rPr>
  </w:style>
  <w:style w:type="table" w:styleId="TableGrid">
    <w:name w:val="Table Grid"/>
    <w:aliases w:val="SGS Table Basic 1"/>
    <w:basedOn w:val="TableNormal"/>
    <w:qFormat/>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table" w:styleId="PlainTable1">
    <w:name w:val="Plain Table 1"/>
    <w:basedOn w:val="TableNormal"/>
    <w:uiPriority w:val="41"/>
    <w:rsid w:val="00555C9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mphasisText">
    <w:name w:val="Emphasis Text"/>
    <w:basedOn w:val="Normal"/>
    <w:link w:val="EmphasisTextChar"/>
    <w:rsid w:val="00DF027C"/>
  </w:style>
  <w:style w:type="table" w:styleId="GridTable1Light">
    <w:name w:val="Grid Table 1 Light"/>
    <w:basedOn w:val="TableNormal"/>
    <w:uiPriority w:val="46"/>
    <w:rsid w:val="00555C93"/>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table" w:styleId="GridTable1Light-Accent1">
    <w:name w:val="Grid Table 1 Light Accent 1"/>
    <w:basedOn w:val="TableNormal"/>
    <w:uiPriority w:val="46"/>
    <w:rsid w:val="008C3809"/>
    <w:pPr>
      <w:spacing w:after="0" w:line="240" w:lineRule="auto"/>
    </w:pPr>
    <w:rPr>
      <w:rFonts w:eastAsia="Times New Roman" w:cs="Times New Roman"/>
    </w:r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rFonts w:cs="Times New Roman"/>
        <w:b/>
        <w:bCs/>
      </w:rPr>
      <w:tblPr/>
      <w:tcPr>
        <w:tcBorders>
          <w:bottom w:val="single" w:sz="12" w:space="0" w:color="18AFFB" w:themeColor="accent1" w:themeTint="99"/>
        </w:tcBorders>
      </w:tcPr>
    </w:tblStylePr>
    <w:tblStylePr w:type="lastRow">
      <w:rPr>
        <w:rFonts w:cs="Times New Roman"/>
        <w:b/>
        <w:bCs/>
      </w:rPr>
      <w:tblPr/>
      <w:tcPr>
        <w:tcBorders>
          <w:top w:val="double" w:sz="2" w:space="0" w:color="18AFFB" w:themeColor="accent1" w:themeTint="99"/>
        </w:tcBorders>
      </w:tcPr>
    </w:tblStylePr>
    <w:tblStylePr w:type="firstCol">
      <w:rPr>
        <w:rFonts w:cs="Times New Roman"/>
        <w:b/>
        <w:bCs/>
      </w:rPr>
    </w:tblStylePr>
    <w:tblStylePr w:type="lastCol">
      <w:rPr>
        <w:rFonts w:cs="Times New Roman"/>
        <w:b/>
        <w:bCs/>
      </w:rPr>
    </w:tblStylePr>
  </w:style>
  <w:style w:type="paragraph" w:customStyle="1" w:styleId="Tabletext">
    <w:name w:val="Table text"/>
    <w:basedOn w:val="Normal"/>
    <w:next w:val="Normal"/>
    <w:qFormat/>
    <w:rsid w:val="00EB5832"/>
    <w:pPr>
      <w:spacing w:before="240" w:after="120" w:line="240" w:lineRule="auto"/>
      <w:jc w:val="both"/>
    </w:pPr>
    <w:rPr>
      <w:rFonts w:eastAsia="Times New Roman" w:cs="Times New Roman"/>
      <w:b w:val="0"/>
      <w:bCs/>
      <w:sz w:val="18"/>
    </w:rPr>
  </w:style>
  <w:style w:type="table" w:styleId="PlainTable4">
    <w:name w:val="Plain Table 4"/>
    <w:basedOn w:val="TableNormal"/>
    <w:uiPriority w:val="44"/>
    <w:rsid w:val="008C38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01A4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PCMbodytext">
    <w:name w:val="EPCM body text"/>
    <w:basedOn w:val="Normal"/>
    <w:qFormat/>
    <w:rsid w:val="00EB5832"/>
    <w:pPr>
      <w:spacing w:before="240" w:after="120" w:line="280" w:lineRule="atLeast"/>
      <w:ind w:left="720"/>
      <w:jc w:val="both"/>
    </w:pPr>
    <w:rPr>
      <w:b w:val="0"/>
      <w:sz w:val="18"/>
    </w:rPr>
  </w:style>
  <w:style w:type="character" w:customStyle="1" w:styleId="Heading3Char">
    <w:name w:val="Heading 3 Char"/>
    <w:basedOn w:val="DefaultParagraphFont"/>
    <w:link w:val="Heading3"/>
    <w:uiPriority w:val="9"/>
    <w:rsid w:val="00EB5832"/>
    <w:rPr>
      <w:rFonts w:ascii="Verdana" w:eastAsiaTheme="majorEastAsia" w:hAnsi="Verdana" w:cstheme="majorBidi"/>
      <w:b/>
      <w:i/>
      <w:color w:val="2C5075"/>
      <w:sz w:val="22"/>
    </w:rPr>
  </w:style>
  <w:style w:type="character" w:customStyle="1" w:styleId="Heading4Char">
    <w:name w:val="Heading 4 Char"/>
    <w:basedOn w:val="DefaultParagraphFont"/>
    <w:link w:val="Heading4"/>
    <w:uiPriority w:val="9"/>
    <w:rsid w:val="00302743"/>
    <w:rPr>
      <w:rFonts w:ascii="Verdana" w:eastAsiaTheme="majorEastAsia" w:hAnsi="Verdana" w:cstheme="majorBidi"/>
      <w:iCs/>
      <w:color w:val="2C5075"/>
      <w:sz w:val="22"/>
      <w:szCs w:val="22"/>
    </w:rPr>
  </w:style>
  <w:style w:type="character" w:customStyle="1" w:styleId="Heading5Char">
    <w:name w:val="Heading 5 Char"/>
    <w:basedOn w:val="DefaultParagraphFont"/>
    <w:link w:val="Heading5"/>
    <w:uiPriority w:val="9"/>
    <w:rsid w:val="008109D9"/>
    <w:rPr>
      <w:rFonts w:ascii="Verdana" w:eastAsiaTheme="majorEastAsia" w:hAnsi="Verdana" w:cstheme="majorBidi"/>
      <w:color w:val="013A57" w:themeColor="accent1" w:themeShade="BF"/>
      <w:sz w:val="20"/>
      <w:szCs w:val="22"/>
    </w:rPr>
  </w:style>
  <w:style w:type="character" w:customStyle="1" w:styleId="Heading6Char">
    <w:name w:val="Heading 6 Char"/>
    <w:basedOn w:val="DefaultParagraphFont"/>
    <w:link w:val="Heading6"/>
    <w:uiPriority w:val="9"/>
    <w:rsid w:val="00F22059"/>
    <w:rPr>
      <w:rFonts w:asciiTheme="majorHAnsi" w:eastAsiaTheme="majorEastAsia" w:hAnsiTheme="majorHAnsi" w:cstheme="majorBidi"/>
      <w:b/>
      <w:color w:val="012639" w:themeColor="accent1" w:themeShade="7F"/>
      <w:sz w:val="22"/>
      <w:szCs w:val="22"/>
    </w:rPr>
  </w:style>
  <w:style w:type="character" w:customStyle="1" w:styleId="Heading7Char">
    <w:name w:val="Heading 7 Char"/>
    <w:basedOn w:val="DefaultParagraphFont"/>
    <w:link w:val="Heading7"/>
    <w:uiPriority w:val="1"/>
    <w:rsid w:val="00F22059"/>
    <w:rPr>
      <w:rFonts w:asciiTheme="majorHAnsi" w:eastAsiaTheme="majorEastAsia" w:hAnsiTheme="majorHAnsi" w:cstheme="majorBidi"/>
      <w:b/>
      <w:i/>
      <w:iCs/>
      <w:color w:val="012639" w:themeColor="accent1" w:themeShade="7F"/>
      <w:sz w:val="22"/>
      <w:szCs w:val="22"/>
    </w:rPr>
  </w:style>
  <w:style w:type="character" w:customStyle="1" w:styleId="Heading8Char">
    <w:name w:val="Heading 8 Char"/>
    <w:basedOn w:val="DefaultParagraphFont"/>
    <w:link w:val="Heading8"/>
    <w:uiPriority w:val="1"/>
    <w:semiHidden/>
    <w:rsid w:val="00F22059"/>
    <w:rPr>
      <w:rFonts w:asciiTheme="majorHAnsi" w:eastAsiaTheme="majorEastAsia" w:hAnsiTheme="majorHAnsi" w:cstheme="majorBidi"/>
      <w:b/>
      <w:color w:val="221D5D" w:themeColor="text1" w:themeTint="D8"/>
      <w:sz w:val="21"/>
      <w:szCs w:val="21"/>
    </w:rPr>
  </w:style>
  <w:style w:type="character" w:customStyle="1" w:styleId="Heading9Char">
    <w:name w:val="Heading 9 Char"/>
    <w:basedOn w:val="DefaultParagraphFont"/>
    <w:link w:val="Heading9"/>
    <w:uiPriority w:val="1"/>
    <w:semiHidden/>
    <w:rsid w:val="00F22059"/>
    <w:rPr>
      <w:rFonts w:asciiTheme="majorHAnsi" w:eastAsiaTheme="majorEastAsia" w:hAnsiTheme="majorHAnsi" w:cstheme="majorBidi"/>
      <w:b/>
      <w:i/>
      <w:iCs/>
      <w:color w:val="221D5D" w:themeColor="text1" w:themeTint="D8"/>
      <w:sz w:val="21"/>
      <w:szCs w:val="21"/>
    </w:rPr>
  </w:style>
  <w:style w:type="paragraph" w:styleId="ListBullet">
    <w:name w:val="List Bullet"/>
    <w:basedOn w:val="Normal"/>
    <w:autoRedefine/>
    <w:uiPriority w:val="99"/>
    <w:unhideWhenUsed/>
    <w:qFormat/>
    <w:rsid w:val="00EB5832"/>
    <w:pPr>
      <w:numPr>
        <w:numId w:val="2"/>
      </w:numPr>
      <w:tabs>
        <w:tab w:val="clear" w:pos="360"/>
      </w:tabs>
      <w:spacing w:before="240" w:after="120" w:line="280" w:lineRule="atLeast"/>
      <w:ind w:left="1120"/>
      <w:jc w:val="both"/>
    </w:pPr>
    <w:rPr>
      <w:b w:val="0"/>
      <w:sz w:val="18"/>
    </w:rPr>
  </w:style>
  <w:style w:type="paragraph" w:styleId="ListBullet2">
    <w:name w:val="List Bullet 2"/>
    <w:basedOn w:val="Normal"/>
    <w:uiPriority w:val="99"/>
    <w:unhideWhenUsed/>
    <w:rsid w:val="00EB5832"/>
    <w:pPr>
      <w:numPr>
        <w:numId w:val="3"/>
      </w:numPr>
      <w:spacing w:before="240" w:after="120" w:line="280" w:lineRule="atLeast"/>
      <w:ind w:left="1480"/>
      <w:contextualSpacing/>
      <w:jc w:val="both"/>
    </w:pPr>
    <w:rPr>
      <w:b w:val="0"/>
      <w:sz w:val="18"/>
    </w:rPr>
  </w:style>
  <w:style w:type="paragraph" w:styleId="ListBullet3">
    <w:name w:val="List Bullet 3"/>
    <w:basedOn w:val="Normal"/>
    <w:uiPriority w:val="99"/>
    <w:unhideWhenUsed/>
    <w:rsid w:val="00EB5832"/>
    <w:pPr>
      <w:numPr>
        <w:numId w:val="4"/>
      </w:numPr>
      <w:spacing w:before="240" w:after="120" w:line="280" w:lineRule="atLeast"/>
      <w:ind w:left="1920"/>
      <w:contextualSpacing/>
      <w:jc w:val="both"/>
    </w:pPr>
    <w:rPr>
      <w:b w:val="0"/>
      <w:sz w:val="18"/>
    </w:rPr>
  </w:style>
  <w:style w:type="paragraph" w:styleId="ListNumber">
    <w:name w:val="List Number"/>
    <w:basedOn w:val="Normal"/>
    <w:autoRedefine/>
    <w:uiPriority w:val="99"/>
    <w:unhideWhenUsed/>
    <w:qFormat/>
    <w:rsid w:val="00A00F81"/>
    <w:pPr>
      <w:numPr>
        <w:numId w:val="5"/>
      </w:numPr>
      <w:spacing w:before="240" w:after="120" w:line="280" w:lineRule="atLeast"/>
      <w:contextualSpacing/>
    </w:pPr>
    <w:rPr>
      <w:b w:val="0"/>
      <w:sz w:val="18"/>
    </w:rPr>
  </w:style>
  <w:style w:type="paragraph" w:styleId="Caption">
    <w:name w:val="caption"/>
    <w:aliases w:val="Caption Char2,Caption Char1 Char1,Caption Char Char Char,Caption Char1 Char Char Char,Caption Char Char Char1 Char Char,Caption Char1 Char Char Char Char Char,Caption Char3 Char Char Char Char Char Char,Caption Char1,Caption Char Char,Caption C"/>
    <w:basedOn w:val="Normal"/>
    <w:next w:val="Tabletext"/>
    <w:link w:val="CaptionChar"/>
    <w:autoRedefine/>
    <w:uiPriority w:val="35"/>
    <w:unhideWhenUsed/>
    <w:qFormat/>
    <w:rsid w:val="00BF45DB"/>
    <w:pPr>
      <w:widowControl w:val="0"/>
      <w:spacing w:line="280" w:lineRule="atLeast"/>
      <w:jc w:val="center"/>
    </w:pPr>
    <w:rPr>
      <w:b w:val="0"/>
      <w:i/>
      <w:iCs/>
      <w:color w:val="3592CF" w:themeColor="accent2"/>
      <w:sz w:val="16"/>
      <w:szCs w:val="16"/>
      <w:lang w:val="en-GB"/>
    </w:rPr>
  </w:style>
  <w:style w:type="paragraph" w:styleId="Bibliography">
    <w:name w:val="Bibliography"/>
    <w:aliases w:val="EPCM Bibliography"/>
    <w:basedOn w:val="Normal"/>
    <w:next w:val="Normal"/>
    <w:uiPriority w:val="37"/>
    <w:unhideWhenUsed/>
    <w:qFormat/>
    <w:rsid w:val="00F70E3A"/>
    <w:pPr>
      <w:numPr>
        <w:numId w:val="6"/>
      </w:numPr>
      <w:spacing w:before="240" w:after="120" w:line="280" w:lineRule="atLeast"/>
      <w:ind w:left="1080"/>
      <w:jc w:val="both"/>
    </w:pPr>
    <w:rPr>
      <w:rFonts w:eastAsiaTheme="minorHAnsi"/>
      <w:b w:val="0"/>
      <w:color w:val="auto"/>
      <w:sz w:val="20"/>
      <w:szCs w:val="24"/>
    </w:rPr>
  </w:style>
  <w:style w:type="paragraph" w:customStyle="1" w:styleId="EPCMAppendixHeading">
    <w:name w:val="EPCM Appendix Heading"/>
    <w:basedOn w:val="Title"/>
    <w:next w:val="EPCMbodytext"/>
    <w:qFormat/>
    <w:rsid w:val="00CB79A8"/>
    <w:pPr>
      <w:pageBreakBefore/>
      <w:numPr>
        <w:numId w:val="7"/>
      </w:numPr>
      <w:spacing w:before="4000" w:after="0"/>
      <w:jc w:val="center"/>
    </w:pPr>
    <w:rPr>
      <w:bCs w:val="0"/>
      <w:spacing w:val="-10"/>
      <w:kern w:val="28"/>
      <w:sz w:val="44"/>
      <w:szCs w:val="56"/>
    </w:rPr>
  </w:style>
  <w:style w:type="paragraph" w:styleId="TOC1">
    <w:name w:val="toc 1"/>
    <w:basedOn w:val="Normal"/>
    <w:next w:val="Normal"/>
    <w:autoRedefine/>
    <w:uiPriority w:val="39"/>
    <w:unhideWhenUsed/>
    <w:qFormat/>
    <w:rsid w:val="00310D36"/>
    <w:pPr>
      <w:spacing w:after="100" w:line="240" w:lineRule="auto"/>
    </w:pPr>
    <w:rPr>
      <w:rFonts w:eastAsiaTheme="minorHAnsi" w:cs="Times New Roman (Body CS)"/>
      <w:color w:val="auto"/>
      <w:szCs w:val="20"/>
    </w:rPr>
  </w:style>
  <w:style w:type="paragraph" w:styleId="TOC2">
    <w:name w:val="toc 2"/>
    <w:basedOn w:val="Normal"/>
    <w:next w:val="Normal"/>
    <w:autoRedefine/>
    <w:uiPriority w:val="39"/>
    <w:unhideWhenUsed/>
    <w:qFormat/>
    <w:rsid w:val="00AA3501"/>
    <w:pPr>
      <w:spacing w:after="100" w:line="240" w:lineRule="auto"/>
      <w:ind w:left="180"/>
    </w:pPr>
    <w:rPr>
      <w:rFonts w:eastAsiaTheme="minorHAnsi" w:cs="Times New Roman (Body CS)"/>
      <w:b w:val="0"/>
      <w:color w:val="auto"/>
      <w:sz w:val="20"/>
      <w:szCs w:val="20"/>
    </w:rPr>
  </w:style>
  <w:style w:type="paragraph" w:styleId="TOC3">
    <w:name w:val="toc 3"/>
    <w:basedOn w:val="Normal"/>
    <w:next w:val="Normal"/>
    <w:autoRedefine/>
    <w:uiPriority w:val="39"/>
    <w:unhideWhenUsed/>
    <w:qFormat/>
    <w:rsid w:val="00AA3501"/>
    <w:pPr>
      <w:spacing w:after="100" w:line="240" w:lineRule="auto"/>
      <w:ind w:left="360"/>
    </w:pPr>
    <w:rPr>
      <w:rFonts w:eastAsiaTheme="minorHAnsi" w:cs="Times New Roman (Body CS)"/>
      <w:b w:val="0"/>
      <w:i/>
      <w:color w:val="auto"/>
      <w:sz w:val="20"/>
      <w:szCs w:val="20"/>
    </w:rPr>
  </w:style>
  <w:style w:type="character" w:styleId="Hyperlink">
    <w:name w:val="Hyperlink"/>
    <w:basedOn w:val="DefaultParagraphFont"/>
    <w:uiPriority w:val="99"/>
    <w:unhideWhenUsed/>
    <w:rsid w:val="00E457DF"/>
    <w:rPr>
      <w:color w:val="3592CF" w:themeColor="hyperlink"/>
      <w:u w:val="single"/>
    </w:rPr>
  </w:style>
  <w:style w:type="paragraph" w:styleId="TableofFigures">
    <w:name w:val="table of figures"/>
    <w:basedOn w:val="Normal"/>
    <w:next w:val="Normal"/>
    <w:uiPriority w:val="99"/>
    <w:unhideWhenUsed/>
    <w:rsid w:val="00AA3501"/>
    <w:rPr>
      <w:b w:val="0"/>
      <w:sz w:val="20"/>
    </w:rPr>
  </w:style>
  <w:style w:type="paragraph" w:styleId="TOC4">
    <w:name w:val="toc 4"/>
    <w:basedOn w:val="Normal"/>
    <w:next w:val="Normal"/>
    <w:autoRedefine/>
    <w:uiPriority w:val="39"/>
    <w:unhideWhenUsed/>
    <w:rsid w:val="00AA3501"/>
    <w:pPr>
      <w:spacing w:after="100"/>
    </w:pPr>
    <w:rPr>
      <w:b w:val="0"/>
      <w:sz w:val="20"/>
    </w:rPr>
  </w:style>
  <w:style w:type="table" w:styleId="GridTable1Light-Accent2">
    <w:name w:val="Grid Table 1 Light Accent 2"/>
    <w:basedOn w:val="TableNormal"/>
    <w:uiPriority w:val="46"/>
    <w:rsid w:val="00555C93"/>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ListTable3-Accent2">
    <w:name w:val="List Table 3 Accent 2"/>
    <w:basedOn w:val="TableNormal"/>
    <w:uiPriority w:val="48"/>
    <w:rsid w:val="00E869F9"/>
    <w:pPr>
      <w:spacing w:after="0"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customStyle="1" w:styleId="EPCM">
    <w:name w:val="EPCM"/>
    <w:basedOn w:val="TableGrid1"/>
    <w:uiPriority w:val="99"/>
    <w:rsid w:val="00586FC4"/>
    <w:pPr>
      <w:spacing w:before="120" w:after="120" w:line="280" w:lineRule="atLeast"/>
    </w:pPr>
    <w:rPr>
      <w:rFonts w:ascii="Verdana" w:hAnsi="Verdana"/>
      <w:sz w:val="18"/>
      <w:szCs w:val="20"/>
      <w:lang w:val="en-ZA" w:eastAsia="en-GB"/>
    </w:rPr>
    <w:tblPr>
      <w:tblInd w:w="10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Pr>
    <w:tcPr>
      <w:shd w:val="clear" w:color="auto" w:fill="auto"/>
    </w:tcPr>
    <w:tblStylePr w:type="firstRow">
      <w:rPr>
        <w:rFonts w:ascii="Verdana" w:hAnsi="Verdana"/>
        <w:b/>
        <w:caps w:val="0"/>
        <w:smallCaps w:val="0"/>
        <w:strike w:val="0"/>
        <w:dstrike w:val="0"/>
        <w:vanish w:val="0"/>
        <w:color w:val="FFFFFF" w:themeColor="background1"/>
        <w:sz w:val="18"/>
        <w:vertAlign w:val="baseline"/>
      </w:rPr>
      <w:tblPr/>
      <w:trPr>
        <w:tblHeader/>
      </w:trPr>
      <w:tcPr>
        <w:shd w:val="clear" w:color="auto" w:fill="2C5075"/>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2C4A8C"/>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EPCMHeading2para">
    <w:name w:val="EPCM Heading 2 para"/>
    <w:basedOn w:val="EPCMbodytext"/>
    <w:qFormat/>
    <w:rsid w:val="00B12EB5"/>
    <w:pPr>
      <w:numPr>
        <w:ilvl w:val="4"/>
        <w:numId w:val="8"/>
      </w:numPr>
      <w:ind w:hanging="720"/>
    </w:pPr>
  </w:style>
  <w:style w:type="paragraph" w:customStyle="1" w:styleId="Heading3para">
    <w:name w:val="Heading 3 para"/>
    <w:basedOn w:val="EPCMHeading2para"/>
    <w:qFormat/>
    <w:rsid w:val="00B47450"/>
    <w:pPr>
      <w:numPr>
        <w:ilvl w:val="5"/>
      </w:numPr>
      <w:ind w:left="720" w:hanging="720"/>
    </w:pPr>
  </w:style>
  <w:style w:type="paragraph" w:customStyle="1" w:styleId="Heading4para">
    <w:name w:val="Heading 4 para"/>
    <w:basedOn w:val="Heading3para"/>
    <w:qFormat/>
    <w:rsid w:val="00B47450"/>
    <w:pPr>
      <w:numPr>
        <w:ilvl w:val="6"/>
      </w:numPr>
      <w:ind w:left="720" w:hanging="720"/>
    </w:pPr>
  </w:style>
  <w:style w:type="paragraph" w:customStyle="1" w:styleId="Tablebullet">
    <w:name w:val="Table bullet"/>
    <w:basedOn w:val="ListBullet"/>
    <w:qFormat/>
    <w:rsid w:val="00CF44FC"/>
    <w:pPr>
      <w:spacing w:before="120" w:line="240" w:lineRule="atLeast"/>
      <w:ind w:left="200" w:hanging="200"/>
    </w:pPr>
    <w:rPr>
      <w:lang w:eastAsia="en-GB"/>
    </w:rPr>
  </w:style>
  <w:style w:type="paragraph" w:styleId="EndnoteText">
    <w:name w:val="endnote text"/>
    <w:basedOn w:val="Normal"/>
    <w:link w:val="EndnoteTextChar"/>
    <w:uiPriority w:val="99"/>
    <w:semiHidden/>
    <w:unhideWhenUsed/>
    <w:rsid w:val="00F479E0"/>
    <w:pPr>
      <w:spacing w:line="240" w:lineRule="auto"/>
    </w:pPr>
    <w:rPr>
      <w:sz w:val="20"/>
      <w:szCs w:val="20"/>
    </w:rPr>
  </w:style>
  <w:style w:type="character" w:customStyle="1" w:styleId="EndnoteTextChar">
    <w:name w:val="Endnote Text Char"/>
    <w:basedOn w:val="DefaultParagraphFont"/>
    <w:link w:val="EndnoteText"/>
    <w:uiPriority w:val="99"/>
    <w:semiHidden/>
    <w:rsid w:val="00F479E0"/>
    <w:rPr>
      <w:rFonts w:ascii="Verdana" w:eastAsiaTheme="minorEastAsia" w:hAnsi="Verdana"/>
      <w:b/>
      <w:noProof/>
      <w:color w:val="333333"/>
      <w:sz w:val="20"/>
      <w:szCs w:val="20"/>
      <w:lang w:val="en-GB"/>
    </w:rPr>
  </w:style>
  <w:style w:type="character" w:styleId="EndnoteReference">
    <w:name w:val="endnote reference"/>
    <w:basedOn w:val="DefaultParagraphFont"/>
    <w:uiPriority w:val="99"/>
    <w:semiHidden/>
    <w:unhideWhenUsed/>
    <w:rsid w:val="00F479E0"/>
    <w:rPr>
      <w:vertAlign w:val="superscript"/>
    </w:rPr>
  </w:style>
  <w:style w:type="paragraph" w:styleId="FootnoteText">
    <w:name w:val="footnote text"/>
    <w:basedOn w:val="Normal"/>
    <w:link w:val="FootnoteTextChar"/>
    <w:uiPriority w:val="99"/>
    <w:semiHidden/>
    <w:unhideWhenUsed/>
    <w:rsid w:val="00F479E0"/>
    <w:pPr>
      <w:spacing w:line="240" w:lineRule="auto"/>
    </w:pPr>
    <w:rPr>
      <w:sz w:val="20"/>
      <w:szCs w:val="20"/>
    </w:rPr>
  </w:style>
  <w:style w:type="character" w:customStyle="1" w:styleId="FootnoteTextChar">
    <w:name w:val="Footnote Text Char"/>
    <w:basedOn w:val="DefaultParagraphFont"/>
    <w:link w:val="FootnoteText"/>
    <w:uiPriority w:val="99"/>
    <w:semiHidden/>
    <w:rsid w:val="00F479E0"/>
    <w:rPr>
      <w:rFonts w:ascii="Verdana" w:eastAsiaTheme="minorEastAsia" w:hAnsi="Verdana"/>
      <w:b/>
      <w:noProof/>
      <w:color w:val="333333"/>
      <w:sz w:val="20"/>
      <w:szCs w:val="20"/>
      <w:lang w:val="en-GB"/>
    </w:rPr>
  </w:style>
  <w:style w:type="character" w:styleId="FootnoteReference">
    <w:name w:val="footnote reference"/>
    <w:basedOn w:val="DefaultParagraphFont"/>
    <w:uiPriority w:val="99"/>
    <w:semiHidden/>
    <w:unhideWhenUsed/>
    <w:rsid w:val="00F479E0"/>
    <w:rPr>
      <w:vertAlign w:val="superscript"/>
    </w:rPr>
  </w:style>
  <w:style w:type="paragraph" w:customStyle="1" w:styleId="ListNumber21">
    <w:name w:val="List Number 21"/>
    <w:basedOn w:val="ListNumber"/>
    <w:autoRedefine/>
    <w:rsid w:val="00A00F81"/>
    <w:pPr>
      <w:numPr>
        <w:numId w:val="9"/>
      </w:numPr>
    </w:pPr>
  </w:style>
  <w:style w:type="paragraph" w:customStyle="1" w:styleId="EPCMListnumber2">
    <w:name w:val="EPCM List number 2"/>
    <w:basedOn w:val="ListNumber"/>
    <w:autoRedefine/>
    <w:qFormat/>
    <w:rsid w:val="00AC689E"/>
    <w:pPr>
      <w:numPr>
        <w:numId w:val="10"/>
      </w:numPr>
      <w:ind w:left="1440"/>
      <w:contextualSpacing w:val="0"/>
    </w:pPr>
  </w:style>
  <w:style w:type="character" w:styleId="UnresolvedMention">
    <w:name w:val="Unresolved Mention"/>
    <w:basedOn w:val="DefaultParagraphFont"/>
    <w:uiPriority w:val="99"/>
    <w:semiHidden/>
    <w:unhideWhenUsed/>
    <w:rsid w:val="007B4D26"/>
    <w:rPr>
      <w:color w:val="605E5C"/>
      <w:shd w:val="clear" w:color="auto" w:fill="E1DFDD"/>
    </w:rPr>
  </w:style>
  <w:style w:type="paragraph" w:customStyle="1" w:styleId="EYBodytextwithparaspace">
    <w:name w:val="EY Body text (with para space)"/>
    <w:basedOn w:val="Normal"/>
    <w:rsid w:val="007C282A"/>
    <w:pPr>
      <w:numPr>
        <w:ilvl w:val="4"/>
        <w:numId w:val="11"/>
      </w:numPr>
      <w:spacing w:after="120" w:line="240" w:lineRule="auto"/>
      <w:jc w:val="both"/>
      <w:outlineLvl w:val="0"/>
    </w:pPr>
    <w:rPr>
      <w:rFonts w:ascii="EYInterstate Light" w:eastAsia="Times New Roman" w:hAnsi="EYInterstate Light" w:cs="Times New Roman"/>
      <w:b w:val="0"/>
      <w:color w:val="auto"/>
      <w:kern w:val="12"/>
      <w:sz w:val="18"/>
      <w:szCs w:val="24"/>
    </w:rPr>
  </w:style>
  <w:style w:type="paragraph" w:customStyle="1" w:styleId="EYHeading2">
    <w:name w:val="EY Heading 2"/>
    <w:basedOn w:val="Normal"/>
    <w:next w:val="EYBodytextwithparaspace"/>
    <w:rsid w:val="007C282A"/>
    <w:pPr>
      <w:keepNext/>
      <w:numPr>
        <w:ilvl w:val="1"/>
        <w:numId w:val="11"/>
      </w:numPr>
      <w:spacing w:before="120" w:after="120" w:line="240" w:lineRule="auto"/>
      <w:jc w:val="both"/>
      <w:outlineLvl w:val="0"/>
    </w:pPr>
    <w:rPr>
      <w:rFonts w:ascii="EYInterstate Light" w:eastAsia="Times New Roman" w:hAnsi="EYInterstate Light" w:cs="Times New Roman"/>
      <w:color w:val="auto"/>
      <w:kern w:val="12"/>
      <w:sz w:val="28"/>
      <w:szCs w:val="24"/>
    </w:rPr>
  </w:style>
  <w:style w:type="paragraph" w:customStyle="1" w:styleId="EYHeading3">
    <w:name w:val="EY Heading 3"/>
    <w:basedOn w:val="Normal"/>
    <w:next w:val="EYBodytextwithparaspace"/>
    <w:rsid w:val="007C282A"/>
    <w:pPr>
      <w:keepNext/>
      <w:numPr>
        <w:ilvl w:val="2"/>
        <w:numId w:val="11"/>
      </w:numPr>
      <w:spacing w:before="120" w:after="120" w:line="240" w:lineRule="auto"/>
      <w:jc w:val="both"/>
      <w:outlineLvl w:val="0"/>
    </w:pPr>
    <w:rPr>
      <w:rFonts w:ascii="EYInterstate Light" w:eastAsia="Times New Roman" w:hAnsi="EYInterstate Light" w:cs="Times New Roman"/>
      <w:color w:val="auto"/>
      <w:kern w:val="12"/>
      <w:sz w:val="24"/>
      <w:szCs w:val="24"/>
    </w:rPr>
  </w:style>
  <w:style w:type="paragraph" w:customStyle="1" w:styleId="EYHeading4">
    <w:name w:val="EY Heading 4"/>
    <w:basedOn w:val="EYHeading3"/>
    <w:rsid w:val="007C282A"/>
    <w:pPr>
      <w:numPr>
        <w:ilvl w:val="3"/>
      </w:numPr>
      <w:spacing w:before="60"/>
    </w:pPr>
    <w:rPr>
      <w:sz w:val="20"/>
    </w:rPr>
  </w:style>
  <w:style w:type="numbering" w:customStyle="1" w:styleId="ParaNumbering2">
    <w:name w:val="ParaNumbering2"/>
    <w:basedOn w:val="NoList"/>
    <w:rsid w:val="007C282A"/>
    <w:pPr>
      <w:numPr>
        <w:numId w:val="21"/>
      </w:numPr>
    </w:pPr>
  </w:style>
  <w:style w:type="character" w:styleId="CommentReference">
    <w:name w:val="annotation reference"/>
    <w:basedOn w:val="DefaultParagraphFont"/>
    <w:uiPriority w:val="99"/>
    <w:semiHidden/>
    <w:unhideWhenUsed/>
    <w:rsid w:val="00B65C7F"/>
    <w:rPr>
      <w:sz w:val="16"/>
      <w:szCs w:val="16"/>
    </w:rPr>
  </w:style>
  <w:style w:type="paragraph" w:styleId="CommentText">
    <w:name w:val="annotation text"/>
    <w:basedOn w:val="Normal"/>
    <w:link w:val="CommentTextChar"/>
    <w:uiPriority w:val="99"/>
    <w:unhideWhenUsed/>
    <w:rsid w:val="00B65C7F"/>
    <w:pPr>
      <w:spacing w:after="160" w:line="240" w:lineRule="auto"/>
      <w:jc w:val="both"/>
    </w:pPr>
    <w:rPr>
      <w:rFonts w:asciiTheme="minorHAnsi" w:eastAsiaTheme="minorHAnsi" w:hAnsiTheme="minorHAnsi"/>
      <w:b w:val="0"/>
      <w:color w:val="auto"/>
      <w:sz w:val="20"/>
      <w:szCs w:val="20"/>
    </w:rPr>
  </w:style>
  <w:style w:type="character" w:customStyle="1" w:styleId="CommentTextChar">
    <w:name w:val="Comment Text Char"/>
    <w:basedOn w:val="DefaultParagraphFont"/>
    <w:link w:val="CommentText"/>
    <w:uiPriority w:val="99"/>
    <w:rsid w:val="00B65C7F"/>
    <w:rPr>
      <w:sz w:val="20"/>
      <w:szCs w:val="20"/>
      <w:lang w:val="en-GB"/>
    </w:rPr>
  </w:style>
  <w:style w:type="paragraph" w:customStyle="1" w:styleId="Bullet">
    <w:name w:val="Bullet"/>
    <w:basedOn w:val="Normal"/>
    <w:link w:val="BulletChar"/>
    <w:qFormat/>
    <w:rsid w:val="00326B6F"/>
    <w:pPr>
      <w:numPr>
        <w:numId w:val="12"/>
      </w:numPr>
      <w:spacing w:after="120" w:line="240" w:lineRule="auto"/>
      <w:jc w:val="both"/>
    </w:pPr>
    <w:rPr>
      <w:rFonts w:ascii="Calibri" w:eastAsiaTheme="minorHAnsi" w:hAnsi="Calibri"/>
      <w:b w:val="0"/>
      <w:color w:val="auto"/>
    </w:rPr>
  </w:style>
  <w:style w:type="character" w:customStyle="1" w:styleId="BulletChar">
    <w:name w:val="Bullet Char"/>
    <w:basedOn w:val="DefaultParagraphFont"/>
    <w:link w:val="Bullet"/>
    <w:rsid w:val="00326B6F"/>
    <w:rPr>
      <w:rFonts w:ascii="Calibri" w:hAnsi="Calibri"/>
      <w:sz w:val="22"/>
      <w:szCs w:val="22"/>
    </w:rPr>
  </w:style>
  <w:style w:type="character" w:customStyle="1" w:styleId="CaptionChar">
    <w:name w:val="Caption Char"/>
    <w:aliases w:val="Caption Char2 Char,Caption Char1 Char1 Char,Caption Char Char Char Char,Caption Char1 Char Char Char Char,Caption Char Char Char1 Char Char Char,Caption Char1 Char Char Char Char Char Char,Caption Char3 Char Char Char Char Char Char Char"/>
    <w:link w:val="Caption"/>
    <w:uiPriority w:val="35"/>
    <w:locked/>
    <w:rsid w:val="00BF45DB"/>
    <w:rPr>
      <w:rFonts w:ascii="Verdana" w:eastAsiaTheme="minorEastAsia" w:hAnsi="Verdana"/>
      <w:i/>
      <w:iCs/>
      <w:color w:val="3592CF" w:themeColor="accent2"/>
      <w:sz w:val="16"/>
      <w:szCs w:val="16"/>
      <w:lang w:val="en-GB"/>
    </w:rPr>
  </w:style>
  <w:style w:type="character" w:customStyle="1" w:styleId="ListParagraphChar">
    <w:name w:val="List Paragraph Char"/>
    <w:aliases w:val="Bullets Char,List Bullet Mary Char,Body Char,List Paragraph (numbered (a)) Char,List Paragraph1 Char,texte de base Char,References Char,Liste 1 Char,Numbered List Paragraph Char,ReferencesCxSpLast Char,Medium Grid 1 - Accent 21 Char"/>
    <w:link w:val="ListParagraph"/>
    <w:uiPriority w:val="34"/>
    <w:qFormat/>
    <w:locked/>
    <w:rsid w:val="004E5CDA"/>
    <w:rPr>
      <w:lang w:val="fr-FR"/>
    </w:rPr>
  </w:style>
  <w:style w:type="paragraph" w:styleId="ListParagraph">
    <w:name w:val="List Paragraph"/>
    <w:aliases w:val="Bullets,List Bullet Mary,Body,List Paragraph (numbered (a)),List Paragraph1,texte de base,References,Liste 1,Numbered List Paragraph,ReferencesCxSpLast,Medium Grid 1 - Accent 21,Paragraphe de liste 1,RM1,Liste couleur - Accent 11,lp1,Ha"/>
    <w:basedOn w:val="Normal"/>
    <w:link w:val="ListParagraphChar"/>
    <w:uiPriority w:val="34"/>
    <w:qFormat/>
    <w:rsid w:val="004E5CDA"/>
    <w:pPr>
      <w:spacing w:before="120" w:after="120" w:line="256" w:lineRule="auto"/>
      <w:ind w:left="720"/>
      <w:contextualSpacing/>
      <w:jc w:val="both"/>
    </w:pPr>
    <w:rPr>
      <w:rFonts w:asciiTheme="minorHAnsi" w:eastAsiaTheme="minorHAnsi" w:hAnsiTheme="minorHAnsi"/>
      <w:b w:val="0"/>
      <w:color w:val="auto"/>
      <w:sz w:val="24"/>
      <w:szCs w:val="24"/>
      <w:lang w:val="fr-FR"/>
    </w:rPr>
  </w:style>
  <w:style w:type="paragraph" w:styleId="Revision">
    <w:name w:val="Revision"/>
    <w:hidden/>
    <w:uiPriority w:val="99"/>
    <w:semiHidden/>
    <w:rsid w:val="00544032"/>
    <w:pPr>
      <w:spacing w:after="0" w:line="240" w:lineRule="auto"/>
    </w:pPr>
    <w:rPr>
      <w:rFonts w:ascii="Verdana" w:eastAsiaTheme="minorEastAsia" w:hAnsi="Verdana"/>
      <w:b/>
      <w:noProof/>
      <w:color w:val="333333"/>
      <w:sz w:val="22"/>
      <w:szCs w:val="22"/>
      <w:lang w:val="en-GB"/>
    </w:rPr>
  </w:style>
  <w:style w:type="paragraph" w:customStyle="1" w:styleId="CR-2">
    <w:name w:val="CR-2"/>
    <w:basedOn w:val="Normal"/>
    <w:uiPriority w:val="99"/>
    <w:qFormat/>
    <w:rsid w:val="00544032"/>
    <w:pPr>
      <w:numPr>
        <w:ilvl w:val="1"/>
        <w:numId w:val="13"/>
      </w:numPr>
      <w:spacing w:after="200"/>
      <w:jc w:val="both"/>
    </w:pPr>
    <w:rPr>
      <w:rFonts w:eastAsia="Times New Roman" w:cs="Times New Roman"/>
      <w:color w:val="auto"/>
      <w:sz w:val="20"/>
      <w:szCs w:val="20"/>
      <w:lang w:val="es-ES" w:bidi="en-US"/>
    </w:rPr>
  </w:style>
  <w:style w:type="paragraph" w:customStyle="1" w:styleId="Item1">
    <w:name w:val="Item1"/>
    <w:basedOn w:val="ListParagraph"/>
    <w:rsid w:val="00544032"/>
    <w:pPr>
      <w:numPr>
        <w:numId w:val="14"/>
      </w:numPr>
      <w:spacing w:before="0" w:after="160" w:line="259" w:lineRule="auto"/>
    </w:pPr>
    <w:rPr>
      <w:rFonts w:ascii="Arial" w:eastAsia="Times New Roman" w:hAnsi="Arial" w:cs="Times New Roman"/>
      <w:sz w:val="18"/>
      <w:lang w:val="en-US" w:eastAsia="it-IT"/>
    </w:rPr>
  </w:style>
  <w:style w:type="paragraph" w:customStyle="1" w:styleId="Paragraph">
    <w:name w:val="Paragraph"/>
    <w:aliases w:val="p,PARAGRAPH,PG,pa,at,99 paragraph,p1,P,p2,Paragaph,Paragraph 2,paragraph2,Para,graph,DDp,athh"/>
    <w:basedOn w:val="Normal"/>
    <w:link w:val="ParagraphChar"/>
    <w:qFormat/>
    <w:rsid w:val="00544032"/>
    <w:pPr>
      <w:tabs>
        <w:tab w:val="left" w:pos="851"/>
      </w:tabs>
      <w:spacing w:before="120" w:after="120" w:line="240" w:lineRule="auto"/>
      <w:jc w:val="both"/>
    </w:pPr>
    <w:rPr>
      <w:rFonts w:ascii="Arial" w:eastAsia="Times New Roman" w:hAnsi="Arial" w:cs="Times New Roman"/>
      <w:b w:val="0"/>
      <w:color w:val="auto"/>
      <w:sz w:val="18"/>
      <w:szCs w:val="24"/>
      <w:lang w:val="it-IT" w:eastAsia="it-IT"/>
    </w:rPr>
  </w:style>
  <w:style w:type="character" w:customStyle="1" w:styleId="ParagraphChar">
    <w:name w:val="Paragraph Char"/>
    <w:aliases w:val="Normal List Char,Endnote Char,Indent Char,Normal bullet 2 Char,Paragraphe de liste PBLH Char,Bullet list Char,b1 Char,Number_1 Char,new Char,lp1 Char,List Bulet Char"/>
    <w:link w:val="Paragraph"/>
    <w:qFormat/>
    <w:rsid w:val="00544032"/>
    <w:rPr>
      <w:rFonts w:ascii="Arial" w:eastAsia="Times New Roman" w:hAnsi="Arial" w:cs="Times New Roman"/>
      <w:sz w:val="18"/>
      <w:lang w:val="it-IT" w:eastAsia="it-IT"/>
    </w:rPr>
  </w:style>
  <w:style w:type="paragraph" w:customStyle="1" w:styleId="Captionfigure">
    <w:name w:val="Caption figure"/>
    <w:basedOn w:val="Caption"/>
    <w:qFormat/>
    <w:rsid w:val="00544032"/>
    <w:pPr>
      <w:tabs>
        <w:tab w:val="left" w:pos="284"/>
        <w:tab w:val="left" w:pos="1418"/>
      </w:tabs>
      <w:spacing w:line="240" w:lineRule="auto"/>
      <w:ind w:firstLine="284"/>
    </w:pPr>
    <w:rPr>
      <w:rFonts w:ascii="Arial" w:eastAsia="Times New Roman" w:hAnsi="Arial" w:cs="Times New Roman"/>
      <w:b/>
      <w:bCs/>
      <w:i w:val="0"/>
      <w:iCs w:val="0"/>
      <w:color w:val="3EB1C8"/>
      <w:sz w:val="18"/>
      <w:szCs w:val="20"/>
      <w:lang w:eastAsia="it-IT"/>
    </w:rPr>
  </w:style>
  <w:style w:type="character" w:styleId="FollowedHyperlink">
    <w:name w:val="FollowedHyperlink"/>
    <w:basedOn w:val="DefaultParagraphFont"/>
    <w:uiPriority w:val="99"/>
    <w:semiHidden/>
    <w:unhideWhenUsed/>
    <w:rsid w:val="003205EE"/>
    <w:rPr>
      <w:color w:val="3592CF" w:themeColor="followedHyperlink"/>
      <w:u w:val="single"/>
    </w:rPr>
  </w:style>
  <w:style w:type="paragraph" w:styleId="CommentSubject">
    <w:name w:val="annotation subject"/>
    <w:basedOn w:val="CommentText"/>
    <w:next w:val="CommentText"/>
    <w:link w:val="CommentSubjectChar"/>
    <w:uiPriority w:val="99"/>
    <w:semiHidden/>
    <w:unhideWhenUsed/>
    <w:rsid w:val="003B76C9"/>
    <w:pPr>
      <w:spacing w:after="0"/>
      <w:jc w:val="left"/>
    </w:pPr>
    <w:rPr>
      <w:rFonts w:ascii="Verdana" w:eastAsiaTheme="minorEastAsia" w:hAnsi="Verdana"/>
      <w:b/>
      <w:bCs/>
      <w:color w:val="333333"/>
    </w:rPr>
  </w:style>
  <w:style w:type="character" w:customStyle="1" w:styleId="CommentSubjectChar">
    <w:name w:val="Comment Subject Char"/>
    <w:basedOn w:val="CommentTextChar"/>
    <w:link w:val="CommentSubject"/>
    <w:uiPriority w:val="99"/>
    <w:semiHidden/>
    <w:rsid w:val="003B76C9"/>
    <w:rPr>
      <w:rFonts w:ascii="Verdana" w:eastAsiaTheme="minorEastAsia" w:hAnsi="Verdana"/>
      <w:b/>
      <w:bCs/>
      <w:color w:val="333333"/>
      <w:sz w:val="20"/>
      <w:szCs w:val="20"/>
      <w:lang w:val="en-GB"/>
    </w:rPr>
  </w:style>
  <w:style w:type="paragraph" w:customStyle="1" w:styleId="TableParagraph">
    <w:name w:val="Table Paragraph"/>
    <w:basedOn w:val="Normal"/>
    <w:uiPriority w:val="1"/>
    <w:qFormat/>
    <w:rsid w:val="00C272BF"/>
    <w:pPr>
      <w:widowControl w:val="0"/>
      <w:autoSpaceDE w:val="0"/>
      <w:autoSpaceDN w:val="0"/>
      <w:spacing w:line="240" w:lineRule="auto"/>
    </w:pPr>
    <w:rPr>
      <w:rFonts w:ascii="Arial" w:eastAsia="Arial" w:hAnsi="Arial" w:cs="Arial"/>
      <w:b w:val="0"/>
      <w:color w:val="auto"/>
    </w:rPr>
  </w:style>
  <w:style w:type="paragraph" w:customStyle="1" w:styleId="EYHeading1">
    <w:name w:val="EY Heading 1"/>
    <w:basedOn w:val="Normal"/>
    <w:next w:val="EYBodytextwithparaspace"/>
    <w:rsid w:val="00C272BF"/>
    <w:pPr>
      <w:pageBreakBefore/>
      <w:tabs>
        <w:tab w:val="num" w:pos="0"/>
      </w:tabs>
      <w:spacing w:after="360" w:line="240" w:lineRule="auto"/>
      <w:outlineLvl w:val="0"/>
    </w:pPr>
    <w:rPr>
      <w:rFonts w:ascii="Arial" w:eastAsia="Times New Roman" w:hAnsi="Arial" w:cs="Times New Roman"/>
      <w:color w:val="7F7E82"/>
      <w:kern w:val="12"/>
      <w:sz w:val="32"/>
      <w:szCs w:val="24"/>
    </w:rPr>
  </w:style>
  <w:style w:type="paragraph" w:styleId="BodyText">
    <w:name w:val="Body Text"/>
    <w:basedOn w:val="Normal"/>
    <w:link w:val="BodyTextChar"/>
    <w:uiPriority w:val="1"/>
    <w:qFormat/>
    <w:rsid w:val="00AE158C"/>
    <w:pPr>
      <w:widowControl w:val="0"/>
      <w:autoSpaceDE w:val="0"/>
      <w:autoSpaceDN w:val="0"/>
      <w:spacing w:line="240" w:lineRule="auto"/>
    </w:pPr>
    <w:rPr>
      <w:rFonts w:ascii="Arial" w:eastAsia="Arial" w:hAnsi="Arial" w:cs="Arial"/>
      <w:b w:val="0"/>
      <w:color w:val="auto"/>
      <w:sz w:val="18"/>
      <w:szCs w:val="18"/>
    </w:rPr>
  </w:style>
  <w:style w:type="character" w:customStyle="1" w:styleId="BodyTextChar">
    <w:name w:val="Body Text Char"/>
    <w:basedOn w:val="DefaultParagraphFont"/>
    <w:link w:val="BodyText"/>
    <w:uiPriority w:val="1"/>
    <w:rsid w:val="00AE158C"/>
    <w:rPr>
      <w:rFonts w:ascii="Arial" w:eastAsia="Arial" w:hAnsi="Arial" w:cs="Arial"/>
      <w:sz w:val="18"/>
      <w:szCs w:val="18"/>
    </w:rPr>
  </w:style>
  <w:style w:type="paragraph" w:styleId="NormalWeb">
    <w:name w:val="Normal (Web)"/>
    <w:basedOn w:val="Normal"/>
    <w:uiPriority w:val="99"/>
    <w:semiHidden/>
    <w:unhideWhenUsed/>
    <w:rsid w:val="007C11B4"/>
    <w:pPr>
      <w:spacing w:before="100" w:beforeAutospacing="1" w:after="100" w:afterAutospacing="1" w:line="240" w:lineRule="auto"/>
    </w:pPr>
    <w:rPr>
      <w:rFonts w:ascii="Times New Roman" w:eastAsia="Times New Roman" w:hAnsi="Times New Roman" w:cs="Times New Roman"/>
      <w:b w:val="0"/>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9713">
      <w:bodyDiv w:val="1"/>
      <w:marLeft w:val="0"/>
      <w:marRight w:val="0"/>
      <w:marTop w:val="0"/>
      <w:marBottom w:val="0"/>
      <w:divBdr>
        <w:top w:val="none" w:sz="0" w:space="0" w:color="auto"/>
        <w:left w:val="none" w:sz="0" w:space="0" w:color="auto"/>
        <w:bottom w:val="none" w:sz="0" w:space="0" w:color="auto"/>
        <w:right w:val="none" w:sz="0" w:space="0" w:color="auto"/>
      </w:divBdr>
    </w:div>
    <w:div w:id="15353032">
      <w:bodyDiv w:val="1"/>
      <w:marLeft w:val="0"/>
      <w:marRight w:val="0"/>
      <w:marTop w:val="0"/>
      <w:marBottom w:val="0"/>
      <w:divBdr>
        <w:top w:val="none" w:sz="0" w:space="0" w:color="auto"/>
        <w:left w:val="none" w:sz="0" w:space="0" w:color="auto"/>
        <w:bottom w:val="none" w:sz="0" w:space="0" w:color="auto"/>
        <w:right w:val="none" w:sz="0" w:space="0" w:color="auto"/>
      </w:divBdr>
    </w:div>
    <w:div w:id="15931147">
      <w:bodyDiv w:val="1"/>
      <w:marLeft w:val="0"/>
      <w:marRight w:val="0"/>
      <w:marTop w:val="0"/>
      <w:marBottom w:val="0"/>
      <w:divBdr>
        <w:top w:val="none" w:sz="0" w:space="0" w:color="auto"/>
        <w:left w:val="none" w:sz="0" w:space="0" w:color="auto"/>
        <w:bottom w:val="none" w:sz="0" w:space="0" w:color="auto"/>
        <w:right w:val="none" w:sz="0" w:space="0" w:color="auto"/>
      </w:divBdr>
      <w:divsChild>
        <w:div w:id="1251158205">
          <w:marLeft w:val="446"/>
          <w:marRight w:val="0"/>
          <w:marTop w:val="0"/>
          <w:marBottom w:val="0"/>
          <w:divBdr>
            <w:top w:val="none" w:sz="0" w:space="0" w:color="auto"/>
            <w:left w:val="none" w:sz="0" w:space="0" w:color="auto"/>
            <w:bottom w:val="none" w:sz="0" w:space="0" w:color="auto"/>
            <w:right w:val="none" w:sz="0" w:space="0" w:color="auto"/>
          </w:divBdr>
        </w:div>
      </w:divsChild>
    </w:div>
    <w:div w:id="35276121">
      <w:bodyDiv w:val="1"/>
      <w:marLeft w:val="0"/>
      <w:marRight w:val="0"/>
      <w:marTop w:val="0"/>
      <w:marBottom w:val="0"/>
      <w:divBdr>
        <w:top w:val="none" w:sz="0" w:space="0" w:color="auto"/>
        <w:left w:val="none" w:sz="0" w:space="0" w:color="auto"/>
        <w:bottom w:val="none" w:sz="0" w:space="0" w:color="auto"/>
        <w:right w:val="none" w:sz="0" w:space="0" w:color="auto"/>
      </w:divBdr>
    </w:div>
    <w:div w:id="67846583">
      <w:bodyDiv w:val="1"/>
      <w:marLeft w:val="0"/>
      <w:marRight w:val="0"/>
      <w:marTop w:val="0"/>
      <w:marBottom w:val="0"/>
      <w:divBdr>
        <w:top w:val="none" w:sz="0" w:space="0" w:color="auto"/>
        <w:left w:val="none" w:sz="0" w:space="0" w:color="auto"/>
        <w:bottom w:val="none" w:sz="0" w:space="0" w:color="auto"/>
        <w:right w:val="none" w:sz="0" w:space="0" w:color="auto"/>
      </w:divBdr>
    </w:div>
    <w:div w:id="68579835">
      <w:bodyDiv w:val="1"/>
      <w:marLeft w:val="0"/>
      <w:marRight w:val="0"/>
      <w:marTop w:val="0"/>
      <w:marBottom w:val="0"/>
      <w:divBdr>
        <w:top w:val="none" w:sz="0" w:space="0" w:color="auto"/>
        <w:left w:val="none" w:sz="0" w:space="0" w:color="auto"/>
        <w:bottom w:val="none" w:sz="0" w:space="0" w:color="auto"/>
        <w:right w:val="none" w:sz="0" w:space="0" w:color="auto"/>
      </w:divBdr>
    </w:div>
    <w:div w:id="87195360">
      <w:bodyDiv w:val="1"/>
      <w:marLeft w:val="0"/>
      <w:marRight w:val="0"/>
      <w:marTop w:val="0"/>
      <w:marBottom w:val="0"/>
      <w:divBdr>
        <w:top w:val="none" w:sz="0" w:space="0" w:color="auto"/>
        <w:left w:val="none" w:sz="0" w:space="0" w:color="auto"/>
        <w:bottom w:val="none" w:sz="0" w:space="0" w:color="auto"/>
        <w:right w:val="none" w:sz="0" w:space="0" w:color="auto"/>
      </w:divBdr>
      <w:divsChild>
        <w:div w:id="1891763414">
          <w:marLeft w:val="446"/>
          <w:marRight w:val="0"/>
          <w:marTop w:val="0"/>
          <w:marBottom w:val="0"/>
          <w:divBdr>
            <w:top w:val="none" w:sz="0" w:space="0" w:color="auto"/>
            <w:left w:val="none" w:sz="0" w:space="0" w:color="auto"/>
            <w:bottom w:val="none" w:sz="0" w:space="0" w:color="auto"/>
            <w:right w:val="none" w:sz="0" w:space="0" w:color="auto"/>
          </w:divBdr>
        </w:div>
      </w:divsChild>
    </w:div>
    <w:div w:id="122626774">
      <w:bodyDiv w:val="1"/>
      <w:marLeft w:val="0"/>
      <w:marRight w:val="0"/>
      <w:marTop w:val="0"/>
      <w:marBottom w:val="0"/>
      <w:divBdr>
        <w:top w:val="none" w:sz="0" w:space="0" w:color="auto"/>
        <w:left w:val="none" w:sz="0" w:space="0" w:color="auto"/>
        <w:bottom w:val="none" w:sz="0" w:space="0" w:color="auto"/>
        <w:right w:val="none" w:sz="0" w:space="0" w:color="auto"/>
      </w:divBdr>
    </w:div>
    <w:div w:id="129832114">
      <w:bodyDiv w:val="1"/>
      <w:marLeft w:val="0"/>
      <w:marRight w:val="0"/>
      <w:marTop w:val="0"/>
      <w:marBottom w:val="0"/>
      <w:divBdr>
        <w:top w:val="none" w:sz="0" w:space="0" w:color="auto"/>
        <w:left w:val="none" w:sz="0" w:space="0" w:color="auto"/>
        <w:bottom w:val="none" w:sz="0" w:space="0" w:color="auto"/>
        <w:right w:val="none" w:sz="0" w:space="0" w:color="auto"/>
      </w:divBdr>
    </w:div>
    <w:div w:id="138348073">
      <w:bodyDiv w:val="1"/>
      <w:marLeft w:val="0"/>
      <w:marRight w:val="0"/>
      <w:marTop w:val="0"/>
      <w:marBottom w:val="0"/>
      <w:divBdr>
        <w:top w:val="none" w:sz="0" w:space="0" w:color="auto"/>
        <w:left w:val="none" w:sz="0" w:space="0" w:color="auto"/>
        <w:bottom w:val="none" w:sz="0" w:space="0" w:color="auto"/>
        <w:right w:val="none" w:sz="0" w:space="0" w:color="auto"/>
      </w:divBdr>
    </w:div>
    <w:div w:id="165024751">
      <w:bodyDiv w:val="1"/>
      <w:marLeft w:val="0"/>
      <w:marRight w:val="0"/>
      <w:marTop w:val="0"/>
      <w:marBottom w:val="0"/>
      <w:divBdr>
        <w:top w:val="none" w:sz="0" w:space="0" w:color="auto"/>
        <w:left w:val="none" w:sz="0" w:space="0" w:color="auto"/>
        <w:bottom w:val="none" w:sz="0" w:space="0" w:color="auto"/>
        <w:right w:val="none" w:sz="0" w:space="0" w:color="auto"/>
      </w:divBdr>
    </w:div>
    <w:div w:id="211499729">
      <w:bodyDiv w:val="1"/>
      <w:marLeft w:val="0"/>
      <w:marRight w:val="0"/>
      <w:marTop w:val="0"/>
      <w:marBottom w:val="0"/>
      <w:divBdr>
        <w:top w:val="none" w:sz="0" w:space="0" w:color="auto"/>
        <w:left w:val="none" w:sz="0" w:space="0" w:color="auto"/>
        <w:bottom w:val="none" w:sz="0" w:space="0" w:color="auto"/>
        <w:right w:val="none" w:sz="0" w:space="0" w:color="auto"/>
      </w:divBdr>
    </w:div>
    <w:div w:id="250624249">
      <w:bodyDiv w:val="1"/>
      <w:marLeft w:val="0"/>
      <w:marRight w:val="0"/>
      <w:marTop w:val="0"/>
      <w:marBottom w:val="0"/>
      <w:divBdr>
        <w:top w:val="none" w:sz="0" w:space="0" w:color="auto"/>
        <w:left w:val="none" w:sz="0" w:space="0" w:color="auto"/>
        <w:bottom w:val="none" w:sz="0" w:space="0" w:color="auto"/>
        <w:right w:val="none" w:sz="0" w:space="0" w:color="auto"/>
      </w:divBdr>
      <w:divsChild>
        <w:div w:id="1242789835">
          <w:marLeft w:val="446"/>
          <w:marRight w:val="0"/>
          <w:marTop w:val="0"/>
          <w:marBottom w:val="0"/>
          <w:divBdr>
            <w:top w:val="none" w:sz="0" w:space="0" w:color="auto"/>
            <w:left w:val="none" w:sz="0" w:space="0" w:color="auto"/>
            <w:bottom w:val="none" w:sz="0" w:space="0" w:color="auto"/>
            <w:right w:val="none" w:sz="0" w:space="0" w:color="auto"/>
          </w:divBdr>
        </w:div>
        <w:div w:id="1914899384">
          <w:marLeft w:val="446"/>
          <w:marRight w:val="0"/>
          <w:marTop w:val="0"/>
          <w:marBottom w:val="0"/>
          <w:divBdr>
            <w:top w:val="none" w:sz="0" w:space="0" w:color="auto"/>
            <w:left w:val="none" w:sz="0" w:space="0" w:color="auto"/>
            <w:bottom w:val="none" w:sz="0" w:space="0" w:color="auto"/>
            <w:right w:val="none" w:sz="0" w:space="0" w:color="auto"/>
          </w:divBdr>
        </w:div>
        <w:div w:id="2083092772">
          <w:marLeft w:val="446"/>
          <w:marRight w:val="0"/>
          <w:marTop w:val="0"/>
          <w:marBottom w:val="0"/>
          <w:divBdr>
            <w:top w:val="none" w:sz="0" w:space="0" w:color="auto"/>
            <w:left w:val="none" w:sz="0" w:space="0" w:color="auto"/>
            <w:bottom w:val="none" w:sz="0" w:space="0" w:color="auto"/>
            <w:right w:val="none" w:sz="0" w:space="0" w:color="auto"/>
          </w:divBdr>
        </w:div>
      </w:divsChild>
    </w:div>
    <w:div w:id="257294595">
      <w:bodyDiv w:val="1"/>
      <w:marLeft w:val="0"/>
      <w:marRight w:val="0"/>
      <w:marTop w:val="0"/>
      <w:marBottom w:val="0"/>
      <w:divBdr>
        <w:top w:val="none" w:sz="0" w:space="0" w:color="auto"/>
        <w:left w:val="none" w:sz="0" w:space="0" w:color="auto"/>
        <w:bottom w:val="none" w:sz="0" w:space="0" w:color="auto"/>
        <w:right w:val="none" w:sz="0" w:space="0" w:color="auto"/>
      </w:divBdr>
    </w:div>
    <w:div w:id="271059709">
      <w:bodyDiv w:val="1"/>
      <w:marLeft w:val="0"/>
      <w:marRight w:val="0"/>
      <w:marTop w:val="0"/>
      <w:marBottom w:val="0"/>
      <w:divBdr>
        <w:top w:val="none" w:sz="0" w:space="0" w:color="auto"/>
        <w:left w:val="none" w:sz="0" w:space="0" w:color="auto"/>
        <w:bottom w:val="none" w:sz="0" w:space="0" w:color="auto"/>
        <w:right w:val="none" w:sz="0" w:space="0" w:color="auto"/>
      </w:divBdr>
    </w:div>
    <w:div w:id="274212785">
      <w:bodyDiv w:val="1"/>
      <w:marLeft w:val="0"/>
      <w:marRight w:val="0"/>
      <w:marTop w:val="0"/>
      <w:marBottom w:val="0"/>
      <w:divBdr>
        <w:top w:val="none" w:sz="0" w:space="0" w:color="auto"/>
        <w:left w:val="none" w:sz="0" w:space="0" w:color="auto"/>
        <w:bottom w:val="none" w:sz="0" w:space="0" w:color="auto"/>
        <w:right w:val="none" w:sz="0" w:space="0" w:color="auto"/>
      </w:divBdr>
    </w:div>
    <w:div w:id="279190020">
      <w:bodyDiv w:val="1"/>
      <w:marLeft w:val="0"/>
      <w:marRight w:val="0"/>
      <w:marTop w:val="0"/>
      <w:marBottom w:val="0"/>
      <w:divBdr>
        <w:top w:val="none" w:sz="0" w:space="0" w:color="auto"/>
        <w:left w:val="none" w:sz="0" w:space="0" w:color="auto"/>
        <w:bottom w:val="none" w:sz="0" w:space="0" w:color="auto"/>
        <w:right w:val="none" w:sz="0" w:space="0" w:color="auto"/>
      </w:divBdr>
    </w:div>
    <w:div w:id="281425084">
      <w:bodyDiv w:val="1"/>
      <w:marLeft w:val="0"/>
      <w:marRight w:val="0"/>
      <w:marTop w:val="0"/>
      <w:marBottom w:val="0"/>
      <w:divBdr>
        <w:top w:val="none" w:sz="0" w:space="0" w:color="auto"/>
        <w:left w:val="none" w:sz="0" w:space="0" w:color="auto"/>
        <w:bottom w:val="none" w:sz="0" w:space="0" w:color="auto"/>
        <w:right w:val="none" w:sz="0" w:space="0" w:color="auto"/>
      </w:divBdr>
      <w:divsChild>
        <w:div w:id="1827088150">
          <w:marLeft w:val="446"/>
          <w:marRight w:val="0"/>
          <w:marTop w:val="0"/>
          <w:marBottom w:val="0"/>
          <w:divBdr>
            <w:top w:val="none" w:sz="0" w:space="0" w:color="auto"/>
            <w:left w:val="none" w:sz="0" w:space="0" w:color="auto"/>
            <w:bottom w:val="none" w:sz="0" w:space="0" w:color="auto"/>
            <w:right w:val="none" w:sz="0" w:space="0" w:color="auto"/>
          </w:divBdr>
        </w:div>
      </w:divsChild>
    </w:div>
    <w:div w:id="286279705">
      <w:bodyDiv w:val="1"/>
      <w:marLeft w:val="0"/>
      <w:marRight w:val="0"/>
      <w:marTop w:val="0"/>
      <w:marBottom w:val="0"/>
      <w:divBdr>
        <w:top w:val="none" w:sz="0" w:space="0" w:color="auto"/>
        <w:left w:val="none" w:sz="0" w:space="0" w:color="auto"/>
        <w:bottom w:val="none" w:sz="0" w:space="0" w:color="auto"/>
        <w:right w:val="none" w:sz="0" w:space="0" w:color="auto"/>
      </w:divBdr>
    </w:div>
    <w:div w:id="297031209">
      <w:bodyDiv w:val="1"/>
      <w:marLeft w:val="0"/>
      <w:marRight w:val="0"/>
      <w:marTop w:val="0"/>
      <w:marBottom w:val="0"/>
      <w:divBdr>
        <w:top w:val="none" w:sz="0" w:space="0" w:color="auto"/>
        <w:left w:val="none" w:sz="0" w:space="0" w:color="auto"/>
        <w:bottom w:val="none" w:sz="0" w:space="0" w:color="auto"/>
        <w:right w:val="none" w:sz="0" w:space="0" w:color="auto"/>
      </w:divBdr>
    </w:div>
    <w:div w:id="300769581">
      <w:bodyDiv w:val="1"/>
      <w:marLeft w:val="0"/>
      <w:marRight w:val="0"/>
      <w:marTop w:val="0"/>
      <w:marBottom w:val="0"/>
      <w:divBdr>
        <w:top w:val="none" w:sz="0" w:space="0" w:color="auto"/>
        <w:left w:val="none" w:sz="0" w:space="0" w:color="auto"/>
        <w:bottom w:val="none" w:sz="0" w:space="0" w:color="auto"/>
        <w:right w:val="none" w:sz="0" w:space="0" w:color="auto"/>
      </w:divBdr>
    </w:div>
    <w:div w:id="313871937">
      <w:bodyDiv w:val="1"/>
      <w:marLeft w:val="0"/>
      <w:marRight w:val="0"/>
      <w:marTop w:val="0"/>
      <w:marBottom w:val="0"/>
      <w:divBdr>
        <w:top w:val="none" w:sz="0" w:space="0" w:color="auto"/>
        <w:left w:val="none" w:sz="0" w:space="0" w:color="auto"/>
        <w:bottom w:val="none" w:sz="0" w:space="0" w:color="auto"/>
        <w:right w:val="none" w:sz="0" w:space="0" w:color="auto"/>
      </w:divBdr>
    </w:div>
    <w:div w:id="315038100">
      <w:bodyDiv w:val="1"/>
      <w:marLeft w:val="0"/>
      <w:marRight w:val="0"/>
      <w:marTop w:val="0"/>
      <w:marBottom w:val="0"/>
      <w:divBdr>
        <w:top w:val="none" w:sz="0" w:space="0" w:color="auto"/>
        <w:left w:val="none" w:sz="0" w:space="0" w:color="auto"/>
        <w:bottom w:val="none" w:sz="0" w:space="0" w:color="auto"/>
        <w:right w:val="none" w:sz="0" w:space="0" w:color="auto"/>
      </w:divBdr>
    </w:div>
    <w:div w:id="317735424">
      <w:bodyDiv w:val="1"/>
      <w:marLeft w:val="0"/>
      <w:marRight w:val="0"/>
      <w:marTop w:val="0"/>
      <w:marBottom w:val="0"/>
      <w:divBdr>
        <w:top w:val="none" w:sz="0" w:space="0" w:color="auto"/>
        <w:left w:val="none" w:sz="0" w:space="0" w:color="auto"/>
        <w:bottom w:val="none" w:sz="0" w:space="0" w:color="auto"/>
        <w:right w:val="none" w:sz="0" w:space="0" w:color="auto"/>
      </w:divBdr>
    </w:div>
    <w:div w:id="318919979">
      <w:bodyDiv w:val="1"/>
      <w:marLeft w:val="0"/>
      <w:marRight w:val="0"/>
      <w:marTop w:val="0"/>
      <w:marBottom w:val="0"/>
      <w:divBdr>
        <w:top w:val="none" w:sz="0" w:space="0" w:color="auto"/>
        <w:left w:val="none" w:sz="0" w:space="0" w:color="auto"/>
        <w:bottom w:val="none" w:sz="0" w:space="0" w:color="auto"/>
        <w:right w:val="none" w:sz="0" w:space="0" w:color="auto"/>
      </w:divBdr>
    </w:div>
    <w:div w:id="348064004">
      <w:bodyDiv w:val="1"/>
      <w:marLeft w:val="0"/>
      <w:marRight w:val="0"/>
      <w:marTop w:val="0"/>
      <w:marBottom w:val="0"/>
      <w:divBdr>
        <w:top w:val="none" w:sz="0" w:space="0" w:color="auto"/>
        <w:left w:val="none" w:sz="0" w:space="0" w:color="auto"/>
        <w:bottom w:val="none" w:sz="0" w:space="0" w:color="auto"/>
        <w:right w:val="none" w:sz="0" w:space="0" w:color="auto"/>
      </w:divBdr>
    </w:div>
    <w:div w:id="366295324">
      <w:bodyDiv w:val="1"/>
      <w:marLeft w:val="0"/>
      <w:marRight w:val="0"/>
      <w:marTop w:val="0"/>
      <w:marBottom w:val="0"/>
      <w:divBdr>
        <w:top w:val="none" w:sz="0" w:space="0" w:color="auto"/>
        <w:left w:val="none" w:sz="0" w:space="0" w:color="auto"/>
        <w:bottom w:val="none" w:sz="0" w:space="0" w:color="auto"/>
        <w:right w:val="none" w:sz="0" w:space="0" w:color="auto"/>
      </w:divBdr>
      <w:divsChild>
        <w:div w:id="1654329416">
          <w:marLeft w:val="446"/>
          <w:marRight w:val="0"/>
          <w:marTop w:val="0"/>
          <w:marBottom w:val="0"/>
          <w:divBdr>
            <w:top w:val="none" w:sz="0" w:space="0" w:color="auto"/>
            <w:left w:val="none" w:sz="0" w:space="0" w:color="auto"/>
            <w:bottom w:val="none" w:sz="0" w:space="0" w:color="auto"/>
            <w:right w:val="none" w:sz="0" w:space="0" w:color="auto"/>
          </w:divBdr>
        </w:div>
      </w:divsChild>
    </w:div>
    <w:div w:id="371927159">
      <w:bodyDiv w:val="1"/>
      <w:marLeft w:val="0"/>
      <w:marRight w:val="0"/>
      <w:marTop w:val="0"/>
      <w:marBottom w:val="0"/>
      <w:divBdr>
        <w:top w:val="none" w:sz="0" w:space="0" w:color="auto"/>
        <w:left w:val="none" w:sz="0" w:space="0" w:color="auto"/>
        <w:bottom w:val="none" w:sz="0" w:space="0" w:color="auto"/>
        <w:right w:val="none" w:sz="0" w:space="0" w:color="auto"/>
      </w:divBdr>
      <w:divsChild>
        <w:div w:id="722102975">
          <w:marLeft w:val="446"/>
          <w:marRight w:val="0"/>
          <w:marTop w:val="0"/>
          <w:marBottom w:val="0"/>
          <w:divBdr>
            <w:top w:val="none" w:sz="0" w:space="0" w:color="auto"/>
            <w:left w:val="none" w:sz="0" w:space="0" w:color="auto"/>
            <w:bottom w:val="none" w:sz="0" w:space="0" w:color="auto"/>
            <w:right w:val="none" w:sz="0" w:space="0" w:color="auto"/>
          </w:divBdr>
        </w:div>
        <w:div w:id="978068216">
          <w:marLeft w:val="446"/>
          <w:marRight w:val="0"/>
          <w:marTop w:val="0"/>
          <w:marBottom w:val="0"/>
          <w:divBdr>
            <w:top w:val="none" w:sz="0" w:space="0" w:color="auto"/>
            <w:left w:val="none" w:sz="0" w:space="0" w:color="auto"/>
            <w:bottom w:val="none" w:sz="0" w:space="0" w:color="auto"/>
            <w:right w:val="none" w:sz="0" w:space="0" w:color="auto"/>
          </w:divBdr>
        </w:div>
        <w:div w:id="1924142221">
          <w:marLeft w:val="446"/>
          <w:marRight w:val="0"/>
          <w:marTop w:val="0"/>
          <w:marBottom w:val="0"/>
          <w:divBdr>
            <w:top w:val="none" w:sz="0" w:space="0" w:color="auto"/>
            <w:left w:val="none" w:sz="0" w:space="0" w:color="auto"/>
            <w:bottom w:val="none" w:sz="0" w:space="0" w:color="auto"/>
            <w:right w:val="none" w:sz="0" w:space="0" w:color="auto"/>
          </w:divBdr>
        </w:div>
      </w:divsChild>
    </w:div>
    <w:div w:id="386027266">
      <w:bodyDiv w:val="1"/>
      <w:marLeft w:val="0"/>
      <w:marRight w:val="0"/>
      <w:marTop w:val="0"/>
      <w:marBottom w:val="0"/>
      <w:divBdr>
        <w:top w:val="none" w:sz="0" w:space="0" w:color="auto"/>
        <w:left w:val="none" w:sz="0" w:space="0" w:color="auto"/>
        <w:bottom w:val="none" w:sz="0" w:space="0" w:color="auto"/>
        <w:right w:val="none" w:sz="0" w:space="0" w:color="auto"/>
      </w:divBdr>
    </w:div>
    <w:div w:id="387383505">
      <w:bodyDiv w:val="1"/>
      <w:marLeft w:val="0"/>
      <w:marRight w:val="0"/>
      <w:marTop w:val="0"/>
      <w:marBottom w:val="0"/>
      <w:divBdr>
        <w:top w:val="none" w:sz="0" w:space="0" w:color="auto"/>
        <w:left w:val="none" w:sz="0" w:space="0" w:color="auto"/>
        <w:bottom w:val="none" w:sz="0" w:space="0" w:color="auto"/>
        <w:right w:val="none" w:sz="0" w:space="0" w:color="auto"/>
      </w:divBdr>
    </w:div>
    <w:div w:id="398945897">
      <w:bodyDiv w:val="1"/>
      <w:marLeft w:val="0"/>
      <w:marRight w:val="0"/>
      <w:marTop w:val="0"/>
      <w:marBottom w:val="0"/>
      <w:divBdr>
        <w:top w:val="none" w:sz="0" w:space="0" w:color="auto"/>
        <w:left w:val="none" w:sz="0" w:space="0" w:color="auto"/>
        <w:bottom w:val="none" w:sz="0" w:space="0" w:color="auto"/>
        <w:right w:val="none" w:sz="0" w:space="0" w:color="auto"/>
      </w:divBdr>
    </w:div>
    <w:div w:id="471752872">
      <w:bodyDiv w:val="1"/>
      <w:marLeft w:val="0"/>
      <w:marRight w:val="0"/>
      <w:marTop w:val="0"/>
      <w:marBottom w:val="0"/>
      <w:divBdr>
        <w:top w:val="none" w:sz="0" w:space="0" w:color="auto"/>
        <w:left w:val="none" w:sz="0" w:space="0" w:color="auto"/>
        <w:bottom w:val="none" w:sz="0" w:space="0" w:color="auto"/>
        <w:right w:val="none" w:sz="0" w:space="0" w:color="auto"/>
      </w:divBdr>
    </w:div>
    <w:div w:id="502475223">
      <w:bodyDiv w:val="1"/>
      <w:marLeft w:val="0"/>
      <w:marRight w:val="0"/>
      <w:marTop w:val="0"/>
      <w:marBottom w:val="0"/>
      <w:divBdr>
        <w:top w:val="none" w:sz="0" w:space="0" w:color="auto"/>
        <w:left w:val="none" w:sz="0" w:space="0" w:color="auto"/>
        <w:bottom w:val="none" w:sz="0" w:space="0" w:color="auto"/>
        <w:right w:val="none" w:sz="0" w:space="0" w:color="auto"/>
      </w:divBdr>
    </w:div>
    <w:div w:id="520700804">
      <w:bodyDiv w:val="1"/>
      <w:marLeft w:val="0"/>
      <w:marRight w:val="0"/>
      <w:marTop w:val="0"/>
      <w:marBottom w:val="0"/>
      <w:divBdr>
        <w:top w:val="none" w:sz="0" w:space="0" w:color="auto"/>
        <w:left w:val="none" w:sz="0" w:space="0" w:color="auto"/>
        <w:bottom w:val="none" w:sz="0" w:space="0" w:color="auto"/>
        <w:right w:val="none" w:sz="0" w:space="0" w:color="auto"/>
      </w:divBdr>
    </w:div>
    <w:div w:id="521481471">
      <w:bodyDiv w:val="1"/>
      <w:marLeft w:val="0"/>
      <w:marRight w:val="0"/>
      <w:marTop w:val="0"/>
      <w:marBottom w:val="0"/>
      <w:divBdr>
        <w:top w:val="none" w:sz="0" w:space="0" w:color="auto"/>
        <w:left w:val="none" w:sz="0" w:space="0" w:color="auto"/>
        <w:bottom w:val="none" w:sz="0" w:space="0" w:color="auto"/>
        <w:right w:val="none" w:sz="0" w:space="0" w:color="auto"/>
      </w:divBdr>
    </w:div>
    <w:div w:id="536431042">
      <w:bodyDiv w:val="1"/>
      <w:marLeft w:val="0"/>
      <w:marRight w:val="0"/>
      <w:marTop w:val="0"/>
      <w:marBottom w:val="0"/>
      <w:divBdr>
        <w:top w:val="none" w:sz="0" w:space="0" w:color="auto"/>
        <w:left w:val="none" w:sz="0" w:space="0" w:color="auto"/>
        <w:bottom w:val="none" w:sz="0" w:space="0" w:color="auto"/>
        <w:right w:val="none" w:sz="0" w:space="0" w:color="auto"/>
      </w:divBdr>
    </w:div>
    <w:div w:id="542787171">
      <w:bodyDiv w:val="1"/>
      <w:marLeft w:val="0"/>
      <w:marRight w:val="0"/>
      <w:marTop w:val="0"/>
      <w:marBottom w:val="0"/>
      <w:divBdr>
        <w:top w:val="none" w:sz="0" w:space="0" w:color="auto"/>
        <w:left w:val="none" w:sz="0" w:space="0" w:color="auto"/>
        <w:bottom w:val="none" w:sz="0" w:space="0" w:color="auto"/>
        <w:right w:val="none" w:sz="0" w:space="0" w:color="auto"/>
      </w:divBdr>
      <w:divsChild>
        <w:div w:id="38942318">
          <w:marLeft w:val="446"/>
          <w:marRight w:val="0"/>
          <w:marTop w:val="0"/>
          <w:marBottom w:val="0"/>
          <w:divBdr>
            <w:top w:val="none" w:sz="0" w:space="0" w:color="auto"/>
            <w:left w:val="none" w:sz="0" w:space="0" w:color="auto"/>
            <w:bottom w:val="none" w:sz="0" w:space="0" w:color="auto"/>
            <w:right w:val="none" w:sz="0" w:space="0" w:color="auto"/>
          </w:divBdr>
        </w:div>
      </w:divsChild>
    </w:div>
    <w:div w:id="564871987">
      <w:bodyDiv w:val="1"/>
      <w:marLeft w:val="0"/>
      <w:marRight w:val="0"/>
      <w:marTop w:val="0"/>
      <w:marBottom w:val="0"/>
      <w:divBdr>
        <w:top w:val="none" w:sz="0" w:space="0" w:color="auto"/>
        <w:left w:val="none" w:sz="0" w:space="0" w:color="auto"/>
        <w:bottom w:val="none" w:sz="0" w:space="0" w:color="auto"/>
        <w:right w:val="none" w:sz="0" w:space="0" w:color="auto"/>
      </w:divBdr>
    </w:div>
    <w:div w:id="585773042">
      <w:bodyDiv w:val="1"/>
      <w:marLeft w:val="0"/>
      <w:marRight w:val="0"/>
      <w:marTop w:val="0"/>
      <w:marBottom w:val="0"/>
      <w:divBdr>
        <w:top w:val="none" w:sz="0" w:space="0" w:color="auto"/>
        <w:left w:val="none" w:sz="0" w:space="0" w:color="auto"/>
        <w:bottom w:val="none" w:sz="0" w:space="0" w:color="auto"/>
        <w:right w:val="none" w:sz="0" w:space="0" w:color="auto"/>
      </w:divBdr>
    </w:div>
    <w:div w:id="600188925">
      <w:bodyDiv w:val="1"/>
      <w:marLeft w:val="0"/>
      <w:marRight w:val="0"/>
      <w:marTop w:val="0"/>
      <w:marBottom w:val="0"/>
      <w:divBdr>
        <w:top w:val="none" w:sz="0" w:space="0" w:color="auto"/>
        <w:left w:val="none" w:sz="0" w:space="0" w:color="auto"/>
        <w:bottom w:val="none" w:sz="0" w:space="0" w:color="auto"/>
        <w:right w:val="none" w:sz="0" w:space="0" w:color="auto"/>
      </w:divBdr>
    </w:div>
    <w:div w:id="610206692">
      <w:bodyDiv w:val="1"/>
      <w:marLeft w:val="0"/>
      <w:marRight w:val="0"/>
      <w:marTop w:val="0"/>
      <w:marBottom w:val="0"/>
      <w:divBdr>
        <w:top w:val="none" w:sz="0" w:space="0" w:color="auto"/>
        <w:left w:val="none" w:sz="0" w:space="0" w:color="auto"/>
        <w:bottom w:val="none" w:sz="0" w:space="0" w:color="auto"/>
        <w:right w:val="none" w:sz="0" w:space="0" w:color="auto"/>
      </w:divBdr>
    </w:div>
    <w:div w:id="629937558">
      <w:bodyDiv w:val="1"/>
      <w:marLeft w:val="0"/>
      <w:marRight w:val="0"/>
      <w:marTop w:val="0"/>
      <w:marBottom w:val="0"/>
      <w:divBdr>
        <w:top w:val="none" w:sz="0" w:space="0" w:color="auto"/>
        <w:left w:val="none" w:sz="0" w:space="0" w:color="auto"/>
        <w:bottom w:val="none" w:sz="0" w:space="0" w:color="auto"/>
        <w:right w:val="none" w:sz="0" w:space="0" w:color="auto"/>
      </w:divBdr>
    </w:div>
    <w:div w:id="649092526">
      <w:bodyDiv w:val="1"/>
      <w:marLeft w:val="0"/>
      <w:marRight w:val="0"/>
      <w:marTop w:val="0"/>
      <w:marBottom w:val="0"/>
      <w:divBdr>
        <w:top w:val="none" w:sz="0" w:space="0" w:color="auto"/>
        <w:left w:val="none" w:sz="0" w:space="0" w:color="auto"/>
        <w:bottom w:val="none" w:sz="0" w:space="0" w:color="auto"/>
        <w:right w:val="none" w:sz="0" w:space="0" w:color="auto"/>
      </w:divBdr>
    </w:div>
    <w:div w:id="699476751">
      <w:bodyDiv w:val="1"/>
      <w:marLeft w:val="0"/>
      <w:marRight w:val="0"/>
      <w:marTop w:val="0"/>
      <w:marBottom w:val="0"/>
      <w:divBdr>
        <w:top w:val="none" w:sz="0" w:space="0" w:color="auto"/>
        <w:left w:val="none" w:sz="0" w:space="0" w:color="auto"/>
        <w:bottom w:val="none" w:sz="0" w:space="0" w:color="auto"/>
        <w:right w:val="none" w:sz="0" w:space="0" w:color="auto"/>
      </w:divBdr>
    </w:div>
    <w:div w:id="705184040">
      <w:bodyDiv w:val="1"/>
      <w:marLeft w:val="0"/>
      <w:marRight w:val="0"/>
      <w:marTop w:val="0"/>
      <w:marBottom w:val="0"/>
      <w:divBdr>
        <w:top w:val="none" w:sz="0" w:space="0" w:color="auto"/>
        <w:left w:val="none" w:sz="0" w:space="0" w:color="auto"/>
        <w:bottom w:val="none" w:sz="0" w:space="0" w:color="auto"/>
        <w:right w:val="none" w:sz="0" w:space="0" w:color="auto"/>
      </w:divBdr>
    </w:div>
    <w:div w:id="719786974">
      <w:bodyDiv w:val="1"/>
      <w:marLeft w:val="0"/>
      <w:marRight w:val="0"/>
      <w:marTop w:val="0"/>
      <w:marBottom w:val="0"/>
      <w:divBdr>
        <w:top w:val="none" w:sz="0" w:space="0" w:color="auto"/>
        <w:left w:val="none" w:sz="0" w:space="0" w:color="auto"/>
        <w:bottom w:val="none" w:sz="0" w:space="0" w:color="auto"/>
        <w:right w:val="none" w:sz="0" w:space="0" w:color="auto"/>
      </w:divBdr>
    </w:div>
    <w:div w:id="733431163">
      <w:bodyDiv w:val="1"/>
      <w:marLeft w:val="0"/>
      <w:marRight w:val="0"/>
      <w:marTop w:val="0"/>
      <w:marBottom w:val="0"/>
      <w:divBdr>
        <w:top w:val="none" w:sz="0" w:space="0" w:color="auto"/>
        <w:left w:val="none" w:sz="0" w:space="0" w:color="auto"/>
        <w:bottom w:val="none" w:sz="0" w:space="0" w:color="auto"/>
        <w:right w:val="none" w:sz="0" w:space="0" w:color="auto"/>
      </w:divBdr>
    </w:div>
    <w:div w:id="736441665">
      <w:bodyDiv w:val="1"/>
      <w:marLeft w:val="0"/>
      <w:marRight w:val="0"/>
      <w:marTop w:val="0"/>
      <w:marBottom w:val="0"/>
      <w:divBdr>
        <w:top w:val="none" w:sz="0" w:space="0" w:color="auto"/>
        <w:left w:val="none" w:sz="0" w:space="0" w:color="auto"/>
        <w:bottom w:val="none" w:sz="0" w:space="0" w:color="auto"/>
        <w:right w:val="none" w:sz="0" w:space="0" w:color="auto"/>
      </w:divBdr>
    </w:div>
    <w:div w:id="737747488">
      <w:bodyDiv w:val="1"/>
      <w:marLeft w:val="0"/>
      <w:marRight w:val="0"/>
      <w:marTop w:val="0"/>
      <w:marBottom w:val="0"/>
      <w:divBdr>
        <w:top w:val="none" w:sz="0" w:space="0" w:color="auto"/>
        <w:left w:val="none" w:sz="0" w:space="0" w:color="auto"/>
        <w:bottom w:val="none" w:sz="0" w:space="0" w:color="auto"/>
        <w:right w:val="none" w:sz="0" w:space="0" w:color="auto"/>
      </w:divBdr>
      <w:divsChild>
        <w:div w:id="1586067642">
          <w:marLeft w:val="446"/>
          <w:marRight w:val="0"/>
          <w:marTop w:val="0"/>
          <w:marBottom w:val="0"/>
          <w:divBdr>
            <w:top w:val="none" w:sz="0" w:space="0" w:color="auto"/>
            <w:left w:val="none" w:sz="0" w:space="0" w:color="auto"/>
            <w:bottom w:val="none" w:sz="0" w:space="0" w:color="auto"/>
            <w:right w:val="none" w:sz="0" w:space="0" w:color="auto"/>
          </w:divBdr>
        </w:div>
      </w:divsChild>
    </w:div>
    <w:div w:id="742947914">
      <w:bodyDiv w:val="1"/>
      <w:marLeft w:val="0"/>
      <w:marRight w:val="0"/>
      <w:marTop w:val="0"/>
      <w:marBottom w:val="0"/>
      <w:divBdr>
        <w:top w:val="none" w:sz="0" w:space="0" w:color="auto"/>
        <w:left w:val="none" w:sz="0" w:space="0" w:color="auto"/>
        <w:bottom w:val="none" w:sz="0" w:space="0" w:color="auto"/>
        <w:right w:val="none" w:sz="0" w:space="0" w:color="auto"/>
      </w:divBdr>
    </w:div>
    <w:div w:id="748426246">
      <w:bodyDiv w:val="1"/>
      <w:marLeft w:val="0"/>
      <w:marRight w:val="0"/>
      <w:marTop w:val="0"/>
      <w:marBottom w:val="0"/>
      <w:divBdr>
        <w:top w:val="none" w:sz="0" w:space="0" w:color="auto"/>
        <w:left w:val="none" w:sz="0" w:space="0" w:color="auto"/>
        <w:bottom w:val="none" w:sz="0" w:space="0" w:color="auto"/>
        <w:right w:val="none" w:sz="0" w:space="0" w:color="auto"/>
      </w:divBdr>
    </w:div>
    <w:div w:id="755899227">
      <w:bodyDiv w:val="1"/>
      <w:marLeft w:val="0"/>
      <w:marRight w:val="0"/>
      <w:marTop w:val="0"/>
      <w:marBottom w:val="0"/>
      <w:divBdr>
        <w:top w:val="none" w:sz="0" w:space="0" w:color="auto"/>
        <w:left w:val="none" w:sz="0" w:space="0" w:color="auto"/>
        <w:bottom w:val="none" w:sz="0" w:space="0" w:color="auto"/>
        <w:right w:val="none" w:sz="0" w:space="0" w:color="auto"/>
      </w:divBdr>
    </w:div>
    <w:div w:id="765612223">
      <w:bodyDiv w:val="1"/>
      <w:marLeft w:val="0"/>
      <w:marRight w:val="0"/>
      <w:marTop w:val="0"/>
      <w:marBottom w:val="0"/>
      <w:divBdr>
        <w:top w:val="none" w:sz="0" w:space="0" w:color="auto"/>
        <w:left w:val="none" w:sz="0" w:space="0" w:color="auto"/>
        <w:bottom w:val="none" w:sz="0" w:space="0" w:color="auto"/>
        <w:right w:val="none" w:sz="0" w:space="0" w:color="auto"/>
      </w:divBdr>
    </w:div>
    <w:div w:id="772671969">
      <w:bodyDiv w:val="1"/>
      <w:marLeft w:val="0"/>
      <w:marRight w:val="0"/>
      <w:marTop w:val="0"/>
      <w:marBottom w:val="0"/>
      <w:divBdr>
        <w:top w:val="none" w:sz="0" w:space="0" w:color="auto"/>
        <w:left w:val="none" w:sz="0" w:space="0" w:color="auto"/>
        <w:bottom w:val="none" w:sz="0" w:space="0" w:color="auto"/>
        <w:right w:val="none" w:sz="0" w:space="0" w:color="auto"/>
      </w:divBdr>
    </w:div>
    <w:div w:id="805467892">
      <w:bodyDiv w:val="1"/>
      <w:marLeft w:val="0"/>
      <w:marRight w:val="0"/>
      <w:marTop w:val="0"/>
      <w:marBottom w:val="0"/>
      <w:divBdr>
        <w:top w:val="none" w:sz="0" w:space="0" w:color="auto"/>
        <w:left w:val="none" w:sz="0" w:space="0" w:color="auto"/>
        <w:bottom w:val="none" w:sz="0" w:space="0" w:color="auto"/>
        <w:right w:val="none" w:sz="0" w:space="0" w:color="auto"/>
      </w:divBdr>
    </w:div>
    <w:div w:id="817771015">
      <w:bodyDiv w:val="1"/>
      <w:marLeft w:val="0"/>
      <w:marRight w:val="0"/>
      <w:marTop w:val="0"/>
      <w:marBottom w:val="0"/>
      <w:divBdr>
        <w:top w:val="none" w:sz="0" w:space="0" w:color="auto"/>
        <w:left w:val="none" w:sz="0" w:space="0" w:color="auto"/>
        <w:bottom w:val="none" w:sz="0" w:space="0" w:color="auto"/>
        <w:right w:val="none" w:sz="0" w:space="0" w:color="auto"/>
      </w:divBdr>
    </w:div>
    <w:div w:id="820659256">
      <w:bodyDiv w:val="1"/>
      <w:marLeft w:val="0"/>
      <w:marRight w:val="0"/>
      <w:marTop w:val="0"/>
      <w:marBottom w:val="0"/>
      <w:divBdr>
        <w:top w:val="none" w:sz="0" w:space="0" w:color="auto"/>
        <w:left w:val="none" w:sz="0" w:space="0" w:color="auto"/>
        <w:bottom w:val="none" w:sz="0" w:space="0" w:color="auto"/>
        <w:right w:val="none" w:sz="0" w:space="0" w:color="auto"/>
      </w:divBdr>
    </w:div>
    <w:div w:id="833759791">
      <w:bodyDiv w:val="1"/>
      <w:marLeft w:val="0"/>
      <w:marRight w:val="0"/>
      <w:marTop w:val="0"/>
      <w:marBottom w:val="0"/>
      <w:divBdr>
        <w:top w:val="none" w:sz="0" w:space="0" w:color="auto"/>
        <w:left w:val="none" w:sz="0" w:space="0" w:color="auto"/>
        <w:bottom w:val="none" w:sz="0" w:space="0" w:color="auto"/>
        <w:right w:val="none" w:sz="0" w:space="0" w:color="auto"/>
      </w:divBdr>
    </w:div>
    <w:div w:id="833840025">
      <w:bodyDiv w:val="1"/>
      <w:marLeft w:val="0"/>
      <w:marRight w:val="0"/>
      <w:marTop w:val="0"/>
      <w:marBottom w:val="0"/>
      <w:divBdr>
        <w:top w:val="none" w:sz="0" w:space="0" w:color="auto"/>
        <w:left w:val="none" w:sz="0" w:space="0" w:color="auto"/>
        <w:bottom w:val="none" w:sz="0" w:space="0" w:color="auto"/>
        <w:right w:val="none" w:sz="0" w:space="0" w:color="auto"/>
      </w:divBdr>
      <w:divsChild>
        <w:div w:id="1496843612">
          <w:marLeft w:val="446"/>
          <w:marRight w:val="0"/>
          <w:marTop w:val="0"/>
          <w:marBottom w:val="0"/>
          <w:divBdr>
            <w:top w:val="none" w:sz="0" w:space="0" w:color="auto"/>
            <w:left w:val="none" w:sz="0" w:space="0" w:color="auto"/>
            <w:bottom w:val="none" w:sz="0" w:space="0" w:color="auto"/>
            <w:right w:val="none" w:sz="0" w:space="0" w:color="auto"/>
          </w:divBdr>
        </w:div>
      </w:divsChild>
    </w:div>
    <w:div w:id="846797321">
      <w:bodyDiv w:val="1"/>
      <w:marLeft w:val="0"/>
      <w:marRight w:val="0"/>
      <w:marTop w:val="0"/>
      <w:marBottom w:val="0"/>
      <w:divBdr>
        <w:top w:val="none" w:sz="0" w:space="0" w:color="auto"/>
        <w:left w:val="none" w:sz="0" w:space="0" w:color="auto"/>
        <w:bottom w:val="none" w:sz="0" w:space="0" w:color="auto"/>
        <w:right w:val="none" w:sz="0" w:space="0" w:color="auto"/>
      </w:divBdr>
    </w:div>
    <w:div w:id="850529345">
      <w:bodyDiv w:val="1"/>
      <w:marLeft w:val="0"/>
      <w:marRight w:val="0"/>
      <w:marTop w:val="0"/>
      <w:marBottom w:val="0"/>
      <w:divBdr>
        <w:top w:val="none" w:sz="0" w:space="0" w:color="auto"/>
        <w:left w:val="none" w:sz="0" w:space="0" w:color="auto"/>
        <w:bottom w:val="none" w:sz="0" w:space="0" w:color="auto"/>
        <w:right w:val="none" w:sz="0" w:space="0" w:color="auto"/>
      </w:divBdr>
    </w:div>
    <w:div w:id="855654522">
      <w:bodyDiv w:val="1"/>
      <w:marLeft w:val="0"/>
      <w:marRight w:val="0"/>
      <w:marTop w:val="0"/>
      <w:marBottom w:val="0"/>
      <w:divBdr>
        <w:top w:val="none" w:sz="0" w:space="0" w:color="auto"/>
        <w:left w:val="none" w:sz="0" w:space="0" w:color="auto"/>
        <w:bottom w:val="none" w:sz="0" w:space="0" w:color="auto"/>
        <w:right w:val="none" w:sz="0" w:space="0" w:color="auto"/>
      </w:divBdr>
    </w:div>
    <w:div w:id="881285883">
      <w:bodyDiv w:val="1"/>
      <w:marLeft w:val="0"/>
      <w:marRight w:val="0"/>
      <w:marTop w:val="0"/>
      <w:marBottom w:val="0"/>
      <w:divBdr>
        <w:top w:val="none" w:sz="0" w:space="0" w:color="auto"/>
        <w:left w:val="none" w:sz="0" w:space="0" w:color="auto"/>
        <w:bottom w:val="none" w:sz="0" w:space="0" w:color="auto"/>
        <w:right w:val="none" w:sz="0" w:space="0" w:color="auto"/>
      </w:divBdr>
    </w:div>
    <w:div w:id="889613562">
      <w:bodyDiv w:val="1"/>
      <w:marLeft w:val="0"/>
      <w:marRight w:val="0"/>
      <w:marTop w:val="0"/>
      <w:marBottom w:val="0"/>
      <w:divBdr>
        <w:top w:val="none" w:sz="0" w:space="0" w:color="auto"/>
        <w:left w:val="none" w:sz="0" w:space="0" w:color="auto"/>
        <w:bottom w:val="none" w:sz="0" w:space="0" w:color="auto"/>
        <w:right w:val="none" w:sz="0" w:space="0" w:color="auto"/>
      </w:divBdr>
      <w:divsChild>
        <w:div w:id="57755526">
          <w:marLeft w:val="446"/>
          <w:marRight w:val="0"/>
          <w:marTop w:val="0"/>
          <w:marBottom w:val="0"/>
          <w:divBdr>
            <w:top w:val="none" w:sz="0" w:space="0" w:color="auto"/>
            <w:left w:val="none" w:sz="0" w:space="0" w:color="auto"/>
            <w:bottom w:val="none" w:sz="0" w:space="0" w:color="auto"/>
            <w:right w:val="none" w:sz="0" w:space="0" w:color="auto"/>
          </w:divBdr>
        </w:div>
        <w:div w:id="877280674">
          <w:marLeft w:val="446"/>
          <w:marRight w:val="0"/>
          <w:marTop w:val="0"/>
          <w:marBottom w:val="0"/>
          <w:divBdr>
            <w:top w:val="none" w:sz="0" w:space="0" w:color="auto"/>
            <w:left w:val="none" w:sz="0" w:space="0" w:color="auto"/>
            <w:bottom w:val="none" w:sz="0" w:space="0" w:color="auto"/>
            <w:right w:val="none" w:sz="0" w:space="0" w:color="auto"/>
          </w:divBdr>
        </w:div>
        <w:div w:id="1794129639">
          <w:marLeft w:val="446"/>
          <w:marRight w:val="0"/>
          <w:marTop w:val="0"/>
          <w:marBottom w:val="0"/>
          <w:divBdr>
            <w:top w:val="none" w:sz="0" w:space="0" w:color="auto"/>
            <w:left w:val="none" w:sz="0" w:space="0" w:color="auto"/>
            <w:bottom w:val="none" w:sz="0" w:space="0" w:color="auto"/>
            <w:right w:val="none" w:sz="0" w:space="0" w:color="auto"/>
          </w:divBdr>
        </w:div>
      </w:divsChild>
    </w:div>
    <w:div w:id="894660698">
      <w:bodyDiv w:val="1"/>
      <w:marLeft w:val="0"/>
      <w:marRight w:val="0"/>
      <w:marTop w:val="0"/>
      <w:marBottom w:val="0"/>
      <w:divBdr>
        <w:top w:val="none" w:sz="0" w:space="0" w:color="auto"/>
        <w:left w:val="none" w:sz="0" w:space="0" w:color="auto"/>
        <w:bottom w:val="none" w:sz="0" w:space="0" w:color="auto"/>
        <w:right w:val="none" w:sz="0" w:space="0" w:color="auto"/>
      </w:divBdr>
      <w:divsChild>
        <w:div w:id="11735906">
          <w:marLeft w:val="446"/>
          <w:marRight w:val="0"/>
          <w:marTop w:val="0"/>
          <w:marBottom w:val="0"/>
          <w:divBdr>
            <w:top w:val="none" w:sz="0" w:space="0" w:color="auto"/>
            <w:left w:val="none" w:sz="0" w:space="0" w:color="auto"/>
            <w:bottom w:val="none" w:sz="0" w:space="0" w:color="auto"/>
            <w:right w:val="none" w:sz="0" w:space="0" w:color="auto"/>
          </w:divBdr>
        </w:div>
      </w:divsChild>
    </w:div>
    <w:div w:id="910576919">
      <w:bodyDiv w:val="1"/>
      <w:marLeft w:val="0"/>
      <w:marRight w:val="0"/>
      <w:marTop w:val="0"/>
      <w:marBottom w:val="0"/>
      <w:divBdr>
        <w:top w:val="none" w:sz="0" w:space="0" w:color="auto"/>
        <w:left w:val="none" w:sz="0" w:space="0" w:color="auto"/>
        <w:bottom w:val="none" w:sz="0" w:space="0" w:color="auto"/>
        <w:right w:val="none" w:sz="0" w:space="0" w:color="auto"/>
      </w:divBdr>
    </w:div>
    <w:div w:id="911548931">
      <w:bodyDiv w:val="1"/>
      <w:marLeft w:val="0"/>
      <w:marRight w:val="0"/>
      <w:marTop w:val="0"/>
      <w:marBottom w:val="0"/>
      <w:divBdr>
        <w:top w:val="none" w:sz="0" w:space="0" w:color="auto"/>
        <w:left w:val="none" w:sz="0" w:space="0" w:color="auto"/>
        <w:bottom w:val="none" w:sz="0" w:space="0" w:color="auto"/>
        <w:right w:val="none" w:sz="0" w:space="0" w:color="auto"/>
      </w:divBdr>
    </w:div>
    <w:div w:id="919101865">
      <w:bodyDiv w:val="1"/>
      <w:marLeft w:val="0"/>
      <w:marRight w:val="0"/>
      <w:marTop w:val="0"/>
      <w:marBottom w:val="0"/>
      <w:divBdr>
        <w:top w:val="none" w:sz="0" w:space="0" w:color="auto"/>
        <w:left w:val="none" w:sz="0" w:space="0" w:color="auto"/>
        <w:bottom w:val="none" w:sz="0" w:space="0" w:color="auto"/>
        <w:right w:val="none" w:sz="0" w:space="0" w:color="auto"/>
      </w:divBdr>
      <w:divsChild>
        <w:div w:id="1951471539">
          <w:marLeft w:val="446"/>
          <w:marRight w:val="0"/>
          <w:marTop w:val="0"/>
          <w:marBottom w:val="0"/>
          <w:divBdr>
            <w:top w:val="none" w:sz="0" w:space="0" w:color="auto"/>
            <w:left w:val="none" w:sz="0" w:space="0" w:color="auto"/>
            <w:bottom w:val="none" w:sz="0" w:space="0" w:color="auto"/>
            <w:right w:val="none" w:sz="0" w:space="0" w:color="auto"/>
          </w:divBdr>
        </w:div>
      </w:divsChild>
    </w:div>
    <w:div w:id="963999753">
      <w:bodyDiv w:val="1"/>
      <w:marLeft w:val="0"/>
      <w:marRight w:val="0"/>
      <w:marTop w:val="0"/>
      <w:marBottom w:val="0"/>
      <w:divBdr>
        <w:top w:val="none" w:sz="0" w:space="0" w:color="auto"/>
        <w:left w:val="none" w:sz="0" w:space="0" w:color="auto"/>
        <w:bottom w:val="none" w:sz="0" w:space="0" w:color="auto"/>
        <w:right w:val="none" w:sz="0" w:space="0" w:color="auto"/>
      </w:divBdr>
    </w:div>
    <w:div w:id="986209290">
      <w:bodyDiv w:val="1"/>
      <w:marLeft w:val="0"/>
      <w:marRight w:val="0"/>
      <w:marTop w:val="0"/>
      <w:marBottom w:val="0"/>
      <w:divBdr>
        <w:top w:val="none" w:sz="0" w:space="0" w:color="auto"/>
        <w:left w:val="none" w:sz="0" w:space="0" w:color="auto"/>
        <w:bottom w:val="none" w:sz="0" w:space="0" w:color="auto"/>
        <w:right w:val="none" w:sz="0" w:space="0" w:color="auto"/>
      </w:divBdr>
    </w:div>
    <w:div w:id="1004284059">
      <w:bodyDiv w:val="1"/>
      <w:marLeft w:val="0"/>
      <w:marRight w:val="0"/>
      <w:marTop w:val="0"/>
      <w:marBottom w:val="0"/>
      <w:divBdr>
        <w:top w:val="none" w:sz="0" w:space="0" w:color="auto"/>
        <w:left w:val="none" w:sz="0" w:space="0" w:color="auto"/>
        <w:bottom w:val="none" w:sz="0" w:space="0" w:color="auto"/>
        <w:right w:val="none" w:sz="0" w:space="0" w:color="auto"/>
      </w:divBdr>
    </w:div>
    <w:div w:id="1009062647">
      <w:bodyDiv w:val="1"/>
      <w:marLeft w:val="0"/>
      <w:marRight w:val="0"/>
      <w:marTop w:val="0"/>
      <w:marBottom w:val="0"/>
      <w:divBdr>
        <w:top w:val="none" w:sz="0" w:space="0" w:color="auto"/>
        <w:left w:val="none" w:sz="0" w:space="0" w:color="auto"/>
        <w:bottom w:val="none" w:sz="0" w:space="0" w:color="auto"/>
        <w:right w:val="none" w:sz="0" w:space="0" w:color="auto"/>
      </w:divBdr>
    </w:div>
    <w:div w:id="1011487782">
      <w:bodyDiv w:val="1"/>
      <w:marLeft w:val="0"/>
      <w:marRight w:val="0"/>
      <w:marTop w:val="0"/>
      <w:marBottom w:val="0"/>
      <w:divBdr>
        <w:top w:val="none" w:sz="0" w:space="0" w:color="auto"/>
        <w:left w:val="none" w:sz="0" w:space="0" w:color="auto"/>
        <w:bottom w:val="none" w:sz="0" w:space="0" w:color="auto"/>
        <w:right w:val="none" w:sz="0" w:space="0" w:color="auto"/>
      </w:divBdr>
    </w:div>
    <w:div w:id="1017971503">
      <w:bodyDiv w:val="1"/>
      <w:marLeft w:val="0"/>
      <w:marRight w:val="0"/>
      <w:marTop w:val="0"/>
      <w:marBottom w:val="0"/>
      <w:divBdr>
        <w:top w:val="none" w:sz="0" w:space="0" w:color="auto"/>
        <w:left w:val="none" w:sz="0" w:space="0" w:color="auto"/>
        <w:bottom w:val="none" w:sz="0" w:space="0" w:color="auto"/>
        <w:right w:val="none" w:sz="0" w:space="0" w:color="auto"/>
      </w:divBdr>
    </w:div>
    <w:div w:id="1026519917">
      <w:bodyDiv w:val="1"/>
      <w:marLeft w:val="0"/>
      <w:marRight w:val="0"/>
      <w:marTop w:val="0"/>
      <w:marBottom w:val="0"/>
      <w:divBdr>
        <w:top w:val="none" w:sz="0" w:space="0" w:color="auto"/>
        <w:left w:val="none" w:sz="0" w:space="0" w:color="auto"/>
        <w:bottom w:val="none" w:sz="0" w:space="0" w:color="auto"/>
        <w:right w:val="none" w:sz="0" w:space="0" w:color="auto"/>
      </w:divBdr>
    </w:div>
    <w:div w:id="1045957046">
      <w:bodyDiv w:val="1"/>
      <w:marLeft w:val="0"/>
      <w:marRight w:val="0"/>
      <w:marTop w:val="0"/>
      <w:marBottom w:val="0"/>
      <w:divBdr>
        <w:top w:val="none" w:sz="0" w:space="0" w:color="auto"/>
        <w:left w:val="none" w:sz="0" w:space="0" w:color="auto"/>
        <w:bottom w:val="none" w:sz="0" w:space="0" w:color="auto"/>
        <w:right w:val="none" w:sz="0" w:space="0" w:color="auto"/>
      </w:divBdr>
    </w:div>
    <w:div w:id="1047996836">
      <w:bodyDiv w:val="1"/>
      <w:marLeft w:val="0"/>
      <w:marRight w:val="0"/>
      <w:marTop w:val="0"/>
      <w:marBottom w:val="0"/>
      <w:divBdr>
        <w:top w:val="none" w:sz="0" w:space="0" w:color="auto"/>
        <w:left w:val="none" w:sz="0" w:space="0" w:color="auto"/>
        <w:bottom w:val="none" w:sz="0" w:space="0" w:color="auto"/>
        <w:right w:val="none" w:sz="0" w:space="0" w:color="auto"/>
      </w:divBdr>
    </w:div>
    <w:div w:id="1062950087">
      <w:bodyDiv w:val="1"/>
      <w:marLeft w:val="0"/>
      <w:marRight w:val="0"/>
      <w:marTop w:val="0"/>
      <w:marBottom w:val="0"/>
      <w:divBdr>
        <w:top w:val="none" w:sz="0" w:space="0" w:color="auto"/>
        <w:left w:val="none" w:sz="0" w:space="0" w:color="auto"/>
        <w:bottom w:val="none" w:sz="0" w:space="0" w:color="auto"/>
        <w:right w:val="none" w:sz="0" w:space="0" w:color="auto"/>
      </w:divBdr>
      <w:divsChild>
        <w:div w:id="630553036">
          <w:marLeft w:val="446"/>
          <w:marRight w:val="0"/>
          <w:marTop w:val="0"/>
          <w:marBottom w:val="0"/>
          <w:divBdr>
            <w:top w:val="none" w:sz="0" w:space="0" w:color="auto"/>
            <w:left w:val="none" w:sz="0" w:space="0" w:color="auto"/>
            <w:bottom w:val="none" w:sz="0" w:space="0" w:color="auto"/>
            <w:right w:val="none" w:sz="0" w:space="0" w:color="auto"/>
          </w:divBdr>
        </w:div>
      </w:divsChild>
    </w:div>
    <w:div w:id="1069697257">
      <w:bodyDiv w:val="1"/>
      <w:marLeft w:val="0"/>
      <w:marRight w:val="0"/>
      <w:marTop w:val="0"/>
      <w:marBottom w:val="0"/>
      <w:divBdr>
        <w:top w:val="none" w:sz="0" w:space="0" w:color="auto"/>
        <w:left w:val="none" w:sz="0" w:space="0" w:color="auto"/>
        <w:bottom w:val="none" w:sz="0" w:space="0" w:color="auto"/>
        <w:right w:val="none" w:sz="0" w:space="0" w:color="auto"/>
      </w:divBdr>
    </w:div>
    <w:div w:id="1075085115">
      <w:bodyDiv w:val="1"/>
      <w:marLeft w:val="0"/>
      <w:marRight w:val="0"/>
      <w:marTop w:val="0"/>
      <w:marBottom w:val="0"/>
      <w:divBdr>
        <w:top w:val="none" w:sz="0" w:space="0" w:color="auto"/>
        <w:left w:val="none" w:sz="0" w:space="0" w:color="auto"/>
        <w:bottom w:val="none" w:sz="0" w:space="0" w:color="auto"/>
        <w:right w:val="none" w:sz="0" w:space="0" w:color="auto"/>
      </w:divBdr>
      <w:divsChild>
        <w:div w:id="1194148447">
          <w:marLeft w:val="446"/>
          <w:marRight w:val="0"/>
          <w:marTop w:val="0"/>
          <w:marBottom w:val="0"/>
          <w:divBdr>
            <w:top w:val="none" w:sz="0" w:space="0" w:color="auto"/>
            <w:left w:val="none" w:sz="0" w:space="0" w:color="auto"/>
            <w:bottom w:val="none" w:sz="0" w:space="0" w:color="auto"/>
            <w:right w:val="none" w:sz="0" w:space="0" w:color="auto"/>
          </w:divBdr>
        </w:div>
      </w:divsChild>
    </w:div>
    <w:div w:id="1101101795">
      <w:bodyDiv w:val="1"/>
      <w:marLeft w:val="0"/>
      <w:marRight w:val="0"/>
      <w:marTop w:val="0"/>
      <w:marBottom w:val="0"/>
      <w:divBdr>
        <w:top w:val="none" w:sz="0" w:space="0" w:color="auto"/>
        <w:left w:val="none" w:sz="0" w:space="0" w:color="auto"/>
        <w:bottom w:val="none" w:sz="0" w:space="0" w:color="auto"/>
        <w:right w:val="none" w:sz="0" w:space="0" w:color="auto"/>
      </w:divBdr>
    </w:div>
    <w:div w:id="1105149342">
      <w:bodyDiv w:val="1"/>
      <w:marLeft w:val="0"/>
      <w:marRight w:val="0"/>
      <w:marTop w:val="0"/>
      <w:marBottom w:val="0"/>
      <w:divBdr>
        <w:top w:val="none" w:sz="0" w:space="0" w:color="auto"/>
        <w:left w:val="none" w:sz="0" w:space="0" w:color="auto"/>
        <w:bottom w:val="none" w:sz="0" w:space="0" w:color="auto"/>
        <w:right w:val="none" w:sz="0" w:space="0" w:color="auto"/>
      </w:divBdr>
    </w:div>
    <w:div w:id="1108357216">
      <w:bodyDiv w:val="1"/>
      <w:marLeft w:val="0"/>
      <w:marRight w:val="0"/>
      <w:marTop w:val="0"/>
      <w:marBottom w:val="0"/>
      <w:divBdr>
        <w:top w:val="none" w:sz="0" w:space="0" w:color="auto"/>
        <w:left w:val="none" w:sz="0" w:space="0" w:color="auto"/>
        <w:bottom w:val="none" w:sz="0" w:space="0" w:color="auto"/>
        <w:right w:val="none" w:sz="0" w:space="0" w:color="auto"/>
      </w:divBdr>
    </w:div>
    <w:div w:id="1132602448">
      <w:bodyDiv w:val="1"/>
      <w:marLeft w:val="0"/>
      <w:marRight w:val="0"/>
      <w:marTop w:val="0"/>
      <w:marBottom w:val="0"/>
      <w:divBdr>
        <w:top w:val="none" w:sz="0" w:space="0" w:color="auto"/>
        <w:left w:val="none" w:sz="0" w:space="0" w:color="auto"/>
        <w:bottom w:val="none" w:sz="0" w:space="0" w:color="auto"/>
        <w:right w:val="none" w:sz="0" w:space="0" w:color="auto"/>
      </w:divBdr>
    </w:div>
    <w:div w:id="1134300321">
      <w:bodyDiv w:val="1"/>
      <w:marLeft w:val="0"/>
      <w:marRight w:val="0"/>
      <w:marTop w:val="0"/>
      <w:marBottom w:val="0"/>
      <w:divBdr>
        <w:top w:val="none" w:sz="0" w:space="0" w:color="auto"/>
        <w:left w:val="none" w:sz="0" w:space="0" w:color="auto"/>
        <w:bottom w:val="none" w:sz="0" w:space="0" w:color="auto"/>
        <w:right w:val="none" w:sz="0" w:space="0" w:color="auto"/>
      </w:divBdr>
    </w:div>
    <w:div w:id="1138255963">
      <w:bodyDiv w:val="1"/>
      <w:marLeft w:val="0"/>
      <w:marRight w:val="0"/>
      <w:marTop w:val="0"/>
      <w:marBottom w:val="0"/>
      <w:divBdr>
        <w:top w:val="none" w:sz="0" w:space="0" w:color="auto"/>
        <w:left w:val="none" w:sz="0" w:space="0" w:color="auto"/>
        <w:bottom w:val="none" w:sz="0" w:space="0" w:color="auto"/>
        <w:right w:val="none" w:sz="0" w:space="0" w:color="auto"/>
      </w:divBdr>
    </w:div>
    <w:div w:id="1162618980">
      <w:bodyDiv w:val="1"/>
      <w:marLeft w:val="0"/>
      <w:marRight w:val="0"/>
      <w:marTop w:val="0"/>
      <w:marBottom w:val="0"/>
      <w:divBdr>
        <w:top w:val="none" w:sz="0" w:space="0" w:color="auto"/>
        <w:left w:val="none" w:sz="0" w:space="0" w:color="auto"/>
        <w:bottom w:val="none" w:sz="0" w:space="0" w:color="auto"/>
        <w:right w:val="none" w:sz="0" w:space="0" w:color="auto"/>
      </w:divBdr>
      <w:divsChild>
        <w:div w:id="331571976">
          <w:marLeft w:val="446"/>
          <w:marRight w:val="0"/>
          <w:marTop w:val="0"/>
          <w:marBottom w:val="0"/>
          <w:divBdr>
            <w:top w:val="none" w:sz="0" w:space="0" w:color="auto"/>
            <w:left w:val="none" w:sz="0" w:space="0" w:color="auto"/>
            <w:bottom w:val="none" w:sz="0" w:space="0" w:color="auto"/>
            <w:right w:val="none" w:sz="0" w:space="0" w:color="auto"/>
          </w:divBdr>
        </w:div>
        <w:div w:id="936862820">
          <w:marLeft w:val="446"/>
          <w:marRight w:val="0"/>
          <w:marTop w:val="0"/>
          <w:marBottom w:val="0"/>
          <w:divBdr>
            <w:top w:val="none" w:sz="0" w:space="0" w:color="auto"/>
            <w:left w:val="none" w:sz="0" w:space="0" w:color="auto"/>
            <w:bottom w:val="none" w:sz="0" w:space="0" w:color="auto"/>
            <w:right w:val="none" w:sz="0" w:space="0" w:color="auto"/>
          </w:divBdr>
        </w:div>
        <w:div w:id="1835753346">
          <w:marLeft w:val="446"/>
          <w:marRight w:val="0"/>
          <w:marTop w:val="0"/>
          <w:marBottom w:val="0"/>
          <w:divBdr>
            <w:top w:val="none" w:sz="0" w:space="0" w:color="auto"/>
            <w:left w:val="none" w:sz="0" w:space="0" w:color="auto"/>
            <w:bottom w:val="none" w:sz="0" w:space="0" w:color="auto"/>
            <w:right w:val="none" w:sz="0" w:space="0" w:color="auto"/>
          </w:divBdr>
        </w:div>
      </w:divsChild>
    </w:div>
    <w:div w:id="1172574547">
      <w:bodyDiv w:val="1"/>
      <w:marLeft w:val="0"/>
      <w:marRight w:val="0"/>
      <w:marTop w:val="0"/>
      <w:marBottom w:val="0"/>
      <w:divBdr>
        <w:top w:val="none" w:sz="0" w:space="0" w:color="auto"/>
        <w:left w:val="none" w:sz="0" w:space="0" w:color="auto"/>
        <w:bottom w:val="none" w:sz="0" w:space="0" w:color="auto"/>
        <w:right w:val="none" w:sz="0" w:space="0" w:color="auto"/>
      </w:divBdr>
    </w:div>
    <w:div w:id="1194417453">
      <w:bodyDiv w:val="1"/>
      <w:marLeft w:val="0"/>
      <w:marRight w:val="0"/>
      <w:marTop w:val="0"/>
      <w:marBottom w:val="0"/>
      <w:divBdr>
        <w:top w:val="none" w:sz="0" w:space="0" w:color="auto"/>
        <w:left w:val="none" w:sz="0" w:space="0" w:color="auto"/>
        <w:bottom w:val="none" w:sz="0" w:space="0" w:color="auto"/>
        <w:right w:val="none" w:sz="0" w:space="0" w:color="auto"/>
      </w:divBdr>
    </w:div>
    <w:div w:id="1197743135">
      <w:bodyDiv w:val="1"/>
      <w:marLeft w:val="0"/>
      <w:marRight w:val="0"/>
      <w:marTop w:val="0"/>
      <w:marBottom w:val="0"/>
      <w:divBdr>
        <w:top w:val="none" w:sz="0" w:space="0" w:color="auto"/>
        <w:left w:val="none" w:sz="0" w:space="0" w:color="auto"/>
        <w:bottom w:val="none" w:sz="0" w:space="0" w:color="auto"/>
        <w:right w:val="none" w:sz="0" w:space="0" w:color="auto"/>
      </w:divBdr>
    </w:div>
    <w:div w:id="1198590668">
      <w:bodyDiv w:val="1"/>
      <w:marLeft w:val="0"/>
      <w:marRight w:val="0"/>
      <w:marTop w:val="0"/>
      <w:marBottom w:val="0"/>
      <w:divBdr>
        <w:top w:val="none" w:sz="0" w:space="0" w:color="auto"/>
        <w:left w:val="none" w:sz="0" w:space="0" w:color="auto"/>
        <w:bottom w:val="none" w:sz="0" w:space="0" w:color="auto"/>
        <w:right w:val="none" w:sz="0" w:space="0" w:color="auto"/>
      </w:divBdr>
    </w:div>
    <w:div w:id="1226717480">
      <w:bodyDiv w:val="1"/>
      <w:marLeft w:val="0"/>
      <w:marRight w:val="0"/>
      <w:marTop w:val="0"/>
      <w:marBottom w:val="0"/>
      <w:divBdr>
        <w:top w:val="none" w:sz="0" w:space="0" w:color="auto"/>
        <w:left w:val="none" w:sz="0" w:space="0" w:color="auto"/>
        <w:bottom w:val="none" w:sz="0" w:space="0" w:color="auto"/>
        <w:right w:val="none" w:sz="0" w:space="0" w:color="auto"/>
      </w:divBdr>
    </w:div>
    <w:div w:id="1232354733">
      <w:bodyDiv w:val="1"/>
      <w:marLeft w:val="0"/>
      <w:marRight w:val="0"/>
      <w:marTop w:val="0"/>
      <w:marBottom w:val="0"/>
      <w:divBdr>
        <w:top w:val="none" w:sz="0" w:space="0" w:color="auto"/>
        <w:left w:val="none" w:sz="0" w:space="0" w:color="auto"/>
        <w:bottom w:val="none" w:sz="0" w:space="0" w:color="auto"/>
        <w:right w:val="none" w:sz="0" w:space="0" w:color="auto"/>
      </w:divBdr>
    </w:div>
    <w:div w:id="1241982312">
      <w:bodyDiv w:val="1"/>
      <w:marLeft w:val="0"/>
      <w:marRight w:val="0"/>
      <w:marTop w:val="0"/>
      <w:marBottom w:val="0"/>
      <w:divBdr>
        <w:top w:val="none" w:sz="0" w:space="0" w:color="auto"/>
        <w:left w:val="none" w:sz="0" w:space="0" w:color="auto"/>
        <w:bottom w:val="none" w:sz="0" w:space="0" w:color="auto"/>
        <w:right w:val="none" w:sz="0" w:space="0" w:color="auto"/>
      </w:divBdr>
    </w:div>
    <w:div w:id="1254121657">
      <w:bodyDiv w:val="1"/>
      <w:marLeft w:val="0"/>
      <w:marRight w:val="0"/>
      <w:marTop w:val="0"/>
      <w:marBottom w:val="0"/>
      <w:divBdr>
        <w:top w:val="none" w:sz="0" w:space="0" w:color="auto"/>
        <w:left w:val="none" w:sz="0" w:space="0" w:color="auto"/>
        <w:bottom w:val="none" w:sz="0" w:space="0" w:color="auto"/>
        <w:right w:val="none" w:sz="0" w:space="0" w:color="auto"/>
      </w:divBdr>
    </w:div>
    <w:div w:id="1257177214">
      <w:bodyDiv w:val="1"/>
      <w:marLeft w:val="0"/>
      <w:marRight w:val="0"/>
      <w:marTop w:val="0"/>
      <w:marBottom w:val="0"/>
      <w:divBdr>
        <w:top w:val="none" w:sz="0" w:space="0" w:color="auto"/>
        <w:left w:val="none" w:sz="0" w:space="0" w:color="auto"/>
        <w:bottom w:val="none" w:sz="0" w:space="0" w:color="auto"/>
        <w:right w:val="none" w:sz="0" w:space="0" w:color="auto"/>
      </w:divBdr>
      <w:divsChild>
        <w:div w:id="181283665">
          <w:marLeft w:val="446"/>
          <w:marRight w:val="0"/>
          <w:marTop w:val="0"/>
          <w:marBottom w:val="0"/>
          <w:divBdr>
            <w:top w:val="none" w:sz="0" w:space="0" w:color="auto"/>
            <w:left w:val="none" w:sz="0" w:space="0" w:color="auto"/>
            <w:bottom w:val="none" w:sz="0" w:space="0" w:color="auto"/>
            <w:right w:val="none" w:sz="0" w:space="0" w:color="auto"/>
          </w:divBdr>
        </w:div>
        <w:div w:id="1086536598">
          <w:marLeft w:val="446"/>
          <w:marRight w:val="0"/>
          <w:marTop w:val="0"/>
          <w:marBottom w:val="0"/>
          <w:divBdr>
            <w:top w:val="none" w:sz="0" w:space="0" w:color="auto"/>
            <w:left w:val="none" w:sz="0" w:space="0" w:color="auto"/>
            <w:bottom w:val="none" w:sz="0" w:space="0" w:color="auto"/>
            <w:right w:val="none" w:sz="0" w:space="0" w:color="auto"/>
          </w:divBdr>
        </w:div>
        <w:div w:id="1116631196">
          <w:marLeft w:val="446"/>
          <w:marRight w:val="0"/>
          <w:marTop w:val="0"/>
          <w:marBottom w:val="0"/>
          <w:divBdr>
            <w:top w:val="none" w:sz="0" w:space="0" w:color="auto"/>
            <w:left w:val="none" w:sz="0" w:space="0" w:color="auto"/>
            <w:bottom w:val="none" w:sz="0" w:space="0" w:color="auto"/>
            <w:right w:val="none" w:sz="0" w:space="0" w:color="auto"/>
          </w:divBdr>
        </w:div>
      </w:divsChild>
    </w:div>
    <w:div w:id="1280647339">
      <w:bodyDiv w:val="1"/>
      <w:marLeft w:val="0"/>
      <w:marRight w:val="0"/>
      <w:marTop w:val="0"/>
      <w:marBottom w:val="0"/>
      <w:divBdr>
        <w:top w:val="none" w:sz="0" w:space="0" w:color="auto"/>
        <w:left w:val="none" w:sz="0" w:space="0" w:color="auto"/>
        <w:bottom w:val="none" w:sz="0" w:space="0" w:color="auto"/>
        <w:right w:val="none" w:sz="0" w:space="0" w:color="auto"/>
      </w:divBdr>
    </w:div>
    <w:div w:id="1285044456">
      <w:bodyDiv w:val="1"/>
      <w:marLeft w:val="0"/>
      <w:marRight w:val="0"/>
      <w:marTop w:val="0"/>
      <w:marBottom w:val="0"/>
      <w:divBdr>
        <w:top w:val="none" w:sz="0" w:space="0" w:color="auto"/>
        <w:left w:val="none" w:sz="0" w:space="0" w:color="auto"/>
        <w:bottom w:val="none" w:sz="0" w:space="0" w:color="auto"/>
        <w:right w:val="none" w:sz="0" w:space="0" w:color="auto"/>
      </w:divBdr>
    </w:div>
    <w:div w:id="1306200529">
      <w:bodyDiv w:val="1"/>
      <w:marLeft w:val="0"/>
      <w:marRight w:val="0"/>
      <w:marTop w:val="0"/>
      <w:marBottom w:val="0"/>
      <w:divBdr>
        <w:top w:val="none" w:sz="0" w:space="0" w:color="auto"/>
        <w:left w:val="none" w:sz="0" w:space="0" w:color="auto"/>
        <w:bottom w:val="none" w:sz="0" w:space="0" w:color="auto"/>
        <w:right w:val="none" w:sz="0" w:space="0" w:color="auto"/>
      </w:divBdr>
    </w:div>
    <w:div w:id="1313562331">
      <w:bodyDiv w:val="1"/>
      <w:marLeft w:val="0"/>
      <w:marRight w:val="0"/>
      <w:marTop w:val="0"/>
      <w:marBottom w:val="0"/>
      <w:divBdr>
        <w:top w:val="none" w:sz="0" w:space="0" w:color="auto"/>
        <w:left w:val="none" w:sz="0" w:space="0" w:color="auto"/>
        <w:bottom w:val="none" w:sz="0" w:space="0" w:color="auto"/>
        <w:right w:val="none" w:sz="0" w:space="0" w:color="auto"/>
      </w:divBdr>
    </w:div>
    <w:div w:id="1316252649">
      <w:bodyDiv w:val="1"/>
      <w:marLeft w:val="0"/>
      <w:marRight w:val="0"/>
      <w:marTop w:val="0"/>
      <w:marBottom w:val="0"/>
      <w:divBdr>
        <w:top w:val="none" w:sz="0" w:space="0" w:color="auto"/>
        <w:left w:val="none" w:sz="0" w:space="0" w:color="auto"/>
        <w:bottom w:val="none" w:sz="0" w:space="0" w:color="auto"/>
        <w:right w:val="none" w:sz="0" w:space="0" w:color="auto"/>
      </w:divBdr>
    </w:div>
    <w:div w:id="1318150991">
      <w:bodyDiv w:val="1"/>
      <w:marLeft w:val="0"/>
      <w:marRight w:val="0"/>
      <w:marTop w:val="0"/>
      <w:marBottom w:val="0"/>
      <w:divBdr>
        <w:top w:val="none" w:sz="0" w:space="0" w:color="auto"/>
        <w:left w:val="none" w:sz="0" w:space="0" w:color="auto"/>
        <w:bottom w:val="none" w:sz="0" w:space="0" w:color="auto"/>
        <w:right w:val="none" w:sz="0" w:space="0" w:color="auto"/>
      </w:divBdr>
    </w:div>
    <w:div w:id="1325086924">
      <w:bodyDiv w:val="1"/>
      <w:marLeft w:val="0"/>
      <w:marRight w:val="0"/>
      <w:marTop w:val="0"/>
      <w:marBottom w:val="0"/>
      <w:divBdr>
        <w:top w:val="none" w:sz="0" w:space="0" w:color="auto"/>
        <w:left w:val="none" w:sz="0" w:space="0" w:color="auto"/>
        <w:bottom w:val="none" w:sz="0" w:space="0" w:color="auto"/>
        <w:right w:val="none" w:sz="0" w:space="0" w:color="auto"/>
      </w:divBdr>
    </w:div>
    <w:div w:id="1337683609">
      <w:bodyDiv w:val="1"/>
      <w:marLeft w:val="0"/>
      <w:marRight w:val="0"/>
      <w:marTop w:val="0"/>
      <w:marBottom w:val="0"/>
      <w:divBdr>
        <w:top w:val="none" w:sz="0" w:space="0" w:color="auto"/>
        <w:left w:val="none" w:sz="0" w:space="0" w:color="auto"/>
        <w:bottom w:val="none" w:sz="0" w:space="0" w:color="auto"/>
        <w:right w:val="none" w:sz="0" w:space="0" w:color="auto"/>
      </w:divBdr>
    </w:div>
    <w:div w:id="1343900594">
      <w:bodyDiv w:val="1"/>
      <w:marLeft w:val="0"/>
      <w:marRight w:val="0"/>
      <w:marTop w:val="0"/>
      <w:marBottom w:val="0"/>
      <w:divBdr>
        <w:top w:val="none" w:sz="0" w:space="0" w:color="auto"/>
        <w:left w:val="none" w:sz="0" w:space="0" w:color="auto"/>
        <w:bottom w:val="none" w:sz="0" w:space="0" w:color="auto"/>
        <w:right w:val="none" w:sz="0" w:space="0" w:color="auto"/>
      </w:divBdr>
    </w:div>
    <w:div w:id="1361008082">
      <w:bodyDiv w:val="1"/>
      <w:marLeft w:val="0"/>
      <w:marRight w:val="0"/>
      <w:marTop w:val="0"/>
      <w:marBottom w:val="0"/>
      <w:divBdr>
        <w:top w:val="none" w:sz="0" w:space="0" w:color="auto"/>
        <w:left w:val="none" w:sz="0" w:space="0" w:color="auto"/>
        <w:bottom w:val="none" w:sz="0" w:space="0" w:color="auto"/>
        <w:right w:val="none" w:sz="0" w:space="0" w:color="auto"/>
      </w:divBdr>
    </w:div>
    <w:div w:id="1362777066">
      <w:bodyDiv w:val="1"/>
      <w:marLeft w:val="0"/>
      <w:marRight w:val="0"/>
      <w:marTop w:val="0"/>
      <w:marBottom w:val="0"/>
      <w:divBdr>
        <w:top w:val="none" w:sz="0" w:space="0" w:color="auto"/>
        <w:left w:val="none" w:sz="0" w:space="0" w:color="auto"/>
        <w:bottom w:val="none" w:sz="0" w:space="0" w:color="auto"/>
        <w:right w:val="none" w:sz="0" w:space="0" w:color="auto"/>
      </w:divBdr>
    </w:div>
    <w:div w:id="1372069955">
      <w:bodyDiv w:val="1"/>
      <w:marLeft w:val="0"/>
      <w:marRight w:val="0"/>
      <w:marTop w:val="0"/>
      <w:marBottom w:val="0"/>
      <w:divBdr>
        <w:top w:val="none" w:sz="0" w:space="0" w:color="auto"/>
        <w:left w:val="none" w:sz="0" w:space="0" w:color="auto"/>
        <w:bottom w:val="none" w:sz="0" w:space="0" w:color="auto"/>
        <w:right w:val="none" w:sz="0" w:space="0" w:color="auto"/>
      </w:divBdr>
    </w:div>
    <w:div w:id="1392996396">
      <w:bodyDiv w:val="1"/>
      <w:marLeft w:val="0"/>
      <w:marRight w:val="0"/>
      <w:marTop w:val="0"/>
      <w:marBottom w:val="0"/>
      <w:divBdr>
        <w:top w:val="none" w:sz="0" w:space="0" w:color="auto"/>
        <w:left w:val="none" w:sz="0" w:space="0" w:color="auto"/>
        <w:bottom w:val="none" w:sz="0" w:space="0" w:color="auto"/>
        <w:right w:val="none" w:sz="0" w:space="0" w:color="auto"/>
      </w:divBdr>
    </w:div>
    <w:div w:id="1395931590">
      <w:bodyDiv w:val="1"/>
      <w:marLeft w:val="0"/>
      <w:marRight w:val="0"/>
      <w:marTop w:val="0"/>
      <w:marBottom w:val="0"/>
      <w:divBdr>
        <w:top w:val="none" w:sz="0" w:space="0" w:color="auto"/>
        <w:left w:val="none" w:sz="0" w:space="0" w:color="auto"/>
        <w:bottom w:val="none" w:sz="0" w:space="0" w:color="auto"/>
        <w:right w:val="none" w:sz="0" w:space="0" w:color="auto"/>
      </w:divBdr>
    </w:div>
    <w:div w:id="1418333137">
      <w:bodyDiv w:val="1"/>
      <w:marLeft w:val="0"/>
      <w:marRight w:val="0"/>
      <w:marTop w:val="0"/>
      <w:marBottom w:val="0"/>
      <w:divBdr>
        <w:top w:val="none" w:sz="0" w:space="0" w:color="auto"/>
        <w:left w:val="none" w:sz="0" w:space="0" w:color="auto"/>
        <w:bottom w:val="none" w:sz="0" w:space="0" w:color="auto"/>
        <w:right w:val="none" w:sz="0" w:space="0" w:color="auto"/>
      </w:divBdr>
    </w:div>
    <w:div w:id="1428891892">
      <w:bodyDiv w:val="1"/>
      <w:marLeft w:val="0"/>
      <w:marRight w:val="0"/>
      <w:marTop w:val="0"/>
      <w:marBottom w:val="0"/>
      <w:divBdr>
        <w:top w:val="none" w:sz="0" w:space="0" w:color="auto"/>
        <w:left w:val="none" w:sz="0" w:space="0" w:color="auto"/>
        <w:bottom w:val="none" w:sz="0" w:space="0" w:color="auto"/>
        <w:right w:val="none" w:sz="0" w:space="0" w:color="auto"/>
      </w:divBdr>
    </w:div>
    <w:div w:id="1431044138">
      <w:bodyDiv w:val="1"/>
      <w:marLeft w:val="0"/>
      <w:marRight w:val="0"/>
      <w:marTop w:val="0"/>
      <w:marBottom w:val="0"/>
      <w:divBdr>
        <w:top w:val="none" w:sz="0" w:space="0" w:color="auto"/>
        <w:left w:val="none" w:sz="0" w:space="0" w:color="auto"/>
        <w:bottom w:val="none" w:sz="0" w:space="0" w:color="auto"/>
        <w:right w:val="none" w:sz="0" w:space="0" w:color="auto"/>
      </w:divBdr>
    </w:div>
    <w:div w:id="1436051951">
      <w:bodyDiv w:val="1"/>
      <w:marLeft w:val="0"/>
      <w:marRight w:val="0"/>
      <w:marTop w:val="0"/>
      <w:marBottom w:val="0"/>
      <w:divBdr>
        <w:top w:val="none" w:sz="0" w:space="0" w:color="auto"/>
        <w:left w:val="none" w:sz="0" w:space="0" w:color="auto"/>
        <w:bottom w:val="none" w:sz="0" w:space="0" w:color="auto"/>
        <w:right w:val="none" w:sz="0" w:space="0" w:color="auto"/>
      </w:divBdr>
    </w:div>
    <w:div w:id="1453475391">
      <w:bodyDiv w:val="1"/>
      <w:marLeft w:val="0"/>
      <w:marRight w:val="0"/>
      <w:marTop w:val="0"/>
      <w:marBottom w:val="0"/>
      <w:divBdr>
        <w:top w:val="none" w:sz="0" w:space="0" w:color="auto"/>
        <w:left w:val="none" w:sz="0" w:space="0" w:color="auto"/>
        <w:bottom w:val="none" w:sz="0" w:space="0" w:color="auto"/>
        <w:right w:val="none" w:sz="0" w:space="0" w:color="auto"/>
      </w:divBdr>
    </w:div>
    <w:div w:id="1468619548">
      <w:bodyDiv w:val="1"/>
      <w:marLeft w:val="0"/>
      <w:marRight w:val="0"/>
      <w:marTop w:val="0"/>
      <w:marBottom w:val="0"/>
      <w:divBdr>
        <w:top w:val="none" w:sz="0" w:space="0" w:color="auto"/>
        <w:left w:val="none" w:sz="0" w:space="0" w:color="auto"/>
        <w:bottom w:val="none" w:sz="0" w:space="0" w:color="auto"/>
        <w:right w:val="none" w:sz="0" w:space="0" w:color="auto"/>
      </w:divBdr>
    </w:div>
    <w:div w:id="1544711824">
      <w:bodyDiv w:val="1"/>
      <w:marLeft w:val="0"/>
      <w:marRight w:val="0"/>
      <w:marTop w:val="0"/>
      <w:marBottom w:val="0"/>
      <w:divBdr>
        <w:top w:val="none" w:sz="0" w:space="0" w:color="auto"/>
        <w:left w:val="none" w:sz="0" w:space="0" w:color="auto"/>
        <w:bottom w:val="none" w:sz="0" w:space="0" w:color="auto"/>
        <w:right w:val="none" w:sz="0" w:space="0" w:color="auto"/>
      </w:divBdr>
    </w:div>
    <w:div w:id="1547835976">
      <w:bodyDiv w:val="1"/>
      <w:marLeft w:val="0"/>
      <w:marRight w:val="0"/>
      <w:marTop w:val="0"/>
      <w:marBottom w:val="0"/>
      <w:divBdr>
        <w:top w:val="none" w:sz="0" w:space="0" w:color="auto"/>
        <w:left w:val="none" w:sz="0" w:space="0" w:color="auto"/>
        <w:bottom w:val="none" w:sz="0" w:space="0" w:color="auto"/>
        <w:right w:val="none" w:sz="0" w:space="0" w:color="auto"/>
      </w:divBdr>
    </w:div>
    <w:div w:id="1561597840">
      <w:bodyDiv w:val="1"/>
      <w:marLeft w:val="0"/>
      <w:marRight w:val="0"/>
      <w:marTop w:val="0"/>
      <w:marBottom w:val="0"/>
      <w:divBdr>
        <w:top w:val="none" w:sz="0" w:space="0" w:color="auto"/>
        <w:left w:val="none" w:sz="0" w:space="0" w:color="auto"/>
        <w:bottom w:val="none" w:sz="0" w:space="0" w:color="auto"/>
        <w:right w:val="none" w:sz="0" w:space="0" w:color="auto"/>
      </w:divBdr>
    </w:div>
    <w:div w:id="1573656696">
      <w:bodyDiv w:val="1"/>
      <w:marLeft w:val="0"/>
      <w:marRight w:val="0"/>
      <w:marTop w:val="0"/>
      <w:marBottom w:val="0"/>
      <w:divBdr>
        <w:top w:val="none" w:sz="0" w:space="0" w:color="auto"/>
        <w:left w:val="none" w:sz="0" w:space="0" w:color="auto"/>
        <w:bottom w:val="none" w:sz="0" w:space="0" w:color="auto"/>
        <w:right w:val="none" w:sz="0" w:space="0" w:color="auto"/>
      </w:divBdr>
    </w:div>
    <w:div w:id="1581327209">
      <w:bodyDiv w:val="1"/>
      <w:marLeft w:val="0"/>
      <w:marRight w:val="0"/>
      <w:marTop w:val="0"/>
      <w:marBottom w:val="0"/>
      <w:divBdr>
        <w:top w:val="none" w:sz="0" w:space="0" w:color="auto"/>
        <w:left w:val="none" w:sz="0" w:space="0" w:color="auto"/>
        <w:bottom w:val="none" w:sz="0" w:space="0" w:color="auto"/>
        <w:right w:val="none" w:sz="0" w:space="0" w:color="auto"/>
      </w:divBdr>
    </w:div>
    <w:div w:id="1585800367">
      <w:bodyDiv w:val="1"/>
      <w:marLeft w:val="0"/>
      <w:marRight w:val="0"/>
      <w:marTop w:val="0"/>
      <w:marBottom w:val="0"/>
      <w:divBdr>
        <w:top w:val="none" w:sz="0" w:space="0" w:color="auto"/>
        <w:left w:val="none" w:sz="0" w:space="0" w:color="auto"/>
        <w:bottom w:val="none" w:sz="0" w:space="0" w:color="auto"/>
        <w:right w:val="none" w:sz="0" w:space="0" w:color="auto"/>
      </w:divBdr>
    </w:div>
    <w:div w:id="1588732744">
      <w:bodyDiv w:val="1"/>
      <w:marLeft w:val="0"/>
      <w:marRight w:val="0"/>
      <w:marTop w:val="0"/>
      <w:marBottom w:val="0"/>
      <w:divBdr>
        <w:top w:val="none" w:sz="0" w:space="0" w:color="auto"/>
        <w:left w:val="none" w:sz="0" w:space="0" w:color="auto"/>
        <w:bottom w:val="none" w:sz="0" w:space="0" w:color="auto"/>
        <w:right w:val="none" w:sz="0" w:space="0" w:color="auto"/>
      </w:divBdr>
    </w:div>
    <w:div w:id="1592616382">
      <w:bodyDiv w:val="1"/>
      <w:marLeft w:val="0"/>
      <w:marRight w:val="0"/>
      <w:marTop w:val="0"/>
      <w:marBottom w:val="0"/>
      <w:divBdr>
        <w:top w:val="none" w:sz="0" w:space="0" w:color="auto"/>
        <w:left w:val="none" w:sz="0" w:space="0" w:color="auto"/>
        <w:bottom w:val="none" w:sz="0" w:space="0" w:color="auto"/>
        <w:right w:val="none" w:sz="0" w:space="0" w:color="auto"/>
      </w:divBdr>
      <w:divsChild>
        <w:div w:id="1593398083">
          <w:marLeft w:val="446"/>
          <w:marRight w:val="0"/>
          <w:marTop w:val="0"/>
          <w:marBottom w:val="0"/>
          <w:divBdr>
            <w:top w:val="none" w:sz="0" w:space="0" w:color="auto"/>
            <w:left w:val="none" w:sz="0" w:space="0" w:color="auto"/>
            <w:bottom w:val="none" w:sz="0" w:space="0" w:color="auto"/>
            <w:right w:val="none" w:sz="0" w:space="0" w:color="auto"/>
          </w:divBdr>
        </w:div>
      </w:divsChild>
    </w:div>
    <w:div w:id="1604344329">
      <w:bodyDiv w:val="1"/>
      <w:marLeft w:val="0"/>
      <w:marRight w:val="0"/>
      <w:marTop w:val="0"/>
      <w:marBottom w:val="0"/>
      <w:divBdr>
        <w:top w:val="none" w:sz="0" w:space="0" w:color="auto"/>
        <w:left w:val="none" w:sz="0" w:space="0" w:color="auto"/>
        <w:bottom w:val="none" w:sz="0" w:space="0" w:color="auto"/>
        <w:right w:val="none" w:sz="0" w:space="0" w:color="auto"/>
      </w:divBdr>
      <w:divsChild>
        <w:div w:id="570584811">
          <w:marLeft w:val="446"/>
          <w:marRight w:val="0"/>
          <w:marTop w:val="0"/>
          <w:marBottom w:val="0"/>
          <w:divBdr>
            <w:top w:val="none" w:sz="0" w:space="0" w:color="auto"/>
            <w:left w:val="none" w:sz="0" w:space="0" w:color="auto"/>
            <w:bottom w:val="none" w:sz="0" w:space="0" w:color="auto"/>
            <w:right w:val="none" w:sz="0" w:space="0" w:color="auto"/>
          </w:divBdr>
        </w:div>
      </w:divsChild>
    </w:div>
    <w:div w:id="1607156510">
      <w:bodyDiv w:val="1"/>
      <w:marLeft w:val="0"/>
      <w:marRight w:val="0"/>
      <w:marTop w:val="0"/>
      <w:marBottom w:val="0"/>
      <w:divBdr>
        <w:top w:val="none" w:sz="0" w:space="0" w:color="auto"/>
        <w:left w:val="none" w:sz="0" w:space="0" w:color="auto"/>
        <w:bottom w:val="none" w:sz="0" w:space="0" w:color="auto"/>
        <w:right w:val="none" w:sz="0" w:space="0" w:color="auto"/>
      </w:divBdr>
    </w:div>
    <w:div w:id="1615401242">
      <w:bodyDiv w:val="1"/>
      <w:marLeft w:val="0"/>
      <w:marRight w:val="0"/>
      <w:marTop w:val="0"/>
      <w:marBottom w:val="0"/>
      <w:divBdr>
        <w:top w:val="none" w:sz="0" w:space="0" w:color="auto"/>
        <w:left w:val="none" w:sz="0" w:space="0" w:color="auto"/>
        <w:bottom w:val="none" w:sz="0" w:space="0" w:color="auto"/>
        <w:right w:val="none" w:sz="0" w:space="0" w:color="auto"/>
      </w:divBdr>
    </w:div>
    <w:div w:id="1615936801">
      <w:bodyDiv w:val="1"/>
      <w:marLeft w:val="0"/>
      <w:marRight w:val="0"/>
      <w:marTop w:val="0"/>
      <w:marBottom w:val="0"/>
      <w:divBdr>
        <w:top w:val="none" w:sz="0" w:space="0" w:color="auto"/>
        <w:left w:val="none" w:sz="0" w:space="0" w:color="auto"/>
        <w:bottom w:val="none" w:sz="0" w:space="0" w:color="auto"/>
        <w:right w:val="none" w:sz="0" w:space="0" w:color="auto"/>
      </w:divBdr>
    </w:div>
    <w:div w:id="1619263925">
      <w:bodyDiv w:val="1"/>
      <w:marLeft w:val="0"/>
      <w:marRight w:val="0"/>
      <w:marTop w:val="0"/>
      <w:marBottom w:val="0"/>
      <w:divBdr>
        <w:top w:val="none" w:sz="0" w:space="0" w:color="auto"/>
        <w:left w:val="none" w:sz="0" w:space="0" w:color="auto"/>
        <w:bottom w:val="none" w:sz="0" w:space="0" w:color="auto"/>
        <w:right w:val="none" w:sz="0" w:space="0" w:color="auto"/>
      </w:divBdr>
    </w:div>
    <w:div w:id="1622106846">
      <w:bodyDiv w:val="1"/>
      <w:marLeft w:val="0"/>
      <w:marRight w:val="0"/>
      <w:marTop w:val="0"/>
      <w:marBottom w:val="0"/>
      <w:divBdr>
        <w:top w:val="none" w:sz="0" w:space="0" w:color="auto"/>
        <w:left w:val="none" w:sz="0" w:space="0" w:color="auto"/>
        <w:bottom w:val="none" w:sz="0" w:space="0" w:color="auto"/>
        <w:right w:val="none" w:sz="0" w:space="0" w:color="auto"/>
      </w:divBdr>
    </w:div>
    <w:div w:id="1652754939">
      <w:bodyDiv w:val="1"/>
      <w:marLeft w:val="0"/>
      <w:marRight w:val="0"/>
      <w:marTop w:val="0"/>
      <w:marBottom w:val="0"/>
      <w:divBdr>
        <w:top w:val="none" w:sz="0" w:space="0" w:color="auto"/>
        <w:left w:val="none" w:sz="0" w:space="0" w:color="auto"/>
        <w:bottom w:val="none" w:sz="0" w:space="0" w:color="auto"/>
        <w:right w:val="none" w:sz="0" w:space="0" w:color="auto"/>
      </w:divBdr>
      <w:divsChild>
        <w:div w:id="1096748779">
          <w:marLeft w:val="446"/>
          <w:marRight w:val="0"/>
          <w:marTop w:val="0"/>
          <w:marBottom w:val="0"/>
          <w:divBdr>
            <w:top w:val="none" w:sz="0" w:space="0" w:color="auto"/>
            <w:left w:val="none" w:sz="0" w:space="0" w:color="auto"/>
            <w:bottom w:val="none" w:sz="0" w:space="0" w:color="auto"/>
            <w:right w:val="none" w:sz="0" w:space="0" w:color="auto"/>
          </w:divBdr>
        </w:div>
      </w:divsChild>
    </w:div>
    <w:div w:id="1656686072">
      <w:bodyDiv w:val="1"/>
      <w:marLeft w:val="0"/>
      <w:marRight w:val="0"/>
      <w:marTop w:val="0"/>
      <w:marBottom w:val="0"/>
      <w:divBdr>
        <w:top w:val="none" w:sz="0" w:space="0" w:color="auto"/>
        <w:left w:val="none" w:sz="0" w:space="0" w:color="auto"/>
        <w:bottom w:val="none" w:sz="0" w:space="0" w:color="auto"/>
        <w:right w:val="none" w:sz="0" w:space="0" w:color="auto"/>
      </w:divBdr>
    </w:div>
    <w:div w:id="1709335603">
      <w:bodyDiv w:val="1"/>
      <w:marLeft w:val="0"/>
      <w:marRight w:val="0"/>
      <w:marTop w:val="0"/>
      <w:marBottom w:val="0"/>
      <w:divBdr>
        <w:top w:val="none" w:sz="0" w:space="0" w:color="auto"/>
        <w:left w:val="none" w:sz="0" w:space="0" w:color="auto"/>
        <w:bottom w:val="none" w:sz="0" w:space="0" w:color="auto"/>
        <w:right w:val="none" w:sz="0" w:space="0" w:color="auto"/>
      </w:divBdr>
    </w:div>
    <w:div w:id="1712608496">
      <w:bodyDiv w:val="1"/>
      <w:marLeft w:val="0"/>
      <w:marRight w:val="0"/>
      <w:marTop w:val="0"/>
      <w:marBottom w:val="0"/>
      <w:divBdr>
        <w:top w:val="none" w:sz="0" w:space="0" w:color="auto"/>
        <w:left w:val="none" w:sz="0" w:space="0" w:color="auto"/>
        <w:bottom w:val="none" w:sz="0" w:space="0" w:color="auto"/>
        <w:right w:val="none" w:sz="0" w:space="0" w:color="auto"/>
      </w:divBdr>
    </w:div>
    <w:div w:id="1743135133">
      <w:bodyDiv w:val="1"/>
      <w:marLeft w:val="0"/>
      <w:marRight w:val="0"/>
      <w:marTop w:val="0"/>
      <w:marBottom w:val="0"/>
      <w:divBdr>
        <w:top w:val="none" w:sz="0" w:space="0" w:color="auto"/>
        <w:left w:val="none" w:sz="0" w:space="0" w:color="auto"/>
        <w:bottom w:val="none" w:sz="0" w:space="0" w:color="auto"/>
        <w:right w:val="none" w:sz="0" w:space="0" w:color="auto"/>
      </w:divBdr>
    </w:div>
    <w:div w:id="1752044970">
      <w:bodyDiv w:val="1"/>
      <w:marLeft w:val="0"/>
      <w:marRight w:val="0"/>
      <w:marTop w:val="0"/>
      <w:marBottom w:val="0"/>
      <w:divBdr>
        <w:top w:val="none" w:sz="0" w:space="0" w:color="auto"/>
        <w:left w:val="none" w:sz="0" w:space="0" w:color="auto"/>
        <w:bottom w:val="none" w:sz="0" w:space="0" w:color="auto"/>
        <w:right w:val="none" w:sz="0" w:space="0" w:color="auto"/>
      </w:divBdr>
    </w:div>
    <w:div w:id="1757358909">
      <w:bodyDiv w:val="1"/>
      <w:marLeft w:val="0"/>
      <w:marRight w:val="0"/>
      <w:marTop w:val="0"/>
      <w:marBottom w:val="0"/>
      <w:divBdr>
        <w:top w:val="none" w:sz="0" w:space="0" w:color="auto"/>
        <w:left w:val="none" w:sz="0" w:space="0" w:color="auto"/>
        <w:bottom w:val="none" w:sz="0" w:space="0" w:color="auto"/>
        <w:right w:val="none" w:sz="0" w:space="0" w:color="auto"/>
      </w:divBdr>
    </w:div>
    <w:div w:id="1812020195">
      <w:bodyDiv w:val="1"/>
      <w:marLeft w:val="0"/>
      <w:marRight w:val="0"/>
      <w:marTop w:val="0"/>
      <w:marBottom w:val="0"/>
      <w:divBdr>
        <w:top w:val="none" w:sz="0" w:space="0" w:color="auto"/>
        <w:left w:val="none" w:sz="0" w:space="0" w:color="auto"/>
        <w:bottom w:val="none" w:sz="0" w:space="0" w:color="auto"/>
        <w:right w:val="none" w:sz="0" w:space="0" w:color="auto"/>
      </w:divBdr>
    </w:div>
    <w:div w:id="1812599219">
      <w:bodyDiv w:val="1"/>
      <w:marLeft w:val="0"/>
      <w:marRight w:val="0"/>
      <w:marTop w:val="0"/>
      <w:marBottom w:val="0"/>
      <w:divBdr>
        <w:top w:val="none" w:sz="0" w:space="0" w:color="auto"/>
        <w:left w:val="none" w:sz="0" w:space="0" w:color="auto"/>
        <w:bottom w:val="none" w:sz="0" w:space="0" w:color="auto"/>
        <w:right w:val="none" w:sz="0" w:space="0" w:color="auto"/>
      </w:divBdr>
    </w:div>
    <w:div w:id="1815216788">
      <w:bodyDiv w:val="1"/>
      <w:marLeft w:val="0"/>
      <w:marRight w:val="0"/>
      <w:marTop w:val="0"/>
      <w:marBottom w:val="0"/>
      <w:divBdr>
        <w:top w:val="none" w:sz="0" w:space="0" w:color="auto"/>
        <w:left w:val="none" w:sz="0" w:space="0" w:color="auto"/>
        <w:bottom w:val="none" w:sz="0" w:space="0" w:color="auto"/>
        <w:right w:val="none" w:sz="0" w:space="0" w:color="auto"/>
      </w:divBdr>
    </w:div>
    <w:div w:id="1854226169">
      <w:bodyDiv w:val="1"/>
      <w:marLeft w:val="0"/>
      <w:marRight w:val="0"/>
      <w:marTop w:val="0"/>
      <w:marBottom w:val="0"/>
      <w:divBdr>
        <w:top w:val="none" w:sz="0" w:space="0" w:color="auto"/>
        <w:left w:val="none" w:sz="0" w:space="0" w:color="auto"/>
        <w:bottom w:val="none" w:sz="0" w:space="0" w:color="auto"/>
        <w:right w:val="none" w:sz="0" w:space="0" w:color="auto"/>
      </w:divBdr>
    </w:div>
    <w:div w:id="1858690707">
      <w:bodyDiv w:val="1"/>
      <w:marLeft w:val="0"/>
      <w:marRight w:val="0"/>
      <w:marTop w:val="0"/>
      <w:marBottom w:val="0"/>
      <w:divBdr>
        <w:top w:val="none" w:sz="0" w:space="0" w:color="auto"/>
        <w:left w:val="none" w:sz="0" w:space="0" w:color="auto"/>
        <w:bottom w:val="none" w:sz="0" w:space="0" w:color="auto"/>
        <w:right w:val="none" w:sz="0" w:space="0" w:color="auto"/>
      </w:divBdr>
    </w:div>
    <w:div w:id="1860965956">
      <w:bodyDiv w:val="1"/>
      <w:marLeft w:val="0"/>
      <w:marRight w:val="0"/>
      <w:marTop w:val="0"/>
      <w:marBottom w:val="0"/>
      <w:divBdr>
        <w:top w:val="none" w:sz="0" w:space="0" w:color="auto"/>
        <w:left w:val="none" w:sz="0" w:space="0" w:color="auto"/>
        <w:bottom w:val="none" w:sz="0" w:space="0" w:color="auto"/>
        <w:right w:val="none" w:sz="0" w:space="0" w:color="auto"/>
      </w:divBdr>
    </w:div>
    <w:div w:id="1886939984">
      <w:bodyDiv w:val="1"/>
      <w:marLeft w:val="0"/>
      <w:marRight w:val="0"/>
      <w:marTop w:val="0"/>
      <w:marBottom w:val="0"/>
      <w:divBdr>
        <w:top w:val="none" w:sz="0" w:space="0" w:color="auto"/>
        <w:left w:val="none" w:sz="0" w:space="0" w:color="auto"/>
        <w:bottom w:val="none" w:sz="0" w:space="0" w:color="auto"/>
        <w:right w:val="none" w:sz="0" w:space="0" w:color="auto"/>
      </w:divBdr>
    </w:div>
    <w:div w:id="1888562775">
      <w:bodyDiv w:val="1"/>
      <w:marLeft w:val="0"/>
      <w:marRight w:val="0"/>
      <w:marTop w:val="0"/>
      <w:marBottom w:val="0"/>
      <w:divBdr>
        <w:top w:val="none" w:sz="0" w:space="0" w:color="auto"/>
        <w:left w:val="none" w:sz="0" w:space="0" w:color="auto"/>
        <w:bottom w:val="none" w:sz="0" w:space="0" w:color="auto"/>
        <w:right w:val="none" w:sz="0" w:space="0" w:color="auto"/>
      </w:divBdr>
      <w:divsChild>
        <w:div w:id="1662194172">
          <w:marLeft w:val="446"/>
          <w:marRight w:val="0"/>
          <w:marTop w:val="0"/>
          <w:marBottom w:val="0"/>
          <w:divBdr>
            <w:top w:val="none" w:sz="0" w:space="0" w:color="auto"/>
            <w:left w:val="none" w:sz="0" w:space="0" w:color="auto"/>
            <w:bottom w:val="none" w:sz="0" w:space="0" w:color="auto"/>
            <w:right w:val="none" w:sz="0" w:space="0" w:color="auto"/>
          </w:divBdr>
        </w:div>
      </w:divsChild>
    </w:div>
    <w:div w:id="1898083980">
      <w:bodyDiv w:val="1"/>
      <w:marLeft w:val="0"/>
      <w:marRight w:val="0"/>
      <w:marTop w:val="0"/>
      <w:marBottom w:val="0"/>
      <w:divBdr>
        <w:top w:val="none" w:sz="0" w:space="0" w:color="auto"/>
        <w:left w:val="none" w:sz="0" w:space="0" w:color="auto"/>
        <w:bottom w:val="none" w:sz="0" w:space="0" w:color="auto"/>
        <w:right w:val="none" w:sz="0" w:space="0" w:color="auto"/>
      </w:divBdr>
    </w:div>
    <w:div w:id="1899239822">
      <w:bodyDiv w:val="1"/>
      <w:marLeft w:val="0"/>
      <w:marRight w:val="0"/>
      <w:marTop w:val="0"/>
      <w:marBottom w:val="0"/>
      <w:divBdr>
        <w:top w:val="none" w:sz="0" w:space="0" w:color="auto"/>
        <w:left w:val="none" w:sz="0" w:space="0" w:color="auto"/>
        <w:bottom w:val="none" w:sz="0" w:space="0" w:color="auto"/>
        <w:right w:val="none" w:sz="0" w:space="0" w:color="auto"/>
      </w:divBdr>
    </w:div>
    <w:div w:id="1916161322">
      <w:bodyDiv w:val="1"/>
      <w:marLeft w:val="0"/>
      <w:marRight w:val="0"/>
      <w:marTop w:val="0"/>
      <w:marBottom w:val="0"/>
      <w:divBdr>
        <w:top w:val="none" w:sz="0" w:space="0" w:color="auto"/>
        <w:left w:val="none" w:sz="0" w:space="0" w:color="auto"/>
        <w:bottom w:val="none" w:sz="0" w:space="0" w:color="auto"/>
        <w:right w:val="none" w:sz="0" w:space="0" w:color="auto"/>
      </w:divBdr>
    </w:div>
    <w:div w:id="1925070250">
      <w:bodyDiv w:val="1"/>
      <w:marLeft w:val="0"/>
      <w:marRight w:val="0"/>
      <w:marTop w:val="0"/>
      <w:marBottom w:val="0"/>
      <w:divBdr>
        <w:top w:val="none" w:sz="0" w:space="0" w:color="auto"/>
        <w:left w:val="none" w:sz="0" w:space="0" w:color="auto"/>
        <w:bottom w:val="none" w:sz="0" w:space="0" w:color="auto"/>
        <w:right w:val="none" w:sz="0" w:space="0" w:color="auto"/>
      </w:divBdr>
    </w:div>
    <w:div w:id="1939092674">
      <w:bodyDiv w:val="1"/>
      <w:marLeft w:val="0"/>
      <w:marRight w:val="0"/>
      <w:marTop w:val="0"/>
      <w:marBottom w:val="0"/>
      <w:divBdr>
        <w:top w:val="none" w:sz="0" w:space="0" w:color="auto"/>
        <w:left w:val="none" w:sz="0" w:space="0" w:color="auto"/>
        <w:bottom w:val="none" w:sz="0" w:space="0" w:color="auto"/>
        <w:right w:val="none" w:sz="0" w:space="0" w:color="auto"/>
      </w:divBdr>
    </w:div>
    <w:div w:id="1943295456">
      <w:bodyDiv w:val="1"/>
      <w:marLeft w:val="0"/>
      <w:marRight w:val="0"/>
      <w:marTop w:val="0"/>
      <w:marBottom w:val="0"/>
      <w:divBdr>
        <w:top w:val="none" w:sz="0" w:space="0" w:color="auto"/>
        <w:left w:val="none" w:sz="0" w:space="0" w:color="auto"/>
        <w:bottom w:val="none" w:sz="0" w:space="0" w:color="auto"/>
        <w:right w:val="none" w:sz="0" w:space="0" w:color="auto"/>
      </w:divBdr>
    </w:div>
    <w:div w:id="1969775194">
      <w:bodyDiv w:val="1"/>
      <w:marLeft w:val="0"/>
      <w:marRight w:val="0"/>
      <w:marTop w:val="0"/>
      <w:marBottom w:val="0"/>
      <w:divBdr>
        <w:top w:val="none" w:sz="0" w:space="0" w:color="auto"/>
        <w:left w:val="none" w:sz="0" w:space="0" w:color="auto"/>
        <w:bottom w:val="none" w:sz="0" w:space="0" w:color="auto"/>
        <w:right w:val="none" w:sz="0" w:space="0" w:color="auto"/>
      </w:divBdr>
    </w:div>
    <w:div w:id="1983272515">
      <w:bodyDiv w:val="1"/>
      <w:marLeft w:val="0"/>
      <w:marRight w:val="0"/>
      <w:marTop w:val="0"/>
      <w:marBottom w:val="0"/>
      <w:divBdr>
        <w:top w:val="none" w:sz="0" w:space="0" w:color="auto"/>
        <w:left w:val="none" w:sz="0" w:space="0" w:color="auto"/>
        <w:bottom w:val="none" w:sz="0" w:space="0" w:color="auto"/>
        <w:right w:val="none" w:sz="0" w:space="0" w:color="auto"/>
      </w:divBdr>
    </w:div>
    <w:div w:id="2002930114">
      <w:bodyDiv w:val="1"/>
      <w:marLeft w:val="0"/>
      <w:marRight w:val="0"/>
      <w:marTop w:val="0"/>
      <w:marBottom w:val="0"/>
      <w:divBdr>
        <w:top w:val="none" w:sz="0" w:space="0" w:color="auto"/>
        <w:left w:val="none" w:sz="0" w:space="0" w:color="auto"/>
        <w:bottom w:val="none" w:sz="0" w:space="0" w:color="auto"/>
        <w:right w:val="none" w:sz="0" w:space="0" w:color="auto"/>
      </w:divBdr>
    </w:div>
    <w:div w:id="2003585714">
      <w:bodyDiv w:val="1"/>
      <w:marLeft w:val="0"/>
      <w:marRight w:val="0"/>
      <w:marTop w:val="0"/>
      <w:marBottom w:val="0"/>
      <w:divBdr>
        <w:top w:val="none" w:sz="0" w:space="0" w:color="auto"/>
        <w:left w:val="none" w:sz="0" w:space="0" w:color="auto"/>
        <w:bottom w:val="none" w:sz="0" w:space="0" w:color="auto"/>
        <w:right w:val="none" w:sz="0" w:space="0" w:color="auto"/>
      </w:divBdr>
    </w:div>
    <w:div w:id="2018193010">
      <w:bodyDiv w:val="1"/>
      <w:marLeft w:val="0"/>
      <w:marRight w:val="0"/>
      <w:marTop w:val="0"/>
      <w:marBottom w:val="0"/>
      <w:divBdr>
        <w:top w:val="none" w:sz="0" w:space="0" w:color="auto"/>
        <w:left w:val="none" w:sz="0" w:space="0" w:color="auto"/>
        <w:bottom w:val="none" w:sz="0" w:space="0" w:color="auto"/>
        <w:right w:val="none" w:sz="0" w:space="0" w:color="auto"/>
      </w:divBdr>
    </w:div>
    <w:div w:id="2021009373">
      <w:bodyDiv w:val="1"/>
      <w:marLeft w:val="0"/>
      <w:marRight w:val="0"/>
      <w:marTop w:val="0"/>
      <w:marBottom w:val="0"/>
      <w:divBdr>
        <w:top w:val="none" w:sz="0" w:space="0" w:color="auto"/>
        <w:left w:val="none" w:sz="0" w:space="0" w:color="auto"/>
        <w:bottom w:val="none" w:sz="0" w:space="0" w:color="auto"/>
        <w:right w:val="none" w:sz="0" w:space="0" w:color="auto"/>
      </w:divBdr>
    </w:div>
    <w:div w:id="2025207593">
      <w:bodyDiv w:val="1"/>
      <w:marLeft w:val="0"/>
      <w:marRight w:val="0"/>
      <w:marTop w:val="0"/>
      <w:marBottom w:val="0"/>
      <w:divBdr>
        <w:top w:val="none" w:sz="0" w:space="0" w:color="auto"/>
        <w:left w:val="none" w:sz="0" w:space="0" w:color="auto"/>
        <w:bottom w:val="none" w:sz="0" w:space="0" w:color="auto"/>
        <w:right w:val="none" w:sz="0" w:space="0" w:color="auto"/>
      </w:divBdr>
    </w:div>
    <w:div w:id="2025594602">
      <w:bodyDiv w:val="1"/>
      <w:marLeft w:val="0"/>
      <w:marRight w:val="0"/>
      <w:marTop w:val="0"/>
      <w:marBottom w:val="0"/>
      <w:divBdr>
        <w:top w:val="none" w:sz="0" w:space="0" w:color="auto"/>
        <w:left w:val="none" w:sz="0" w:space="0" w:color="auto"/>
        <w:bottom w:val="none" w:sz="0" w:space="0" w:color="auto"/>
        <w:right w:val="none" w:sz="0" w:space="0" w:color="auto"/>
      </w:divBdr>
    </w:div>
    <w:div w:id="2029138115">
      <w:bodyDiv w:val="1"/>
      <w:marLeft w:val="0"/>
      <w:marRight w:val="0"/>
      <w:marTop w:val="0"/>
      <w:marBottom w:val="0"/>
      <w:divBdr>
        <w:top w:val="none" w:sz="0" w:space="0" w:color="auto"/>
        <w:left w:val="none" w:sz="0" w:space="0" w:color="auto"/>
        <w:bottom w:val="none" w:sz="0" w:space="0" w:color="auto"/>
        <w:right w:val="none" w:sz="0" w:space="0" w:color="auto"/>
      </w:divBdr>
    </w:div>
    <w:div w:id="2043358972">
      <w:bodyDiv w:val="1"/>
      <w:marLeft w:val="0"/>
      <w:marRight w:val="0"/>
      <w:marTop w:val="0"/>
      <w:marBottom w:val="0"/>
      <w:divBdr>
        <w:top w:val="none" w:sz="0" w:space="0" w:color="auto"/>
        <w:left w:val="none" w:sz="0" w:space="0" w:color="auto"/>
        <w:bottom w:val="none" w:sz="0" w:space="0" w:color="auto"/>
        <w:right w:val="none" w:sz="0" w:space="0" w:color="auto"/>
      </w:divBdr>
    </w:div>
    <w:div w:id="2045909613">
      <w:bodyDiv w:val="1"/>
      <w:marLeft w:val="0"/>
      <w:marRight w:val="0"/>
      <w:marTop w:val="0"/>
      <w:marBottom w:val="0"/>
      <w:divBdr>
        <w:top w:val="none" w:sz="0" w:space="0" w:color="auto"/>
        <w:left w:val="none" w:sz="0" w:space="0" w:color="auto"/>
        <w:bottom w:val="none" w:sz="0" w:space="0" w:color="auto"/>
        <w:right w:val="none" w:sz="0" w:space="0" w:color="auto"/>
      </w:divBdr>
    </w:div>
    <w:div w:id="2080714202">
      <w:bodyDiv w:val="1"/>
      <w:marLeft w:val="0"/>
      <w:marRight w:val="0"/>
      <w:marTop w:val="0"/>
      <w:marBottom w:val="0"/>
      <w:divBdr>
        <w:top w:val="none" w:sz="0" w:space="0" w:color="auto"/>
        <w:left w:val="none" w:sz="0" w:space="0" w:color="auto"/>
        <w:bottom w:val="none" w:sz="0" w:space="0" w:color="auto"/>
        <w:right w:val="none" w:sz="0" w:space="0" w:color="auto"/>
      </w:divBdr>
    </w:div>
    <w:div w:id="2083601552">
      <w:bodyDiv w:val="1"/>
      <w:marLeft w:val="0"/>
      <w:marRight w:val="0"/>
      <w:marTop w:val="0"/>
      <w:marBottom w:val="0"/>
      <w:divBdr>
        <w:top w:val="none" w:sz="0" w:space="0" w:color="auto"/>
        <w:left w:val="none" w:sz="0" w:space="0" w:color="auto"/>
        <w:bottom w:val="none" w:sz="0" w:space="0" w:color="auto"/>
        <w:right w:val="none" w:sz="0" w:space="0" w:color="auto"/>
      </w:divBdr>
      <w:divsChild>
        <w:div w:id="1245917978">
          <w:marLeft w:val="446"/>
          <w:marRight w:val="0"/>
          <w:marTop w:val="0"/>
          <w:marBottom w:val="0"/>
          <w:divBdr>
            <w:top w:val="none" w:sz="0" w:space="0" w:color="auto"/>
            <w:left w:val="none" w:sz="0" w:space="0" w:color="auto"/>
            <w:bottom w:val="none" w:sz="0" w:space="0" w:color="auto"/>
            <w:right w:val="none" w:sz="0" w:space="0" w:color="auto"/>
          </w:divBdr>
        </w:div>
      </w:divsChild>
    </w:div>
    <w:div w:id="2112163488">
      <w:bodyDiv w:val="1"/>
      <w:marLeft w:val="0"/>
      <w:marRight w:val="0"/>
      <w:marTop w:val="0"/>
      <w:marBottom w:val="0"/>
      <w:divBdr>
        <w:top w:val="none" w:sz="0" w:space="0" w:color="auto"/>
        <w:left w:val="none" w:sz="0" w:space="0" w:color="auto"/>
        <w:bottom w:val="none" w:sz="0" w:space="0" w:color="auto"/>
        <w:right w:val="none" w:sz="0" w:space="0" w:color="auto"/>
      </w:divBdr>
    </w:div>
    <w:div w:id="2113550725">
      <w:bodyDiv w:val="1"/>
      <w:marLeft w:val="0"/>
      <w:marRight w:val="0"/>
      <w:marTop w:val="0"/>
      <w:marBottom w:val="0"/>
      <w:divBdr>
        <w:top w:val="none" w:sz="0" w:space="0" w:color="auto"/>
        <w:left w:val="none" w:sz="0" w:space="0" w:color="auto"/>
        <w:bottom w:val="none" w:sz="0" w:space="0" w:color="auto"/>
        <w:right w:val="none" w:sz="0" w:space="0" w:color="auto"/>
      </w:divBdr>
    </w:div>
    <w:div w:id="2127383363">
      <w:bodyDiv w:val="1"/>
      <w:marLeft w:val="0"/>
      <w:marRight w:val="0"/>
      <w:marTop w:val="0"/>
      <w:marBottom w:val="0"/>
      <w:divBdr>
        <w:top w:val="none" w:sz="0" w:space="0" w:color="auto"/>
        <w:left w:val="none" w:sz="0" w:space="0" w:color="auto"/>
        <w:bottom w:val="none" w:sz="0" w:space="0" w:color="auto"/>
        <w:right w:val="none" w:sz="0" w:space="0" w:color="auto"/>
      </w:divBdr>
    </w:div>
    <w:div w:id="2133161696">
      <w:bodyDiv w:val="1"/>
      <w:marLeft w:val="0"/>
      <w:marRight w:val="0"/>
      <w:marTop w:val="0"/>
      <w:marBottom w:val="0"/>
      <w:divBdr>
        <w:top w:val="none" w:sz="0" w:space="0" w:color="auto"/>
        <w:left w:val="none" w:sz="0" w:space="0" w:color="auto"/>
        <w:bottom w:val="none" w:sz="0" w:space="0" w:color="auto"/>
        <w:right w:val="none" w:sz="0" w:space="0" w:color="auto"/>
      </w:divBdr>
    </w:div>
    <w:div w:id="2135053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PCM_ElouizeS\Desktop\New%20templates%20-%20rebranded\Project%20templates\Technical%20report%20template_Rev%20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7f281c7-9b34-4e40-b7de-7e28bea300d5">
      <Terms xmlns="http://schemas.microsoft.com/office/infopath/2007/PartnerControls"/>
    </lcf76f155ced4ddcb4097134ff3c332f>
    <TaxCatchAll xmlns="a031a640-dda1-4209-8080-1eabdee46a4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B52B92777A9A14FA83C9DAED8A7BB6B" ma:contentTypeVersion="13" ma:contentTypeDescription="Create a new document." ma:contentTypeScope="" ma:versionID="31bb8d282d0770761d389739855a8602">
  <xsd:schema xmlns:xsd="http://www.w3.org/2001/XMLSchema" xmlns:xs="http://www.w3.org/2001/XMLSchema" xmlns:p="http://schemas.microsoft.com/office/2006/metadata/properties" xmlns:ns2="c7f281c7-9b34-4e40-b7de-7e28bea300d5" xmlns:ns3="a031a640-dda1-4209-8080-1eabdee46a46" xmlns:ns4="0c80f9f7-f1fe-460a-928b-636ff38fdc0d" targetNamespace="http://schemas.microsoft.com/office/2006/metadata/properties" ma:root="true" ma:fieldsID="d4e10ee6aa14eeda7996405a6fff690e" ns2:_="" ns3:_="" ns4:_="">
    <xsd:import namespace="c7f281c7-9b34-4e40-b7de-7e28bea300d5"/>
    <xsd:import namespace="a031a640-dda1-4209-8080-1eabdee46a46"/>
    <xsd:import namespace="0c80f9f7-f1fe-460a-928b-636ff38fdc0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4:SharedWithUsers" minOccurs="0"/>
                <xsd:element ref="ns4: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f281c7-9b34-4e40-b7de-7e28bea300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0c2a75db-9b85-4dd9-b3ea-af0f0506f882"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31a640-dda1-4209-8080-1eabdee46a4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adb3d60-74dd-48bb-bd7b-170491615045}" ma:internalName="TaxCatchAll" ma:showField="CatchAllData" ma:web="a031a640-dda1-4209-8080-1eabdee46a4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c80f9f7-f1fe-460a-928b-636ff38fdc0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8FA41F-96D4-4D5F-8BF7-2B01F40DFBAD}">
  <ds:schemaRefs>
    <ds:schemaRef ds:uri="http://schemas.microsoft.com/office/2006/metadata/properties"/>
    <ds:schemaRef ds:uri="http://schemas.microsoft.com/office/infopath/2007/PartnerControls"/>
    <ds:schemaRef ds:uri="c7f281c7-9b34-4e40-b7de-7e28bea300d5"/>
    <ds:schemaRef ds:uri="a031a640-dda1-4209-8080-1eabdee46a46"/>
  </ds:schemaRefs>
</ds:datastoreItem>
</file>

<file path=customXml/itemProps2.xml><?xml version="1.0" encoding="utf-8"?>
<ds:datastoreItem xmlns:ds="http://schemas.openxmlformats.org/officeDocument/2006/customXml" ds:itemID="{09C9D11B-1728-4922-8093-F690C6DA39E5}">
  <ds:schemaRefs>
    <ds:schemaRef ds:uri="http://schemas.openxmlformats.org/officeDocument/2006/bibliography"/>
  </ds:schemaRefs>
</ds:datastoreItem>
</file>

<file path=customXml/itemProps3.xml><?xml version="1.0" encoding="utf-8"?>
<ds:datastoreItem xmlns:ds="http://schemas.openxmlformats.org/officeDocument/2006/customXml" ds:itemID="{42A5F0AF-3FC3-4BB7-903A-788ED42007C4}">
  <ds:schemaRefs>
    <ds:schemaRef ds:uri="http://schemas.microsoft.com/sharepoint/v3/contenttype/forms"/>
  </ds:schemaRefs>
</ds:datastoreItem>
</file>

<file path=customXml/itemProps4.xml><?xml version="1.0" encoding="utf-8"?>
<ds:datastoreItem xmlns:ds="http://schemas.openxmlformats.org/officeDocument/2006/customXml" ds:itemID="{8514BB4B-0260-49BF-AD23-5404EF9950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f281c7-9b34-4e40-b7de-7e28bea300d5"/>
    <ds:schemaRef ds:uri="a031a640-dda1-4209-8080-1eabdee46a46"/>
    <ds:schemaRef ds:uri="0c80f9f7-f1fe-460a-928b-636ff38fdc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Technical report template_Rev 2</Template>
  <TotalTime>17</TotalTime>
  <Pages>11</Pages>
  <Words>4442</Words>
  <Characters>25323</Characters>
  <Application>Microsoft Office Word</Application>
  <DocSecurity>0</DocSecurity>
  <Lines>211</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29706</CharactersWithSpaces>
  <SharedDoc>false</SharedDoc>
  <HLinks>
    <vt:vector size="678" baseType="variant">
      <vt:variant>
        <vt:i4>4718630</vt:i4>
      </vt:variant>
      <vt:variant>
        <vt:i4>667</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_Toc141374702</vt:lpwstr>
      </vt:variant>
      <vt:variant>
        <vt:i4>4718630</vt:i4>
      </vt:variant>
      <vt:variant>
        <vt:i4>661</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_Toc141374701</vt:lpwstr>
      </vt:variant>
      <vt:variant>
        <vt:i4>4718630</vt:i4>
      </vt:variant>
      <vt:variant>
        <vt:i4>655</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_Toc141374700</vt:lpwstr>
      </vt:variant>
      <vt:variant>
        <vt:i4>4259879</vt:i4>
      </vt:variant>
      <vt:variant>
        <vt:i4>649</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_Toc141374699</vt:lpwstr>
      </vt:variant>
      <vt:variant>
        <vt:i4>4259879</vt:i4>
      </vt:variant>
      <vt:variant>
        <vt:i4>643</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_Toc141374698</vt:lpwstr>
      </vt:variant>
      <vt:variant>
        <vt:i4>4259879</vt:i4>
      </vt:variant>
      <vt:variant>
        <vt:i4>637</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_Toc141374697</vt:lpwstr>
      </vt:variant>
      <vt:variant>
        <vt:i4>4259879</vt:i4>
      </vt:variant>
      <vt:variant>
        <vt:i4>631</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_Toc141374696</vt:lpwstr>
      </vt:variant>
      <vt:variant>
        <vt:i4>4259879</vt:i4>
      </vt:variant>
      <vt:variant>
        <vt:i4>625</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_Toc141374695</vt:lpwstr>
      </vt:variant>
      <vt:variant>
        <vt:i4>4259879</vt:i4>
      </vt:variant>
      <vt:variant>
        <vt:i4>619</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_Toc141374694</vt:lpwstr>
      </vt:variant>
      <vt:variant>
        <vt:i4>4259879</vt:i4>
      </vt:variant>
      <vt:variant>
        <vt:i4>613</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_Toc141374693</vt:lpwstr>
      </vt:variant>
      <vt:variant>
        <vt:i4>4259879</vt:i4>
      </vt:variant>
      <vt:variant>
        <vt:i4>607</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_Toc141374692</vt:lpwstr>
      </vt:variant>
      <vt:variant>
        <vt:i4>4259879</vt:i4>
      </vt:variant>
      <vt:variant>
        <vt:i4>601</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_Toc141374691</vt:lpwstr>
      </vt:variant>
      <vt:variant>
        <vt:i4>4259879</vt:i4>
      </vt:variant>
      <vt:variant>
        <vt:i4>595</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_Toc141374690</vt:lpwstr>
      </vt:variant>
      <vt:variant>
        <vt:i4>4194343</vt:i4>
      </vt:variant>
      <vt:variant>
        <vt:i4>589</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_Toc141374689</vt:lpwstr>
      </vt:variant>
      <vt:variant>
        <vt:i4>4194343</vt:i4>
      </vt:variant>
      <vt:variant>
        <vt:i4>583</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_Toc141374688</vt:lpwstr>
      </vt:variant>
      <vt:variant>
        <vt:i4>4194343</vt:i4>
      </vt:variant>
      <vt:variant>
        <vt:i4>577</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_Toc141374687</vt:lpwstr>
      </vt:variant>
      <vt:variant>
        <vt:i4>1835057</vt:i4>
      </vt:variant>
      <vt:variant>
        <vt:i4>571</vt:i4>
      </vt:variant>
      <vt:variant>
        <vt:i4>0</vt:i4>
      </vt:variant>
      <vt:variant>
        <vt:i4>5</vt:i4>
      </vt:variant>
      <vt:variant>
        <vt:lpwstr/>
      </vt:variant>
      <vt:variant>
        <vt:lpwstr>_Toc141374686</vt:lpwstr>
      </vt:variant>
      <vt:variant>
        <vt:i4>4194343</vt:i4>
      </vt:variant>
      <vt:variant>
        <vt:i4>565</vt:i4>
      </vt:variant>
      <vt:variant>
        <vt:i4>0</vt:i4>
      </vt:variant>
      <vt:variant>
        <vt:i4>5</vt:i4>
      </vt:variant>
      <vt:variant>
        <vt:lpwstr>https://d.docs.live.net/1275eff8b84d8388/02. Jade Projects/020. Mauritanie Zone de service hydrocarbures/03. WIP/7. Financial Analysis Report/20230724-ESZN - Financial analysis report (EN)- V3.docx</vt:lpwstr>
      </vt:variant>
      <vt:variant>
        <vt:lpwstr>_Toc141374685</vt:lpwstr>
      </vt:variant>
      <vt:variant>
        <vt:i4>1835057</vt:i4>
      </vt:variant>
      <vt:variant>
        <vt:i4>559</vt:i4>
      </vt:variant>
      <vt:variant>
        <vt:i4>0</vt:i4>
      </vt:variant>
      <vt:variant>
        <vt:i4>5</vt:i4>
      </vt:variant>
      <vt:variant>
        <vt:lpwstr/>
      </vt:variant>
      <vt:variant>
        <vt:lpwstr>_Toc141374684</vt:lpwstr>
      </vt:variant>
      <vt:variant>
        <vt:i4>1835057</vt:i4>
      </vt:variant>
      <vt:variant>
        <vt:i4>553</vt:i4>
      </vt:variant>
      <vt:variant>
        <vt:i4>0</vt:i4>
      </vt:variant>
      <vt:variant>
        <vt:i4>5</vt:i4>
      </vt:variant>
      <vt:variant>
        <vt:lpwstr/>
      </vt:variant>
      <vt:variant>
        <vt:lpwstr>_Toc141374683</vt:lpwstr>
      </vt:variant>
      <vt:variant>
        <vt:i4>1835057</vt:i4>
      </vt:variant>
      <vt:variant>
        <vt:i4>547</vt:i4>
      </vt:variant>
      <vt:variant>
        <vt:i4>0</vt:i4>
      </vt:variant>
      <vt:variant>
        <vt:i4>5</vt:i4>
      </vt:variant>
      <vt:variant>
        <vt:lpwstr/>
      </vt:variant>
      <vt:variant>
        <vt:lpwstr>_Toc141374682</vt:lpwstr>
      </vt:variant>
      <vt:variant>
        <vt:i4>1835057</vt:i4>
      </vt:variant>
      <vt:variant>
        <vt:i4>541</vt:i4>
      </vt:variant>
      <vt:variant>
        <vt:i4>0</vt:i4>
      </vt:variant>
      <vt:variant>
        <vt:i4>5</vt:i4>
      </vt:variant>
      <vt:variant>
        <vt:lpwstr/>
      </vt:variant>
      <vt:variant>
        <vt:lpwstr>_Toc141374681</vt:lpwstr>
      </vt:variant>
      <vt:variant>
        <vt:i4>1835057</vt:i4>
      </vt:variant>
      <vt:variant>
        <vt:i4>535</vt:i4>
      </vt:variant>
      <vt:variant>
        <vt:i4>0</vt:i4>
      </vt:variant>
      <vt:variant>
        <vt:i4>5</vt:i4>
      </vt:variant>
      <vt:variant>
        <vt:lpwstr/>
      </vt:variant>
      <vt:variant>
        <vt:lpwstr>_Toc141374680</vt:lpwstr>
      </vt:variant>
      <vt:variant>
        <vt:i4>1245233</vt:i4>
      </vt:variant>
      <vt:variant>
        <vt:i4>529</vt:i4>
      </vt:variant>
      <vt:variant>
        <vt:i4>0</vt:i4>
      </vt:variant>
      <vt:variant>
        <vt:i4>5</vt:i4>
      </vt:variant>
      <vt:variant>
        <vt:lpwstr/>
      </vt:variant>
      <vt:variant>
        <vt:lpwstr>_Toc141374679</vt:lpwstr>
      </vt:variant>
      <vt:variant>
        <vt:i4>1245233</vt:i4>
      </vt:variant>
      <vt:variant>
        <vt:i4>523</vt:i4>
      </vt:variant>
      <vt:variant>
        <vt:i4>0</vt:i4>
      </vt:variant>
      <vt:variant>
        <vt:i4>5</vt:i4>
      </vt:variant>
      <vt:variant>
        <vt:lpwstr/>
      </vt:variant>
      <vt:variant>
        <vt:lpwstr>_Toc141374678</vt:lpwstr>
      </vt:variant>
      <vt:variant>
        <vt:i4>1245233</vt:i4>
      </vt:variant>
      <vt:variant>
        <vt:i4>517</vt:i4>
      </vt:variant>
      <vt:variant>
        <vt:i4>0</vt:i4>
      </vt:variant>
      <vt:variant>
        <vt:i4>5</vt:i4>
      </vt:variant>
      <vt:variant>
        <vt:lpwstr/>
      </vt:variant>
      <vt:variant>
        <vt:lpwstr>_Toc141374677</vt:lpwstr>
      </vt:variant>
      <vt:variant>
        <vt:i4>1245233</vt:i4>
      </vt:variant>
      <vt:variant>
        <vt:i4>511</vt:i4>
      </vt:variant>
      <vt:variant>
        <vt:i4>0</vt:i4>
      </vt:variant>
      <vt:variant>
        <vt:i4>5</vt:i4>
      </vt:variant>
      <vt:variant>
        <vt:lpwstr/>
      </vt:variant>
      <vt:variant>
        <vt:lpwstr>_Toc141374676</vt:lpwstr>
      </vt:variant>
      <vt:variant>
        <vt:i4>1245233</vt:i4>
      </vt:variant>
      <vt:variant>
        <vt:i4>499</vt:i4>
      </vt:variant>
      <vt:variant>
        <vt:i4>0</vt:i4>
      </vt:variant>
      <vt:variant>
        <vt:i4>5</vt:i4>
      </vt:variant>
      <vt:variant>
        <vt:lpwstr/>
      </vt:variant>
      <vt:variant>
        <vt:lpwstr>_Toc141374675</vt:lpwstr>
      </vt:variant>
      <vt:variant>
        <vt:i4>1245233</vt:i4>
      </vt:variant>
      <vt:variant>
        <vt:i4>493</vt:i4>
      </vt:variant>
      <vt:variant>
        <vt:i4>0</vt:i4>
      </vt:variant>
      <vt:variant>
        <vt:i4>5</vt:i4>
      </vt:variant>
      <vt:variant>
        <vt:lpwstr/>
      </vt:variant>
      <vt:variant>
        <vt:lpwstr>_Toc141374674</vt:lpwstr>
      </vt:variant>
      <vt:variant>
        <vt:i4>1245233</vt:i4>
      </vt:variant>
      <vt:variant>
        <vt:i4>487</vt:i4>
      </vt:variant>
      <vt:variant>
        <vt:i4>0</vt:i4>
      </vt:variant>
      <vt:variant>
        <vt:i4>5</vt:i4>
      </vt:variant>
      <vt:variant>
        <vt:lpwstr/>
      </vt:variant>
      <vt:variant>
        <vt:lpwstr>_Toc141374673</vt:lpwstr>
      </vt:variant>
      <vt:variant>
        <vt:i4>1245233</vt:i4>
      </vt:variant>
      <vt:variant>
        <vt:i4>481</vt:i4>
      </vt:variant>
      <vt:variant>
        <vt:i4>0</vt:i4>
      </vt:variant>
      <vt:variant>
        <vt:i4>5</vt:i4>
      </vt:variant>
      <vt:variant>
        <vt:lpwstr/>
      </vt:variant>
      <vt:variant>
        <vt:lpwstr>_Toc141374672</vt:lpwstr>
      </vt:variant>
      <vt:variant>
        <vt:i4>1245233</vt:i4>
      </vt:variant>
      <vt:variant>
        <vt:i4>475</vt:i4>
      </vt:variant>
      <vt:variant>
        <vt:i4>0</vt:i4>
      </vt:variant>
      <vt:variant>
        <vt:i4>5</vt:i4>
      </vt:variant>
      <vt:variant>
        <vt:lpwstr/>
      </vt:variant>
      <vt:variant>
        <vt:lpwstr>_Toc141374671</vt:lpwstr>
      </vt:variant>
      <vt:variant>
        <vt:i4>1245233</vt:i4>
      </vt:variant>
      <vt:variant>
        <vt:i4>469</vt:i4>
      </vt:variant>
      <vt:variant>
        <vt:i4>0</vt:i4>
      </vt:variant>
      <vt:variant>
        <vt:i4>5</vt:i4>
      </vt:variant>
      <vt:variant>
        <vt:lpwstr/>
      </vt:variant>
      <vt:variant>
        <vt:lpwstr>_Toc141374670</vt:lpwstr>
      </vt:variant>
      <vt:variant>
        <vt:i4>1179697</vt:i4>
      </vt:variant>
      <vt:variant>
        <vt:i4>463</vt:i4>
      </vt:variant>
      <vt:variant>
        <vt:i4>0</vt:i4>
      </vt:variant>
      <vt:variant>
        <vt:i4>5</vt:i4>
      </vt:variant>
      <vt:variant>
        <vt:lpwstr/>
      </vt:variant>
      <vt:variant>
        <vt:lpwstr>_Toc141374669</vt:lpwstr>
      </vt:variant>
      <vt:variant>
        <vt:i4>1179697</vt:i4>
      </vt:variant>
      <vt:variant>
        <vt:i4>457</vt:i4>
      </vt:variant>
      <vt:variant>
        <vt:i4>0</vt:i4>
      </vt:variant>
      <vt:variant>
        <vt:i4>5</vt:i4>
      </vt:variant>
      <vt:variant>
        <vt:lpwstr/>
      </vt:variant>
      <vt:variant>
        <vt:lpwstr>_Toc141374668</vt:lpwstr>
      </vt:variant>
      <vt:variant>
        <vt:i4>1179697</vt:i4>
      </vt:variant>
      <vt:variant>
        <vt:i4>451</vt:i4>
      </vt:variant>
      <vt:variant>
        <vt:i4>0</vt:i4>
      </vt:variant>
      <vt:variant>
        <vt:i4>5</vt:i4>
      </vt:variant>
      <vt:variant>
        <vt:lpwstr/>
      </vt:variant>
      <vt:variant>
        <vt:lpwstr>_Toc141374667</vt:lpwstr>
      </vt:variant>
      <vt:variant>
        <vt:i4>1179697</vt:i4>
      </vt:variant>
      <vt:variant>
        <vt:i4>445</vt:i4>
      </vt:variant>
      <vt:variant>
        <vt:i4>0</vt:i4>
      </vt:variant>
      <vt:variant>
        <vt:i4>5</vt:i4>
      </vt:variant>
      <vt:variant>
        <vt:lpwstr/>
      </vt:variant>
      <vt:variant>
        <vt:lpwstr>_Toc141374666</vt:lpwstr>
      </vt:variant>
      <vt:variant>
        <vt:i4>1179697</vt:i4>
      </vt:variant>
      <vt:variant>
        <vt:i4>439</vt:i4>
      </vt:variant>
      <vt:variant>
        <vt:i4>0</vt:i4>
      </vt:variant>
      <vt:variant>
        <vt:i4>5</vt:i4>
      </vt:variant>
      <vt:variant>
        <vt:lpwstr/>
      </vt:variant>
      <vt:variant>
        <vt:lpwstr>_Toc141374665</vt:lpwstr>
      </vt:variant>
      <vt:variant>
        <vt:i4>1179697</vt:i4>
      </vt:variant>
      <vt:variant>
        <vt:i4>433</vt:i4>
      </vt:variant>
      <vt:variant>
        <vt:i4>0</vt:i4>
      </vt:variant>
      <vt:variant>
        <vt:i4>5</vt:i4>
      </vt:variant>
      <vt:variant>
        <vt:lpwstr/>
      </vt:variant>
      <vt:variant>
        <vt:lpwstr>_Toc141374664</vt:lpwstr>
      </vt:variant>
      <vt:variant>
        <vt:i4>1179697</vt:i4>
      </vt:variant>
      <vt:variant>
        <vt:i4>427</vt:i4>
      </vt:variant>
      <vt:variant>
        <vt:i4>0</vt:i4>
      </vt:variant>
      <vt:variant>
        <vt:i4>5</vt:i4>
      </vt:variant>
      <vt:variant>
        <vt:lpwstr/>
      </vt:variant>
      <vt:variant>
        <vt:lpwstr>_Toc141374663</vt:lpwstr>
      </vt:variant>
      <vt:variant>
        <vt:i4>1179697</vt:i4>
      </vt:variant>
      <vt:variant>
        <vt:i4>421</vt:i4>
      </vt:variant>
      <vt:variant>
        <vt:i4>0</vt:i4>
      </vt:variant>
      <vt:variant>
        <vt:i4>5</vt:i4>
      </vt:variant>
      <vt:variant>
        <vt:lpwstr/>
      </vt:variant>
      <vt:variant>
        <vt:lpwstr>_Toc141374662</vt:lpwstr>
      </vt:variant>
      <vt:variant>
        <vt:i4>1179697</vt:i4>
      </vt:variant>
      <vt:variant>
        <vt:i4>415</vt:i4>
      </vt:variant>
      <vt:variant>
        <vt:i4>0</vt:i4>
      </vt:variant>
      <vt:variant>
        <vt:i4>5</vt:i4>
      </vt:variant>
      <vt:variant>
        <vt:lpwstr/>
      </vt:variant>
      <vt:variant>
        <vt:lpwstr>_Toc141374661</vt:lpwstr>
      </vt:variant>
      <vt:variant>
        <vt:i4>1179697</vt:i4>
      </vt:variant>
      <vt:variant>
        <vt:i4>409</vt:i4>
      </vt:variant>
      <vt:variant>
        <vt:i4>0</vt:i4>
      </vt:variant>
      <vt:variant>
        <vt:i4>5</vt:i4>
      </vt:variant>
      <vt:variant>
        <vt:lpwstr/>
      </vt:variant>
      <vt:variant>
        <vt:lpwstr>_Toc141374660</vt:lpwstr>
      </vt:variant>
      <vt:variant>
        <vt:i4>1114161</vt:i4>
      </vt:variant>
      <vt:variant>
        <vt:i4>403</vt:i4>
      </vt:variant>
      <vt:variant>
        <vt:i4>0</vt:i4>
      </vt:variant>
      <vt:variant>
        <vt:i4>5</vt:i4>
      </vt:variant>
      <vt:variant>
        <vt:lpwstr/>
      </vt:variant>
      <vt:variant>
        <vt:lpwstr>_Toc141374659</vt:lpwstr>
      </vt:variant>
      <vt:variant>
        <vt:i4>1114161</vt:i4>
      </vt:variant>
      <vt:variant>
        <vt:i4>397</vt:i4>
      </vt:variant>
      <vt:variant>
        <vt:i4>0</vt:i4>
      </vt:variant>
      <vt:variant>
        <vt:i4>5</vt:i4>
      </vt:variant>
      <vt:variant>
        <vt:lpwstr/>
      </vt:variant>
      <vt:variant>
        <vt:lpwstr>_Toc141374658</vt:lpwstr>
      </vt:variant>
      <vt:variant>
        <vt:i4>1114161</vt:i4>
      </vt:variant>
      <vt:variant>
        <vt:i4>391</vt:i4>
      </vt:variant>
      <vt:variant>
        <vt:i4>0</vt:i4>
      </vt:variant>
      <vt:variant>
        <vt:i4>5</vt:i4>
      </vt:variant>
      <vt:variant>
        <vt:lpwstr/>
      </vt:variant>
      <vt:variant>
        <vt:lpwstr>_Toc141374657</vt:lpwstr>
      </vt:variant>
      <vt:variant>
        <vt:i4>1114161</vt:i4>
      </vt:variant>
      <vt:variant>
        <vt:i4>385</vt:i4>
      </vt:variant>
      <vt:variant>
        <vt:i4>0</vt:i4>
      </vt:variant>
      <vt:variant>
        <vt:i4>5</vt:i4>
      </vt:variant>
      <vt:variant>
        <vt:lpwstr/>
      </vt:variant>
      <vt:variant>
        <vt:lpwstr>_Toc141374656</vt:lpwstr>
      </vt:variant>
      <vt:variant>
        <vt:i4>1114161</vt:i4>
      </vt:variant>
      <vt:variant>
        <vt:i4>379</vt:i4>
      </vt:variant>
      <vt:variant>
        <vt:i4>0</vt:i4>
      </vt:variant>
      <vt:variant>
        <vt:i4>5</vt:i4>
      </vt:variant>
      <vt:variant>
        <vt:lpwstr/>
      </vt:variant>
      <vt:variant>
        <vt:lpwstr>_Toc141374655</vt:lpwstr>
      </vt:variant>
      <vt:variant>
        <vt:i4>1114161</vt:i4>
      </vt:variant>
      <vt:variant>
        <vt:i4>373</vt:i4>
      </vt:variant>
      <vt:variant>
        <vt:i4>0</vt:i4>
      </vt:variant>
      <vt:variant>
        <vt:i4>5</vt:i4>
      </vt:variant>
      <vt:variant>
        <vt:lpwstr/>
      </vt:variant>
      <vt:variant>
        <vt:lpwstr>_Toc141374654</vt:lpwstr>
      </vt:variant>
      <vt:variant>
        <vt:i4>1114161</vt:i4>
      </vt:variant>
      <vt:variant>
        <vt:i4>367</vt:i4>
      </vt:variant>
      <vt:variant>
        <vt:i4>0</vt:i4>
      </vt:variant>
      <vt:variant>
        <vt:i4>5</vt:i4>
      </vt:variant>
      <vt:variant>
        <vt:lpwstr/>
      </vt:variant>
      <vt:variant>
        <vt:lpwstr>_Toc141374653</vt:lpwstr>
      </vt:variant>
      <vt:variant>
        <vt:i4>1114161</vt:i4>
      </vt:variant>
      <vt:variant>
        <vt:i4>361</vt:i4>
      </vt:variant>
      <vt:variant>
        <vt:i4>0</vt:i4>
      </vt:variant>
      <vt:variant>
        <vt:i4>5</vt:i4>
      </vt:variant>
      <vt:variant>
        <vt:lpwstr/>
      </vt:variant>
      <vt:variant>
        <vt:lpwstr>_Toc141374652</vt:lpwstr>
      </vt:variant>
      <vt:variant>
        <vt:i4>1114161</vt:i4>
      </vt:variant>
      <vt:variant>
        <vt:i4>355</vt:i4>
      </vt:variant>
      <vt:variant>
        <vt:i4>0</vt:i4>
      </vt:variant>
      <vt:variant>
        <vt:i4>5</vt:i4>
      </vt:variant>
      <vt:variant>
        <vt:lpwstr/>
      </vt:variant>
      <vt:variant>
        <vt:lpwstr>_Toc141374651</vt:lpwstr>
      </vt:variant>
      <vt:variant>
        <vt:i4>1114161</vt:i4>
      </vt:variant>
      <vt:variant>
        <vt:i4>349</vt:i4>
      </vt:variant>
      <vt:variant>
        <vt:i4>0</vt:i4>
      </vt:variant>
      <vt:variant>
        <vt:i4>5</vt:i4>
      </vt:variant>
      <vt:variant>
        <vt:lpwstr/>
      </vt:variant>
      <vt:variant>
        <vt:lpwstr>_Toc141374650</vt:lpwstr>
      </vt:variant>
      <vt:variant>
        <vt:i4>1048625</vt:i4>
      </vt:variant>
      <vt:variant>
        <vt:i4>343</vt:i4>
      </vt:variant>
      <vt:variant>
        <vt:i4>0</vt:i4>
      </vt:variant>
      <vt:variant>
        <vt:i4>5</vt:i4>
      </vt:variant>
      <vt:variant>
        <vt:lpwstr/>
      </vt:variant>
      <vt:variant>
        <vt:lpwstr>_Toc141374649</vt:lpwstr>
      </vt:variant>
      <vt:variant>
        <vt:i4>1048625</vt:i4>
      </vt:variant>
      <vt:variant>
        <vt:i4>337</vt:i4>
      </vt:variant>
      <vt:variant>
        <vt:i4>0</vt:i4>
      </vt:variant>
      <vt:variant>
        <vt:i4>5</vt:i4>
      </vt:variant>
      <vt:variant>
        <vt:lpwstr/>
      </vt:variant>
      <vt:variant>
        <vt:lpwstr>_Toc141374648</vt:lpwstr>
      </vt:variant>
      <vt:variant>
        <vt:i4>1048625</vt:i4>
      </vt:variant>
      <vt:variant>
        <vt:i4>331</vt:i4>
      </vt:variant>
      <vt:variant>
        <vt:i4>0</vt:i4>
      </vt:variant>
      <vt:variant>
        <vt:i4>5</vt:i4>
      </vt:variant>
      <vt:variant>
        <vt:lpwstr/>
      </vt:variant>
      <vt:variant>
        <vt:lpwstr>_Toc141374647</vt:lpwstr>
      </vt:variant>
      <vt:variant>
        <vt:i4>1048625</vt:i4>
      </vt:variant>
      <vt:variant>
        <vt:i4>325</vt:i4>
      </vt:variant>
      <vt:variant>
        <vt:i4>0</vt:i4>
      </vt:variant>
      <vt:variant>
        <vt:i4>5</vt:i4>
      </vt:variant>
      <vt:variant>
        <vt:lpwstr/>
      </vt:variant>
      <vt:variant>
        <vt:lpwstr>_Toc141374646</vt:lpwstr>
      </vt:variant>
      <vt:variant>
        <vt:i4>1048625</vt:i4>
      </vt:variant>
      <vt:variant>
        <vt:i4>319</vt:i4>
      </vt:variant>
      <vt:variant>
        <vt:i4>0</vt:i4>
      </vt:variant>
      <vt:variant>
        <vt:i4>5</vt:i4>
      </vt:variant>
      <vt:variant>
        <vt:lpwstr/>
      </vt:variant>
      <vt:variant>
        <vt:lpwstr>_Toc141374645</vt:lpwstr>
      </vt:variant>
      <vt:variant>
        <vt:i4>1048625</vt:i4>
      </vt:variant>
      <vt:variant>
        <vt:i4>313</vt:i4>
      </vt:variant>
      <vt:variant>
        <vt:i4>0</vt:i4>
      </vt:variant>
      <vt:variant>
        <vt:i4>5</vt:i4>
      </vt:variant>
      <vt:variant>
        <vt:lpwstr/>
      </vt:variant>
      <vt:variant>
        <vt:lpwstr>_Toc141374644</vt:lpwstr>
      </vt:variant>
      <vt:variant>
        <vt:i4>1048625</vt:i4>
      </vt:variant>
      <vt:variant>
        <vt:i4>307</vt:i4>
      </vt:variant>
      <vt:variant>
        <vt:i4>0</vt:i4>
      </vt:variant>
      <vt:variant>
        <vt:i4>5</vt:i4>
      </vt:variant>
      <vt:variant>
        <vt:lpwstr/>
      </vt:variant>
      <vt:variant>
        <vt:lpwstr>_Toc141374643</vt:lpwstr>
      </vt:variant>
      <vt:variant>
        <vt:i4>1245239</vt:i4>
      </vt:variant>
      <vt:variant>
        <vt:i4>298</vt:i4>
      </vt:variant>
      <vt:variant>
        <vt:i4>0</vt:i4>
      </vt:variant>
      <vt:variant>
        <vt:i4>5</vt:i4>
      </vt:variant>
      <vt:variant>
        <vt:lpwstr/>
      </vt:variant>
      <vt:variant>
        <vt:lpwstr>_Toc141373006</vt:lpwstr>
      </vt:variant>
      <vt:variant>
        <vt:i4>1245239</vt:i4>
      </vt:variant>
      <vt:variant>
        <vt:i4>292</vt:i4>
      </vt:variant>
      <vt:variant>
        <vt:i4>0</vt:i4>
      </vt:variant>
      <vt:variant>
        <vt:i4>5</vt:i4>
      </vt:variant>
      <vt:variant>
        <vt:lpwstr/>
      </vt:variant>
      <vt:variant>
        <vt:lpwstr>_Toc141373005</vt:lpwstr>
      </vt:variant>
      <vt:variant>
        <vt:i4>1245239</vt:i4>
      </vt:variant>
      <vt:variant>
        <vt:i4>286</vt:i4>
      </vt:variant>
      <vt:variant>
        <vt:i4>0</vt:i4>
      </vt:variant>
      <vt:variant>
        <vt:i4>5</vt:i4>
      </vt:variant>
      <vt:variant>
        <vt:lpwstr/>
      </vt:variant>
      <vt:variant>
        <vt:lpwstr>_Toc141373004</vt:lpwstr>
      </vt:variant>
      <vt:variant>
        <vt:i4>1245239</vt:i4>
      </vt:variant>
      <vt:variant>
        <vt:i4>280</vt:i4>
      </vt:variant>
      <vt:variant>
        <vt:i4>0</vt:i4>
      </vt:variant>
      <vt:variant>
        <vt:i4>5</vt:i4>
      </vt:variant>
      <vt:variant>
        <vt:lpwstr/>
      </vt:variant>
      <vt:variant>
        <vt:lpwstr>_Toc141373003</vt:lpwstr>
      </vt:variant>
      <vt:variant>
        <vt:i4>1245239</vt:i4>
      </vt:variant>
      <vt:variant>
        <vt:i4>274</vt:i4>
      </vt:variant>
      <vt:variant>
        <vt:i4>0</vt:i4>
      </vt:variant>
      <vt:variant>
        <vt:i4>5</vt:i4>
      </vt:variant>
      <vt:variant>
        <vt:lpwstr/>
      </vt:variant>
      <vt:variant>
        <vt:lpwstr>_Toc141373002</vt:lpwstr>
      </vt:variant>
      <vt:variant>
        <vt:i4>1245239</vt:i4>
      </vt:variant>
      <vt:variant>
        <vt:i4>268</vt:i4>
      </vt:variant>
      <vt:variant>
        <vt:i4>0</vt:i4>
      </vt:variant>
      <vt:variant>
        <vt:i4>5</vt:i4>
      </vt:variant>
      <vt:variant>
        <vt:lpwstr/>
      </vt:variant>
      <vt:variant>
        <vt:lpwstr>_Toc141373001</vt:lpwstr>
      </vt:variant>
      <vt:variant>
        <vt:i4>1245239</vt:i4>
      </vt:variant>
      <vt:variant>
        <vt:i4>262</vt:i4>
      </vt:variant>
      <vt:variant>
        <vt:i4>0</vt:i4>
      </vt:variant>
      <vt:variant>
        <vt:i4>5</vt:i4>
      </vt:variant>
      <vt:variant>
        <vt:lpwstr/>
      </vt:variant>
      <vt:variant>
        <vt:lpwstr>_Toc141373000</vt:lpwstr>
      </vt:variant>
      <vt:variant>
        <vt:i4>1769534</vt:i4>
      </vt:variant>
      <vt:variant>
        <vt:i4>256</vt:i4>
      </vt:variant>
      <vt:variant>
        <vt:i4>0</vt:i4>
      </vt:variant>
      <vt:variant>
        <vt:i4>5</vt:i4>
      </vt:variant>
      <vt:variant>
        <vt:lpwstr/>
      </vt:variant>
      <vt:variant>
        <vt:lpwstr>_Toc141372999</vt:lpwstr>
      </vt:variant>
      <vt:variant>
        <vt:i4>1769534</vt:i4>
      </vt:variant>
      <vt:variant>
        <vt:i4>250</vt:i4>
      </vt:variant>
      <vt:variant>
        <vt:i4>0</vt:i4>
      </vt:variant>
      <vt:variant>
        <vt:i4>5</vt:i4>
      </vt:variant>
      <vt:variant>
        <vt:lpwstr/>
      </vt:variant>
      <vt:variant>
        <vt:lpwstr>_Toc141372998</vt:lpwstr>
      </vt:variant>
      <vt:variant>
        <vt:i4>1769534</vt:i4>
      </vt:variant>
      <vt:variant>
        <vt:i4>244</vt:i4>
      </vt:variant>
      <vt:variant>
        <vt:i4>0</vt:i4>
      </vt:variant>
      <vt:variant>
        <vt:i4>5</vt:i4>
      </vt:variant>
      <vt:variant>
        <vt:lpwstr/>
      </vt:variant>
      <vt:variant>
        <vt:lpwstr>_Toc141372997</vt:lpwstr>
      </vt:variant>
      <vt:variant>
        <vt:i4>1769534</vt:i4>
      </vt:variant>
      <vt:variant>
        <vt:i4>238</vt:i4>
      </vt:variant>
      <vt:variant>
        <vt:i4>0</vt:i4>
      </vt:variant>
      <vt:variant>
        <vt:i4>5</vt:i4>
      </vt:variant>
      <vt:variant>
        <vt:lpwstr/>
      </vt:variant>
      <vt:variant>
        <vt:lpwstr>_Toc141372996</vt:lpwstr>
      </vt:variant>
      <vt:variant>
        <vt:i4>1769534</vt:i4>
      </vt:variant>
      <vt:variant>
        <vt:i4>232</vt:i4>
      </vt:variant>
      <vt:variant>
        <vt:i4>0</vt:i4>
      </vt:variant>
      <vt:variant>
        <vt:i4>5</vt:i4>
      </vt:variant>
      <vt:variant>
        <vt:lpwstr/>
      </vt:variant>
      <vt:variant>
        <vt:lpwstr>_Toc141372995</vt:lpwstr>
      </vt:variant>
      <vt:variant>
        <vt:i4>1769534</vt:i4>
      </vt:variant>
      <vt:variant>
        <vt:i4>226</vt:i4>
      </vt:variant>
      <vt:variant>
        <vt:i4>0</vt:i4>
      </vt:variant>
      <vt:variant>
        <vt:i4>5</vt:i4>
      </vt:variant>
      <vt:variant>
        <vt:lpwstr/>
      </vt:variant>
      <vt:variant>
        <vt:lpwstr>_Toc141372994</vt:lpwstr>
      </vt:variant>
      <vt:variant>
        <vt:i4>1769534</vt:i4>
      </vt:variant>
      <vt:variant>
        <vt:i4>220</vt:i4>
      </vt:variant>
      <vt:variant>
        <vt:i4>0</vt:i4>
      </vt:variant>
      <vt:variant>
        <vt:i4>5</vt:i4>
      </vt:variant>
      <vt:variant>
        <vt:lpwstr/>
      </vt:variant>
      <vt:variant>
        <vt:lpwstr>_Toc141372993</vt:lpwstr>
      </vt:variant>
      <vt:variant>
        <vt:i4>1769534</vt:i4>
      </vt:variant>
      <vt:variant>
        <vt:i4>214</vt:i4>
      </vt:variant>
      <vt:variant>
        <vt:i4>0</vt:i4>
      </vt:variant>
      <vt:variant>
        <vt:i4>5</vt:i4>
      </vt:variant>
      <vt:variant>
        <vt:lpwstr/>
      </vt:variant>
      <vt:variant>
        <vt:lpwstr>_Toc141372992</vt:lpwstr>
      </vt:variant>
      <vt:variant>
        <vt:i4>1769534</vt:i4>
      </vt:variant>
      <vt:variant>
        <vt:i4>208</vt:i4>
      </vt:variant>
      <vt:variant>
        <vt:i4>0</vt:i4>
      </vt:variant>
      <vt:variant>
        <vt:i4>5</vt:i4>
      </vt:variant>
      <vt:variant>
        <vt:lpwstr/>
      </vt:variant>
      <vt:variant>
        <vt:lpwstr>_Toc141372991</vt:lpwstr>
      </vt:variant>
      <vt:variant>
        <vt:i4>1769534</vt:i4>
      </vt:variant>
      <vt:variant>
        <vt:i4>202</vt:i4>
      </vt:variant>
      <vt:variant>
        <vt:i4>0</vt:i4>
      </vt:variant>
      <vt:variant>
        <vt:i4>5</vt:i4>
      </vt:variant>
      <vt:variant>
        <vt:lpwstr/>
      </vt:variant>
      <vt:variant>
        <vt:lpwstr>_Toc141372990</vt:lpwstr>
      </vt:variant>
      <vt:variant>
        <vt:i4>1703998</vt:i4>
      </vt:variant>
      <vt:variant>
        <vt:i4>196</vt:i4>
      </vt:variant>
      <vt:variant>
        <vt:i4>0</vt:i4>
      </vt:variant>
      <vt:variant>
        <vt:i4>5</vt:i4>
      </vt:variant>
      <vt:variant>
        <vt:lpwstr/>
      </vt:variant>
      <vt:variant>
        <vt:lpwstr>_Toc141372989</vt:lpwstr>
      </vt:variant>
      <vt:variant>
        <vt:i4>1703998</vt:i4>
      </vt:variant>
      <vt:variant>
        <vt:i4>190</vt:i4>
      </vt:variant>
      <vt:variant>
        <vt:i4>0</vt:i4>
      </vt:variant>
      <vt:variant>
        <vt:i4>5</vt:i4>
      </vt:variant>
      <vt:variant>
        <vt:lpwstr/>
      </vt:variant>
      <vt:variant>
        <vt:lpwstr>_Toc141372988</vt:lpwstr>
      </vt:variant>
      <vt:variant>
        <vt:i4>1703998</vt:i4>
      </vt:variant>
      <vt:variant>
        <vt:i4>184</vt:i4>
      </vt:variant>
      <vt:variant>
        <vt:i4>0</vt:i4>
      </vt:variant>
      <vt:variant>
        <vt:i4>5</vt:i4>
      </vt:variant>
      <vt:variant>
        <vt:lpwstr/>
      </vt:variant>
      <vt:variant>
        <vt:lpwstr>_Toc141372987</vt:lpwstr>
      </vt:variant>
      <vt:variant>
        <vt:i4>1703998</vt:i4>
      </vt:variant>
      <vt:variant>
        <vt:i4>178</vt:i4>
      </vt:variant>
      <vt:variant>
        <vt:i4>0</vt:i4>
      </vt:variant>
      <vt:variant>
        <vt:i4>5</vt:i4>
      </vt:variant>
      <vt:variant>
        <vt:lpwstr/>
      </vt:variant>
      <vt:variant>
        <vt:lpwstr>_Toc141372986</vt:lpwstr>
      </vt:variant>
      <vt:variant>
        <vt:i4>1703998</vt:i4>
      </vt:variant>
      <vt:variant>
        <vt:i4>172</vt:i4>
      </vt:variant>
      <vt:variant>
        <vt:i4>0</vt:i4>
      </vt:variant>
      <vt:variant>
        <vt:i4>5</vt:i4>
      </vt:variant>
      <vt:variant>
        <vt:lpwstr/>
      </vt:variant>
      <vt:variant>
        <vt:lpwstr>_Toc141372985</vt:lpwstr>
      </vt:variant>
      <vt:variant>
        <vt:i4>1703998</vt:i4>
      </vt:variant>
      <vt:variant>
        <vt:i4>166</vt:i4>
      </vt:variant>
      <vt:variant>
        <vt:i4>0</vt:i4>
      </vt:variant>
      <vt:variant>
        <vt:i4>5</vt:i4>
      </vt:variant>
      <vt:variant>
        <vt:lpwstr/>
      </vt:variant>
      <vt:variant>
        <vt:lpwstr>_Toc141372984</vt:lpwstr>
      </vt:variant>
      <vt:variant>
        <vt:i4>1703998</vt:i4>
      </vt:variant>
      <vt:variant>
        <vt:i4>160</vt:i4>
      </vt:variant>
      <vt:variant>
        <vt:i4>0</vt:i4>
      </vt:variant>
      <vt:variant>
        <vt:i4>5</vt:i4>
      </vt:variant>
      <vt:variant>
        <vt:lpwstr/>
      </vt:variant>
      <vt:variant>
        <vt:lpwstr>_Toc141372983</vt:lpwstr>
      </vt:variant>
      <vt:variant>
        <vt:i4>1703998</vt:i4>
      </vt:variant>
      <vt:variant>
        <vt:i4>154</vt:i4>
      </vt:variant>
      <vt:variant>
        <vt:i4>0</vt:i4>
      </vt:variant>
      <vt:variant>
        <vt:i4>5</vt:i4>
      </vt:variant>
      <vt:variant>
        <vt:lpwstr/>
      </vt:variant>
      <vt:variant>
        <vt:lpwstr>_Toc141372982</vt:lpwstr>
      </vt:variant>
      <vt:variant>
        <vt:i4>1703998</vt:i4>
      </vt:variant>
      <vt:variant>
        <vt:i4>148</vt:i4>
      </vt:variant>
      <vt:variant>
        <vt:i4>0</vt:i4>
      </vt:variant>
      <vt:variant>
        <vt:i4>5</vt:i4>
      </vt:variant>
      <vt:variant>
        <vt:lpwstr/>
      </vt:variant>
      <vt:variant>
        <vt:lpwstr>_Toc141372981</vt:lpwstr>
      </vt:variant>
      <vt:variant>
        <vt:i4>1703998</vt:i4>
      </vt:variant>
      <vt:variant>
        <vt:i4>142</vt:i4>
      </vt:variant>
      <vt:variant>
        <vt:i4>0</vt:i4>
      </vt:variant>
      <vt:variant>
        <vt:i4>5</vt:i4>
      </vt:variant>
      <vt:variant>
        <vt:lpwstr/>
      </vt:variant>
      <vt:variant>
        <vt:lpwstr>_Toc141372980</vt:lpwstr>
      </vt:variant>
      <vt:variant>
        <vt:i4>1376318</vt:i4>
      </vt:variant>
      <vt:variant>
        <vt:i4>136</vt:i4>
      </vt:variant>
      <vt:variant>
        <vt:i4>0</vt:i4>
      </vt:variant>
      <vt:variant>
        <vt:i4>5</vt:i4>
      </vt:variant>
      <vt:variant>
        <vt:lpwstr/>
      </vt:variant>
      <vt:variant>
        <vt:lpwstr>_Toc141372979</vt:lpwstr>
      </vt:variant>
      <vt:variant>
        <vt:i4>1376318</vt:i4>
      </vt:variant>
      <vt:variant>
        <vt:i4>130</vt:i4>
      </vt:variant>
      <vt:variant>
        <vt:i4>0</vt:i4>
      </vt:variant>
      <vt:variant>
        <vt:i4>5</vt:i4>
      </vt:variant>
      <vt:variant>
        <vt:lpwstr/>
      </vt:variant>
      <vt:variant>
        <vt:lpwstr>_Toc141372978</vt:lpwstr>
      </vt:variant>
      <vt:variant>
        <vt:i4>1376318</vt:i4>
      </vt:variant>
      <vt:variant>
        <vt:i4>124</vt:i4>
      </vt:variant>
      <vt:variant>
        <vt:i4>0</vt:i4>
      </vt:variant>
      <vt:variant>
        <vt:i4>5</vt:i4>
      </vt:variant>
      <vt:variant>
        <vt:lpwstr/>
      </vt:variant>
      <vt:variant>
        <vt:lpwstr>_Toc141372977</vt:lpwstr>
      </vt:variant>
      <vt:variant>
        <vt:i4>1376318</vt:i4>
      </vt:variant>
      <vt:variant>
        <vt:i4>118</vt:i4>
      </vt:variant>
      <vt:variant>
        <vt:i4>0</vt:i4>
      </vt:variant>
      <vt:variant>
        <vt:i4>5</vt:i4>
      </vt:variant>
      <vt:variant>
        <vt:lpwstr/>
      </vt:variant>
      <vt:variant>
        <vt:lpwstr>_Toc141372976</vt:lpwstr>
      </vt:variant>
      <vt:variant>
        <vt:i4>1376318</vt:i4>
      </vt:variant>
      <vt:variant>
        <vt:i4>112</vt:i4>
      </vt:variant>
      <vt:variant>
        <vt:i4>0</vt:i4>
      </vt:variant>
      <vt:variant>
        <vt:i4>5</vt:i4>
      </vt:variant>
      <vt:variant>
        <vt:lpwstr/>
      </vt:variant>
      <vt:variant>
        <vt:lpwstr>_Toc141372975</vt:lpwstr>
      </vt:variant>
      <vt:variant>
        <vt:i4>1376318</vt:i4>
      </vt:variant>
      <vt:variant>
        <vt:i4>106</vt:i4>
      </vt:variant>
      <vt:variant>
        <vt:i4>0</vt:i4>
      </vt:variant>
      <vt:variant>
        <vt:i4>5</vt:i4>
      </vt:variant>
      <vt:variant>
        <vt:lpwstr/>
      </vt:variant>
      <vt:variant>
        <vt:lpwstr>_Toc141372974</vt:lpwstr>
      </vt:variant>
      <vt:variant>
        <vt:i4>1376318</vt:i4>
      </vt:variant>
      <vt:variant>
        <vt:i4>100</vt:i4>
      </vt:variant>
      <vt:variant>
        <vt:i4>0</vt:i4>
      </vt:variant>
      <vt:variant>
        <vt:i4>5</vt:i4>
      </vt:variant>
      <vt:variant>
        <vt:lpwstr/>
      </vt:variant>
      <vt:variant>
        <vt:lpwstr>_Toc141372973</vt:lpwstr>
      </vt:variant>
      <vt:variant>
        <vt:i4>1376318</vt:i4>
      </vt:variant>
      <vt:variant>
        <vt:i4>94</vt:i4>
      </vt:variant>
      <vt:variant>
        <vt:i4>0</vt:i4>
      </vt:variant>
      <vt:variant>
        <vt:i4>5</vt:i4>
      </vt:variant>
      <vt:variant>
        <vt:lpwstr/>
      </vt:variant>
      <vt:variant>
        <vt:lpwstr>_Toc141372972</vt:lpwstr>
      </vt:variant>
      <vt:variant>
        <vt:i4>1376318</vt:i4>
      </vt:variant>
      <vt:variant>
        <vt:i4>88</vt:i4>
      </vt:variant>
      <vt:variant>
        <vt:i4>0</vt:i4>
      </vt:variant>
      <vt:variant>
        <vt:i4>5</vt:i4>
      </vt:variant>
      <vt:variant>
        <vt:lpwstr/>
      </vt:variant>
      <vt:variant>
        <vt:lpwstr>_Toc141372971</vt:lpwstr>
      </vt:variant>
      <vt:variant>
        <vt:i4>1376318</vt:i4>
      </vt:variant>
      <vt:variant>
        <vt:i4>82</vt:i4>
      </vt:variant>
      <vt:variant>
        <vt:i4>0</vt:i4>
      </vt:variant>
      <vt:variant>
        <vt:i4>5</vt:i4>
      </vt:variant>
      <vt:variant>
        <vt:lpwstr/>
      </vt:variant>
      <vt:variant>
        <vt:lpwstr>_Toc141372970</vt:lpwstr>
      </vt:variant>
      <vt:variant>
        <vt:i4>1310782</vt:i4>
      </vt:variant>
      <vt:variant>
        <vt:i4>76</vt:i4>
      </vt:variant>
      <vt:variant>
        <vt:i4>0</vt:i4>
      </vt:variant>
      <vt:variant>
        <vt:i4>5</vt:i4>
      </vt:variant>
      <vt:variant>
        <vt:lpwstr/>
      </vt:variant>
      <vt:variant>
        <vt:lpwstr>_Toc141372969</vt:lpwstr>
      </vt:variant>
      <vt:variant>
        <vt:i4>1310782</vt:i4>
      </vt:variant>
      <vt:variant>
        <vt:i4>70</vt:i4>
      </vt:variant>
      <vt:variant>
        <vt:i4>0</vt:i4>
      </vt:variant>
      <vt:variant>
        <vt:i4>5</vt:i4>
      </vt:variant>
      <vt:variant>
        <vt:lpwstr/>
      </vt:variant>
      <vt:variant>
        <vt:lpwstr>_Toc141372968</vt:lpwstr>
      </vt:variant>
      <vt:variant>
        <vt:i4>1310782</vt:i4>
      </vt:variant>
      <vt:variant>
        <vt:i4>64</vt:i4>
      </vt:variant>
      <vt:variant>
        <vt:i4>0</vt:i4>
      </vt:variant>
      <vt:variant>
        <vt:i4>5</vt:i4>
      </vt:variant>
      <vt:variant>
        <vt:lpwstr/>
      </vt:variant>
      <vt:variant>
        <vt:lpwstr>_Toc141372967</vt:lpwstr>
      </vt:variant>
      <vt:variant>
        <vt:i4>1310782</vt:i4>
      </vt:variant>
      <vt:variant>
        <vt:i4>58</vt:i4>
      </vt:variant>
      <vt:variant>
        <vt:i4>0</vt:i4>
      </vt:variant>
      <vt:variant>
        <vt:i4>5</vt:i4>
      </vt:variant>
      <vt:variant>
        <vt:lpwstr/>
      </vt:variant>
      <vt:variant>
        <vt:lpwstr>_Toc141372966</vt:lpwstr>
      </vt:variant>
      <vt:variant>
        <vt:i4>1310782</vt:i4>
      </vt:variant>
      <vt:variant>
        <vt:i4>52</vt:i4>
      </vt:variant>
      <vt:variant>
        <vt:i4>0</vt:i4>
      </vt:variant>
      <vt:variant>
        <vt:i4>5</vt:i4>
      </vt:variant>
      <vt:variant>
        <vt:lpwstr/>
      </vt:variant>
      <vt:variant>
        <vt:lpwstr>_Toc141372965</vt:lpwstr>
      </vt:variant>
      <vt:variant>
        <vt:i4>1310782</vt:i4>
      </vt:variant>
      <vt:variant>
        <vt:i4>46</vt:i4>
      </vt:variant>
      <vt:variant>
        <vt:i4>0</vt:i4>
      </vt:variant>
      <vt:variant>
        <vt:i4>5</vt:i4>
      </vt:variant>
      <vt:variant>
        <vt:lpwstr/>
      </vt:variant>
      <vt:variant>
        <vt:lpwstr>_Toc141372964</vt:lpwstr>
      </vt:variant>
      <vt:variant>
        <vt:i4>1310782</vt:i4>
      </vt:variant>
      <vt:variant>
        <vt:i4>40</vt:i4>
      </vt:variant>
      <vt:variant>
        <vt:i4>0</vt:i4>
      </vt:variant>
      <vt:variant>
        <vt:i4>5</vt:i4>
      </vt:variant>
      <vt:variant>
        <vt:lpwstr/>
      </vt:variant>
      <vt:variant>
        <vt:lpwstr>_Toc141372963</vt:lpwstr>
      </vt:variant>
      <vt:variant>
        <vt:i4>1310782</vt:i4>
      </vt:variant>
      <vt:variant>
        <vt:i4>34</vt:i4>
      </vt:variant>
      <vt:variant>
        <vt:i4>0</vt:i4>
      </vt:variant>
      <vt:variant>
        <vt:i4>5</vt:i4>
      </vt:variant>
      <vt:variant>
        <vt:lpwstr/>
      </vt:variant>
      <vt:variant>
        <vt:lpwstr>_Toc141372962</vt:lpwstr>
      </vt:variant>
      <vt:variant>
        <vt:i4>1310782</vt:i4>
      </vt:variant>
      <vt:variant>
        <vt:i4>28</vt:i4>
      </vt:variant>
      <vt:variant>
        <vt:i4>0</vt:i4>
      </vt:variant>
      <vt:variant>
        <vt:i4>5</vt:i4>
      </vt:variant>
      <vt:variant>
        <vt:lpwstr/>
      </vt:variant>
      <vt:variant>
        <vt:lpwstr>_Toc141372961</vt:lpwstr>
      </vt:variant>
      <vt:variant>
        <vt:i4>1310782</vt:i4>
      </vt:variant>
      <vt:variant>
        <vt:i4>22</vt:i4>
      </vt:variant>
      <vt:variant>
        <vt:i4>0</vt:i4>
      </vt:variant>
      <vt:variant>
        <vt:i4>5</vt:i4>
      </vt:variant>
      <vt:variant>
        <vt:lpwstr/>
      </vt:variant>
      <vt:variant>
        <vt:lpwstr>_Toc141372960</vt:lpwstr>
      </vt:variant>
      <vt:variant>
        <vt:i4>1507390</vt:i4>
      </vt:variant>
      <vt:variant>
        <vt:i4>16</vt:i4>
      </vt:variant>
      <vt:variant>
        <vt:i4>0</vt:i4>
      </vt:variant>
      <vt:variant>
        <vt:i4>5</vt:i4>
      </vt:variant>
      <vt:variant>
        <vt:lpwstr/>
      </vt:variant>
      <vt:variant>
        <vt:lpwstr>_Toc141372959</vt:lpwstr>
      </vt:variant>
      <vt:variant>
        <vt:i4>1507390</vt:i4>
      </vt:variant>
      <vt:variant>
        <vt:i4>10</vt:i4>
      </vt:variant>
      <vt:variant>
        <vt:i4>0</vt:i4>
      </vt:variant>
      <vt:variant>
        <vt:i4>5</vt:i4>
      </vt:variant>
      <vt:variant>
        <vt:lpwstr/>
      </vt:variant>
      <vt:variant>
        <vt:lpwstr>_Toc141372958</vt:lpwstr>
      </vt:variant>
      <vt:variant>
        <vt:i4>1507390</vt:i4>
      </vt:variant>
      <vt:variant>
        <vt:i4>4</vt:i4>
      </vt:variant>
      <vt:variant>
        <vt:i4>0</vt:i4>
      </vt:variant>
      <vt:variant>
        <vt:i4>5</vt:i4>
      </vt:variant>
      <vt:variant>
        <vt:lpwstr/>
      </vt:variant>
      <vt:variant>
        <vt:lpwstr>_Toc141372957</vt:lpwstr>
      </vt:variant>
      <vt:variant>
        <vt:i4>2097196</vt:i4>
      </vt:variant>
      <vt:variant>
        <vt:i4>6</vt:i4>
      </vt:variant>
      <vt:variant>
        <vt:i4>0</vt:i4>
      </vt:variant>
      <vt:variant>
        <vt:i4>5</vt:i4>
      </vt:variant>
      <vt:variant>
        <vt:lpwstr>https://www.theglobaleconomy.com/Mauritania/inflation_outlook_imf/</vt:lpwstr>
      </vt:variant>
      <vt:variant>
        <vt:lpwstr/>
      </vt:variant>
      <vt:variant>
        <vt:i4>4456448</vt:i4>
      </vt:variant>
      <vt:variant>
        <vt:i4>3</vt:i4>
      </vt:variant>
      <vt:variant>
        <vt:i4>0</vt:i4>
      </vt:variant>
      <vt:variant>
        <vt:i4>5</vt:i4>
      </vt:variant>
      <vt:variant>
        <vt:lpwstr>https://onedrive.live.com/edit.aspx?resid=1275EFF8B84D8388!198517&amp;cid=1275eff8b84d8388&amp;CT=1684492191926&amp;OR=ItemsView</vt:lpwstr>
      </vt:variant>
      <vt:variant>
        <vt:lpwstr/>
      </vt:variant>
      <vt:variant>
        <vt:i4>4456454</vt:i4>
      </vt:variant>
      <vt:variant>
        <vt:i4>0</vt:i4>
      </vt:variant>
      <vt:variant>
        <vt:i4>0</vt:i4>
      </vt:variant>
      <vt:variant>
        <vt:i4>5</vt:i4>
      </vt:variant>
      <vt:variant>
        <vt:lpwstr>https://onedrive.live.com/edit.aspx?resid=1275EFF8B84D8388!191947&amp;cid=1275eff8b84d8388&amp;CT=1684489483689&amp;OR=ItemsView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EPCM_ElouizeS</dc:creator>
  <cp:keywords/>
  <dc:description/>
  <cp:lastModifiedBy>Houyem Rais</cp:lastModifiedBy>
  <cp:revision>6</cp:revision>
  <cp:lastPrinted>2023-08-14T08:02:00Z</cp:lastPrinted>
  <dcterms:created xsi:type="dcterms:W3CDTF">2024-02-22T12:04:00Z</dcterms:created>
  <dcterms:modified xsi:type="dcterms:W3CDTF">2024-02-22T13:37:00Z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GrammarlyDocumentId">
    <vt:lpwstr>16f461d1-d124-48c9-842d-e8492ba4be24</vt:lpwstr>
  </property>
  <property fmtid="{D5CDD505-2E9C-101B-9397-08002B2CF9AE}" pid="4" name="ContentTypeId">
    <vt:lpwstr>0x0101003B52B92777A9A14FA83C9DAED8A7BB6B</vt:lpwstr>
  </property>
  <property fmtid="{D5CDD505-2E9C-101B-9397-08002B2CF9AE}" pid="5" name="MediaServiceImageTags">
    <vt:lpwstr/>
  </property>
</Properties>
</file>