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EBF236" w14:textId="0370CE0A" w:rsidR="00172B83" w:rsidRPr="00506ACD" w:rsidRDefault="00A47C81" w:rsidP="00EA3E13">
      <w:pPr>
        <w:pStyle w:val="Heading2"/>
        <w:rPr>
          <w:lang w:val="en-GB"/>
        </w:rPr>
      </w:pPr>
      <w:bookmarkStart w:id="0" w:name="_Toc411776110"/>
      <w:bookmarkStart w:id="1" w:name="_Toc411776157"/>
      <w:bookmarkStart w:id="2" w:name="_Toc104978707"/>
      <w:r w:rsidRPr="00506ACD">
        <w:rPr>
          <w:lang w:val="en-GB"/>
        </w:rPr>
        <w:t>MAPPING OF RELEVANT BENCHMARKS</w:t>
      </w:r>
      <w:bookmarkEnd w:id="2"/>
    </w:p>
    <w:p w14:paraId="38A146C6" w14:textId="19AB51B2" w:rsidR="00A47C81" w:rsidRPr="006809D4" w:rsidRDefault="00A47C81" w:rsidP="00BF204F">
      <w:pPr>
        <w:pStyle w:val="Heading3"/>
        <w:rPr>
          <w:lang w:val="en-GB"/>
        </w:rPr>
      </w:pPr>
      <w:bookmarkStart w:id="3" w:name="_Toc104978708"/>
      <w:r w:rsidRPr="006809D4">
        <w:rPr>
          <w:lang w:val="en-GB"/>
        </w:rPr>
        <w:t>Identification</w:t>
      </w:r>
      <w:bookmarkEnd w:id="3"/>
    </w:p>
    <w:p w14:paraId="618CBA78" w14:textId="222D9698" w:rsidR="00E628F5" w:rsidRPr="006809D4" w:rsidRDefault="00E628F5" w:rsidP="00A8656A">
      <w:pPr>
        <w:pStyle w:val="Heading4"/>
        <w:tabs>
          <w:tab w:val="clear" w:pos="4395"/>
        </w:tabs>
        <w:ind w:left="964" w:hanging="964"/>
        <w:rPr>
          <w:lang w:val="en-GB"/>
        </w:rPr>
      </w:pPr>
      <w:r w:rsidRPr="006809D4">
        <w:rPr>
          <w:lang w:val="en-GB"/>
        </w:rPr>
        <w:t xml:space="preserve">6th of October </w:t>
      </w:r>
      <w:r w:rsidR="006809D4" w:rsidRPr="006809D4">
        <w:rPr>
          <w:lang w:val="en-GB"/>
        </w:rPr>
        <w:t>Dry Port</w:t>
      </w:r>
      <w:r w:rsidR="00BF204F" w:rsidRPr="006809D4">
        <w:rPr>
          <w:lang w:val="en-GB"/>
        </w:rPr>
        <w:t xml:space="preserve"> - Egypt</w:t>
      </w:r>
    </w:p>
    <w:p w14:paraId="39917530" w14:textId="2F12CFE8" w:rsidR="00E628F5" w:rsidRPr="006809D4" w:rsidRDefault="00E628F5" w:rsidP="007E7E33">
      <w:pPr>
        <w:rPr>
          <w:lang w:val="en-GB"/>
        </w:rPr>
      </w:pPr>
      <w:r w:rsidRPr="006809D4">
        <w:rPr>
          <w:lang w:val="en-GB"/>
        </w:rPr>
        <w:t>The 6th of October Market was established in accordance with the 6th of October Market decree stating the internal regulation of the market and its operational sanction regulation and was placed under the authority of the Giza Governorate. The construction of the 6th of October Market began in May 1992 and was completed in June 1996. Its effective operation began in February 1998. The total area of 6th of October Market is 135 feddans including 42 buildings.</w:t>
      </w:r>
    </w:p>
    <w:p w14:paraId="6764C9D0" w14:textId="77777777" w:rsidR="009C64D2" w:rsidRPr="006809D4" w:rsidRDefault="00E628F5" w:rsidP="007E7E33">
      <w:pPr>
        <w:rPr>
          <w:lang w:val="en-GB"/>
        </w:rPr>
      </w:pPr>
      <w:r w:rsidRPr="006809D4">
        <w:rPr>
          <w:lang w:val="en-GB"/>
        </w:rPr>
        <w:t xml:space="preserve">The market’s objectives according to the 6th of October Market decree is to carry out the wholesale of vegetables, </w:t>
      </w:r>
      <w:proofErr w:type="gramStart"/>
      <w:r w:rsidRPr="006809D4">
        <w:rPr>
          <w:lang w:val="en-GB"/>
        </w:rPr>
        <w:t>fruits</w:t>
      </w:r>
      <w:proofErr w:type="gramEnd"/>
      <w:r w:rsidRPr="006809D4">
        <w:rPr>
          <w:lang w:val="en-GB"/>
        </w:rPr>
        <w:t xml:space="preserve"> and poultry to be provided to the Giza Governorate and the neighbouring governorates at reasonable prices, as well as working on displaying and preserving these products in practical and modern ways. Furthermore, the 6th of October Market is looking to benefit from the surplus of the supplies by storing, </w:t>
      </w:r>
      <w:proofErr w:type="gramStart"/>
      <w:r w:rsidRPr="006809D4">
        <w:rPr>
          <w:lang w:val="en-GB"/>
        </w:rPr>
        <w:t>manufacturing</w:t>
      </w:r>
      <w:proofErr w:type="gramEnd"/>
      <w:r w:rsidRPr="006809D4">
        <w:rPr>
          <w:lang w:val="en-GB"/>
        </w:rPr>
        <w:t xml:space="preserve"> or packaging it and offering it to the public at appropriate times throughout the year in order to prevent any shortage or price surge.</w:t>
      </w:r>
    </w:p>
    <w:p w14:paraId="6F16EFB7" w14:textId="3C175D58" w:rsidR="009C64D2" w:rsidRPr="006809D4" w:rsidRDefault="009C64D2" w:rsidP="007E7E33">
      <w:pPr>
        <w:rPr>
          <w:lang w:val="en-GB"/>
        </w:rPr>
      </w:pPr>
      <w:r w:rsidRPr="006809D4">
        <w:rPr>
          <w:lang w:val="en-GB"/>
        </w:rPr>
        <w:t>In July 2021, the EBRD has provided a senior loan of up to USD 29.6 million (EUR 25 million) in favour of October Dry Port Company as part of a total investment package of USD 60 million to finance the design, development, construction and operation and maintenance of the 6th of October Dry Port ("DP6"), the first in land dry port in Egypt in the city of 6th of October, west of Cairo.</w:t>
      </w:r>
    </w:p>
    <w:p w14:paraId="378F7FE2" w14:textId="280F600F" w:rsidR="009C64D2" w:rsidRPr="006809D4" w:rsidRDefault="007E7E33" w:rsidP="00A03F46">
      <w:pPr>
        <w:rPr>
          <w:lang w:val="en-GB"/>
        </w:rPr>
      </w:pPr>
      <w:r w:rsidRPr="006809D4">
        <w:rPr>
          <w:lang w:val="en-GB"/>
        </w:rPr>
        <w:t xml:space="preserve">The development and construction of the 6th of October Dry Port is the first public-private partnership (PPP) project in the sector in Egypt. As Egypt’s first inland dry port, </w:t>
      </w:r>
      <w:r w:rsidR="00304A1B" w:rsidRPr="006809D4">
        <w:rPr>
          <w:lang w:val="en-GB"/>
        </w:rPr>
        <w:t xml:space="preserve">DP6 will function as an extended gateway to the deep </w:t>
      </w:r>
      <w:proofErr w:type="gramStart"/>
      <w:r w:rsidR="00304A1B" w:rsidRPr="006809D4">
        <w:rPr>
          <w:lang w:val="en-GB"/>
        </w:rPr>
        <w:t>sea ports</w:t>
      </w:r>
      <w:proofErr w:type="gramEnd"/>
      <w:r w:rsidR="00A03F46" w:rsidRPr="006809D4">
        <w:rPr>
          <w:lang w:val="en-GB"/>
        </w:rPr>
        <w:t xml:space="preserve"> located in the northern and eastern regions of the country, thus supporting the existing port infrastructure and logistics market </w:t>
      </w:r>
      <w:r w:rsidRPr="006809D4">
        <w:rPr>
          <w:lang w:val="en-GB"/>
        </w:rPr>
        <w:t>and push</w:t>
      </w:r>
      <w:r w:rsidR="00A03F46" w:rsidRPr="006809D4">
        <w:rPr>
          <w:lang w:val="en-GB"/>
        </w:rPr>
        <w:t>ing</w:t>
      </w:r>
      <w:r w:rsidRPr="006809D4">
        <w:rPr>
          <w:lang w:val="en-GB"/>
        </w:rPr>
        <w:t xml:space="preserve"> forward the green agenda by encouraging a modal shift from road to rail</w:t>
      </w:r>
      <w:r w:rsidR="009C64D2" w:rsidRPr="006809D4">
        <w:rPr>
          <w:lang w:val="en-GB"/>
        </w:rPr>
        <w:t xml:space="preserve">. DP6 will be the </w:t>
      </w:r>
      <w:proofErr w:type="gramStart"/>
      <w:r w:rsidR="009C64D2" w:rsidRPr="006809D4">
        <w:rPr>
          <w:lang w:val="en-GB"/>
        </w:rPr>
        <w:t>final destination</w:t>
      </w:r>
      <w:proofErr w:type="gramEnd"/>
      <w:r w:rsidR="009C64D2" w:rsidRPr="006809D4">
        <w:rPr>
          <w:lang w:val="en-GB"/>
        </w:rPr>
        <w:t xml:space="preserve"> of the cargoes and will (i) provide efficient customs inspections and clearance procedures, (ii) reduce congestion in the seaports, (iii) create economies of scale by using intermodal rail services to/from the seaports and (iv) improve the overall reliability and cost-efficiency of the logistics processes of the dry port's future clients. Additionally, the Project is also expected to transfer part of the container traffic from road to railway, thus realising many social, </w:t>
      </w:r>
      <w:proofErr w:type="gramStart"/>
      <w:r w:rsidR="009C64D2" w:rsidRPr="006809D4">
        <w:rPr>
          <w:lang w:val="en-GB"/>
        </w:rPr>
        <w:t>environmental</w:t>
      </w:r>
      <w:proofErr w:type="gramEnd"/>
      <w:r w:rsidR="009C64D2" w:rsidRPr="006809D4">
        <w:rPr>
          <w:lang w:val="en-GB"/>
        </w:rPr>
        <w:t xml:space="preserve"> and economic benefits such as reduced road congestion, accidents and environmental emissions.</w:t>
      </w:r>
      <w:r w:rsidRPr="006809D4">
        <w:rPr>
          <w:rStyle w:val="FootnoteReference"/>
          <w:lang w:val="en-GB"/>
        </w:rPr>
        <w:footnoteReference w:id="2"/>
      </w:r>
    </w:p>
    <w:p w14:paraId="45590595" w14:textId="570E3F0F" w:rsidR="002070DA" w:rsidRPr="006809D4" w:rsidRDefault="002070DA" w:rsidP="002070DA">
      <w:pPr>
        <w:rPr>
          <w:lang w:val="en-GB"/>
        </w:rPr>
      </w:pPr>
      <w:r w:rsidRPr="006809D4">
        <w:rPr>
          <w:lang w:val="en-GB"/>
        </w:rPr>
        <w:t>In April 2022, DP6 won the award of IJ Global Transport Deal of the year for the MENA region.</w:t>
      </w:r>
    </w:p>
    <w:p w14:paraId="7B268757" w14:textId="77777777" w:rsidR="006809D4" w:rsidRPr="006809D4" w:rsidRDefault="006809D4" w:rsidP="006809D4">
      <w:pPr>
        <w:keepNext/>
        <w:jc w:val="center"/>
        <w:rPr>
          <w:lang w:val="en-GB"/>
        </w:rPr>
      </w:pPr>
      <w:r w:rsidRPr="006809D4">
        <w:rPr>
          <w:noProof/>
          <w:lang w:val="en-GB"/>
        </w:rPr>
        <w:drawing>
          <wp:inline distT="0" distB="0" distL="0" distR="0" wp14:anchorId="1307A4BE" wp14:editId="7524197A">
            <wp:extent cx="5521570" cy="2421090"/>
            <wp:effectExtent l="0" t="0" r="3175" b="0"/>
            <wp:docPr id="12" name="Picture 12" descr="SID to Build the First Dry Port in Egypt - Elsewedy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D to Build the First Dry Port in Egypt - Elsewedy Webs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3507" cy="2421939"/>
                    </a:xfrm>
                    <a:prstGeom prst="rect">
                      <a:avLst/>
                    </a:prstGeom>
                    <a:noFill/>
                    <a:ln>
                      <a:noFill/>
                    </a:ln>
                  </pic:spPr>
                </pic:pic>
              </a:graphicData>
            </a:graphic>
          </wp:inline>
        </w:drawing>
      </w:r>
    </w:p>
    <w:p w14:paraId="2498405A" w14:textId="6F5F75A0" w:rsidR="006809D4" w:rsidRPr="006809D4" w:rsidRDefault="006809D4" w:rsidP="006809D4">
      <w:pPr>
        <w:pStyle w:val="Caption"/>
        <w:rPr>
          <w:noProof/>
          <w:lang w:val="en-GB"/>
        </w:rPr>
      </w:pPr>
      <w:r w:rsidRPr="006809D4">
        <w:rPr>
          <w:lang w:val="en-GB"/>
        </w:rPr>
        <w:t xml:space="preserve">Figure </w:t>
      </w:r>
      <w:r w:rsidRPr="006809D4">
        <w:rPr>
          <w:lang w:val="en-GB"/>
        </w:rPr>
        <w:fldChar w:fldCharType="begin"/>
      </w:r>
      <w:r w:rsidRPr="006809D4">
        <w:rPr>
          <w:lang w:val="en-GB"/>
        </w:rPr>
        <w:instrText xml:space="preserve"> SEQ Figure \* ARABIC </w:instrText>
      </w:r>
      <w:r w:rsidRPr="006809D4">
        <w:rPr>
          <w:lang w:val="en-GB"/>
        </w:rPr>
        <w:fldChar w:fldCharType="separate"/>
      </w:r>
      <w:r w:rsidR="000F1DDA">
        <w:rPr>
          <w:noProof/>
          <w:lang w:val="en-GB"/>
        </w:rPr>
        <w:t>2</w:t>
      </w:r>
      <w:r w:rsidRPr="006809D4">
        <w:rPr>
          <w:lang w:val="en-GB"/>
        </w:rPr>
        <w:fldChar w:fldCharType="end"/>
      </w:r>
      <w:r w:rsidRPr="006809D4">
        <w:rPr>
          <w:lang w:val="en-GB"/>
        </w:rPr>
        <w:t xml:space="preserve"> </w:t>
      </w:r>
      <w:r w:rsidR="00042802" w:rsidRPr="006809D4">
        <w:rPr>
          <w:noProof/>
          <w:lang w:val="en-GB"/>
        </w:rPr>
        <w:t>Overview</w:t>
      </w:r>
      <w:r w:rsidR="00042802" w:rsidRPr="006809D4">
        <w:rPr>
          <w:lang w:val="en-GB"/>
        </w:rPr>
        <w:t xml:space="preserve"> </w:t>
      </w:r>
      <w:r w:rsidR="00042802">
        <w:rPr>
          <w:lang w:val="en-GB"/>
        </w:rPr>
        <w:t xml:space="preserve">of the </w:t>
      </w:r>
      <w:r w:rsidRPr="006809D4">
        <w:rPr>
          <w:lang w:val="en-GB"/>
        </w:rPr>
        <w:t>6th of October Dry Port</w:t>
      </w:r>
      <w:r w:rsidRPr="006809D4">
        <w:rPr>
          <w:noProof/>
          <w:lang w:val="en-GB"/>
        </w:rPr>
        <w:t xml:space="preserve"> Project </w:t>
      </w:r>
    </w:p>
    <w:p w14:paraId="3D71291F" w14:textId="380D6F02" w:rsidR="006809D4" w:rsidRPr="001D355B" w:rsidRDefault="006809D4" w:rsidP="006809D4">
      <w:pPr>
        <w:jc w:val="right"/>
        <w:rPr>
          <w:i/>
          <w:iCs/>
          <w:lang w:val="fr-FR"/>
        </w:rPr>
      </w:pPr>
      <w:proofErr w:type="gramStart"/>
      <w:r w:rsidRPr="001D355B">
        <w:rPr>
          <w:i/>
          <w:iCs/>
          <w:lang w:val="fr-FR"/>
        </w:rPr>
        <w:t>Source:</w:t>
      </w:r>
      <w:proofErr w:type="gramEnd"/>
      <w:r w:rsidRPr="001D355B">
        <w:rPr>
          <w:i/>
          <w:iCs/>
          <w:lang w:val="fr-FR"/>
        </w:rPr>
        <w:t xml:space="preserve"> SID - https://www.elsewedyelectric.com/en/news-room/sid-to-build-the-first-dry-port-in-egypt/</w:t>
      </w:r>
    </w:p>
    <w:p w14:paraId="074E241E" w14:textId="4C2CCAD3" w:rsidR="00E628F5" w:rsidRPr="00D73C9C" w:rsidRDefault="00E628F5" w:rsidP="00E628F5">
      <w:pPr>
        <w:pStyle w:val="Paragraph"/>
        <w:rPr>
          <w:lang w:val="fr-FR"/>
        </w:rPr>
      </w:pPr>
    </w:p>
    <w:p w14:paraId="666BC42B" w14:textId="24CC3206" w:rsidR="00E628F5" w:rsidRPr="00576FA8" w:rsidRDefault="00576FA8" w:rsidP="00576FA8">
      <w:pPr>
        <w:pStyle w:val="Heading4"/>
        <w:tabs>
          <w:tab w:val="clear" w:pos="4395"/>
        </w:tabs>
        <w:ind w:left="964" w:hanging="964"/>
        <w:rPr>
          <w:lang w:val="fr-FR"/>
        </w:rPr>
      </w:pPr>
      <w:r w:rsidRPr="00576FA8">
        <w:rPr>
          <w:lang w:val="fr-FR"/>
        </w:rPr>
        <w:lastRenderedPageBreak/>
        <w:t>The Rungis International Market</w:t>
      </w:r>
      <w:r>
        <w:rPr>
          <w:lang w:val="fr-FR"/>
        </w:rPr>
        <w:t xml:space="preserve"> </w:t>
      </w:r>
      <w:r w:rsidRPr="00576FA8">
        <w:rPr>
          <w:lang w:val="fr-FR"/>
        </w:rPr>
        <w:t>– France</w:t>
      </w:r>
    </w:p>
    <w:p w14:paraId="72A6F4B6" w14:textId="01A75695" w:rsidR="00FF1271" w:rsidRDefault="00B15085" w:rsidP="00B15085">
      <w:pPr>
        <w:pStyle w:val="Paragraph"/>
        <w:rPr>
          <w:lang w:val="en-GB"/>
        </w:rPr>
      </w:pPr>
      <w:r>
        <w:rPr>
          <w:lang w:val="en-GB"/>
        </w:rPr>
        <w:t>I</w:t>
      </w:r>
      <w:r w:rsidRPr="00B15085">
        <w:rPr>
          <w:lang w:val="en-GB"/>
        </w:rPr>
        <w:t>naugurated on March 3, 1969,</w:t>
      </w:r>
      <w:r>
        <w:rPr>
          <w:lang w:val="en-GB"/>
        </w:rPr>
        <w:t xml:space="preserve"> </w:t>
      </w:r>
      <w:r w:rsidR="00576FA8" w:rsidRPr="00576FA8">
        <w:rPr>
          <w:lang w:val="en-GB"/>
        </w:rPr>
        <w:t xml:space="preserve">The </w:t>
      </w:r>
      <w:bookmarkStart w:id="4" w:name="_Hlk104796024"/>
      <w:proofErr w:type="spellStart"/>
      <w:r w:rsidR="00576FA8" w:rsidRPr="00576FA8">
        <w:rPr>
          <w:lang w:val="en-GB"/>
        </w:rPr>
        <w:t>Rungis</w:t>
      </w:r>
      <w:proofErr w:type="spellEnd"/>
      <w:r w:rsidR="00576FA8" w:rsidRPr="00576FA8">
        <w:rPr>
          <w:lang w:val="en-GB"/>
        </w:rPr>
        <w:t xml:space="preserve"> International Market </w:t>
      </w:r>
      <w:bookmarkEnd w:id="4"/>
      <w:r w:rsidR="00F0563E">
        <w:rPr>
          <w:lang w:val="en-GB"/>
        </w:rPr>
        <w:t>(</w:t>
      </w:r>
      <w:r w:rsidR="00F0563E" w:rsidRPr="00F0563E">
        <w:rPr>
          <w:lang w:val="en-GB"/>
        </w:rPr>
        <w:t xml:space="preserve">Marché </w:t>
      </w:r>
      <w:proofErr w:type="spellStart"/>
      <w:r w:rsidR="00F0563E" w:rsidRPr="00F0563E">
        <w:rPr>
          <w:lang w:val="en-GB"/>
        </w:rPr>
        <w:t>d'Intérêt</w:t>
      </w:r>
      <w:proofErr w:type="spellEnd"/>
      <w:r w:rsidR="00F0563E" w:rsidRPr="00F0563E">
        <w:rPr>
          <w:lang w:val="en-GB"/>
        </w:rPr>
        <w:t xml:space="preserve"> National de </w:t>
      </w:r>
      <w:proofErr w:type="spellStart"/>
      <w:r w:rsidR="00F0563E" w:rsidRPr="00F0563E">
        <w:rPr>
          <w:lang w:val="en-GB"/>
        </w:rPr>
        <w:t>Rungis</w:t>
      </w:r>
      <w:proofErr w:type="spellEnd"/>
      <w:r w:rsidR="00460371">
        <w:rPr>
          <w:lang w:val="en-GB"/>
        </w:rPr>
        <w:t xml:space="preserve"> - MIN</w:t>
      </w:r>
      <w:r w:rsidR="00AF3EB2">
        <w:rPr>
          <w:rStyle w:val="FootnoteReference"/>
          <w:lang w:val="en-GB"/>
        </w:rPr>
        <w:footnoteReference w:id="3"/>
      </w:r>
      <w:r w:rsidR="00F0563E">
        <w:rPr>
          <w:lang w:val="en-GB"/>
        </w:rPr>
        <w:t>)</w:t>
      </w:r>
      <w:r w:rsidR="00F0563E" w:rsidRPr="00F0563E">
        <w:rPr>
          <w:lang w:val="en-GB"/>
        </w:rPr>
        <w:t xml:space="preserve"> </w:t>
      </w:r>
      <w:r w:rsidR="00576FA8" w:rsidRPr="00576FA8">
        <w:rPr>
          <w:lang w:val="en-GB"/>
        </w:rPr>
        <w:t xml:space="preserve">is the principal food market of Paris serving the Paris metropolitan area and beyond, mainly for food and horticultural products, located in the commune of </w:t>
      </w:r>
      <w:proofErr w:type="spellStart"/>
      <w:r w:rsidR="00576FA8" w:rsidRPr="00576FA8">
        <w:rPr>
          <w:lang w:val="en-GB"/>
        </w:rPr>
        <w:t>Rungis</w:t>
      </w:r>
      <w:proofErr w:type="spellEnd"/>
      <w:r>
        <w:rPr>
          <w:lang w:val="en-GB"/>
        </w:rPr>
        <w:t xml:space="preserve"> and</w:t>
      </w:r>
      <w:r w:rsidRPr="00B15085">
        <w:rPr>
          <w:lang w:val="en-GB"/>
        </w:rPr>
        <w:t xml:space="preserve"> cover</w:t>
      </w:r>
      <w:r>
        <w:rPr>
          <w:lang w:val="en-GB"/>
        </w:rPr>
        <w:t>ing</w:t>
      </w:r>
      <w:r w:rsidRPr="00B15085">
        <w:rPr>
          <w:lang w:val="en-GB"/>
        </w:rPr>
        <w:t xml:space="preserve"> three municipalities (</w:t>
      </w:r>
      <w:proofErr w:type="spellStart"/>
      <w:r w:rsidRPr="00B15085">
        <w:rPr>
          <w:lang w:val="en-GB"/>
        </w:rPr>
        <w:t>Rungis</w:t>
      </w:r>
      <w:proofErr w:type="spellEnd"/>
      <w:r w:rsidRPr="00B15085">
        <w:rPr>
          <w:lang w:val="en-GB"/>
        </w:rPr>
        <w:t xml:space="preserve">, </w:t>
      </w:r>
      <w:proofErr w:type="spellStart"/>
      <w:r w:rsidRPr="00B15085">
        <w:rPr>
          <w:lang w:val="en-GB"/>
        </w:rPr>
        <w:t>Thiais</w:t>
      </w:r>
      <w:proofErr w:type="spellEnd"/>
      <w:r w:rsidRPr="00B15085">
        <w:rPr>
          <w:lang w:val="en-GB"/>
        </w:rPr>
        <w:t>, Chevilly-Larue)</w:t>
      </w:r>
      <w:r w:rsidR="00576FA8" w:rsidRPr="00576FA8">
        <w:rPr>
          <w:lang w:val="en-GB"/>
        </w:rPr>
        <w:t xml:space="preserve"> in the southern suburbs. </w:t>
      </w:r>
      <w:r>
        <w:rPr>
          <w:lang w:val="en-GB"/>
        </w:rPr>
        <w:t xml:space="preserve">Today, </w:t>
      </w:r>
      <w:proofErr w:type="spellStart"/>
      <w:r>
        <w:rPr>
          <w:lang w:val="en-GB"/>
        </w:rPr>
        <w:t>Rungis</w:t>
      </w:r>
      <w:proofErr w:type="spellEnd"/>
      <w:r>
        <w:rPr>
          <w:lang w:val="en-GB"/>
        </w:rPr>
        <w:t xml:space="preserve"> </w:t>
      </w:r>
      <w:r w:rsidRPr="00576FA8">
        <w:rPr>
          <w:lang w:val="en-GB"/>
        </w:rPr>
        <w:t>International Market</w:t>
      </w:r>
      <w:r w:rsidR="00576FA8" w:rsidRPr="00576FA8">
        <w:rPr>
          <w:lang w:val="en-GB"/>
        </w:rPr>
        <w:t xml:space="preserve"> is the second largest wholesale food market in the world</w:t>
      </w:r>
      <w:r w:rsidR="00576FA8">
        <w:rPr>
          <w:lang w:val="en-GB"/>
        </w:rPr>
        <w:t xml:space="preserve"> covering 234 hectares</w:t>
      </w:r>
      <w:r w:rsidR="00182432">
        <w:rPr>
          <w:lang w:val="en-GB"/>
        </w:rPr>
        <w:t xml:space="preserve"> (</w:t>
      </w:r>
      <w:r w:rsidR="00182432" w:rsidRPr="00182432">
        <w:rPr>
          <w:lang w:val="en-GB"/>
        </w:rPr>
        <w:t>550 000 m2</w:t>
      </w:r>
      <w:r w:rsidR="00182432">
        <w:rPr>
          <w:lang w:val="en-GB"/>
        </w:rPr>
        <w:t>)</w:t>
      </w:r>
      <w:r w:rsidR="00576FA8">
        <w:rPr>
          <w:lang w:val="en-GB"/>
        </w:rPr>
        <w:t>, behind</w:t>
      </w:r>
      <w:r w:rsidR="00576FA8" w:rsidRPr="00576FA8">
        <w:rPr>
          <w:lang w:val="en-GB"/>
        </w:rPr>
        <w:t xml:space="preserve"> La Central de </w:t>
      </w:r>
      <w:proofErr w:type="spellStart"/>
      <w:r w:rsidR="00576FA8" w:rsidRPr="00576FA8">
        <w:rPr>
          <w:lang w:val="en-GB"/>
        </w:rPr>
        <w:t>Abastos</w:t>
      </w:r>
      <w:proofErr w:type="spellEnd"/>
      <w:r w:rsidR="00576FA8" w:rsidRPr="00576FA8">
        <w:rPr>
          <w:lang w:val="en-GB"/>
        </w:rPr>
        <w:t>, located in Mexico City with 327 ha.</w:t>
      </w:r>
      <w:r w:rsidR="00FF1271">
        <w:rPr>
          <w:lang w:val="en-GB"/>
        </w:rPr>
        <w:t xml:space="preserve"> However, it is considered as the </w:t>
      </w:r>
      <w:r w:rsidR="00676B48" w:rsidRPr="00676B48">
        <w:rPr>
          <w:lang w:val="en-GB"/>
        </w:rPr>
        <w:t>world's biggest fresh produce market</w:t>
      </w:r>
      <w:r w:rsidR="00676B48">
        <w:rPr>
          <w:lang w:val="en-GB"/>
        </w:rPr>
        <w:t xml:space="preserve"> in the world.</w:t>
      </w:r>
    </w:p>
    <w:p w14:paraId="2F28CCD2" w14:textId="4D405E27" w:rsidR="00576FA8" w:rsidRDefault="00FF1271" w:rsidP="004C133C">
      <w:pPr>
        <w:pStyle w:val="Paragraph"/>
        <w:rPr>
          <w:lang w:val="en-GB"/>
        </w:rPr>
      </w:pPr>
      <w:proofErr w:type="spellStart"/>
      <w:r w:rsidRPr="00FF1271">
        <w:rPr>
          <w:lang w:val="en-GB"/>
        </w:rPr>
        <w:t>Rungis</w:t>
      </w:r>
      <w:proofErr w:type="spellEnd"/>
      <w:r w:rsidRPr="00FF1271">
        <w:rPr>
          <w:lang w:val="en-GB"/>
        </w:rPr>
        <w:t xml:space="preserve"> Market trades an exceptional variety of food products, the majority of which is fresh produce, as well as flowers, </w:t>
      </w:r>
      <w:proofErr w:type="gramStart"/>
      <w:r w:rsidRPr="00FF1271">
        <w:rPr>
          <w:lang w:val="en-GB"/>
        </w:rPr>
        <w:t>plants</w:t>
      </w:r>
      <w:proofErr w:type="gramEnd"/>
      <w:r w:rsidRPr="00FF1271">
        <w:rPr>
          <w:lang w:val="en-GB"/>
        </w:rPr>
        <w:t xml:space="preserve"> and decorations.</w:t>
      </w:r>
      <w:r>
        <w:rPr>
          <w:lang w:val="en-GB"/>
        </w:rPr>
        <w:t xml:space="preserve"> </w:t>
      </w:r>
      <w:r w:rsidR="005B1CB5">
        <w:rPr>
          <w:lang w:val="en-GB"/>
        </w:rPr>
        <w:t>The market</w:t>
      </w:r>
      <w:r w:rsidR="00F0563E">
        <w:rPr>
          <w:lang w:val="en-GB"/>
        </w:rPr>
        <w:t xml:space="preserve"> is host to more than 1200 companies</w:t>
      </w:r>
      <w:r w:rsidR="005B1CB5">
        <w:rPr>
          <w:lang w:val="en-GB"/>
        </w:rPr>
        <w:t xml:space="preserve"> and </w:t>
      </w:r>
      <w:r w:rsidR="00F0563E">
        <w:rPr>
          <w:lang w:val="en-GB"/>
        </w:rPr>
        <w:t>welcomes more than 18 million customers annually.</w:t>
      </w:r>
      <w:r w:rsidR="004C133C">
        <w:rPr>
          <w:lang w:val="en-GB"/>
        </w:rPr>
        <w:t xml:space="preserve"> </w:t>
      </w:r>
      <w:r w:rsidR="004C133C" w:rsidRPr="004C133C">
        <w:rPr>
          <w:lang w:val="en-GB"/>
        </w:rPr>
        <w:t>Every day, 9,500 tonnes of goods pass through it for a</w:t>
      </w:r>
      <w:r w:rsidR="00460371">
        <w:rPr>
          <w:lang w:val="en-GB"/>
        </w:rPr>
        <w:t>n annual</w:t>
      </w:r>
      <w:r w:rsidR="004C133C" w:rsidRPr="004C133C">
        <w:rPr>
          <w:lang w:val="en-GB"/>
        </w:rPr>
        <w:t xml:space="preserve"> turnover of </w:t>
      </w:r>
      <w:r w:rsidR="004C133C" w:rsidRPr="005B1CB5">
        <w:rPr>
          <w:lang w:val="en-GB"/>
        </w:rPr>
        <w:t>€ 9 billion</w:t>
      </w:r>
      <w:r w:rsidR="004C133C">
        <w:rPr>
          <w:lang w:val="en-GB"/>
        </w:rPr>
        <w:t>.</w:t>
      </w:r>
      <w:r w:rsidR="00F05C35" w:rsidRPr="00F05C35">
        <w:rPr>
          <w:rStyle w:val="FootnoteReference"/>
          <w:lang w:val="en-GB"/>
        </w:rPr>
        <w:t xml:space="preserve"> </w:t>
      </w:r>
      <w:r w:rsidR="00F05C35">
        <w:rPr>
          <w:rStyle w:val="FootnoteReference"/>
          <w:lang w:val="en-GB"/>
        </w:rPr>
        <w:footnoteReference w:id="4"/>
      </w:r>
    </w:p>
    <w:p w14:paraId="07672890" w14:textId="77777777" w:rsidR="00DB3396" w:rsidRDefault="00DB3396" w:rsidP="00DB3396">
      <w:pPr>
        <w:pStyle w:val="Paragraph"/>
        <w:keepNext/>
      </w:pPr>
      <w:r>
        <w:rPr>
          <w:noProof/>
          <w:lang w:val="en-GB"/>
        </w:rPr>
        <w:drawing>
          <wp:inline distT="0" distB="0" distL="0" distR="0" wp14:anchorId="60868955" wp14:editId="244F7AD1">
            <wp:extent cx="5759450" cy="1892935"/>
            <wp:effectExtent l="0" t="0" r="0" b="0"/>
            <wp:docPr id="13" name="Picture 13" descr="A picture containing outdoor, building, lots, c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outdoor, building, lots, cit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59450" cy="1892935"/>
                    </a:xfrm>
                    <a:prstGeom prst="rect">
                      <a:avLst/>
                    </a:prstGeom>
                  </pic:spPr>
                </pic:pic>
              </a:graphicData>
            </a:graphic>
          </wp:inline>
        </w:drawing>
      </w:r>
    </w:p>
    <w:p w14:paraId="3968E006" w14:textId="24968E09" w:rsidR="00DB3396" w:rsidRDefault="00DB3396" w:rsidP="00DB3396">
      <w:pPr>
        <w:pStyle w:val="Caption"/>
        <w:rPr>
          <w:lang w:val="en-GB"/>
        </w:rPr>
      </w:pPr>
      <w:r w:rsidRPr="00EA41A9">
        <w:rPr>
          <w:lang w:val="en-GB"/>
        </w:rPr>
        <w:t xml:space="preserve">Figure </w:t>
      </w:r>
      <w:r w:rsidR="00B83EEB">
        <w:fldChar w:fldCharType="begin"/>
      </w:r>
      <w:r w:rsidR="00B83EEB" w:rsidRPr="00EA41A9">
        <w:rPr>
          <w:lang w:val="en-GB"/>
        </w:rPr>
        <w:instrText xml:space="preserve"> SEQ Figure \* ARABIC </w:instrText>
      </w:r>
      <w:r w:rsidR="00B83EEB">
        <w:fldChar w:fldCharType="separate"/>
      </w:r>
      <w:r w:rsidR="000F1DDA" w:rsidRPr="00EA41A9">
        <w:rPr>
          <w:noProof/>
          <w:lang w:val="en-GB"/>
        </w:rPr>
        <w:t>3</w:t>
      </w:r>
      <w:r w:rsidR="00B83EEB">
        <w:rPr>
          <w:noProof/>
        </w:rPr>
        <w:fldChar w:fldCharType="end"/>
      </w:r>
      <w:r w:rsidRPr="00042802">
        <w:rPr>
          <w:lang w:val="en-GB"/>
        </w:rPr>
        <w:t xml:space="preserve"> Overview of </w:t>
      </w:r>
      <w:proofErr w:type="spellStart"/>
      <w:r w:rsidRPr="00042802">
        <w:rPr>
          <w:lang w:val="en-GB"/>
        </w:rPr>
        <w:t>Rungis</w:t>
      </w:r>
      <w:proofErr w:type="spellEnd"/>
      <w:r w:rsidRPr="00042802">
        <w:rPr>
          <w:lang w:val="en-GB"/>
        </w:rPr>
        <w:t xml:space="preserve"> International Market</w:t>
      </w:r>
    </w:p>
    <w:p w14:paraId="3ED3AD89" w14:textId="59B5386F" w:rsidR="000F1DDA" w:rsidRPr="000F1DDA" w:rsidRDefault="000F1DDA" w:rsidP="000F1DDA">
      <w:pPr>
        <w:jc w:val="right"/>
        <w:rPr>
          <w:lang w:val="en-GB"/>
        </w:rPr>
      </w:pPr>
      <w:r w:rsidRPr="00EA41A9">
        <w:rPr>
          <w:i/>
          <w:iCs/>
          <w:lang w:val="en-GB"/>
        </w:rPr>
        <w:t xml:space="preserve">© </w:t>
      </w:r>
      <w:proofErr w:type="spellStart"/>
      <w:r w:rsidRPr="00EA41A9">
        <w:rPr>
          <w:i/>
          <w:iCs/>
          <w:lang w:val="en-GB"/>
        </w:rPr>
        <w:t>Semmaris</w:t>
      </w:r>
      <w:proofErr w:type="spellEnd"/>
    </w:p>
    <w:p w14:paraId="2B983AA3" w14:textId="58D17BC0" w:rsidR="00B15085" w:rsidRDefault="00B15085" w:rsidP="00AF3EB2">
      <w:pPr>
        <w:pStyle w:val="Paragraph"/>
        <w:rPr>
          <w:lang w:val="en-GB"/>
        </w:rPr>
      </w:pPr>
      <w:r w:rsidRPr="00182432">
        <w:rPr>
          <w:lang w:val="en-GB"/>
        </w:rPr>
        <w:t xml:space="preserve">The market is </w:t>
      </w:r>
      <w:r w:rsidRPr="00B15085">
        <w:rPr>
          <w:lang w:val="en-GB"/>
        </w:rPr>
        <w:t>the property of</w:t>
      </w:r>
      <w:r w:rsidRPr="00182432">
        <w:rPr>
          <w:lang w:val="en-GB"/>
        </w:rPr>
        <w:t xml:space="preserve"> the French State and administered by the </w:t>
      </w:r>
      <w:r w:rsidR="00386661">
        <w:rPr>
          <w:lang w:val="en-GB"/>
        </w:rPr>
        <w:t xml:space="preserve">Joint Venture </w:t>
      </w:r>
      <w:proofErr w:type="spellStart"/>
      <w:r w:rsidRPr="00182432">
        <w:rPr>
          <w:lang w:val="en-GB"/>
        </w:rPr>
        <w:t>Semmaris</w:t>
      </w:r>
      <w:proofErr w:type="spellEnd"/>
      <w:r w:rsidRPr="00182432">
        <w:rPr>
          <w:lang w:val="en-GB"/>
        </w:rPr>
        <w:t xml:space="preserve"> (</w:t>
      </w:r>
      <w:r w:rsidRPr="003D092C">
        <w:rPr>
          <w:i/>
          <w:iCs/>
          <w:lang w:val="en-GB"/>
        </w:rPr>
        <w:t xml:space="preserve">Société </w:t>
      </w:r>
      <w:proofErr w:type="spellStart"/>
      <w:r w:rsidRPr="003D092C">
        <w:rPr>
          <w:i/>
          <w:iCs/>
          <w:lang w:val="en-GB"/>
        </w:rPr>
        <w:t>d'Economie</w:t>
      </w:r>
      <w:proofErr w:type="spellEnd"/>
      <w:r w:rsidRPr="003D092C">
        <w:rPr>
          <w:i/>
          <w:iCs/>
          <w:lang w:val="en-GB"/>
        </w:rPr>
        <w:t xml:space="preserve"> </w:t>
      </w:r>
      <w:proofErr w:type="spellStart"/>
      <w:r w:rsidRPr="003D092C">
        <w:rPr>
          <w:i/>
          <w:iCs/>
          <w:lang w:val="en-GB"/>
        </w:rPr>
        <w:t>Mixte</w:t>
      </w:r>
      <w:proofErr w:type="spellEnd"/>
      <w:r w:rsidRPr="003D092C">
        <w:rPr>
          <w:i/>
          <w:iCs/>
          <w:lang w:val="en-GB"/>
        </w:rPr>
        <w:t xml:space="preserve"> </w:t>
      </w:r>
      <w:proofErr w:type="spellStart"/>
      <w:r w:rsidRPr="003D092C">
        <w:rPr>
          <w:i/>
          <w:iCs/>
          <w:lang w:val="en-GB"/>
        </w:rPr>
        <w:t>d'Aménagement</w:t>
      </w:r>
      <w:proofErr w:type="spellEnd"/>
      <w:r w:rsidRPr="003D092C">
        <w:rPr>
          <w:i/>
          <w:iCs/>
          <w:lang w:val="en-GB"/>
        </w:rPr>
        <w:t xml:space="preserve"> et de gestion du </w:t>
      </w:r>
      <w:proofErr w:type="spellStart"/>
      <w:r w:rsidRPr="003D092C">
        <w:rPr>
          <w:i/>
          <w:iCs/>
          <w:lang w:val="en-GB"/>
        </w:rPr>
        <w:t>marché</w:t>
      </w:r>
      <w:proofErr w:type="spellEnd"/>
      <w:r w:rsidRPr="003D092C">
        <w:rPr>
          <w:i/>
          <w:iCs/>
          <w:lang w:val="en-GB"/>
        </w:rPr>
        <w:t xml:space="preserve"> </w:t>
      </w:r>
      <w:proofErr w:type="spellStart"/>
      <w:r w:rsidRPr="003D092C">
        <w:rPr>
          <w:i/>
          <w:iCs/>
          <w:lang w:val="en-GB"/>
        </w:rPr>
        <w:t>d'intérêt</w:t>
      </w:r>
      <w:proofErr w:type="spellEnd"/>
      <w:r w:rsidRPr="003D092C">
        <w:rPr>
          <w:i/>
          <w:iCs/>
          <w:lang w:val="en-GB"/>
        </w:rPr>
        <w:t xml:space="preserve"> national de </w:t>
      </w:r>
      <w:proofErr w:type="spellStart"/>
      <w:r w:rsidRPr="003D092C">
        <w:rPr>
          <w:i/>
          <w:iCs/>
          <w:lang w:val="en-GB"/>
        </w:rPr>
        <w:t>Rungis</w:t>
      </w:r>
      <w:proofErr w:type="spellEnd"/>
      <w:r w:rsidRPr="00182432">
        <w:rPr>
          <w:lang w:val="en-GB"/>
        </w:rPr>
        <w:t>).</w:t>
      </w:r>
      <w:r w:rsidR="00F87F33">
        <w:rPr>
          <w:lang w:val="en-GB"/>
        </w:rPr>
        <w:t xml:space="preserve"> </w:t>
      </w:r>
      <w:r w:rsidR="00F87F33" w:rsidRPr="00F87F33">
        <w:rPr>
          <w:lang w:val="en-GB"/>
        </w:rPr>
        <w:t xml:space="preserve">In 2015, the State chose to extend the mission entrusted to SEMMARIS to develop and operate the </w:t>
      </w:r>
      <w:proofErr w:type="spellStart"/>
      <w:r w:rsidR="00F87F33" w:rsidRPr="00F87F33">
        <w:rPr>
          <w:lang w:val="en-GB"/>
        </w:rPr>
        <w:t>Rungis</w:t>
      </w:r>
      <w:proofErr w:type="spellEnd"/>
      <w:r w:rsidR="00F87F33" w:rsidRPr="00F87F33">
        <w:rPr>
          <w:lang w:val="en-GB"/>
        </w:rPr>
        <w:t xml:space="preserve"> site until December 31, 2049.</w:t>
      </w:r>
      <w:r w:rsidR="00AF3EB2" w:rsidRPr="00AF3EB2">
        <w:rPr>
          <w:lang w:val="en-GB"/>
        </w:rPr>
        <w:t xml:space="preserve"> </w:t>
      </w:r>
      <w:r w:rsidR="00AF3EB2" w:rsidRPr="00F87F33">
        <w:rPr>
          <w:lang w:val="en-GB"/>
        </w:rPr>
        <w:t>More than one billion euros will be invested over 10 years</w:t>
      </w:r>
      <w:r w:rsidR="00AF3EB2">
        <w:rPr>
          <w:lang w:val="en-GB"/>
        </w:rPr>
        <w:t xml:space="preserve"> by </w:t>
      </w:r>
      <w:proofErr w:type="spellStart"/>
      <w:r w:rsidR="00AF3EB2">
        <w:rPr>
          <w:lang w:val="en-GB"/>
        </w:rPr>
        <w:t>Sammaris</w:t>
      </w:r>
      <w:proofErr w:type="spellEnd"/>
      <w:r w:rsidR="00AF3EB2" w:rsidRPr="00F87F33">
        <w:rPr>
          <w:lang w:val="en-GB"/>
        </w:rPr>
        <w:t>, which will result in 230,000 m2 of new or completely restructured buildings.</w:t>
      </w:r>
    </w:p>
    <w:p w14:paraId="78F09D6A" w14:textId="1301DB0A" w:rsidR="005B1CB5" w:rsidRPr="005B1CB5" w:rsidRDefault="00FF1271" w:rsidP="005B1CB5">
      <w:pPr>
        <w:pStyle w:val="Paragraph"/>
        <w:rPr>
          <w:lang w:val="en-GB"/>
        </w:rPr>
      </w:pPr>
      <w:r>
        <w:rPr>
          <w:lang w:val="en-GB"/>
        </w:rPr>
        <w:t>A</w:t>
      </w:r>
      <w:r w:rsidR="005B1CB5" w:rsidRPr="005B1CB5">
        <w:rPr>
          <w:lang w:val="en-GB"/>
        </w:rPr>
        <w:t>rrivals on the market fall into four predominant sectors:</w:t>
      </w:r>
    </w:p>
    <w:p w14:paraId="41D3E6BA" w14:textId="32CD6127" w:rsidR="005B1CB5" w:rsidRPr="005B1CB5" w:rsidRDefault="005B1CB5" w:rsidP="005B1CB5">
      <w:pPr>
        <w:pStyle w:val="Paragraph"/>
        <w:numPr>
          <w:ilvl w:val="0"/>
          <w:numId w:val="9"/>
        </w:numPr>
        <w:rPr>
          <w:lang w:val="en-GB"/>
        </w:rPr>
      </w:pPr>
      <w:r w:rsidRPr="005B1CB5">
        <w:rPr>
          <w:lang w:val="en-GB"/>
        </w:rPr>
        <w:t xml:space="preserve">the fruit and vegetable sector, the first sector of activity of the </w:t>
      </w:r>
      <w:r w:rsidR="004C133C">
        <w:rPr>
          <w:lang w:val="en-GB"/>
        </w:rPr>
        <w:t>market</w:t>
      </w:r>
      <w:r w:rsidRPr="005B1CB5">
        <w:rPr>
          <w:lang w:val="en-GB"/>
        </w:rPr>
        <w:t xml:space="preserve"> with its 870,000 tonnages marketed, i.e. approximately 55% of arrivals,</w:t>
      </w:r>
    </w:p>
    <w:p w14:paraId="79474F80" w14:textId="52415B7A" w:rsidR="005B1CB5" w:rsidRPr="005B1CB5" w:rsidRDefault="005B1CB5" w:rsidP="005B1CB5">
      <w:pPr>
        <w:pStyle w:val="Paragraph"/>
        <w:numPr>
          <w:ilvl w:val="0"/>
          <w:numId w:val="9"/>
        </w:numPr>
        <w:rPr>
          <w:lang w:val="en-GB"/>
        </w:rPr>
      </w:pPr>
      <w:r w:rsidRPr="005B1CB5">
        <w:rPr>
          <w:lang w:val="en-GB"/>
        </w:rPr>
        <w:t>the meat products sector (300,000 tonnage, 21% of the total),</w:t>
      </w:r>
    </w:p>
    <w:p w14:paraId="3FC1CAD9" w14:textId="4E6C6963" w:rsidR="005B1CB5" w:rsidRPr="005B1CB5" w:rsidRDefault="005B1CB5" w:rsidP="005B1CB5">
      <w:pPr>
        <w:pStyle w:val="Paragraph"/>
        <w:numPr>
          <w:ilvl w:val="0"/>
          <w:numId w:val="9"/>
        </w:numPr>
        <w:rPr>
          <w:lang w:val="en-GB"/>
        </w:rPr>
      </w:pPr>
      <w:r w:rsidRPr="005B1CB5">
        <w:rPr>
          <w:lang w:val="en-GB"/>
        </w:rPr>
        <w:t>the dairy products sector (175,000 tonnage, 12%),</w:t>
      </w:r>
    </w:p>
    <w:p w14:paraId="4D688832" w14:textId="780D95AA" w:rsidR="00F87F33" w:rsidRPr="00182432" w:rsidRDefault="005B1CB5" w:rsidP="005B1CB5">
      <w:pPr>
        <w:pStyle w:val="Paragraph"/>
        <w:numPr>
          <w:ilvl w:val="0"/>
          <w:numId w:val="9"/>
        </w:numPr>
        <w:rPr>
          <w:lang w:val="en-GB"/>
        </w:rPr>
      </w:pPr>
      <w:r w:rsidRPr="005B1CB5">
        <w:rPr>
          <w:lang w:val="en-GB"/>
        </w:rPr>
        <w:t>the seafood industry (170,000 tonnage, 11.5%).</w:t>
      </w:r>
      <w:r w:rsidR="00F05C35">
        <w:rPr>
          <w:rStyle w:val="FootnoteReference"/>
          <w:lang w:val="en-GB"/>
        </w:rPr>
        <w:footnoteReference w:id="5"/>
      </w:r>
    </w:p>
    <w:p w14:paraId="75C153B7" w14:textId="77777777" w:rsidR="00FF1271" w:rsidRDefault="005B1CB5" w:rsidP="00FF1271">
      <w:pPr>
        <w:pStyle w:val="Paragraph"/>
        <w:rPr>
          <w:lang w:val="en-GB"/>
        </w:rPr>
      </w:pPr>
      <w:r w:rsidRPr="005B1CB5">
        <w:rPr>
          <w:lang w:val="en-GB" w:bidi="ar-TN"/>
        </w:rPr>
        <w:t xml:space="preserve">For these four sectors of activity, different types of operators are involved, whose weight in the supply varies according to the sector, although trends are to be noted. All sectors combined, </w:t>
      </w:r>
      <w:proofErr w:type="gramStart"/>
      <w:r w:rsidRPr="005B1CB5">
        <w:rPr>
          <w:lang w:val="en-GB" w:bidi="ar-TN"/>
        </w:rPr>
        <w:t>the vast majority of</w:t>
      </w:r>
      <w:proofErr w:type="gramEnd"/>
      <w:r w:rsidRPr="005B1CB5">
        <w:rPr>
          <w:lang w:val="en-GB" w:bidi="ar-TN"/>
        </w:rPr>
        <w:t xml:space="preserve"> companies operating in the market are wholesalers. At the same time, other operators also participate in sales, in varying proportions, such as brokers and import/export companies, producers and finally central purchasing bodies.</w:t>
      </w:r>
      <w:r w:rsidR="00FF1271" w:rsidRPr="00FF1271">
        <w:rPr>
          <w:lang w:val="en-GB"/>
        </w:rPr>
        <w:t xml:space="preserve"> </w:t>
      </w:r>
    </w:p>
    <w:p w14:paraId="1CBFCA58" w14:textId="77777777" w:rsidR="00DB3396" w:rsidRDefault="00DB3396" w:rsidP="00FF1271">
      <w:pPr>
        <w:pStyle w:val="Paragraph"/>
        <w:rPr>
          <w:lang w:val="en-GB"/>
        </w:rPr>
      </w:pPr>
    </w:p>
    <w:p w14:paraId="1E033E84" w14:textId="77777777" w:rsidR="000F1DDA" w:rsidRDefault="000F1DDA" w:rsidP="000F1DDA">
      <w:pPr>
        <w:pStyle w:val="Paragraph"/>
        <w:keepNext/>
        <w:jc w:val="center"/>
      </w:pPr>
      <w:r>
        <w:rPr>
          <w:noProof/>
        </w:rPr>
        <w:drawing>
          <wp:inline distT="0" distB="0" distL="0" distR="0" wp14:anchorId="4395F438" wp14:editId="6AC6E4E1">
            <wp:extent cx="5549900" cy="2365591"/>
            <wp:effectExtent l="0" t="0" r="0" b="0"/>
            <wp:docPr id="18" name="Picture 18" descr="Le réseau de braqueurs du marché de Rungis démantelé - Le 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e réseau de braqueurs du marché de Rungis démantelé - Le Poi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3035" cy="2366927"/>
                    </a:xfrm>
                    <a:prstGeom prst="rect">
                      <a:avLst/>
                    </a:prstGeom>
                    <a:noFill/>
                    <a:ln>
                      <a:noFill/>
                    </a:ln>
                  </pic:spPr>
                </pic:pic>
              </a:graphicData>
            </a:graphic>
          </wp:inline>
        </w:drawing>
      </w:r>
    </w:p>
    <w:p w14:paraId="141E68E3" w14:textId="2C150C85" w:rsidR="000F1DDA" w:rsidRPr="000F1DDA" w:rsidRDefault="000F1DDA" w:rsidP="000F1DDA">
      <w:pPr>
        <w:pStyle w:val="Caption"/>
        <w:rPr>
          <w:lang w:val="en-GB"/>
        </w:rPr>
      </w:pPr>
      <w:r w:rsidRPr="00EA41A9">
        <w:rPr>
          <w:lang w:val="en-GB"/>
        </w:rPr>
        <w:t xml:space="preserve">Figure </w:t>
      </w:r>
      <w:r w:rsidR="00B83EEB">
        <w:fldChar w:fldCharType="begin"/>
      </w:r>
      <w:r w:rsidR="00B83EEB" w:rsidRPr="00EA41A9">
        <w:rPr>
          <w:lang w:val="en-GB"/>
        </w:rPr>
        <w:instrText xml:space="preserve"> SEQ Figure \* ARABIC </w:instrText>
      </w:r>
      <w:r w:rsidR="00B83EEB">
        <w:fldChar w:fldCharType="separate"/>
      </w:r>
      <w:r w:rsidRPr="00EA41A9">
        <w:rPr>
          <w:noProof/>
          <w:lang w:val="en-GB"/>
        </w:rPr>
        <w:t>4</w:t>
      </w:r>
      <w:r w:rsidR="00B83EEB">
        <w:rPr>
          <w:noProof/>
        </w:rPr>
        <w:fldChar w:fldCharType="end"/>
      </w:r>
      <w:r w:rsidRPr="000F1DDA">
        <w:rPr>
          <w:lang w:val="en-GB"/>
        </w:rPr>
        <w:t xml:space="preserve"> </w:t>
      </w:r>
      <w:r w:rsidR="00926137">
        <w:rPr>
          <w:lang w:val="en-GB"/>
        </w:rPr>
        <w:t>Interior v</w:t>
      </w:r>
      <w:r w:rsidRPr="000F1DDA">
        <w:rPr>
          <w:lang w:val="en-GB"/>
        </w:rPr>
        <w:t xml:space="preserve">iew of the fruit and vegetable pavilion </w:t>
      </w:r>
      <w:r w:rsidR="00926137">
        <w:rPr>
          <w:lang w:val="en-GB"/>
        </w:rPr>
        <w:t>of</w:t>
      </w:r>
      <w:r w:rsidRPr="000F1DDA">
        <w:rPr>
          <w:lang w:val="en-GB"/>
        </w:rPr>
        <w:t xml:space="preserve"> </w:t>
      </w:r>
      <w:proofErr w:type="spellStart"/>
      <w:proofErr w:type="gramStart"/>
      <w:r w:rsidRPr="000F1DDA">
        <w:rPr>
          <w:lang w:val="en-GB"/>
        </w:rPr>
        <w:t>Rungis</w:t>
      </w:r>
      <w:proofErr w:type="spellEnd"/>
      <w:proofErr w:type="gramEnd"/>
    </w:p>
    <w:p w14:paraId="06130E36" w14:textId="3433DFB3" w:rsidR="000F1DDA" w:rsidRPr="00D73C9C" w:rsidRDefault="000F1DDA" w:rsidP="000F1DDA">
      <w:pPr>
        <w:jc w:val="right"/>
        <w:rPr>
          <w:i/>
          <w:iCs/>
          <w:lang w:val="en-GB"/>
        </w:rPr>
      </w:pPr>
      <w:r w:rsidRPr="009746AF">
        <w:rPr>
          <w:i/>
          <w:iCs/>
        </w:rPr>
        <w:t xml:space="preserve">© </w:t>
      </w:r>
      <w:proofErr w:type="spellStart"/>
      <w:r w:rsidRPr="00D73C9C">
        <w:rPr>
          <w:i/>
          <w:iCs/>
          <w:lang w:val="en-GB"/>
        </w:rPr>
        <w:t>MaxPPP</w:t>
      </w:r>
      <w:proofErr w:type="spellEnd"/>
      <w:r w:rsidRPr="00D73C9C">
        <w:rPr>
          <w:i/>
          <w:iCs/>
          <w:lang w:val="en-GB"/>
        </w:rPr>
        <w:t xml:space="preserve">/Vincent </w:t>
      </w:r>
      <w:proofErr w:type="spellStart"/>
      <w:r w:rsidRPr="00D73C9C">
        <w:rPr>
          <w:i/>
          <w:iCs/>
          <w:lang w:val="en-GB"/>
        </w:rPr>
        <w:t>Isore</w:t>
      </w:r>
      <w:proofErr w:type="spellEnd"/>
    </w:p>
    <w:p w14:paraId="38BB52CA" w14:textId="26D352DB" w:rsidR="00DD0A06" w:rsidRDefault="00F05C35" w:rsidP="00FF1271">
      <w:pPr>
        <w:pStyle w:val="Paragraph"/>
        <w:rPr>
          <w:lang w:val="en-GB"/>
        </w:rPr>
      </w:pPr>
      <w:r w:rsidRPr="00F05C35">
        <w:rPr>
          <w:lang w:val="en-GB"/>
        </w:rPr>
        <w:t>The</w:t>
      </w:r>
      <w:r w:rsidR="00042802">
        <w:rPr>
          <w:lang w:val="en-GB"/>
        </w:rPr>
        <w:t xml:space="preserve"> successful </w:t>
      </w:r>
      <w:proofErr w:type="spellStart"/>
      <w:r w:rsidRPr="00F05C35">
        <w:rPr>
          <w:lang w:val="en-GB"/>
        </w:rPr>
        <w:t>Rungis</w:t>
      </w:r>
      <w:proofErr w:type="spellEnd"/>
      <w:r w:rsidRPr="00F05C35">
        <w:rPr>
          <w:lang w:val="en-GB"/>
        </w:rPr>
        <w:t xml:space="preserve"> model </w:t>
      </w:r>
      <w:r w:rsidR="00C51C91">
        <w:rPr>
          <w:lang w:val="en-GB"/>
        </w:rPr>
        <w:t xml:space="preserve">is an international benchmark that is intended to be exported </w:t>
      </w:r>
      <w:r w:rsidR="00DD0A06">
        <w:rPr>
          <w:lang w:val="en-GB"/>
        </w:rPr>
        <w:t xml:space="preserve">or even duplicated </w:t>
      </w:r>
      <w:r w:rsidR="00C51C91">
        <w:rPr>
          <w:lang w:val="en-GB"/>
        </w:rPr>
        <w:t xml:space="preserve">by </w:t>
      </w:r>
      <w:proofErr w:type="gramStart"/>
      <w:r w:rsidR="00C51C91">
        <w:rPr>
          <w:lang w:val="en-GB"/>
        </w:rPr>
        <w:t>a number of</w:t>
      </w:r>
      <w:proofErr w:type="gramEnd"/>
      <w:r w:rsidR="00C51C91">
        <w:rPr>
          <w:lang w:val="en-GB"/>
        </w:rPr>
        <w:t xml:space="preserve"> countries </w:t>
      </w:r>
      <w:r w:rsidR="00C51C91" w:rsidRPr="00C51C91">
        <w:rPr>
          <w:lang w:val="en-GB"/>
        </w:rPr>
        <w:t>such as Vietnam, the Philippines, Benin, Hungary</w:t>
      </w:r>
      <w:r w:rsidR="00C51C91">
        <w:rPr>
          <w:lang w:val="en-GB"/>
        </w:rPr>
        <w:t xml:space="preserve"> and</w:t>
      </w:r>
      <w:r w:rsidR="00C51C91" w:rsidRPr="00C51C91">
        <w:rPr>
          <w:lang w:val="en-GB"/>
        </w:rPr>
        <w:t xml:space="preserve"> </w:t>
      </w:r>
      <w:r w:rsidR="00C51C91">
        <w:rPr>
          <w:lang w:val="en-GB"/>
        </w:rPr>
        <w:t>UK</w:t>
      </w:r>
      <w:r w:rsidRPr="00F05C35">
        <w:rPr>
          <w:lang w:val="en-GB"/>
        </w:rPr>
        <w:t>.</w:t>
      </w:r>
    </w:p>
    <w:p w14:paraId="505412AB" w14:textId="75A43CBF" w:rsidR="00FF1271" w:rsidRDefault="00FF1271" w:rsidP="00FF1271">
      <w:pPr>
        <w:pStyle w:val="Paragraph"/>
        <w:rPr>
          <w:lang w:val="en-GB"/>
        </w:rPr>
      </w:pPr>
      <w:r w:rsidRPr="00F87F33">
        <w:rPr>
          <w:lang w:val="en-GB"/>
        </w:rPr>
        <w:t>A new concept for creating wholesale markets under the “</w:t>
      </w:r>
      <w:proofErr w:type="spellStart"/>
      <w:r w:rsidRPr="00F87F33">
        <w:rPr>
          <w:lang w:val="en-GB"/>
        </w:rPr>
        <w:t>Rungis</w:t>
      </w:r>
      <w:proofErr w:type="spellEnd"/>
      <w:r w:rsidRPr="00F87F33">
        <w:rPr>
          <w:lang w:val="en-GB"/>
        </w:rPr>
        <w:t xml:space="preserve">” license has just been initiated in Dubai and will be rolled out with other partners. It includes </w:t>
      </w:r>
      <w:proofErr w:type="gramStart"/>
      <w:r w:rsidRPr="00F87F33">
        <w:rPr>
          <w:lang w:val="en-GB"/>
        </w:rPr>
        <w:t>in particular the</w:t>
      </w:r>
      <w:proofErr w:type="gramEnd"/>
      <w:r w:rsidRPr="00F87F33">
        <w:rPr>
          <w:lang w:val="en-GB"/>
        </w:rPr>
        <w:t xml:space="preserve"> feasibility and design of the project, assistance with the realization and operation with brand and software licenses.</w:t>
      </w:r>
    </w:p>
    <w:p w14:paraId="6D521967" w14:textId="0EE4DF59" w:rsidR="00136F96" w:rsidRDefault="00DD0A06" w:rsidP="00E628F5">
      <w:pPr>
        <w:pStyle w:val="Paragraph"/>
        <w:rPr>
          <w:lang w:val="en-GB"/>
        </w:rPr>
      </w:pPr>
      <w:r>
        <w:rPr>
          <w:lang w:val="en-GB"/>
        </w:rPr>
        <w:t xml:space="preserve">In early 2022, </w:t>
      </w:r>
      <w:proofErr w:type="spellStart"/>
      <w:r w:rsidRPr="00DD0A06">
        <w:rPr>
          <w:lang w:val="en-GB"/>
        </w:rPr>
        <w:t>Semmaris</w:t>
      </w:r>
      <w:proofErr w:type="spellEnd"/>
      <w:r w:rsidRPr="00DD0A06">
        <w:rPr>
          <w:lang w:val="en-GB"/>
        </w:rPr>
        <w:t xml:space="preserve"> has signed a partnership agreement with the GAG Ghassan Aboud Group and the KIZAD Abu Dhabi Port Authorities </w:t>
      </w:r>
      <w:proofErr w:type="gramStart"/>
      <w:r w:rsidRPr="00DD0A06">
        <w:rPr>
          <w:lang w:val="en-GB"/>
        </w:rPr>
        <w:t>in order to</w:t>
      </w:r>
      <w:proofErr w:type="gramEnd"/>
      <w:r w:rsidRPr="00DD0A06">
        <w:rPr>
          <w:lang w:val="en-GB"/>
        </w:rPr>
        <w:t xml:space="preserve"> support the creation of the future </w:t>
      </w:r>
      <w:proofErr w:type="spellStart"/>
      <w:r w:rsidRPr="00DD0A06">
        <w:rPr>
          <w:lang w:val="en-GB"/>
        </w:rPr>
        <w:t>agro</w:t>
      </w:r>
      <w:proofErr w:type="spellEnd"/>
      <w:r w:rsidRPr="00DD0A06">
        <w:rPr>
          <w:lang w:val="en-GB"/>
        </w:rPr>
        <w:t xml:space="preserve">-logistics hub of Abu Dhabi. The signing and official launch of this project took place in the </w:t>
      </w:r>
      <w:proofErr w:type="spellStart"/>
      <w:r w:rsidRPr="00DD0A06">
        <w:rPr>
          <w:lang w:val="en-GB"/>
        </w:rPr>
        <w:t>Kizad</w:t>
      </w:r>
      <w:proofErr w:type="spellEnd"/>
      <w:r w:rsidRPr="00DD0A06">
        <w:rPr>
          <w:lang w:val="en-GB"/>
        </w:rPr>
        <w:t xml:space="preserve"> logistics area, located halfway between Abu Dhabi and Dubai, in the presence of the project’s sponsors and the highest Emirati authorities.</w:t>
      </w:r>
      <w:r w:rsidR="00136F96">
        <w:rPr>
          <w:lang w:val="en-GB"/>
        </w:rPr>
        <w:t xml:space="preserve"> T</w:t>
      </w:r>
      <w:r w:rsidR="00136F96" w:rsidRPr="00136F96">
        <w:rPr>
          <w:lang w:val="en-GB"/>
        </w:rPr>
        <w:t xml:space="preserve">his public-private </w:t>
      </w:r>
      <w:r w:rsidR="00136F96">
        <w:rPr>
          <w:lang w:val="en-GB"/>
        </w:rPr>
        <w:t xml:space="preserve">partnership </w:t>
      </w:r>
      <w:r w:rsidR="00136F96" w:rsidRPr="00136F96">
        <w:rPr>
          <w:lang w:val="en-GB"/>
        </w:rPr>
        <w:t xml:space="preserve">project will benefit from the expertise of </w:t>
      </w:r>
      <w:proofErr w:type="spellStart"/>
      <w:r w:rsidR="00136F96" w:rsidRPr="00136F96">
        <w:rPr>
          <w:lang w:val="en-GB"/>
        </w:rPr>
        <w:t>Semmaris</w:t>
      </w:r>
      <w:proofErr w:type="spellEnd"/>
      <w:r w:rsidR="00136F96">
        <w:rPr>
          <w:lang w:val="en-GB"/>
        </w:rPr>
        <w:t xml:space="preserve"> in the </w:t>
      </w:r>
      <w:r w:rsidR="00136F96" w:rsidRPr="00136F96">
        <w:rPr>
          <w:lang w:val="en-GB"/>
        </w:rPr>
        <w:t xml:space="preserve">fresh produce </w:t>
      </w:r>
      <w:r w:rsidR="00136F96">
        <w:rPr>
          <w:lang w:val="en-GB"/>
        </w:rPr>
        <w:t xml:space="preserve">sector and </w:t>
      </w:r>
      <w:proofErr w:type="spellStart"/>
      <w:r w:rsidR="00136F96" w:rsidRPr="00136F96">
        <w:rPr>
          <w:lang w:val="en-GB"/>
        </w:rPr>
        <w:t>agro</w:t>
      </w:r>
      <w:proofErr w:type="spellEnd"/>
      <w:r w:rsidR="00136F96" w:rsidRPr="00136F96">
        <w:rPr>
          <w:lang w:val="en-GB"/>
        </w:rPr>
        <w:t>-logistics infrastructures.</w:t>
      </w:r>
    </w:p>
    <w:p w14:paraId="7809A60D" w14:textId="5510AD7F" w:rsidR="00576FA8" w:rsidRDefault="00136F96" w:rsidP="00E628F5">
      <w:pPr>
        <w:pStyle w:val="Paragraph"/>
        <w:rPr>
          <w:lang w:val="en-GB"/>
        </w:rPr>
      </w:pPr>
      <w:r w:rsidRPr="00136F96">
        <w:rPr>
          <w:lang w:val="en-GB"/>
        </w:rPr>
        <w:t xml:space="preserve">Three years ago, </w:t>
      </w:r>
      <w:proofErr w:type="spellStart"/>
      <w:r w:rsidRPr="00136F96">
        <w:rPr>
          <w:lang w:val="en-GB"/>
        </w:rPr>
        <w:t>Semmaris</w:t>
      </w:r>
      <w:proofErr w:type="spellEnd"/>
      <w:r w:rsidRPr="00136F96">
        <w:rPr>
          <w:lang w:val="en-GB"/>
        </w:rPr>
        <w:t xml:space="preserve"> had started negotiating with the GAG Ghassan Aboud Group, one of the largest conglomerates in the Middle East, and with the KIZAD Abu Dhabi Port Authorities, a group of Abu Dhabi’s sovereign wealth fund, on this project aiming at storing food products and deploying a logistic and digital capacity on a regional scale (Emirates, Bahrain, Qatar, Kuwait, Oman).</w:t>
      </w:r>
      <w:r w:rsidR="00DD0A06">
        <w:rPr>
          <w:rStyle w:val="FootnoteReference"/>
          <w:lang w:val="en-GB"/>
        </w:rPr>
        <w:footnoteReference w:id="6"/>
      </w:r>
    </w:p>
    <w:p w14:paraId="4801A428" w14:textId="0CBD7560" w:rsidR="00BF204F" w:rsidRPr="006809D4" w:rsidRDefault="00BF204F" w:rsidP="00BF204F">
      <w:pPr>
        <w:pStyle w:val="Heading4"/>
        <w:tabs>
          <w:tab w:val="clear" w:pos="4395"/>
        </w:tabs>
        <w:ind w:left="964" w:hanging="964"/>
        <w:rPr>
          <w:lang w:val="en-GB"/>
        </w:rPr>
      </w:pPr>
      <w:r w:rsidRPr="006809D4">
        <w:rPr>
          <w:lang w:val="en-GB"/>
        </w:rPr>
        <w:t>The date market (the oasis of palm trees) in Medina – Saudi Arabia</w:t>
      </w:r>
    </w:p>
    <w:p w14:paraId="07A4322D" w14:textId="692872F8" w:rsidR="00BF204F" w:rsidRPr="006809D4" w:rsidRDefault="00BF204F" w:rsidP="00E628F5">
      <w:pPr>
        <w:pStyle w:val="Paragraph"/>
        <w:rPr>
          <w:lang w:val="en-GB"/>
        </w:rPr>
      </w:pPr>
      <w:r w:rsidRPr="006809D4">
        <w:rPr>
          <w:lang w:val="en-GB"/>
        </w:rPr>
        <w:t xml:space="preserve">The </w:t>
      </w:r>
      <w:r w:rsidR="00A8656A" w:rsidRPr="006809D4">
        <w:rPr>
          <w:lang w:val="en-GB"/>
        </w:rPr>
        <w:t xml:space="preserve">palm oasis </w:t>
      </w:r>
      <w:r w:rsidRPr="006809D4">
        <w:rPr>
          <w:lang w:val="en-GB"/>
        </w:rPr>
        <w:t xml:space="preserve">project site is a </w:t>
      </w:r>
      <w:r w:rsidR="00A8656A" w:rsidRPr="006809D4">
        <w:rPr>
          <w:lang w:val="en-GB"/>
        </w:rPr>
        <w:t>100-hectare</w:t>
      </w:r>
      <w:r w:rsidRPr="006809D4">
        <w:rPr>
          <w:lang w:val="en-GB"/>
        </w:rPr>
        <w:t xml:space="preserve"> piece of land located near the King Khaled Highway at the northeast corner of the </w:t>
      </w:r>
      <w:proofErr w:type="spellStart"/>
      <w:r w:rsidRPr="006809D4">
        <w:rPr>
          <w:lang w:val="en-GB"/>
        </w:rPr>
        <w:t>Alhejra</w:t>
      </w:r>
      <w:proofErr w:type="spellEnd"/>
      <w:r w:rsidRPr="006809D4">
        <w:rPr>
          <w:lang w:val="en-GB"/>
        </w:rPr>
        <w:t xml:space="preserve"> intersection in Medina, Saudi Arabia. It is located 14.5 km southwest of the Prophet's Mosque.</w:t>
      </w:r>
    </w:p>
    <w:p w14:paraId="15F2C9B5" w14:textId="2389CB2C" w:rsidR="00BF204F" w:rsidRPr="006809D4" w:rsidRDefault="00BF204F" w:rsidP="00BF204F">
      <w:pPr>
        <w:pStyle w:val="Paragraph"/>
        <w:rPr>
          <w:lang w:val="en-GB"/>
        </w:rPr>
      </w:pPr>
      <w:r w:rsidRPr="006809D4">
        <w:rPr>
          <w:lang w:val="en-GB"/>
        </w:rPr>
        <w:t xml:space="preserve">The project aims to provide Saudi Arabia with an international hub with a date market that functions as a trading </w:t>
      </w:r>
      <w:proofErr w:type="spellStart"/>
      <w:r w:rsidRPr="006809D4">
        <w:rPr>
          <w:lang w:val="en-GB"/>
        </w:rPr>
        <w:t>center</w:t>
      </w:r>
      <w:proofErr w:type="spellEnd"/>
      <w:r w:rsidRPr="006809D4">
        <w:rPr>
          <w:lang w:val="en-GB"/>
        </w:rPr>
        <w:t>. The project will be integrated with facilities offering different types of services around the date industry. It comprises 8 components namely a hotel, a retail space, a storage space, packaging and manufacturing facilities, an exhibition area, a research and development laboratory and a museum.</w:t>
      </w:r>
    </w:p>
    <w:p w14:paraId="5B4C9121" w14:textId="6A628A6D" w:rsidR="00BF204F" w:rsidRPr="006809D4" w:rsidRDefault="00BF204F" w:rsidP="00BF204F">
      <w:pPr>
        <w:pStyle w:val="Paragraph"/>
        <w:rPr>
          <w:lang w:val="en-GB"/>
        </w:rPr>
      </w:pPr>
      <w:r w:rsidRPr="006809D4">
        <w:rPr>
          <w:lang w:val="en-GB"/>
        </w:rPr>
        <w:t>The total investment is estimated at 518.7 million Riyals (77 billion FCFA). Around 40% of the project's estimated revenue should be generated by the hotel and 30% by the rental of retail space.</w:t>
      </w:r>
    </w:p>
    <w:p w14:paraId="25052EA8" w14:textId="77777777" w:rsidR="00AD6989" w:rsidRPr="006809D4" w:rsidRDefault="00AD6989" w:rsidP="00AD6989">
      <w:pPr>
        <w:pStyle w:val="Paragraph"/>
        <w:rPr>
          <w:lang w:val="en-GB"/>
        </w:rPr>
      </w:pPr>
      <w:r w:rsidRPr="006809D4">
        <w:rPr>
          <w:lang w:val="en-GB"/>
        </w:rPr>
        <w:t xml:space="preserve">The selected PPP arrangement puts the project company ''Palm Oasis Company'' at the heart of the coordination process between the various public stakeholders including the municipality and private parties including the promoter, the </w:t>
      </w:r>
      <w:proofErr w:type="gramStart"/>
      <w:r w:rsidRPr="006809D4">
        <w:rPr>
          <w:lang w:val="en-GB"/>
        </w:rPr>
        <w:t>operator</w:t>
      </w:r>
      <w:proofErr w:type="gramEnd"/>
      <w:r w:rsidRPr="006809D4">
        <w:rPr>
          <w:lang w:val="en-GB"/>
        </w:rPr>
        <w:t xml:space="preserve"> and the banks.</w:t>
      </w:r>
    </w:p>
    <w:p w14:paraId="235B1FBC" w14:textId="77777777" w:rsidR="00016A47" w:rsidRPr="006809D4" w:rsidRDefault="00016A47" w:rsidP="00016A47">
      <w:pPr>
        <w:pStyle w:val="Paragraph"/>
        <w:keepNext/>
        <w:jc w:val="center"/>
        <w:rPr>
          <w:lang w:val="en-GB"/>
        </w:rPr>
      </w:pPr>
      <w:r w:rsidRPr="006809D4">
        <w:rPr>
          <w:noProof/>
          <w:lang w:val="en-GB"/>
        </w:rPr>
        <w:lastRenderedPageBreak/>
        <w:drawing>
          <wp:inline distT="0" distB="0" distL="0" distR="0" wp14:anchorId="7369FBF8" wp14:editId="0407EF1F">
            <wp:extent cx="4457700" cy="261844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521204" cy="2655745"/>
                    </a:xfrm>
                    <a:prstGeom prst="rect">
                      <a:avLst/>
                    </a:prstGeom>
                    <a:noFill/>
                  </pic:spPr>
                </pic:pic>
              </a:graphicData>
            </a:graphic>
          </wp:inline>
        </w:drawing>
      </w:r>
    </w:p>
    <w:p w14:paraId="61656CEF" w14:textId="336749A7" w:rsidR="00BF204F" w:rsidRPr="006809D4" w:rsidRDefault="00016A47" w:rsidP="00016A47">
      <w:pPr>
        <w:pStyle w:val="Caption"/>
        <w:rPr>
          <w:lang w:val="en-GB"/>
        </w:rPr>
      </w:pPr>
      <w:bookmarkStart w:id="5" w:name="_Toc104394519"/>
      <w:r w:rsidRPr="006809D4">
        <w:rPr>
          <w:lang w:val="en-GB"/>
        </w:rPr>
        <w:t xml:space="preserve">Figure </w:t>
      </w:r>
      <w:r w:rsidR="006A7B30" w:rsidRPr="006809D4">
        <w:rPr>
          <w:lang w:val="en-GB"/>
        </w:rPr>
        <w:fldChar w:fldCharType="begin"/>
      </w:r>
      <w:r w:rsidR="006A7B30" w:rsidRPr="006809D4">
        <w:rPr>
          <w:lang w:val="en-GB"/>
        </w:rPr>
        <w:instrText xml:space="preserve"> SEQ Figure \* ARABIC </w:instrText>
      </w:r>
      <w:r w:rsidR="006A7B30" w:rsidRPr="006809D4">
        <w:rPr>
          <w:lang w:val="en-GB"/>
        </w:rPr>
        <w:fldChar w:fldCharType="separate"/>
      </w:r>
      <w:r w:rsidR="000F1DDA">
        <w:rPr>
          <w:noProof/>
          <w:lang w:val="en-GB"/>
        </w:rPr>
        <w:t>6</w:t>
      </w:r>
      <w:r w:rsidR="006A7B30" w:rsidRPr="006809D4">
        <w:rPr>
          <w:noProof/>
          <w:lang w:val="en-GB"/>
        </w:rPr>
        <w:fldChar w:fldCharType="end"/>
      </w:r>
      <w:r w:rsidRPr="006809D4">
        <w:rPr>
          <w:lang w:val="en-GB"/>
        </w:rPr>
        <w:t xml:space="preserve"> Project of the oasis of dates – PPP arrangement</w:t>
      </w:r>
      <w:bookmarkEnd w:id="5"/>
    </w:p>
    <w:bookmarkEnd w:id="0"/>
    <w:bookmarkEnd w:id="1"/>
    <w:sectPr w:rsidR="00BF204F" w:rsidRPr="006809D4" w:rsidSect="00B1089D">
      <w:headerReference w:type="default" r:id="rId13"/>
      <w:footerReference w:type="default" r:id="rId14"/>
      <w:pgSz w:w="11906" w:h="16838" w:code="9"/>
      <w:pgMar w:top="2268" w:right="1418" w:bottom="1985" w:left="1418" w:header="567" w:footer="68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10D1E" w14:textId="77777777" w:rsidR="004F7E21" w:rsidRDefault="004F7E21" w:rsidP="00025653">
      <w:r>
        <w:separator/>
      </w:r>
    </w:p>
    <w:p w14:paraId="75D11BA0" w14:textId="77777777" w:rsidR="004F7E21" w:rsidRDefault="004F7E21"/>
  </w:endnote>
  <w:endnote w:type="continuationSeparator" w:id="0">
    <w:p w14:paraId="7A687CC7" w14:textId="77777777" w:rsidR="004F7E21" w:rsidRDefault="004F7E21" w:rsidP="00025653">
      <w:r>
        <w:continuationSeparator/>
      </w:r>
    </w:p>
    <w:p w14:paraId="1587E0E5" w14:textId="77777777" w:rsidR="004F7E21" w:rsidRDefault="004F7E21"/>
  </w:endnote>
  <w:endnote w:type="continuationNotice" w:id="1">
    <w:p w14:paraId="51571DF6" w14:textId="77777777" w:rsidR="004F7E21" w:rsidRDefault="004F7E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badi MT Condensed Light">
    <w:altName w:val="MV Boli"/>
    <w:charset w:val="00"/>
    <w:family w:val="roman"/>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65026" w14:textId="77777777" w:rsidR="004D1E19" w:rsidRPr="00D11D0D" w:rsidRDefault="004D1E19" w:rsidP="00C277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7194A" w14:textId="77777777" w:rsidR="004F7E21" w:rsidRPr="00874E63" w:rsidRDefault="004F7E21" w:rsidP="00874E63">
      <w:pPr>
        <w:pStyle w:val="Footer"/>
        <w:pBdr>
          <w:top w:val="none" w:sz="0" w:space="0" w:color="auto"/>
        </w:pBdr>
        <w:rPr>
          <w:b/>
          <w:color w:val="3EB1C8"/>
        </w:rPr>
      </w:pPr>
      <w:r w:rsidRPr="00874E63">
        <w:rPr>
          <w:color w:val="3EB1C8"/>
        </w:rPr>
        <w:t>*******</w:t>
      </w:r>
    </w:p>
  </w:footnote>
  <w:footnote w:type="continuationSeparator" w:id="0">
    <w:p w14:paraId="17E1DB40" w14:textId="77777777" w:rsidR="004F7E21" w:rsidRPr="00874E63" w:rsidRDefault="004F7E21" w:rsidP="00874E63">
      <w:pPr>
        <w:pStyle w:val="Footer"/>
        <w:pBdr>
          <w:top w:val="none" w:sz="0" w:space="0" w:color="auto"/>
        </w:pBdr>
        <w:rPr>
          <w:b/>
          <w:color w:val="3EB1C8"/>
        </w:rPr>
      </w:pPr>
      <w:r w:rsidRPr="00874E63">
        <w:rPr>
          <w:color w:val="3EB1C8"/>
        </w:rPr>
        <w:t>*******</w:t>
      </w:r>
    </w:p>
  </w:footnote>
  <w:footnote w:type="continuationNotice" w:id="1">
    <w:p w14:paraId="28D95CDC" w14:textId="77777777" w:rsidR="004F7E21" w:rsidRDefault="004F7E21"/>
  </w:footnote>
  <w:footnote w:id="2">
    <w:p w14:paraId="0629B2D4" w14:textId="01042222" w:rsidR="007E7E33" w:rsidRPr="007E7E33" w:rsidRDefault="007E7E33" w:rsidP="007E7E33">
      <w:pPr>
        <w:pStyle w:val="FootnoteText"/>
        <w:spacing w:after="0"/>
        <w:rPr>
          <w:lang w:val="en-GB"/>
        </w:rPr>
      </w:pPr>
      <w:r>
        <w:rPr>
          <w:rStyle w:val="FootnoteReference"/>
        </w:rPr>
        <w:footnoteRef/>
      </w:r>
      <w:r w:rsidRPr="00EA41A9">
        <w:rPr>
          <w:lang w:val="en-GB"/>
        </w:rPr>
        <w:t xml:space="preserve"> EBRD finances 6th of October Dry Port in Egypt under EBRD Green Cities: https://www.ebrd.com/news/2021/ebrd-finances-6th-of-october-dry-port-in-egypt-under-ebrd-green-cities-.html</w:t>
      </w:r>
    </w:p>
  </w:footnote>
  <w:footnote w:id="3">
    <w:p w14:paraId="0BB1520C" w14:textId="55A21817" w:rsidR="00AF3EB2" w:rsidRPr="00AF3EB2" w:rsidRDefault="00AF3EB2">
      <w:pPr>
        <w:pStyle w:val="FootnoteText"/>
        <w:rPr>
          <w:lang w:val="en-GB"/>
        </w:rPr>
      </w:pPr>
      <w:r>
        <w:rPr>
          <w:rStyle w:val="FootnoteReference"/>
        </w:rPr>
        <w:footnoteRef/>
      </w:r>
      <w:r w:rsidRPr="00EA41A9">
        <w:rPr>
          <w:lang w:val="en-GB"/>
        </w:rPr>
        <w:t xml:space="preserve"> A market of national interest (Marché </w:t>
      </w:r>
      <w:proofErr w:type="spellStart"/>
      <w:r w:rsidRPr="00EA41A9">
        <w:rPr>
          <w:lang w:val="en-GB"/>
        </w:rPr>
        <w:t>d'Intérêt</w:t>
      </w:r>
      <w:proofErr w:type="spellEnd"/>
      <w:r w:rsidRPr="00EA41A9">
        <w:rPr>
          <w:lang w:val="en-GB"/>
        </w:rPr>
        <w:t xml:space="preserve"> National - MIN) in France is a wholesale market reserved for professional operators (producers, importers, restaurateurs, </w:t>
      </w:r>
      <w:proofErr w:type="gramStart"/>
      <w:r w:rsidRPr="00EA41A9">
        <w:rPr>
          <w:lang w:val="en-GB"/>
        </w:rPr>
        <w:t>wholesalers</w:t>
      </w:r>
      <w:proofErr w:type="gramEnd"/>
      <w:r w:rsidRPr="00EA41A9">
        <w:rPr>
          <w:lang w:val="en-GB"/>
        </w:rPr>
        <w:t xml:space="preserve"> and retail traders). MINs offer collective sales management services for agricultural, food and horticultural products. The establishment of wholesalers and producers, within the MIN or within the reference perimeter that surrounds it, is </w:t>
      </w:r>
      <w:proofErr w:type="gramStart"/>
      <w:r w:rsidRPr="00EA41A9">
        <w:rPr>
          <w:lang w:val="en-GB"/>
        </w:rPr>
        <w:t>regulated</w:t>
      </w:r>
      <w:proofErr w:type="gramEnd"/>
      <w:r w:rsidRPr="00EA41A9">
        <w:rPr>
          <w:lang w:val="en-GB"/>
        </w:rPr>
        <w:t xml:space="preserve"> and must be authorized. </w:t>
      </w:r>
      <w:r w:rsidRPr="00EA41A9">
        <w:rPr>
          <w:i/>
          <w:iCs/>
          <w:lang w:val="en-GB"/>
        </w:rPr>
        <w:t>(service-public.fr)</w:t>
      </w:r>
    </w:p>
  </w:footnote>
  <w:footnote w:id="4">
    <w:p w14:paraId="289FE8E8" w14:textId="77777777" w:rsidR="00F05C35" w:rsidRPr="00F0563E" w:rsidRDefault="00F05C35" w:rsidP="00F05C35">
      <w:pPr>
        <w:pStyle w:val="FootnoteText"/>
        <w:rPr>
          <w:lang w:val="en-GB"/>
        </w:rPr>
      </w:pPr>
      <w:r>
        <w:rPr>
          <w:rStyle w:val="FootnoteReference"/>
        </w:rPr>
        <w:footnoteRef/>
      </w:r>
      <w:r w:rsidRPr="00EA41A9">
        <w:rPr>
          <w:lang w:val="en-GB"/>
        </w:rPr>
        <w:t xml:space="preserve"> https://www.rungisinternational.com/en/</w:t>
      </w:r>
    </w:p>
  </w:footnote>
  <w:footnote w:id="5">
    <w:p w14:paraId="3C3393C4" w14:textId="47CAB031" w:rsidR="00F05C35" w:rsidRPr="00F05C35" w:rsidRDefault="00F05C35" w:rsidP="00F05C35">
      <w:pPr>
        <w:pStyle w:val="FootnoteText"/>
        <w:jc w:val="left"/>
        <w:rPr>
          <w:lang w:val="en-GB"/>
        </w:rPr>
      </w:pPr>
      <w:r>
        <w:rPr>
          <w:rStyle w:val="FootnoteReference"/>
        </w:rPr>
        <w:footnoteRef/>
      </w:r>
      <w:r w:rsidRPr="00EA41A9">
        <w:rPr>
          <w:lang w:val="en-GB"/>
        </w:rPr>
        <w:t xml:space="preserve"> The economic model of the </w:t>
      </w:r>
      <w:proofErr w:type="spellStart"/>
      <w:r w:rsidRPr="00EA41A9">
        <w:rPr>
          <w:lang w:val="en-GB"/>
        </w:rPr>
        <w:t>Rungis</w:t>
      </w:r>
      <w:proofErr w:type="spellEnd"/>
      <w:r w:rsidRPr="00EA41A9">
        <w:rPr>
          <w:lang w:val="en-GB"/>
        </w:rPr>
        <w:t xml:space="preserve"> MIN and its development prospects: https://www.institutparisregion.fr/fileadmin/NewEtudes/Etude_1098/Le_modele_economique_du_MIN_de_Rungis_et_ses_perspectives_d_evolution.pdf</w:t>
      </w:r>
    </w:p>
  </w:footnote>
  <w:footnote w:id="6">
    <w:p w14:paraId="6308979F" w14:textId="44BF043F" w:rsidR="00DD0A06" w:rsidRPr="00DD0A06" w:rsidRDefault="00DD0A06">
      <w:pPr>
        <w:pStyle w:val="FootnoteText"/>
        <w:rPr>
          <w:lang w:val="en-GB"/>
        </w:rPr>
      </w:pPr>
      <w:r>
        <w:rPr>
          <w:rStyle w:val="FootnoteReference"/>
        </w:rPr>
        <w:footnoteRef/>
      </w:r>
      <w:r w:rsidRPr="00EA41A9">
        <w:rPr>
          <w:lang w:val="en-GB"/>
        </w:rPr>
        <w:t xml:space="preserve"> https://www.freshplaza.com/article/9398968/france-rungis-market-signs-a-strategic-partnership-agreement-for-the-creation-of-an-agro-logistics-hub-in-abu-dhabi/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9E81F" w14:textId="77777777" w:rsidR="004D1E19" w:rsidRPr="00D11D0D" w:rsidRDefault="004D1E19" w:rsidP="00D11D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4E766D28"/>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4395"/>
        </w:tabs>
        <w:ind w:left="4395" w:firstLine="0"/>
      </w:pPr>
      <w:rPr>
        <w:lang w:val="en-GB"/>
      </w:rPr>
    </w:lvl>
    <w:lvl w:ilvl="4">
      <w:start w:val="1"/>
      <w:numFmt w:val="decimal"/>
      <w:pStyle w:val="Heading5"/>
      <w:lvlText w:val="%1.%2.%3.%4.%5"/>
      <w:lvlJc w:val="left"/>
      <w:pPr>
        <w:tabs>
          <w:tab w:val="num" w:pos="0"/>
        </w:tabs>
        <w:ind w:left="0" w:firstLine="0"/>
      </w:pPr>
      <w:rPr>
        <w:i w:val="0"/>
        <w:u w:val="none"/>
      </w:r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15:restartNumberingAfterBreak="0">
    <w:nsid w:val="20E64603"/>
    <w:multiLevelType w:val="hybridMultilevel"/>
    <w:tmpl w:val="30E2A4BC"/>
    <w:lvl w:ilvl="0" w:tplc="040C001B">
      <w:start w:val="1"/>
      <w:numFmt w:val="lowerLetter"/>
      <w:lvlText w:val="%1."/>
      <w:lvlJc w:val="left"/>
      <w:pPr>
        <w:ind w:left="360" w:hanging="360"/>
      </w:pPr>
      <w:rPr>
        <w:rFonts w:ascii="Arial" w:hAnsi="Arial" w:hint="default"/>
        <w:color w:val="3EB1C8"/>
        <w:u w:color="1F497D" w:themeColor="text2"/>
      </w:rPr>
    </w:lvl>
    <w:lvl w:ilvl="1" w:tplc="04100019" w:tentative="1">
      <w:start w:val="1"/>
      <w:numFmt w:val="lowerLetter"/>
      <w:lvlText w:val="%2."/>
      <w:lvlJc w:val="left"/>
      <w:pPr>
        <w:tabs>
          <w:tab w:val="num" w:pos="2291"/>
        </w:tabs>
        <w:ind w:left="2291" w:hanging="360"/>
      </w:pPr>
    </w:lvl>
    <w:lvl w:ilvl="2" w:tplc="0410001B" w:tentative="1">
      <w:start w:val="1"/>
      <w:numFmt w:val="lowerRoman"/>
      <w:lvlText w:val="%3."/>
      <w:lvlJc w:val="right"/>
      <w:pPr>
        <w:tabs>
          <w:tab w:val="num" w:pos="3011"/>
        </w:tabs>
        <w:ind w:left="3011" w:hanging="180"/>
      </w:pPr>
    </w:lvl>
    <w:lvl w:ilvl="3" w:tplc="0410000F" w:tentative="1">
      <w:start w:val="1"/>
      <w:numFmt w:val="decimal"/>
      <w:lvlText w:val="%4."/>
      <w:lvlJc w:val="left"/>
      <w:pPr>
        <w:tabs>
          <w:tab w:val="num" w:pos="3731"/>
        </w:tabs>
        <w:ind w:left="3731" w:hanging="360"/>
      </w:pPr>
    </w:lvl>
    <w:lvl w:ilvl="4" w:tplc="04100019" w:tentative="1">
      <w:start w:val="1"/>
      <w:numFmt w:val="lowerLetter"/>
      <w:lvlText w:val="%5."/>
      <w:lvlJc w:val="left"/>
      <w:pPr>
        <w:tabs>
          <w:tab w:val="num" w:pos="4451"/>
        </w:tabs>
        <w:ind w:left="4451" w:hanging="360"/>
      </w:pPr>
    </w:lvl>
    <w:lvl w:ilvl="5" w:tplc="0410001B" w:tentative="1">
      <w:start w:val="1"/>
      <w:numFmt w:val="lowerRoman"/>
      <w:lvlText w:val="%6."/>
      <w:lvlJc w:val="right"/>
      <w:pPr>
        <w:tabs>
          <w:tab w:val="num" w:pos="5171"/>
        </w:tabs>
        <w:ind w:left="5171" w:hanging="180"/>
      </w:pPr>
    </w:lvl>
    <w:lvl w:ilvl="6" w:tplc="0410000F" w:tentative="1">
      <w:start w:val="1"/>
      <w:numFmt w:val="decimal"/>
      <w:lvlText w:val="%7."/>
      <w:lvlJc w:val="left"/>
      <w:pPr>
        <w:tabs>
          <w:tab w:val="num" w:pos="5891"/>
        </w:tabs>
        <w:ind w:left="5891" w:hanging="360"/>
      </w:pPr>
    </w:lvl>
    <w:lvl w:ilvl="7" w:tplc="04100019" w:tentative="1">
      <w:start w:val="1"/>
      <w:numFmt w:val="lowerLetter"/>
      <w:lvlText w:val="%8."/>
      <w:lvlJc w:val="left"/>
      <w:pPr>
        <w:tabs>
          <w:tab w:val="num" w:pos="6611"/>
        </w:tabs>
        <w:ind w:left="6611" w:hanging="360"/>
      </w:pPr>
    </w:lvl>
    <w:lvl w:ilvl="8" w:tplc="0410001B" w:tentative="1">
      <w:start w:val="1"/>
      <w:numFmt w:val="lowerRoman"/>
      <w:lvlText w:val="%9."/>
      <w:lvlJc w:val="right"/>
      <w:pPr>
        <w:tabs>
          <w:tab w:val="num" w:pos="7331"/>
        </w:tabs>
        <w:ind w:left="7331" w:hanging="180"/>
      </w:pPr>
    </w:lvl>
  </w:abstractNum>
  <w:abstractNum w:abstractNumId="2" w15:restartNumberingAfterBreak="0">
    <w:nsid w:val="33726519"/>
    <w:multiLevelType w:val="hybridMultilevel"/>
    <w:tmpl w:val="0B9A5BF8"/>
    <w:lvl w:ilvl="0" w:tplc="34E0C55C">
      <w:numFmt w:val="bullet"/>
      <w:pStyle w:val="Item2"/>
      <w:lvlText w:val=""/>
      <w:lvlJc w:val="left"/>
      <w:pPr>
        <w:ind w:left="814" w:hanging="360"/>
      </w:pPr>
      <w:rPr>
        <w:rFonts w:ascii="Symbol" w:hAnsi="Symbol" w:hint="default"/>
        <w:color w:val="3EB1C8"/>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1557DFF"/>
    <w:multiLevelType w:val="hybridMultilevel"/>
    <w:tmpl w:val="E864FD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15A2E60"/>
    <w:multiLevelType w:val="hybridMultilevel"/>
    <w:tmpl w:val="7914864A"/>
    <w:lvl w:ilvl="0" w:tplc="FCE234D0">
      <w:start w:val="1"/>
      <w:numFmt w:val="bullet"/>
      <w:pStyle w:val="Item1"/>
      <w:lvlText w:val=""/>
      <w:lvlJc w:val="left"/>
      <w:pPr>
        <w:ind w:left="360" w:hanging="360"/>
      </w:pPr>
      <w:rPr>
        <w:rFonts w:ascii="Wingdings" w:hAnsi="Wingdings" w:hint="default"/>
        <w:color w:val="3EB1C8"/>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66F1E16"/>
    <w:multiLevelType w:val="hybridMultilevel"/>
    <w:tmpl w:val="8E9EAE22"/>
    <w:lvl w:ilvl="0" w:tplc="BB680F4E">
      <w:start w:val="1"/>
      <w:numFmt w:val="lowerRoman"/>
      <w:pStyle w:val="itemi"/>
      <w:lvlText w:val="%1."/>
      <w:lvlJc w:val="left"/>
      <w:pPr>
        <w:ind w:left="360" w:hanging="360"/>
      </w:pPr>
      <w:rPr>
        <w:rFonts w:ascii="Arial" w:hAnsi="Arial" w:hint="default"/>
        <w:color w:val="3EB1C8"/>
      </w:rPr>
    </w:lvl>
    <w:lvl w:ilvl="1" w:tplc="04100019" w:tentative="1">
      <w:start w:val="1"/>
      <w:numFmt w:val="lowerLetter"/>
      <w:lvlText w:val="%2."/>
      <w:lvlJc w:val="left"/>
      <w:pPr>
        <w:ind w:left="1760" w:hanging="360"/>
      </w:pPr>
    </w:lvl>
    <w:lvl w:ilvl="2" w:tplc="0410001B" w:tentative="1">
      <w:start w:val="1"/>
      <w:numFmt w:val="lowerRoman"/>
      <w:lvlText w:val="%3."/>
      <w:lvlJc w:val="right"/>
      <w:pPr>
        <w:ind w:left="2480" w:hanging="180"/>
      </w:pPr>
    </w:lvl>
    <w:lvl w:ilvl="3" w:tplc="0410000F" w:tentative="1">
      <w:start w:val="1"/>
      <w:numFmt w:val="decimal"/>
      <w:lvlText w:val="%4."/>
      <w:lvlJc w:val="left"/>
      <w:pPr>
        <w:ind w:left="3200" w:hanging="360"/>
      </w:pPr>
    </w:lvl>
    <w:lvl w:ilvl="4" w:tplc="04100019" w:tentative="1">
      <w:start w:val="1"/>
      <w:numFmt w:val="lowerLetter"/>
      <w:lvlText w:val="%5."/>
      <w:lvlJc w:val="left"/>
      <w:pPr>
        <w:ind w:left="3920" w:hanging="360"/>
      </w:pPr>
    </w:lvl>
    <w:lvl w:ilvl="5" w:tplc="0410001B" w:tentative="1">
      <w:start w:val="1"/>
      <w:numFmt w:val="lowerRoman"/>
      <w:lvlText w:val="%6."/>
      <w:lvlJc w:val="right"/>
      <w:pPr>
        <w:ind w:left="4640" w:hanging="180"/>
      </w:pPr>
    </w:lvl>
    <w:lvl w:ilvl="6" w:tplc="0410000F" w:tentative="1">
      <w:start w:val="1"/>
      <w:numFmt w:val="decimal"/>
      <w:lvlText w:val="%7."/>
      <w:lvlJc w:val="left"/>
      <w:pPr>
        <w:ind w:left="5360" w:hanging="360"/>
      </w:pPr>
    </w:lvl>
    <w:lvl w:ilvl="7" w:tplc="04100019" w:tentative="1">
      <w:start w:val="1"/>
      <w:numFmt w:val="lowerLetter"/>
      <w:lvlText w:val="%8."/>
      <w:lvlJc w:val="left"/>
      <w:pPr>
        <w:ind w:left="6080" w:hanging="360"/>
      </w:pPr>
    </w:lvl>
    <w:lvl w:ilvl="8" w:tplc="0410001B" w:tentative="1">
      <w:start w:val="1"/>
      <w:numFmt w:val="lowerRoman"/>
      <w:lvlText w:val="%9."/>
      <w:lvlJc w:val="right"/>
      <w:pPr>
        <w:ind w:left="6800" w:hanging="180"/>
      </w:pPr>
    </w:lvl>
  </w:abstractNum>
  <w:abstractNum w:abstractNumId="6" w15:restartNumberingAfterBreak="0">
    <w:nsid w:val="59B954FB"/>
    <w:multiLevelType w:val="singleLevel"/>
    <w:tmpl w:val="3AF8CBD2"/>
    <w:lvl w:ilvl="0">
      <w:start w:val="1"/>
      <w:numFmt w:val="bullet"/>
      <w:pStyle w:val="Item3"/>
      <w:lvlText w:val=""/>
      <w:lvlJc w:val="left"/>
      <w:pPr>
        <w:ind w:left="1097" w:hanging="360"/>
      </w:pPr>
      <w:rPr>
        <w:rFonts w:ascii="Symbol" w:hAnsi="Symbol" w:hint="default"/>
        <w:color w:val="3EB1C8"/>
        <w:sz w:val="18"/>
      </w:rPr>
    </w:lvl>
  </w:abstractNum>
  <w:abstractNum w:abstractNumId="7" w15:restartNumberingAfterBreak="0">
    <w:nsid w:val="5B941445"/>
    <w:multiLevelType w:val="hybridMultilevel"/>
    <w:tmpl w:val="F65A6AAC"/>
    <w:lvl w:ilvl="0" w:tplc="234ED004">
      <w:start w:val="1"/>
      <w:numFmt w:val="decimal"/>
      <w:pStyle w:val="ItemNumbered"/>
      <w:lvlText w:val="%1."/>
      <w:lvlJc w:val="left"/>
      <w:pPr>
        <w:ind w:left="360" w:hanging="360"/>
      </w:pPr>
      <w:rPr>
        <w:rFonts w:hint="default"/>
        <w:color w:val="3EB1C8"/>
      </w:rPr>
    </w:lvl>
    <w:lvl w:ilvl="1" w:tplc="E99CB6EE">
      <w:numFmt w:val="bullet"/>
      <w:lvlText w:val="•"/>
      <w:lvlJc w:val="left"/>
      <w:pPr>
        <w:ind w:left="1930" w:hanging="850"/>
      </w:pPr>
      <w:rPr>
        <w:rFonts w:ascii="Arial" w:eastAsia="Times New Roman" w:hAnsi="Arial" w:cs="Aria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8" w15:restartNumberingAfterBreak="0">
    <w:nsid w:val="69175D3A"/>
    <w:multiLevelType w:val="hybridMultilevel"/>
    <w:tmpl w:val="675A877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8DA08E5"/>
    <w:multiLevelType w:val="hybridMultilevel"/>
    <w:tmpl w:val="CB5AD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C3B277A"/>
    <w:multiLevelType w:val="hybridMultilevel"/>
    <w:tmpl w:val="4BF44F18"/>
    <w:lvl w:ilvl="0" w:tplc="040C001B">
      <w:start w:val="1"/>
      <w:numFmt w:val="low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00404542">
    <w:abstractNumId w:val="0"/>
  </w:num>
  <w:num w:numId="2" w16cid:durableId="556626314">
    <w:abstractNumId w:val="6"/>
  </w:num>
  <w:num w:numId="3" w16cid:durableId="277374162">
    <w:abstractNumId w:val="1"/>
  </w:num>
  <w:num w:numId="4" w16cid:durableId="1611012450">
    <w:abstractNumId w:val="2"/>
  </w:num>
  <w:num w:numId="5" w16cid:durableId="332346052">
    <w:abstractNumId w:val="4"/>
  </w:num>
  <w:num w:numId="6" w16cid:durableId="773787409">
    <w:abstractNumId w:val="5"/>
  </w:num>
  <w:num w:numId="7" w16cid:durableId="2121222016">
    <w:abstractNumId w:val="7"/>
  </w:num>
  <w:num w:numId="8" w16cid:durableId="196815417">
    <w:abstractNumId w:val="5"/>
    <w:lvlOverride w:ilvl="0">
      <w:startOverride w:val="1"/>
    </w:lvlOverride>
  </w:num>
  <w:num w:numId="9" w16cid:durableId="13504369">
    <w:abstractNumId w:val="3"/>
  </w:num>
  <w:num w:numId="10" w16cid:durableId="1870727307">
    <w:abstractNumId w:val="0"/>
  </w:num>
  <w:num w:numId="11" w16cid:durableId="1544248906">
    <w:abstractNumId w:val="0"/>
  </w:num>
  <w:num w:numId="12" w16cid:durableId="1717394810">
    <w:abstractNumId w:val="1"/>
    <w:lvlOverride w:ilvl="0">
      <w:startOverride w:val="1"/>
    </w:lvlOverride>
  </w:num>
  <w:num w:numId="13" w16cid:durableId="577400840">
    <w:abstractNumId w:val="1"/>
  </w:num>
  <w:num w:numId="14" w16cid:durableId="1193958408">
    <w:abstractNumId w:val="1"/>
  </w:num>
  <w:num w:numId="15" w16cid:durableId="1794210986">
    <w:abstractNumId w:val="1"/>
  </w:num>
  <w:num w:numId="16" w16cid:durableId="1447775606">
    <w:abstractNumId w:val="1"/>
  </w:num>
  <w:num w:numId="17" w16cid:durableId="102044397">
    <w:abstractNumId w:val="1"/>
  </w:num>
  <w:num w:numId="18" w16cid:durableId="872764304">
    <w:abstractNumId w:val="1"/>
  </w:num>
  <w:num w:numId="19" w16cid:durableId="599945831">
    <w:abstractNumId w:val="1"/>
  </w:num>
  <w:num w:numId="20" w16cid:durableId="335959566">
    <w:abstractNumId w:val="1"/>
  </w:num>
  <w:num w:numId="21" w16cid:durableId="1622178977">
    <w:abstractNumId w:val="1"/>
    <w:lvlOverride w:ilvl="0">
      <w:startOverride w:val="9"/>
    </w:lvlOverride>
  </w:num>
  <w:num w:numId="22" w16cid:durableId="1904289051">
    <w:abstractNumId w:val="1"/>
  </w:num>
  <w:num w:numId="23" w16cid:durableId="1950971090">
    <w:abstractNumId w:val="10"/>
  </w:num>
  <w:num w:numId="24" w16cid:durableId="1005209177">
    <w:abstractNumId w:val="9"/>
  </w:num>
  <w:num w:numId="25" w16cid:durableId="792989492">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ocumentProtection w:edit="forms" w:enforcement="0"/>
  <w:defaultTabStop w:val="454"/>
  <w:hyphenationZone w:val="283"/>
  <w:characterSpacingControl w:val="doNotCompress"/>
  <w:hdrShapeDefaults>
    <o:shapedefaults v:ext="edit" spidmax="205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E75"/>
    <w:rsid w:val="000013F4"/>
    <w:rsid w:val="0000391F"/>
    <w:rsid w:val="00005C27"/>
    <w:rsid w:val="00007D6F"/>
    <w:rsid w:val="00011457"/>
    <w:rsid w:val="000118C2"/>
    <w:rsid w:val="000128C9"/>
    <w:rsid w:val="00013277"/>
    <w:rsid w:val="00013506"/>
    <w:rsid w:val="0001382E"/>
    <w:rsid w:val="00013EFF"/>
    <w:rsid w:val="00014559"/>
    <w:rsid w:val="00015094"/>
    <w:rsid w:val="0001659C"/>
    <w:rsid w:val="00016A47"/>
    <w:rsid w:val="000204C6"/>
    <w:rsid w:val="000217E0"/>
    <w:rsid w:val="00023B6E"/>
    <w:rsid w:val="00025653"/>
    <w:rsid w:val="00026B44"/>
    <w:rsid w:val="000301E2"/>
    <w:rsid w:val="000305D0"/>
    <w:rsid w:val="0003139F"/>
    <w:rsid w:val="000344BB"/>
    <w:rsid w:val="000352CA"/>
    <w:rsid w:val="00035926"/>
    <w:rsid w:val="00036B2D"/>
    <w:rsid w:val="00041FE6"/>
    <w:rsid w:val="00042802"/>
    <w:rsid w:val="00053C85"/>
    <w:rsid w:val="00053F88"/>
    <w:rsid w:val="000554B2"/>
    <w:rsid w:val="00057803"/>
    <w:rsid w:val="00066D5E"/>
    <w:rsid w:val="000729AD"/>
    <w:rsid w:val="000739C3"/>
    <w:rsid w:val="00073BB6"/>
    <w:rsid w:val="00073FD5"/>
    <w:rsid w:val="00074585"/>
    <w:rsid w:val="000765AA"/>
    <w:rsid w:val="000779E4"/>
    <w:rsid w:val="0008337D"/>
    <w:rsid w:val="0008478A"/>
    <w:rsid w:val="00084FC9"/>
    <w:rsid w:val="00085FA6"/>
    <w:rsid w:val="00086A55"/>
    <w:rsid w:val="000904F2"/>
    <w:rsid w:val="00092DBD"/>
    <w:rsid w:val="00092FC3"/>
    <w:rsid w:val="000971DA"/>
    <w:rsid w:val="000A0EEB"/>
    <w:rsid w:val="000A0F56"/>
    <w:rsid w:val="000A1F28"/>
    <w:rsid w:val="000A6F4C"/>
    <w:rsid w:val="000B2FDA"/>
    <w:rsid w:val="000B40F5"/>
    <w:rsid w:val="000B4BC0"/>
    <w:rsid w:val="000B5516"/>
    <w:rsid w:val="000B6E26"/>
    <w:rsid w:val="000C55E8"/>
    <w:rsid w:val="000C6342"/>
    <w:rsid w:val="000C6DAC"/>
    <w:rsid w:val="000D063A"/>
    <w:rsid w:val="000D5486"/>
    <w:rsid w:val="000E156E"/>
    <w:rsid w:val="000E1E5B"/>
    <w:rsid w:val="000E3FC3"/>
    <w:rsid w:val="000E44B6"/>
    <w:rsid w:val="000E601C"/>
    <w:rsid w:val="000E7DD4"/>
    <w:rsid w:val="000F110E"/>
    <w:rsid w:val="000F1DDA"/>
    <w:rsid w:val="000F6027"/>
    <w:rsid w:val="000F6095"/>
    <w:rsid w:val="000F6162"/>
    <w:rsid w:val="0010394F"/>
    <w:rsid w:val="00104AE2"/>
    <w:rsid w:val="0010792E"/>
    <w:rsid w:val="00107F74"/>
    <w:rsid w:val="00112A63"/>
    <w:rsid w:val="00114A19"/>
    <w:rsid w:val="00114BF3"/>
    <w:rsid w:val="00117348"/>
    <w:rsid w:val="00117B51"/>
    <w:rsid w:val="0012029F"/>
    <w:rsid w:val="00121365"/>
    <w:rsid w:val="00122DA4"/>
    <w:rsid w:val="00124EAD"/>
    <w:rsid w:val="00124F59"/>
    <w:rsid w:val="00130B51"/>
    <w:rsid w:val="00133458"/>
    <w:rsid w:val="00134231"/>
    <w:rsid w:val="00135580"/>
    <w:rsid w:val="00136F96"/>
    <w:rsid w:val="001374A7"/>
    <w:rsid w:val="00137D31"/>
    <w:rsid w:val="00140040"/>
    <w:rsid w:val="001405D9"/>
    <w:rsid w:val="00141216"/>
    <w:rsid w:val="0014185F"/>
    <w:rsid w:val="00142441"/>
    <w:rsid w:val="001424B6"/>
    <w:rsid w:val="001444C0"/>
    <w:rsid w:val="00145170"/>
    <w:rsid w:val="001463FA"/>
    <w:rsid w:val="001466D6"/>
    <w:rsid w:val="001512BF"/>
    <w:rsid w:val="0015213F"/>
    <w:rsid w:val="00153C6E"/>
    <w:rsid w:val="001556B1"/>
    <w:rsid w:val="001557D6"/>
    <w:rsid w:val="00157BD9"/>
    <w:rsid w:val="0016003B"/>
    <w:rsid w:val="00162376"/>
    <w:rsid w:val="0016358C"/>
    <w:rsid w:val="001647DB"/>
    <w:rsid w:val="00165503"/>
    <w:rsid w:val="001677DC"/>
    <w:rsid w:val="00170C69"/>
    <w:rsid w:val="001718B0"/>
    <w:rsid w:val="00172B83"/>
    <w:rsid w:val="00172F77"/>
    <w:rsid w:val="00173174"/>
    <w:rsid w:val="0017466B"/>
    <w:rsid w:val="00181710"/>
    <w:rsid w:val="00181A6C"/>
    <w:rsid w:val="00182432"/>
    <w:rsid w:val="001858F3"/>
    <w:rsid w:val="00186997"/>
    <w:rsid w:val="00193A41"/>
    <w:rsid w:val="00195BDE"/>
    <w:rsid w:val="001979F7"/>
    <w:rsid w:val="001A02B8"/>
    <w:rsid w:val="001A0434"/>
    <w:rsid w:val="001A1A63"/>
    <w:rsid w:val="001A5201"/>
    <w:rsid w:val="001A73E8"/>
    <w:rsid w:val="001B6429"/>
    <w:rsid w:val="001B6EFB"/>
    <w:rsid w:val="001B7C7E"/>
    <w:rsid w:val="001B7FA9"/>
    <w:rsid w:val="001C1C91"/>
    <w:rsid w:val="001C59A9"/>
    <w:rsid w:val="001C65A7"/>
    <w:rsid w:val="001D355B"/>
    <w:rsid w:val="001D57CE"/>
    <w:rsid w:val="001D72FD"/>
    <w:rsid w:val="001E0AA6"/>
    <w:rsid w:val="001E30C2"/>
    <w:rsid w:val="001E3C3C"/>
    <w:rsid w:val="001F1890"/>
    <w:rsid w:val="001F2462"/>
    <w:rsid w:val="001F2FE1"/>
    <w:rsid w:val="001F3282"/>
    <w:rsid w:val="001F38CB"/>
    <w:rsid w:val="001F4FF3"/>
    <w:rsid w:val="002002AC"/>
    <w:rsid w:val="002026D8"/>
    <w:rsid w:val="00203576"/>
    <w:rsid w:val="00203A9F"/>
    <w:rsid w:val="00206BD6"/>
    <w:rsid w:val="002070DA"/>
    <w:rsid w:val="002104EC"/>
    <w:rsid w:val="00210C06"/>
    <w:rsid w:val="00210F0E"/>
    <w:rsid w:val="00211D9F"/>
    <w:rsid w:val="00213516"/>
    <w:rsid w:val="00214259"/>
    <w:rsid w:val="00217193"/>
    <w:rsid w:val="0022127D"/>
    <w:rsid w:val="00221629"/>
    <w:rsid w:val="002235BF"/>
    <w:rsid w:val="0022400C"/>
    <w:rsid w:val="00226D03"/>
    <w:rsid w:val="002279D7"/>
    <w:rsid w:val="0023206B"/>
    <w:rsid w:val="002431C6"/>
    <w:rsid w:val="002442AF"/>
    <w:rsid w:val="00244AED"/>
    <w:rsid w:val="0025556A"/>
    <w:rsid w:val="00256197"/>
    <w:rsid w:val="002631D1"/>
    <w:rsid w:val="0027042C"/>
    <w:rsid w:val="00275E6D"/>
    <w:rsid w:val="002767C7"/>
    <w:rsid w:val="002776CA"/>
    <w:rsid w:val="002803D3"/>
    <w:rsid w:val="00281003"/>
    <w:rsid w:val="00281CA9"/>
    <w:rsid w:val="00291238"/>
    <w:rsid w:val="002936CA"/>
    <w:rsid w:val="00295040"/>
    <w:rsid w:val="002A2369"/>
    <w:rsid w:val="002B4D6E"/>
    <w:rsid w:val="002C11A5"/>
    <w:rsid w:val="002C11B0"/>
    <w:rsid w:val="002C5D9B"/>
    <w:rsid w:val="002D05DC"/>
    <w:rsid w:val="002D1712"/>
    <w:rsid w:val="002D2517"/>
    <w:rsid w:val="002D2EDF"/>
    <w:rsid w:val="002D417E"/>
    <w:rsid w:val="002D47B4"/>
    <w:rsid w:val="002D4C4E"/>
    <w:rsid w:val="002D4FC2"/>
    <w:rsid w:val="002D532D"/>
    <w:rsid w:val="002D552D"/>
    <w:rsid w:val="002D55E9"/>
    <w:rsid w:val="002D6663"/>
    <w:rsid w:val="002E11C0"/>
    <w:rsid w:val="002E6B10"/>
    <w:rsid w:val="002E6F56"/>
    <w:rsid w:val="002E7206"/>
    <w:rsid w:val="002F02B8"/>
    <w:rsid w:val="002F0659"/>
    <w:rsid w:val="002F0DDE"/>
    <w:rsid w:val="002F5003"/>
    <w:rsid w:val="002F5560"/>
    <w:rsid w:val="002F6A75"/>
    <w:rsid w:val="00304A1B"/>
    <w:rsid w:val="00306208"/>
    <w:rsid w:val="0031107F"/>
    <w:rsid w:val="00312CC4"/>
    <w:rsid w:val="00314460"/>
    <w:rsid w:val="00314F8A"/>
    <w:rsid w:val="00317DA8"/>
    <w:rsid w:val="00323809"/>
    <w:rsid w:val="00327460"/>
    <w:rsid w:val="00327E4B"/>
    <w:rsid w:val="003331CB"/>
    <w:rsid w:val="00334FB2"/>
    <w:rsid w:val="00341992"/>
    <w:rsid w:val="0034260E"/>
    <w:rsid w:val="00342817"/>
    <w:rsid w:val="00345FE3"/>
    <w:rsid w:val="003523AC"/>
    <w:rsid w:val="00356A85"/>
    <w:rsid w:val="00356C89"/>
    <w:rsid w:val="00360F8F"/>
    <w:rsid w:val="003612F1"/>
    <w:rsid w:val="003630A0"/>
    <w:rsid w:val="00365AB5"/>
    <w:rsid w:val="00367EBE"/>
    <w:rsid w:val="0037430A"/>
    <w:rsid w:val="00374FAD"/>
    <w:rsid w:val="00375E5E"/>
    <w:rsid w:val="00382377"/>
    <w:rsid w:val="003826AB"/>
    <w:rsid w:val="00384734"/>
    <w:rsid w:val="00386661"/>
    <w:rsid w:val="0039088D"/>
    <w:rsid w:val="00392398"/>
    <w:rsid w:val="00392AFA"/>
    <w:rsid w:val="0039740C"/>
    <w:rsid w:val="003A0E76"/>
    <w:rsid w:val="003A586E"/>
    <w:rsid w:val="003A5D22"/>
    <w:rsid w:val="003A61A6"/>
    <w:rsid w:val="003A656C"/>
    <w:rsid w:val="003A6E75"/>
    <w:rsid w:val="003B10E4"/>
    <w:rsid w:val="003B16DF"/>
    <w:rsid w:val="003B2CD9"/>
    <w:rsid w:val="003B5D0F"/>
    <w:rsid w:val="003C30A3"/>
    <w:rsid w:val="003C3DDC"/>
    <w:rsid w:val="003C4EB9"/>
    <w:rsid w:val="003C57F9"/>
    <w:rsid w:val="003C692F"/>
    <w:rsid w:val="003D092C"/>
    <w:rsid w:val="003D1942"/>
    <w:rsid w:val="003D1AB8"/>
    <w:rsid w:val="003D5BB1"/>
    <w:rsid w:val="003D60FB"/>
    <w:rsid w:val="003D6F72"/>
    <w:rsid w:val="003D75B2"/>
    <w:rsid w:val="003D7621"/>
    <w:rsid w:val="003E094B"/>
    <w:rsid w:val="003E3D6B"/>
    <w:rsid w:val="003E49DC"/>
    <w:rsid w:val="003E6797"/>
    <w:rsid w:val="003F0277"/>
    <w:rsid w:val="003F0EAF"/>
    <w:rsid w:val="003F2936"/>
    <w:rsid w:val="003F5155"/>
    <w:rsid w:val="003F5627"/>
    <w:rsid w:val="003F7BB0"/>
    <w:rsid w:val="004019F9"/>
    <w:rsid w:val="00403842"/>
    <w:rsid w:val="00403ECA"/>
    <w:rsid w:val="00404F1F"/>
    <w:rsid w:val="00407AFE"/>
    <w:rsid w:val="00411042"/>
    <w:rsid w:val="0041120E"/>
    <w:rsid w:val="00411E55"/>
    <w:rsid w:val="0041285D"/>
    <w:rsid w:val="00416A70"/>
    <w:rsid w:val="0042119F"/>
    <w:rsid w:val="004215A4"/>
    <w:rsid w:val="00421A9A"/>
    <w:rsid w:val="00424843"/>
    <w:rsid w:val="00426C64"/>
    <w:rsid w:val="00427B93"/>
    <w:rsid w:val="00430D28"/>
    <w:rsid w:val="004316BD"/>
    <w:rsid w:val="004325DA"/>
    <w:rsid w:val="00434BEE"/>
    <w:rsid w:val="004351F6"/>
    <w:rsid w:val="00440B07"/>
    <w:rsid w:val="00440C17"/>
    <w:rsid w:val="0044123A"/>
    <w:rsid w:val="0044684A"/>
    <w:rsid w:val="00447481"/>
    <w:rsid w:val="00447769"/>
    <w:rsid w:val="0045075C"/>
    <w:rsid w:val="00451374"/>
    <w:rsid w:val="00460371"/>
    <w:rsid w:val="00463200"/>
    <w:rsid w:val="00466509"/>
    <w:rsid w:val="0046686D"/>
    <w:rsid w:val="00467DF5"/>
    <w:rsid w:val="0047012B"/>
    <w:rsid w:val="004720BF"/>
    <w:rsid w:val="00474DC0"/>
    <w:rsid w:val="00480553"/>
    <w:rsid w:val="004807D5"/>
    <w:rsid w:val="00483AB8"/>
    <w:rsid w:val="0048407F"/>
    <w:rsid w:val="00484985"/>
    <w:rsid w:val="00485C8A"/>
    <w:rsid w:val="00486691"/>
    <w:rsid w:val="004A2040"/>
    <w:rsid w:val="004A3441"/>
    <w:rsid w:val="004A3A0B"/>
    <w:rsid w:val="004A5874"/>
    <w:rsid w:val="004A74A0"/>
    <w:rsid w:val="004A75BE"/>
    <w:rsid w:val="004B2A51"/>
    <w:rsid w:val="004B2B1E"/>
    <w:rsid w:val="004B3CC9"/>
    <w:rsid w:val="004B4ECF"/>
    <w:rsid w:val="004B79F3"/>
    <w:rsid w:val="004C04BF"/>
    <w:rsid w:val="004C06E6"/>
    <w:rsid w:val="004C12E9"/>
    <w:rsid w:val="004C133C"/>
    <w:rsid w:val="004C16F0"/>
    <w:rsid w:val="004C47A9"/>
    <w:rsid w:val="004C7793"/>
    <w:rsid w:val="004C7F91"/>
    <w:rsid w:val="004D0386"/>
    <w:rsid w:val="004D082A"/>
    <w:rsid w:val="004D1029"/>
    <w:rsid w:val="004D1E19"/>
    <w:rsid w:val="004D2904"/>
    <w:rsid w:val="004D513D"/>
    <w:rsid w:val="004D67B2"/>
    <w:rsid w:val="004E7D50"/>
    <w:rsid w:val="004F1DCC"/>
    <w:rsid w:val="004F1E01"/>
    <w:rsid w:val="004F2D8D"/>
    <w:rsid w:val="004F328C"/>
    <w:rsid w:val="004F37E9"/>
    <w:rsid w:val="004F57BA"/>
    <w:rsid w:val="004F6745"/>
    <w:rsid w:val="004F7E21"/>
    <w:rsid w:val="005003EB"/>
    <w:rsid w:val="00500F1A"/>
    <w:rsid w:val="005044E0"/>
    <w:rsid w:val="00505A89"/>
    <w:rsid w:val="00506781"/>
    <w:rsid w:val="00506ACD"/>
    <w:rsid w:val="00511121"/>
    <w:rsid w:val="00513F24"/>
    <w:rsid w:val="00514DF4"/>
    <w:rsid w:val="00516C13"/>
    <w:rsid w:val="00516D86"/>
    <w:rsid w:val="005203C1"/>
    <w:rsid w:val="005254B4"/>
    <w:rsid w:val="00526068"/>
    <w:rsid w:val="00531565"/>
    <w:rsid w:val="00533A06"/>
    <w:rsid w:val="00533C7A"/>
    <w:rsid w:val="0053548D"/>
    <w:rsid w:val="005361C2"/>
    <w:rsid w:val="00537AEA"/>
    <w:rsid w:val="00541C32"/>
    <w:rsid w:val="0054361F"/>
    <w:rsid w:val="00543A24"/>
    <w:rsid w:val="0054499A"/>
    <w:rsid w:val="00551FAE"/>
    <w:rsid w:val="0055273E"/>
    <w:rsid w:val="00554EE7"/>
    <w:rsid w:val="0055572F"/>
    <w:rsid w:val="00557734"/>
    <w:rsid w:val="0056027F"/>
    <w:rsid w:val="005613B1"/>
    <w:rsid w:val="00562E72"/>
    <w:rsid w:val="005631C1"/>
    <w:rsid w:val="00563E42"/>
    <w:rsid w:val="00563E57"/>
    <w:rsid w:val="0056613A"/>
    <w:rsid w:val="00572805"/>
    <w:rsid w:val="005729A0"/>
    <w:rsid w:val="00573418"/>
    <w:rsid w:val="005751C9"/>
    <w:rsid w:val="00576FA8"/>
    <w:rsid w:val="0057746C"/>
    <w:rsid w:val="0058018C"/>
    <w:rsid w:val="00580257"/>
    <w:rsid w:val="00582F1D"/>
    <w:rsid w:val="00586924"/>
    <w:rsid w:val="00587527"/>
    <w:rsid w:val="005877B5"/>
    <w:rsid w:val="00587AEC"/>
    <w:rsid w:val="00590223"/>
    <w:rsid w:val="00590252"/>
    <w:rsid w:val="00590991"/>
    <w:rsid w:val="00591E9B"/>
    <w:rsid w:val="005932C2"/>
    <w:rsid w:val="00593454"/>
    <w:rsid w:val="00593DC7"/>
    <w:rsid w:val="0059544D"/>
    <w:rsid w:val="005956F1"/>
    <w:rsid w:val="00597BF0"/>
    <w:rsid w:val="005A0AB8"/>
    <w:rsid w:val="005A1BDB"/>
    <w:rsid w:val="005A2954"/>
    <w:rsid w:val="005A5D20"/>
    <w:rsid w:val="005A6E79"/>
    <w:rsid w:val="005B1CB5"/>
    <w:rsid w:val="005B334C"/>
    <w:rsid w:val="005B37A6"/>
    <w:rsid w:val="005B52DE"/>
    <w:rsid w:val="005B7EA2"/>
    <w:rsid w:val="005C0689"/>
    <w:rsid w:val="005C1642"/>
    <w:rsid w:val="005C2DDD"/>
    <w:rsid w:val="005C5A78"/>
    <w:rsid w:val="005D0BC9"/>
    <w:rsid w:val="005D3DDF"/>
    <w:rsid w:val="005D40BE"/>
    <w:rsid w:val="005E002A"/>
    <w:rsid w:val="005E31E6"/>
    <w:rsid w:val="005E4CB4"/>
    <w:rsid w:val="005E5D26"/>
    <w:rsid w:val="005E5D99"/>
    <w:rsid w:val="005E6C8D"/>
    <w:rsid w:val="005F01FC"/>
    <w:rsid w:val="005F1621"/>
    <w:rsid w:val="005F20FD"/>
    <w:rsid w:val="005F5A5C"/>
    <w:rsid w:val="00604BF2"/>
    <w:rsid w:val="00604FC4"/>
    <w:rsid w:val="006051C4"/>
    <w:rsid w:val="00605485"/>
    <w:rsid w:val="0061473E"/>
    <w:rsid w:val="0061475B"/>
    <w:rsid w:val="00615692"/>
    <w:rsid w:val="00615CF7"/>
    <w:rsid w:val="006161D5"/>
    <w:rsid w:val="006164AF"/>
    <w:rsid w:val="0061777F"/>
    <w:rsid w:val="0062132A"/>
    <w:rsid w:val="00624BEC"/>
    <w:rsid w:val="00630F96"/>
    <w:rsid w:val="00631130"/>
    <w:rsid w:val="006331C6"/>
    <w:rsid w:val="006337D5"/>
    <w:rsid w:val="00633941"/>
    <w:rsid w:val="00633CB2"/>
    <w:rsid w:val="006352F7"/>
    <w:rsid w:val="006361ED"/>
    <w:rsid w:val="0063724B"/>
    <w:rsid w:val="006414BD"/>
    <w:rsid w:val="0064560E"/>
    <w:rsid w:val="006459C5"/>
    <w:rsid w:val="00646B07"/>
    <w:rsid w:val="006477B2"/>
    <w:rsid w:val="0065147F"/>
    <w:rsid w:val="00656C0F"/>
    <w:rsid w:val="00656CB0"/>
    <w:rsid w:val="00663540"/>
    <w:rsid w:val="00663645"/>
    <w:rsid w:val="00666166"/>
    <w:rsid w:val="0067139A"/>
    <w:rsid w:val="006729F6"/>
    <w:rsid w:val="00676B48"/>
    <w:rsid w:val="006809D4"/>
    <w:rsid w:val="00680DCE"/>
    <w:rsid w:val="0068287F"/>
    <w:rsid w:val="00684336"/>
    <w:rsid w:val="00691D28"/>
    <w:rsid w:val="00693100"/>
    <w:rsid w:val="00694C5A"/>
    <w:rsid w:val="00697B1C"/>
    <w:rsid w:val="006A0181"/>
    <w:rsid w:val="006A19F0"/>
    <w:rsid w:val="006A4B41"/>
    <w:rsid w:val="006A5426"/>
    <w:rsid w:val="006A7B30"/>
    <w:rsid w:val="006B08CF"/>
    <w:rsid w:val="006B0BE3"/>
    <w:rsid w:val="006B282B"/>
    <w:rsid w:val="006B4EA8"/>
    <w:rsid w:val="006B5BAE"/>
    <w:rsid w:val="006B69F2"/>
    <w:rsid w:val="006B758B"/>
    <w:rsid w:val="006C004C"/>
    <w:rsid w:val="006C1EBC"/>
    <w:rsid w:val="006C1EC3"/>
    <w:rsid w:val="006C3D1E"/>
    <w:rsid w:val="006C4E59"/>
    <w:rsid w:val="006D05C5"/>
    <w:rsid w:val="006D08C6"/>
    <w:rsid w:val="006D1DE2"/>
    <w:rsid w:val="006E4278"/>
    <w:rsid w:val="006E520B"/>
    <w:rsid w:val="006E5BFB"/>
    <w:rsid w:val="006F056F"/>
    <w:rsid w:val="006F64C2"/>
    <w:rsid w:val="006F6B5E"/>
    <w:rsid w:val="006F7566"/>
    <w:rsid w:val="006F7800"/>
    <w:rsid w:val="00702273"/>
    <w:rsid w:val="00702E96"/>
    <w:rsid w:val="007059BD"/>
    <w:rsid w:val="00705BA7"/>
    <w:rsid w:val="007118FA"/>
    <w:rsid w:val="00711C85"/>
    <w:rsid w:val="00714F77"/>
    <w:rsid w:val="007213A2"/>
    <w:rsid w:val="00721935"/>
    <w:rsid w:val="0072193A"/>
    <w:rsid w:val="00726D41"/>
    <w:rsid w:val="00727C8D"/>
    <w:rsid w:val="0073038D"/>
    <w:rsid w:val="0073218C"/>
    <w:rsid w:val="007330F7"/>
    <w:rsid w:val="00734230"/>
    <w:rsid w:val="007357FE"/>
    <w:rsid w:val="00736F57"/>
    <w:rsid w:val="00737F54"/>
    <w:rsid w:val="00741330"/>
    <w:rsid w:val="00742209"/>
    <w:rsid w:val="0074237C"/>
    <w:rsid w:val="00742A54"/>
    <w:rsid w:val="00743E49"/>
    <w:rsid w:val="00743FF0"/>
    <w:rsid w:val="00744304"/>
    <w:rsid w:val="00744993"/>
    <w:rsid w:val="007501F9"/>
    <w:rsid w:val="00750867"/>
    <w:rsid w:val="007526AC"/>
    <w:rsid w:val="00752C28"/>
    <w:rsid w:val="00756BEE"/>
    <w:rsid w:val="0075733E"/>
    <w:rsid w:val="00757682"/>
    <w:rsid w:val="007576DF"/>
    <w:rsid w:val="00766BC9"/>
    <w:rsid w:val="00767C03"/>
    <w:rsid w:val="0077200C"/>
    <w:rsid w:val="00775B09"/>
    <w:rsid w:val="00776D26"/>
    <w:rsid w:val="00776D8C"/>
    <w:rsid w:val="00776E7D"/>
    <w:rsid w:val="0078326E"/>
    <w:rsid w:val="00783326"/>
    <w:rsid w:val="007838AC"/>
    <w:rsid w:val="00784AAC"/>
    <w:rsid w:val="007866B4"/>
    <w:rsid w:val="00786A9F"/>
    <w:rsid w:val="007872FA"/>
    <w:rsid w:val="0079026D"/>
    <w:rsid w:val="007903FA"/>
    <w:rsid w:val="00791617"/>
    <w:rsid w:val="00792965"/>
    <w:rsid w:val="00793625"/>
    <w:rsid w:val="00794EDF"/>
    <w:rsid w:val="00795CD2"/>
    <w:rsid w:val="00796313"/>
    <w:rsid w:val="00796E08"/>
    <w:rsid w:val="007A0422"/>
    <w:rsid w:val="007A24A1"/>
    <w:rsid w:val="007A6E37"/>
    <w:rsid w:val="007B3822"/>
    <w:rsid w:val="007B477F"/>
    <w:rsid w:val="007B47F4"/>
    <w:rsid w:val="007C1476"/>
    <w:rsid w:val="007C3387"/>
    <w:rsid w:val="007C3958"/>
    <w:rsid w:val="007C454A"/>
    <w:rsid w:val="007C5A9A"/>
    <w:rsid w:val="007C697D"/>
    <w:rsid w:val="007D4CF8"/>
    <w:rsid w:val="007E151D"/>
    <w:rsid w:val="007E7E33"/>
    <w:rsid w:val="007F108E"/>
    <w:rsid w:val="007F2737"/>
    <w:rsid w:val="007F36FD"/>
    <w:rsid w:val="007F6972"/>
    <w:rsid w:val="00803F18"/>
    <w:rsid w:val="0080405B"/>
    <w:rsid w:val="00804830"/>
    <w:rsid w:val="00807C9E"/>
    <w:rsid w:val="008157A7"/>
    <w:rsid w:val="00816336"/>
    <w:rsid w:val="0081715B"/>
    <w:rsid w:val="00820168"/>
    <w:rsid w:val="00820337"/>
    <w:rsid w:val="00820884"/>
    <w:rsid w:val="0082244D"/>
    <w:rsid w:val="00823E1A"/>
    <w:rsid w:val="00824A70"/>
    <w:rsid w:val="0082578D"/>
    <w:rsid w:val="00825A32"/>
    <w:rsid w:val="00825CB5"/>
    <w:rsid w:val="008307BF"/>
    <w:rsid w:val="00831E36"/>
    <w:rsid w:val="00832835"/>
    <w:rsid w:val="00834A57"/>
    <w:rsid w:val="00835B8B"/>
    <w:rsid w:val="0083702F"/>
    <w:rsid w:val="00840465"/>
    <w:rsid w:val="008422CB"/>
    <w:rsid w:val="00843BF0"/>
    <w:rsid w:val="008442C5"/>
    <w:rsid w:val="00844300"/>
    <w:rsid w:val="00844E96"/>
    <w:rsid w:val="008456B3"/>
    <w:rsid w:val="008464B8"/>
    <w:rsid w:val="00847FDA"/>
    <w:rsid w:val="008507F1"/>
    <w:rsid w:val="00850C51"/>
    <w:rsid w:val="0085380C"/>
    <w:rsid w:val="00855B7D"/>
    <w:rsid w:val="00857C5D"/>
    <w:rsid w:val="008621C9"/>
    <w:rsid w:val="00863351"/>
    <w:rsid w:val="0086482E"/>
    <w:rsid w:val="00865D08"/>
    <w:rsid w:val="00866000"/>
    <w:rsid w:val="00871897"/>
    <w:rsid w:val="00871D29"/>
    <w:rsid w:val="00874E63"/>
    <w:rsid w:val="00881903"/>
    <w:rsid w:val="0088549B"/>
    <w:rsid w:val="00885C60"/>
    <w:rsid w:val="00891699"/>
    <w:rsid w:val="0089249A"/>
    <w:rsid w:val="00896A2E"/>
    <w:rsid w:val="00897AF7"/>
    <w:rsid w:val="008A2D5D"/>
    <w:rsid w:val="008A3EBA"/>
    <w:rsid w:val="008A617B"/>
    <w:rsid w:val="008B0404"/>
    <w:rsid w:val="008B18A2"/>
    <w:rsid w:val="008B4C2C"/>
    <w:rsid w:val="008B7720"/>
    <w:rsid w:val="008C01EF"/>
    <w:rsid w:val="008C1309"/>
    <w:rsid w:val="008C1BF2"/>
    <w:rsid w:val="008C2DE1"/>
    <w:rsid w:val="008C42B6"/>
    <w:rsid w:val="008C49FD"/>
    <w:rsid w:val="008C4BC5"/>
    <w:rsid w:val="008C69D7"/>
    <w:rsid w:val="008D0B2A"/>
    <w:rsid w:val="008D6B98"/>
    <w:rsid w:val="008D7FF4"/>
    <w:rsid w:val="008E5C0F"/>
    <w:rsid w:val="008F13CE"/>
    <w:rsid w:val="008F2ABE"/>
    <w:rsid w:val="008F332F"/>
    <w:rsid w:val="008F5CD9"/>
    <w:rsid w:val="008F7A5B"/>
    <w:rsid w:val="00905393"/>
    <w:rsid w:val="00912E7E"/>
    <w:rsid w:val="00917B58"/>
    <w:rsid w:val="00920163"/>
    <w:rsid w:val="00920565"/>
    <w:rsid w:val="0092188E"/>
    <w:rsid w:val="00921E5C"/>
    <w:rsid w:val="00926137"/>
    <w:rsid w:val="0092619C"/>
    <w:rsid w:val="00926579"/>
    <w:rsid w:val="00926892"/>
    <w:rsid w:val="009275A6"/>
    <w:rsid w:val="00932779"/>
    <w:rsid w:val="00942635"/>
    <w:rsid w:val="0094373A"/>
    <w:rsid w:val="00944A5F"/>
    <w:rsid w:val="00945F36"/>
    <w:rsid w:val="00946883"/>
    <w:rsid w:val="00947CDE"/>
    <w:rsid w:val="0095018F"/>
    <w:rsid w:val="00954462"/>
    <w:rsid w:val="00960BBF"/>
    <w:rsid w:val="00962D9D"/>
    <w:rsid w:val="00962FCB"/>
    <w:rsid w:val="00964477"/>
    <w:rsid w:val="00966F83"/>
    <w:rsid w:val="00970B0A"/>
    <w:rsid w:val="00971A89"/>
    <w:rsid w:val="009746AF"/>
    <w:rsid w:val="009848C2"/>
    <w:rsid w:val="009933B4"/>
    <w:rsid w:val="00994635"/>
    <w:rsid w:val="009A0FFB"/>
    <w:rsid w:val="009A12DD"/>
    <w:rsid w:val="009A51FA"/>
    <w:rsid w:val="009B43FF"/>
    <w:rsid w:val="009B54A6"/>
    <w:rsid w:val="009B655B"/>
    <w:rsid w:val="009B6C2B"/>
    <w:rsid w:val="009C1180"/>
    <w:rsid w:val="009C3AD0"/>
    <w:rsid w:val="009C42E2"/>
    <w:rsid w:val="009C4DCE"/>
    <w:rsid w:val="009C52F8"/>
    <w:rsid w:val="009C64D2"/>
    <w:rsid w:val="009D00A5"/>
    <w:rsid w:val="009D038C"/>
    <w:rsid w:val="009D04DE"/>
    <w:rsid w:val="009D10FF"/>
    <w:rsid w:val="009D143B"/>
    <w:rsid w:val="009D1EC4"/>
    <w:rsid w:val="009D3180"/>
    <w:rsid w:val="009D771A"/>
    <w:rsid w:val="009D7878"/>
    <w:rsid w:val="009E4C3D"/>
    <w:rsid w:val="009F4528"/>
    <w:rsid w:val="009F5007"/>
    <w:rsid w:val="009F564F"/>
    <w:rsid w:val="009F5A19"/>
    <w:rsid w:val="00A01CED"/>
    <w:rsid w:val="00A03F46"/>
    <w:rsid w:val="00A07BB1"/>
    <w:rsid w:val="00A10236"/>
    <w:rsid w:val="00A11E93"/>
    <w:rsid w:val="00A167FF"/>
    <w:rsid w:val="00A2057B"/>
    <w:rsid w:val="00A21C0D"/>
    <w:rsid w:val="00A224F9"/>
    <w:rsid w:val="00A23AD0"/>
    <w:rsid w:val="00A24F93"/>
    <w:rsid w:val="00A25813"/>
    <w:rsid w:val="00A2781E"/>
    <w:rsid w:val="00A30A7B"/>
    <w:rsid w:val="00A321F7"/>
    <w:rsid w:val="00A376A6"/>
    <w:rsid w:val="00A44B1E"/>
    <w:rsid w:val="00A454CD"/>
    <w:rsid w:val="00A45FA0"/>
    <w:rsid w:val="00A476DA"/>
    <w:rsid w:val="00A47C81"/>
    <w:rsid w:val="00A55431"/>
    <w:rsid w:val="00A57E92"/>
    <w:rsid w:val="00A6169D"/>
    <w:rsid w:val="00A63657"/>
    <w:rsid w:val="00A6562C"/>
    <w:rsid w:val="00A735B8"/>
    <w:rsid w:val="00A81CC4"/>
    <w:rsid w:val="00A8430B"/>
    <w:rsid w:val="00A8656A"/>
    <w:rsid w:val="00A871C3"/>
    <w:rsid w:val="00A90A1D"/>
    <w:rsid w:val="00A91430"/>
    <w:rsid w:val="00A91FC1"/>
    <w:rsid w:val="00A93B73"/>
    <w:rsid w:val="00A94D0C"/>
    <w:rsid w:val="00A95D31"/>
    <w:rsid w:val="00A97951"/>
    <w:rsid w:val="00AA2063"/>
    <w:rsid w:val="00AA35C5"/>
    <w:rsid w:val="00AA664E"/>
    <w:rsid w:val="00AB10BA"/>
    <w:rsid w:val="00AB117E"/>
    <w:rsid w:val="00AB3173"/>
    <w:rsid w:val="00AB50E1"/>
    <w:rsid w:val="00AC16A2"/>
    <w:rsid w:val="00AC2E8B"/>
    <w:rsid w:val="00AC2F46"/>
    <w:rsid w:val="00AC5CEB"/>
    <w:rsid w:val="00AC66E9"/>
    <w:rsid w:val="00AD23C3"/>
    <w:rsid w:val="00AD2545"/>
    <w:rsid w:val="00AD3B4B"/>
    <w:rsid w:val="00AD6989"/>
    <w:rsid w:val="00AE4B50"/>
    <w:rsid w:val="00AE4C33"/>
    <w:rsid w:val="00AE58C7"/>
    <w:rsid w:val="00AE5D93"/>
    <w:rsid w:val="00AF0B27"/>
    <w:rsid w:val="00AF3EB2"/>
    <w:rsid w:val="00AF4790"/>
    <w:rsid w:val="00AF4ADF"/>
    <w:rsid w:val="00AF775B"/>
    <w:rsid w:val="00B000B9"/>
    <w:rsid w:val="00B00D85"/>
    <w:rsid w:val="00B1089D"/>
    <w:rsid w:val="00B12855"/>
    <w:rsid w:val="00B13B32"/>
    <w:rsid w:val="00B15085"/>
    <w:rsid w:val="00B152A0"/>
    <w:rsid w:val="00B218A5"/>
    <w:rsid w:val="00B23521"/>
    <w:rsid w:val="00B23562"/>
    <w:rsid w:val="00B23E2A"/>
    <w:rsid w:val="00B24EFE"/>
    <w:rsid w:val="00B270A9"/>
    <w:rsid w:val="00B27BCE"/>
    <w:rsid w:val="00B35F43"/>
    <w:rsid w:val="00B376F1"/>
    <w:rsid w:val="00B37B6A"/>
    <w:rsid w:val="00B40B8C"/>
    <w:rsid w:val="00B425DB"/>
    <w:rsid w:val="00B44552"/>
    <w:rsid w:val="00B52A01"/>
    <w:rsid w:val="00B54CBD"/>
    <w:rsid w:val="00B601C0"/>
    <w:rsid w:val="00B63838"/>
    <w:rsid w:val="00B66B56"/>
    <w:rsid w:val="00B70B80"/>
    <w:rsid w:val="00B71347"/>
    <w:rsid w:val="00B715FA"/>
    <w:rsid w:val="00B720B8"/>
    <w:rsid w:val="00B72E54"/>
    <w:rsid w:val="00B81BFA"/>
    <w:rsid w:val="00B81E70"/>
    <w:rsid w:val="00B83634"/>
    <w:rsid w:val="00B83EEB"/>
    <w:rsid w:val="00B84D64"/>
    <w:rsid w:val="00B85210"/>
    <w:rsid w:val="00B871A4"/>
    <w:rsid w:val="00B94D83"/>
    <w:rsid w:val="00B94D98"/>
    <w:rsid w:val="00BA24ED"/>
    <w:rsid w:val="00BA71AB"/>
    <w:rsid w:val="00BB129A"/>
    <w:rsid w:val="00BB4141"/>
    <w:rsid w:val="00BB4348"/>
    <w:rsid w:val="00BB46F1"/>
    <w:rsid w:val="00BC04FC"/>
    <w:rsid w:val="00BC0686"/>
    <w:rsid w:val="00BC0DB1"/>
    <w:rsid w:val="00BC121F"/>
    <w:rsid w:val="00BC727D"/>
    <w:rsid w:val="00BC746B"/>
    <w:rsid w:val="00BD198F"/>
    <w:rsid w:val="00BD224F"/>
    <w:rsid w:val="00BD437A"/>
    <w:rsid w:val="00BD56E6"/>
    <w:rsid w:val="00BE0954"/>
    <w:rsid w:val="00BE1547"/>
    <w:rsid w:val="00BE2911"/>
    <w:rsid w:val="00BE49B0"/>
    <w:rsid w:val="00BE54C3"/>
    <w:rsid w:val="00BE7197"/>
    <w:rsid w:val="00BE78BF"/>
    <w:rsid w:val="00BE7EAD"/>
    <w:rsid w:val="00BF10A4"/>
    <w:rsid w:val="00BF1A18"/>
    <w:rsid w:val="00BF1AF0"/>
    <w:rsid w:val="00BF1F63"/>
    <w:rsid w:val="00BF204F"/>
    <w:rsid w:val="00BF22C8"/>
    <w:rsid w:val="00BF3163"/>
    <w:rsid w:val="00BF5693"/>
    <w:rsid w:val="00BF65D9"/>
    <w:rsid w:val="00C01E91"/>
    <w:rsid w:val="00C038A1"/>
    <w:rsid w:val="00C04254"/>
    <w:rsid w:val="00C050A1"/>
    <w:rsid w:val="00C05D1C"/>
    <w:rsid w:val="00C11F86"/>
    <w:rsid w:val="00C138C2"/>
    <w:rsid w:val="00C17D4D"/>
    <w:rsid w:val="00C20F3A"/>
    <w:rsid w:val="00C22F3F"/>
    <w:rsid w:val="00C24850"/>
    <w:rsid w:val="00C252E5"/>
    <w:rsid w:val="00C25EAD"/>
    <w:rsid w:val="00C261F6"/>
    <w:rsid w:val="00C277BB"/>
    <w:rsid w:val="00C27F20"/>
    <w:rsid w:val="00C3003F"/>
    <w:rsid w:val="00C31BB7"/>
    <w:rsid w:val="00C32063"/>
    <w:rsid w:val="00C331E6"/>
    <w:rsid w:val="00C33FC8"/>
    <w:rsid w:val="00C36452"/>
    <w:rsid w:val="00C4110B"/>
    <w:rsid w:val="00C42FEF"/>
    <w:rsid w:val="00C45C18"/>
    <w:rsid w:val="00C471A2"/>
    <w:rsid w:val="00C477B5"/>
    <w:rsid w:val="00C47D3E"/>
    <w:rsid w:val="00C512BF"/>
    <w:rsid w:val="00C51C91"/>
    <w:rsid w:val="00C53BF1"/>
    <w:rsid w:val="00C55233"/>
    <w:rsid w:val="00C606E3"/>
    <w:rsid w:val="00C60B4F"/>
    <w:rsid w:val="00C60FC0"/>
    <w:rsid w:val="00C70D9C"/>
    <w:rsid w:val="00C761DC"/>
    <w:rsid w:val="00C82D1A"/>
    <w:rsid w:val="00C82D92"/>
    <w:rsid w:val="00C86533"/>
    <w:rsid w:val="00C86D97"/>
    <w:rsid w:val="00C87A1B"/>
    <w:rsid w:val="00C87B3C"/>
    <w:rsid w:val="00C9057B"/>
    <w:rsid w:val="00C9059A"/>
    <w:rsid w:val="00C9104B"/>
    <w:rsid w:val="00C92104"/>
    <w:rsid w:val="00C92983"/>
    <w:rsid w:val="00C961E2"/>
    <w:rsid w:val="00C9695A"/>
    <w:rsid w:val="00CA091B"/>
    <w:rsid w:val="00CA280C"/>
    <w:rsid w:val="00CA2AEE"/>
    <w:rsid w:val="00CA34BC"/>
    <w:rsid w:val="00CA3806"/>
    <w:rsid w:val="00CA3952"/>
    <w:rsid w:val="00CA4C09"/>
    <w:rsid w:val="00CA5CA1"/>
    <w:rsid w:val="00CA5E0C"/>
    <w:rsid w:val="00CA5FC4"/>
    <w:rsid w:val="00CB07D2"/>
    <w:rsid w:val="00CB0AA2"/>
    <w:rsid w:val="00CB444C"/>
    <w:rsid w:val="00CB46F7"/>
    <w:rsid w:val="00CB495C"/>
    <w:rsid w:val="00CB5803"/>
    <w:rsid w:val="00CC4C6D"/>
    <w:rsid w:val="00CC7A20"/>
    <w:rsid w:val="00CD0F15"/>
    <w:rsid w:val="00CD51AC"/>
    <w:rsid w:val="00CD6FA1"/>
    <w:rsid w:val="00CD7051"/>
    <w:rsid w:val="00CD7BF6"/>
    <w:rsid w:val="00CE37C5"/>
    <w:rsid w:val="00CE3F36"/>
    <w:rsid w:val="00CE4CFA"/>
    <w:rsid w:val="00CE5A87"/>
    <w:rsid w:val="00CE614C"/>
    <w:rsid w:val="00CF09BF"/>
    <w:rsid w:val="00CF17F0"/>
    <w:rsid w:val="00CF28FC"/>
    <w:rsid w:val="00CF6F63"/>
    <w:rsid w:val="00D069B0"/>
    <w:rsid w:val="00D100AD"/>
    <w:rsid w:val="00D11D0D"/>
    <w:rsid w:val="00D12F43"/>
    <w:rsid w:val="00D16408"/>
    <w:rsid w:val="00D174DB"/>
    <w:rsid w:val="00D20728"/>
    <w:rsid w:val="00D2100A"/>
    <w:rsid w:val="00D22221"/>
    <w:rsid w:val="00D31C67"/>
    <w:rsid w:val="00D325B4"/>
    <w:rsid w:val="00D3432C"/>
    <w:rsid w:val="00D36432"/>
    <w:rsid w:val="00D41D61"/>
    <w:rsid w:val="00D441B8"/>
    <w:rsid w:val="00D51CE9"/>
    <w:rsid w:val="00D62762"/>
    <w:rsid w:val="00D664CC"/>
    <w:rsid w:val="00D705C6"/>
    <w:rsid w:val="00D7274D"/>
    <w:rsid w:val="00D73C9C"/>
    <w:rsid w:val="00D740EA"/>
    <w:rsid w:val="00D752B8"/>
    <w:rsid w:val="00D770D3"/>
    <w:rsid w:val="00D80634"/>
    <w:rsid w:val="00D814C3"/>
    <w:rsid w:val="00D8683D"/>
    <w:rsid w:val="00D86EE4"/>
    <w:rsid w:val="00DA4182"/>
    <w:rsid w:val="00DA53E1"/>
    <w:rsid w:val="00DA647A"/>
    <w:rsid w:val="00DB3396"/>
    <w:rsid w:val="00DB44D1"/>
    <w:rsid w:val="00DB58D5"/>
    <w:rsid w:val="00DB5A49"/>
    <w:rsid w:val="00DB7D29"/>
    <w:rsid w:val="00DC1D90"/>
    <w:rsid w:val="00DC5E54"/>
    <w:rsid w:val="00DD0A06"/>
    <w:rsid w:val="00DD23D1"/>
    <w:rsid w:val="00DD24F8"/>
    <w:rsid w:val="00DD4C42"/>
    <w:rsid w:val="00DD667A"/>
    <w:rsid w:val="00DD77FB"/>
    <w:rsid w:val="00DE34EF"/>
    <w:rsid w:val="00DF07F8"/>
    <w:rsid w:val="00DF0FEE"/>
    <w:rsid w:val="00DF10C3"/>
    <w:rsid w:val="00DF2AD2"/>
    <w:rsid w:val="00DF441A"/>
    <w:rsid w:val="00DF443A"/>
    <w:rsid w:val="00DF73D0"/>
    <w:rsid w:val="00E0211C"/>
    <w:rsid w:val="00E02FDB"/>
    <w:rsid w:val="00E03460"/>
    <w:rsid w:val="00E10000"/>
    <w:rsid w:val="00E103A2"/>
    <w:rsid w:val="00E10B4E"/>
    <w:rsid w:val="00E11F76"/>
    <w:rsid w:val="00E14E2F"/>
    <w:rsid w:val="00E2054E"/>
    <w:rsid w:val="00E2287F"/>
    <w:rsid w:val="00E245DB"/>
    <w:rsid w:val="00E24CC0"/>
    <w:rsid w:val="00E24EDE"/>
    <w:rsid w:val="00E2580C"/>
    <w:rsid w:val="00E319AF"/>
    <w:rsid w:val="00E336BE"/>
    <w:rsid w:val="00E42394"/>
    <w:rsid w:val="00E436BC"/>
    <w:rsid w:val="00E455E0"/>
    <w:rsid w:val="00E53A1F"/>
    <w:rsid w:val="00E57616"/>
    <w:rsid w:val="00E57BD7"/>
    <w:rsid w:val="00E60C38"/>
    <w:rsid w:val="00E61A75"/>
    <w:rsid w:val="00E628F5"/>
    <w:rsid w:val="00E6654E"/>
    <w:rsid w:val="00E668DE"/>
    <w:rsid w:val="00E71516"/>
    <w:rsid w:val="00E71519"/>
    <w:rsid w:val="00E716A6"/>
    <w:rsid w:val="00E73B76"/>
    <w:rsid w:val="00E771C9"/>
    <w:rsid w:val="00E7756D"/>
    <w:rsid w:val="00E80D6C"/>
    <w:rsid w:val="00E8478C"/>
    <w:rsid w:val="00E85988"/>
    <w:rsid w:val="00E86DBA"/>
    <w:rsid w:val="00E87E43"/>
    <w:rsid w:val="00E972FC"/>
    <w:rsid w:val="00EA1659"/>
    <w:rsid w:val="00EA1EF3"/>
    <w:rsid w:val="00EA20ED"/>
    <w:rsid w:val="00EA3E13"/>
    <w:rsid w:val="00EA41A9"/>
    <w:rsid w:val="00EA5F2E"/>
    <w:rsid w:val="00EB49EB"/>
    <w:rsid w:val="00EB5221"/>
    <w:rsid w:val="00EC111B"/>
    <w:rsid w:val="00EC1896"/>
    <w:rsid w:val="00EC4555"/>
    <w:rsid w:val="00EC655B"/>
    <w:rsid w:val="00ED0AFE"/>
    <w:rsid w:val="00ED442B"/>
    <w:rsid w:val="00ED4996"/>
    <w:rsid w:val="00ED611F"/>
    <w:rsid w:val="00EE0E7E"/>
    <w:rsid w:val="00EE144E"/>
    <w:rsid w:val="00EE5335"/>
    <w:rsid w:val="00EF5858"/>
    <w:rsid w:val="00EF606E"/>
    <w:rsid w:val="00EF738E"/>
    <w:rsid w:val="00EF7424"/>
    <w:rsid w:val="00EF74E0"/>
    <w:rsid w:val="00F008F2"/>
    <w:rsid w:val="00F04320"/>
    <w:rsid w:val="00F05592"/>
    <w:rsid w:val="00F0563E"/>
    <w:rsid w:val="00F05C35"/>
    <w:rsid w:val="00F07CDA"/>
    <w:rsid w:val="00F10D4A"/>
    <w:rsid w:val="00F15AA1"/>
    <w:rsid w:val="00F165E6"/>
    <w:rsid w:val="00F20A72"/>
    <w:rsid w:val="00F21297"/>
    <w:rsid w:val="00F2151D"/>
    <w:rsid w:val="00F21BE7"/>
    <w:rsid w:val="00F240B7"/>
    <w:rsid w:val="00F25F54"/>
    <w:rsid w:val="00F27121"/>
    <w:rsid w:val="00F325AC"/>
    <w:rsid w:val="00F34553"/>
    <w:rsid w:val="00F35ED3"/>
    <w:rsid w:val="00F41FE7"/>
    <w:rsid w:val="00F43387"/>
    <w:rsid w:val="00F44891"/>
    <w:rsid w:val="00F46239"/>
    <w:rsid w:val="00F46AC7"/>
    <w:rsid w:val="00F5037E"/>
    <w:rsid w:val="00F517CF"/>
    <w:rsid w:val="00F52C50"/>
    <w:rsid w:val="00F53ADC"/>
    <w:rsid w:val="00F54224"/>
    <w:rsid w:val="00F555B8"/>
    <w:rsid w:val="00F56A8F"/>
    <w:rsid w:val="00F61569"/>
    <w:rsid w:val="00F62869"/>
    <w:rsid w:val="00F630DB"/>
    <w:rsid w:val="00F65ADE"/>
    <w:rsid w:val="00F67C5C"/>
    <w:rsid w:val="00F7089C"/>
    <w:rsid w:val="00F70EA3"/>
    <w:rsid w:val="00F712FD"/>
    <w:rsid w:val="00F75F40"/>
    <w:rsid w:val="00F8126A"/>
    <w:rsid w:val="00F8173E"/>
    <w:rsid w:val="00F8333A"/>
    <w:rsid w:val="00F834DE"/>
    <w:rsid w:val="00F87F33"/>
    <w:rsid w:val="00F909FA"/>
    <w:rsid w:val="00F91FA4"/>
    <w:rsid w:val="00F931F1"/>
    <w:rsid w:val="00F936BF"/>
    <w:rsid w:val="00F94B82"/>
    <w:rsid w:val="00F9724E"/>
    <w:rsid w:val="00FA6691"/>
    <w:rsid w:val="00FB1A6A"/>
    <w:rsid w:val="00FB3DC7"/>
    <w:rsid w:val="00FB3E03"/>
    <w:rsid w:val="00FB7998"/>
    <w:rsid w:val="00FC13A5"/>
    <w:rsid w:val="00FC1D8B"/>
    <w:rsid w:val="00FC27AF"/>
    <w:rsid w:val="00FC39FE"/>
    <w:rsid w:val="00FC4186"/>
    <w:rsid w:val="00FD2042"/>
    <w:rsid w:val="00FD6698"/>
    <w:rsid w:val="00FD7454"/>
    <w:rsid w:val="00FE1F6D"/>
    <w:rsid w:val="00FE3FD9"/>
    <w:rsid w:val="00FE5471"/>
    <w:rsid w:val="00FE5694"/>
    <w:rsid w:val="00FF0C5C"/>
    <w:rsid w:val="00FF1271"/>
    <w:rsid w:val="00FF2309"/>
    <w:rsid w:val="00FF5166"/>
    <w:rsid w:val="00FF5B9B"/>
    <w:rsid w:val="00FF70CB"/>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7F91615"/>
  <w15:docId w15:val="{5EE8B111-701C-49FA-B068-F321CBD91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qFormat="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42C"/>
    <w:pPr>
      <w:jc w:val="both"/>
    </w:pPr>
    <w:rPr>
      <w:rFonts w:ascii="Arial" w:hAnsi="Arial"/>
      <w:sz w:val="18"/>
      <w:szCs w:val="24"/>
    </w:rPr>
  </w:style>
  <w:style w:type="paragraph" w:styleId="Heading1">
    <w:name w:val="heading 1"/>
    <w:basedOn w:val="Normal"/>
    <w:next w:val="Paragraph"/>
    <w:link w:val="Heading1Char"/>
    <w:qFormat/>
    <w:rsid w:val="001B7FA9"/>
    <w:pPr>
      <w:keepNext/>
      <w:keepLines/>
      <w:pageBreakBefore/>
      <w:widowControl w:val="0"/>
      <w:numPr>
        <w:numId w:val="1"/>
      </w:numPr>
      <w:tabs>
        <w:tab w:val="left" w:pos="851"/>
      </w:tabs>
      <w:spacing w:before="240" w:after="120"/>
      <w:outlineLvl w:val="0"/>
    </w:pPr>
    <w:rPr>
      <w:b/>
      <w:caps/>
      <w:color w:val="3EB1C8"/>
      <w:sz w:val="28"/>
      <w:szCs w:val="28"/>
    </w:rPr>
  </w:style>
  <w:style w:type="paragraph" w:styleId="Heading2">
    <w:name w:val="heading 2"/>
    <w:basedOn w:val="Normal"/>
    <w:next w:val="Paragraph"/>
    <w:link w:val="Heading2Char"/>
    <w:qFormat/>
    <w:rsid w:val="00A55431"/>
    <w:pPr>
      <w:keepNext/>
      <w:keepLines/>
      <w:numPr>
        <w:ilvl w:val="1"/>
        <w:numId w:val="1"/>
      </w:numPr>
      <w:tabs>
        <w:tab w:val="left" w:pos="851"/>
        <w:tab w:val="left" w:pos="964"/>
      </w:tabs>
      <w:spacing w:before="240" w:after="120"/>
      <w:outlineLvl w:val="1"/>
    </w:pPr>
    <w:rPr>
      <w:b/>
      <w:caps/>
      <w:color w:val="3EB1C8"/>
      <w:sz w:val="24"/>
    </w:rPr>
  </w:style>
  <w:style w:type="paragraph" w:styleId="Heading3">
    <w:name w:val="heading 3"/>
    <w:basedOn w:val="Normal"/>
    <w:next w:val="Paragraph"/>
    <w:link w:val="Heading3Char"/>
    <w:qFormat/>
    <w:rsid w:val="00A55431"/>
    <w:pPr>
      <w:keepNext/>
      <w:keepLines/>
      <w:numPr>
        <w:ilvl w:val="2"/>
        <w:numId w:val="1"/>
      </w:numPr>
      <w:tabs>
        <w:tab w:val="left" w:pos="851"/>
      </w:tabs>
      <w:spacing w:before="240"/>
      <w:outlineLvl w:val="2"/>
    </w:pPr>
    <w:rPr>
      <w:b/>
      <w:noProof/>
      <w:color w:val="3EB1C8"/>
      <w:sz w:val="22"/>
      <w:szCs w:val="20"/>
    </w:rPr>
  </w:style>
  <w:style w:type="paragraph" w:styleId="Heading4">
    <w:name w:val="heading 4"/>
    <w:basedOn w:val="Normal"/>
    <w:next w:val="Paragraph"/>
    <w:link w:val="Heading4Char"/>
    <w:qFormat/>
    <w:rsid w:val="003E6797"/>
    <w:pPr>
      <w:keepNext/>
      <w:keepLines/>
      <w:numPr>
        <w:ilvl w:val="3"/>
        <w:numId w:val="1"/>
      </w:numPr>
      <w:tabs>
        <w:tab w:val="left" w:pos="907"/>
      </w:tabs>
      <w:spacing w:before="240" w:after="120"/>
      <w:outlineLvl w:val="3"/>
    </w:pPr>
    <w:rPr>
      <w:color w:val="3EB1C8"/>
      <w:szCs w:val="20"/>
      <w:u w:val="single"/>
    </w:rPr>
  </w:style>
  <w:style w:type="paragraph" w:styleId="Heading5">
    <w:name w:val="heading 5"/>
    <w:basedOn w:val="Normal"/>
    <w:next w:val="Paragraph"/>
    <w:link w:val="Heading5Char"/>
    <w:qFormat/>
    <w:rsid w:val="00874E63"/>
    <w:pPr>
      <w:numPr>
        <w:ilvl w:val="4"/>
        <w:numId w:val="1"/>
      </w:numPr>
      <w:tabs>
        <w:tab w:val="clear" w:pos="0"/>
        <w:tab w:val="left" w:pos="851"/>
      </w:tabs>
      <w:spacing w:before="240" w:after="120"/>
      <w:outlineLvl w:val="4"/>
    </w:pPr>
    <w:rPr>
      <w:i/>
      <w:color w:val="3EB1C8"/>
      <w:szCs w:val="20"/>
    </w:rPr>
  </w:style>
  <w:style w:type="paragraph" w:styleId="Heading6">
    <w:name w:val="heading 6"/>
    <w:basedOn w:val="Normal"/>
    <w:next w:val="Paragraph"/>
    <w:link w:val="Heading6Char"/>
    <w:qFormat/>
    <w:rsid w:val="00874E63"/>
    <w:pPr>
      <w:spacing w:before="240" w:after="120"/>
      <w:outlineLvl w:val="5"/>
    </w:pPr>
    <w:rPr>
      <w:i/>
      <w:color w:val="3EB1C8"/>
      <w:szCs w:val="20"/>
    </w:rPr>
  </w:style>
  <w:style w:type="paragraph" w:styleId="Heading7">
    <w:name w:val="heading 7"/>
    <w:basedOn w:val="Normal"/>
    <w:next w:val="Normal"/>
    <w:link w:val="Heading7Char"/>
    <w:qFormat/>
    <w:rsid w:val="00AF775B"/>
    <w:pPr>
      <w:spacing w:before="240" w:after="60"/>
      <w:outlineLvl w:val="6"/>
    </w:pPr>
  </w:style>
  <w:style w:type="paragraph" w:styleId="Heading8">
    <w:name w:val="heading 8"/>
    <w:basedOn w:val="Normal"/>
    <w:next w:val="Normal"/>
    <w:link w:val="Heading8Char"/>
    <w:qFormat/>
    <w:rsid w:val="00AF775B"/>
    <w:pPr>
      <w:spacing w:before="240" w:after="60"/>
      <w:outlineLvl w:val="7"/>
    </w:pPr>
    <w:rPr>
      <w:i/>
    </w:rPr>
  </w:style>
  <w:style w:type="paragraph" w:styleId="Heading9">
    <w:name w:val="heading 9"/>
    <w:basedOn w:val="Normal"/>
    <w:next w:val="Normal"/>
    <w:link w:val="Heading9Char"/>
    <w:qFormat/>
    <w:rsid w:val="00AF775B"/>
    <w:pPr>
      <w:spacing w:before="240" w:after="6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AF775B"/>
    <w:rPr>
      <w:rFonts w:ascii="Tahoma" w:hAnsi="Tahoma" w:cs="Tahoma"/>
      <w:sz w:val="16"/>
      <w:szCs w:val="16"/>
    </w:rPr>
  </w:style>
  <w:style w:type="character" w:customStyle="1" w:styleId="BalloonTextChar">
    <w:name w:val="Balloon Text Char"/>
    <w:link w:val="BalloonText"/>
    <w:semiHidden/>
    <w:rsid w:val="00AF775B"/>
    <w:rPr>
      <w:rFonts w:ascii="Tahoma" w:eastAsia="Times New Roman" w:hAnsi="Tahoma" w:cs="Tahoma"/>
      <w:sz w:val="16"/>
      <w:szCs w:val="16"/>
      <w:lang w:eastAsia="it-IT"/>
    </w:rPr>
  </w:style>
  <w:style w:type="paragraph" w:styleId="Caption">
    <w:name w:val="caption"/>
    <w:aliases w:val="table"/>
    <w:basedOn w:val="Normal"/>
    <w:next w:val="Normal"/>
    <w:link w:val="CaptionChar"/>
    <w:qFormat/>
    <w:rsid w:val="00BC727D"/>
    <w:pPr>
      <w:tabs>
        <w:tab w:val="left" w:pos="170"/>
        <w:tab w:val="left" w:pos="1418"/>
      </w:tabs>
      <w:spacing w:before="240" w:after="120"/>
      <w:ind w:firstLine="284"/>
      <w:jc w:val="center"/>
    </w:pPr>
    <w:rPr>
      <w:b/>
      <w:bCs/>
      <w:color w:val="3EB1C8"/>
      <w:szCs w:val="20"/>
    </w:rPr>
  </w:style>
  <w:style w:type="character" w:styleId="CommentReference">
    <w:name w:val="annotation reference"/>
    <w:semiHidden/>
    <w:rsid w:val="00AF775B"/>
    <w:rPr>
      <w:sz w:val="16"/>
      <w:szCs w:val="16"/>
    </w:rPr>
  </w:style>
  <w:style w:type="paragraph" w:styleId="CommentText">
    <w:name w:val="annotation text"/>
    <w:basedOn w:val="Normal"/>
    <w:link w:val="CommentTextChar"/>
    <w:semiHidden/>
    <w:rsid w:val="00AF775B"/>
    <w:rPr>
      <w:szCs w:val="20"/>
    </w:rPr>
  </w:style>
  <w:style w:type="character" w:customStyle="1" w:styleId="CommentTextChar">
    <w:name w:val="Comment Text Char"/>
    <w:link w:val="CommentText"/>
    <w:semiHidden/>
    <w:rsid w:val="00AF775B"/>
    <w:rPr>
      <w:rFonts w:ascii="Times New Roman" w:eastAsia="Times New Roman" w:hAnsi="Times New Roman" w:cs="Times New Roman"/>
      <w:sz w:val="20"/>
      <w:szCs w:val="20"/>
      <w:lang w:eastAsia="it-IT"/>
    </w:rPr>
  </w:style>
  <w:style w:type="paragraph" w:styleId="CommentSubject">
    <w:name w:val="annotation subject"/>
    <w:basedOn w:val="CommentText"/>
    <w:next w:val="CommentText"/>
    <w:link w:val="CommentSubjectChar"/>
    <w:semiHidden/>
    <w:rsid w:val="00AF775B"/>
    <w:rPr>
      <w:b/>
      <w:bCs/>
    </w:rPr>
  </w:style>
  <w:style w:type="character" w:customStyle="1" w:styleId="CommentSubjectChar">
    <w:name w:val="Comment Subject Char"/>
    <w:link w:val="CommentSubject"/>
    <w:semiHidden/>
    <w:rsid w:val="00AF775B"/>
    <w:rPr>
      <w:rFonts w:ascii="Times New Roman" w:eastAsia="Times New Roman" w:hAnsi="Times New Roman" w:cs="Times New Roman"/>
      <w:b/>
      <w:bCs/>
      <w:sz w:val="20"/>
      <w:szCs w:val="20"/>
      <w:lang w:eastAsia="it-IT"/>
    </w:rPr>
  </w:style>
  <w:style w:type="paragraph" w:customStyle="1" w:styleId="COVERAPPENDIX">
    <w:name w:val="COVER APPENDIX"/>
    <w:basedOn w:val="Normal"/>
    <w:next w:val="Normal"/>
    <w:rsid w:val="001A73E8"/>
    <w:pPr>
      <w:jc w:val="center"/>
    </w:pPr>
    <w:rPr>
      <w:b/>
      <w:caps/>
      <w:color w:val="0070C0"/>
      <w:sz w:val="28"/>
      <w:szCs w:val="22"/>
    </w:rPr>
  </w:style>
  <w:style w:type="paragraph" w:customStyle="1" w:styleId="CoverMainHeading">
    <w:name w:val="Cover Main Heading"/>
    <w:basedOn w:val="Normal"/>
    <w:rsid w:val="00145170"/>
    <w:pPr>
      <w:jc w:val="left"/>
    </w:pPr>
    <w:rPr>
      <w:b/>
      <w:color w:val="3EB1C8"/>
      <w:sz w:val="40"/>
      <w:szCs w:val="20"/>
    </w:rPr>
  </w:style>
  <w:style w:type="paragraph" w:styleId="Footer">
    <w:name w:val="footer"/>
    <w:basedOn w:val="Normal"/>
    <w:link w:val="FooterChar"/>
    <w:rsid w:val="005751C9"/>
    <w:pPr>
      <w:pBdr>
        <w:top w:val="double" w:sz="4" w:space="1" w:color="3EB1C8"/>
      </w:pBdr>
      <w:tabs>
        <w:tab w:val="right" w:pos="9072"/>
      </w:tabs>
      <w:jc w:val="left"/>
    </w:pPr>
  </w:style>
  <w:style w:type="character" w:customStyle="1" w:styleId="FooterChar">
    <w:name w:val="Footer Char"/>
    <w:basedOn w:val="DefaultParagraphFont"/>
    <w:link w:val="Footer"/>
    <w:rsid w:val="005751C9"/>
    <w:rPr>
      <w:rFonts w:ascii="Arial" w:hAnsi="Arial"/>
      <w:sz w:val="18"/>
      <w:szCs w:val="24"/>
    </w:rPr>
  </w:style>
  <w:style w:type="paragraph" w:customStyle="1" w:styleId="CoverPageFooter">
    <w:name w:val="Cover Page Footer"/>
    <w:basedOn w:val="Footer"/>
    <w:rsid w:val="00AF775B"/>
    <w:pPr>
      <w:tabs>
        <w:tab w:val="clear" w:pos="9072"/>
      </w:tabs>
      <w:jc w:val="center"/>
    </w:pPr>
    <w:rPr>
      <w:szCs w:val="20"/>
    </w:rPr>
  </w:style>
  <w:style w:type="paragraph" w:customStyle="1" w:styleId="CoverPageHeader">
    <w:name w:val="Cover Page Header"/>
    <w:basedOn w:val="Normal"/>
    <w:rsid w:val="00C277BB"/>
    <w:rPr>
      <w:b/>
      <w:color w:val="3EB1C8"/>
      <w:sz w:val="28"/>
      <w:szCs w:val="20"/>
    </w:rPr>
  </w:style>
  <w:style w:type="paragraph" w:customStyle="1" w:styleId="CoverProjectName">
    <w:name w:val="Cover Project Name"/>
    <w:basedOn w:val="Normal"/>
    <w:rsid w:val="003E49DC"/>
    <w:pPr>
      <w:jc w:val="left"/>
    </w:pPr>
    <w:rPr>
      <w:b/>
      <w:color w:val="3EB1C8"/>
      <w:sz w:val="32"/>
      <w:szCs w:val="20"/>
    </w:rPr>
  </w:style>
  <w:style w:type="paragraph" w:customStyle="1" w:styleId="CoverReportTitle">
    <w:name w:val="Cover Report Title"/>
    <w:basedOn w:val="Normal"/>
    <w:rsid w:val="00D16408"/>
    <w:pPr>
      <w:jc w:val="left"/>
    </w:pPr>
    <w:rPr>
      <w:sz w:val="36"/>
      <w:szCs w:val="20"/>
    </w:rPr>
  </w:style>
  <w:style w:type="paragraph" w:customStyle="1" w:styleId="CoverSignsRevisions">
    <w:name w:val="Cover Signs/Revisions"/>
    <w:basedOn w:val="Normal"/>
    <w:rsid w:val="00AF775B"/>
    <w:rPr>
      <w:szCs w:val="20"/>
    </w:rPr>
  </w:style>
  <w:style w:type="paragraph" w:customStyle="1" w:styleId="CoverTableHeaders">
    <w:name w:val="Cover Table Headers"/>
    <w:basedOn w:val="Normal"/>
    <w:rsid w:val="00AF775B"/>
    <w:pPr>
      <w:spacing w:line="240" w:lineRule="atLeast"/>
    </w:pPr>
    <w:rPr>
      <w:szCs w:val="20"/>
      <w:lang w:val="en-GB"/>
    </w:rPr>
  </w:style>
  <w:style w:type="character" w:styleId="EndnoteReference">
    <w:name w:val="endnote reference"/>
    <w:semiHidden/>
    <w:rsid w:val="00AF775B"/>
    <w:rPr>
      <w:vertAlign w:val="superscript"/>
    </w:rPr>
  </w:style>
  <w:style w:type="paragraph" w:styleId="EndnoteText">
    <w:name w:val="endnote text"/>
    <w:basedOn w:val="Normal"/>
    <w:link w:val="EndnoteTextChar"/>
    <w:semiHidden/>
    <w:rsid w:val="00AF775B"/>
    <w:rPr>
      <w:szCs w:val="20"/>
    </w:rPr>
  </w:style>
  <w:style w:type="character" w:customStyle="1" w:styleId="EndnoteTextChar">
    <w:name w:val="Endnote Text Char"/>
    <w:link w:val="EndnoteText"/>
    <w:semiHidden/>
    <w:rsid w:val="00AF775B"/>
    <w:rPr>
      <w:rFonts w:ascii="Times New Roman" w:eastAsia="Times New Roman" w:hAnsi="Times New Roman" w:cs="Times New Roman"/>
      <w:sz w:val="20"/>
      <w:szCs w:val="20"/>
      <w:lang w:eastAsia="it-IT"/>
    </w:rPr>
  </w:style>
  <w:style w:type="paragraph" w:customStyle="1" w:styleId="Equation">
    <w:name w:val="Equation"/>
    <w:basedOn w:val="Normal"/>
    <w:next w:val="Normal"/>
    <w:rsid w:val="00AF775B"/>
    <w:pPr>
      <w:tabs>
        <w:tab w:val="center" w:pos="4933"/>
        <w:tab w:val="right" w:pos="9072"/>
      </w:tabs>
      <w:ind w:left="851"/>
    </w:pPr>
    <w:rPr>
      <w:lang w:val="en-GB"/>
    </w:rPr>
  </w:style>
  <w:style w:type="paragraph" w:customStyle="1" w:styleId="Paragraph">
    <w:name w:val="Paragraph"/>
    <w:basedOn w:val="Normal"/>
    <w:link w:val="ParagraphChar"/>
    <w:rsid w:val="00F05592"/>
    <w:pPr>
      <w:tabs>
        <w:tab w:val="left" w:pos="851"/>
      </w:tabs>
      <w:spacing w:before="120" w:after="120"/>
    </w:pPr>
  </w:style>
  <w:style w:type="paragraph" w:customStyle="1" w:styleId="EquationDescription">
    <w:name w:val="Equation Description"/>
    <w:basedOn w:val="Paragraph"/>
    <w:next w:val="Paragraph"/>
    <w:rsid w:val="00AF775B"/>
    <w:pPr>
      <w:tabs>
        <w:tab w:val="clear" w:pos="851"/>
        <w:tab w:val="left" w:pos="1418"/>
        <w:tab w:val="left" w:pos="1985"/>
      </w:tabs>
    </w:pPr>
    <w:rPr>
      <w:lang w:val="en-GB"/>
    </w:rPr>
  </w:style>
  <w:style w:type="paragraph" w:customStyle="1" w:styleId="Figure">
    <w:name w:val="Figure"/>
    <w:basedOn w:val="Paragraph"/>
    <w:qFormat/>
    <w:rsid w:val="00AF775B"/>
    <w:pPr>
      <w:keepNext/>
      <w:spacing w:before="360"/>
      <w:jc w:val="center"/>
    </w:pPr>
    <w:rPr>
      <w:noProof/>
    </w:rPr>
  </w:style>
  <w:style w:type="paragraph" w:customStyle="1" w:styleId="FigureandTable">
    <w:name w:val="Figure and Table"/>
    <w:basedOn w:val="Normal"/>
    <w:rsid w:val="00AF775B"/>
    <w:pPr>
      <w:jc w:val="center"/>
    </w:pPr>
  </w:style>
  <w:style w:type="character" w:styleId="FollowedHyperlink">
    <w:name w:val="FollowedHyperlink"/>
    <w:rsid w:val="00AF775B"/>
    <w:rPr>
      <w:color w:val="800080"/>
      <w:u w:val="single"/>
    </w:rPr>
  </w:style>
  <w:style w:type="paragraph" w:customStyle="1" w:styleId="Footer1stpage">
    <w:name w:val="Footer 1st page"/>
    <w:basedOn w:val="Normal"/>
    <w:next w:val="Normal"/>
    <w:rsid w:val="00855B7D"/>
    <w:pPr>
      <w:jc w:val="center"/>
    </w:pPr>
    <w:rPr>
      <w:rFonts w:ascii="Calibri" w:hAnsi="Calibri"/>
      <w:sz w:val="16"/>
      <w:szCs w:val="16"/>
    </w:rPr>
  </w:style>
  <w:style w:type="paragraph" w:customStyle="1" w:styleId="FooterReference">
    <w:name w:val="Footer Reference"/>
    <w:basedOn w:val="Footer1stpage"/>
    <w:next w:val="Paragraph"/>
    <w:rsid w:val="00AF775B"/>
    <w:pPr>
      <w:pBdr>
        <w:top w:val="single" w:sz="2" w:space="1" w:color="auto"/>
      </w:pBdr>
      <w:tabs>
        <w:tab w:val="right" w:pos="9072"/>
      </w:tabs>
      <w:jc w:val="both"/>
    </w:pPr>
  </w:style>
  <w:style w:type="paragraph" w:customStyle="1" w:styleId="FooterAppendix">
    <w:name w:val="Footer Appendix"/>
    <w:basedOn w:val="FooterReference"/>
    <w:next w:val="Paragraph"/>
    <w:rsid w:val="00AF775B"/>
  </w:style>
  <w:style w:type="character" w:styleId="FootnoteReference">
    <w:name w:val="footnote reference"/>
    <w:qFormat/>
    <w:rsid w:val="00573418"/>
    <w:rPr>
      <w:rFonts w:asciiTheme="minorHAnsi" w:hAnsiTheme="minorHAnsi"/>
      <w:color w:val="3EB1C8"/>
      <w:sz w:val="20"/>
      <w:szCs w:val="20"/>
      <w:vertAlign w:val="superscript"/>
    </w:rPr>
  </w:style>
  <w:style w:type="paragraph" w:styleId="FootnoteText">
    <w:name w:val="footnote text"/>
    <w:basedOn w:val="Normal"/>
    <w:link w:val="FootnoteTextChar"/>
    <w:qFormat/>
    <w:rsid w:val="00EA5F2E"/>
    <w:pPr>
      <w:tabs>
        <w:tab w:val="left" w:pos="284"/>
      </w:tabs>
      <w:spacing w:after="60"/>
      <w:ind w:left="284" w:hanging="284"/>
    </w:pPr>
    <w:rPr>
      <w:sz w:val="16"/>
      <w:szCs w:val="20"/>
    </w:rPr>
  </w:style>
  <w:style w:type="character" w:customStyle="1" w:styleId="FootnoteTextChar">
    <w:name w:val="Footnote Text Char"/>
    <w:link w:val="FootnoteText"/>
    <w:rsid w:val="00EA5F2E"/>
    <w:rPr>
      <w:rFonts w:asciiTheme="minorHAnsi" w:hAnsiTheme="minorHAnsi"/>
      <w:sz w:val="16"/>
    </w:rPr>
  </w:style>
  <w:style w:type="paragraph" w:styleId="Header">
    <w:name w:val="header"/>
    <w:basedOn w:val="Normal"/>
    <w:link w:val="HeaderChar"/>
    <w:uiPriority w:val="99"/>
    <w:rsid w:val="00BC727D"/>
    <w:pPr>
      <w:ind w:right="113"/>
    </w:pPr>
    <w:rPr>
      <w:b/>
    </w:rPr>
  </w:style>
  <w:style w:type="character" w:customStyle="1" w:styleId="HeaderChar">
    <w:name w:val="Header Char"/>
    <w:link w:val="Header"/>
    <w:uiPriority w:val="99"/>
    <w:rsid w:val="00BC727D"/>
    <w:rPr>
      <w:rFonts w:ascii="Arial" w:hAnsi="Arial"/>
      <w:b/>
      <w:sz w:val="18"/>
      <w:szCs w:val="24"/>
    </w:rPr>
  </w:style>
  <w:style w:type="character" w:customStyle="1" w:styleId="Heading1Char">
    <w:name w:val="Heading 1 Char"/>
    <w:link w:val="Heading1"/>
    <w:rsid w:val="001B7FA9"/>
    <w:rPr>
      <w:rFonts w:ascii="Arial" w:hAnsi="Arial"/>
      <w:b/>
      <w:caps/>
      <w:color w:val="3EB1C8"/>
      <w:sz w:val="28"/>
      <w:szCs w:val="28"/>
    </w:rPr>
  </w:style>
  <w:style w:type="character" w:customStyle="1" w:styleId="Heading2Char">
    <w:name w:val="Heading 2 Char"/>
    <w:link w:val="Heading2"/>
    <w:rsid w:val="00A55431"/>
    <w:rPr>
      <w:rFonts w:ascii="Arial" w:hAnsi="Arial"/>
      <w:b/>
      <w:caps/>
      <w:color w:val="3EB1C8"/>
      <w:sz w:val="24"/>
      <w:szCs w:val="24"/>
    </w:rPr>
  </w:style>
  <w:style w:type="character" w:customStyle="1" w:styleId="Heading3Char">
    <w:name w:val="Heading 3 Char"/>
    <w:link w:val="Heading3"/>
    <w:rsid w:val="00A55431"/>
    <w:rPr>
      <w:rFonts w:ascii="Arial" w:hAnsi="Arial"/>
      <w:b/>
      <w:noProof/>
      <w:color w:val="3EB1C8"/>
      <w:sz w:val="22"/>
    </w:rPr>
  </w:style>
  <w:style w:type="character" w:customStyle="1" w:styleId="Heading4Char">
    <w:name w:val="Heading 4 Char"/>
    <w:link w:val="Heading4"/>
    <w:rsid w:val="003E6797"/>
    <w:rPr>
      <w:rFonts w:ascii="Arial" w:hAnsi="Arial"/>
      <w:color w:val="3EB1C8"/>
      <w:sz w:val="18"/>
      <w:u w:val="single"/>
    </w:rPr>
  </w:style>
  <w:style w:type="character" w:customStyle="1" w:styleId="Heading5Char">
    <w:name w:val="Heading 5 Char"/>
    <w:link w:val="Heading5"/>
    <w:rsid w:val="00874E63"/>
    <w:rPr>
      <w:rFonts w:ascii="Arial" w:hAnsi="Arial"/>
      <w:i/>
      <w:color w:val="3EB1C8"/>
      <w:sz w:val="18"/>
    </w:rPr>
  </w:style>
  <w:style w:type="character" w:customStyle="1" w:styleId="Heading6Char">
    <w:name w:val="Heading 6 Char"/>
    <w:link w:val="Heading6"/>
    <w:rsid w:val="00874E63"/>
    <w:rPr>
      <w:rFonts w:ascii="Arial" w:hAnsi="Arial"/>
      <w:i/>
      <w:color w:val="3EB1C8"/>
      <w:sz w:val="18"/>
    </w:rPr>
  </w:style>
  <w:style w:type="character" w:customStyle="1" w:styleId="Heading7Char">
    <w:name w:val="Heading 7 Char"/>
    <w:link w:val="Heading7"/>
    <w:rsid w:val="00AF775B"/>
    <w:rPr>
      <w:rFonts w:ascii="Times New Roman" w:eastAsia="Times New Roman" w:hAnsi="Times New Roman" w:cs="Times New Roman"/>
      <w:sz w:val="20"/>
      <w:szCs w:val="24"/>
      <w:lang w:eastAsia="it-IT"/>
    </w:rPr>
  </w:style>
  <w:style w:type="character" w:customStyle="1" w:styleId="Heading8Char">
    <w:name w:val="Heading 8 Char"/>
    <w:link w:val="Heading8"/>
    <w:rsid w:val="00AF775B"/>
    <w:rPr>
      <w:rFonts w:ascii="Times New Roman" w:eastAsia="Times New Roman" w:hAnsi="Times New Roman" w:cs="Times New Roman"/>
      <w:i/>
      <w:sz w:val="20"/>
      <w:szCs w:val="24"/>
      <w:lang w:eastAsia="it-IT"/>
    </w:rPr>
  </w:style>
  <w:style w:type="character" w:customStyle="1" w:styleId="Heading9Char">
    <w:name w:val="Heading 9 Char"/>
    <w:link w:val="Heading9"/>
    <w:uiPriority w:val="9"/>
    <w:rsid w:val="00AF775B"/>
    <w:rPr>
      <w:rFonts w:ascii="Times New Roman" w:eastAsia="Times New Roman" w:hAnsi="Times New Roman" w:cs="Times New Roman"/>
      <w:b/>
      <w:i/>
      <w:sz w:val="18"/>
      <w:szCs w:val="24"/>
      <w:lang w:eastAsia="it-IT"/>
    </w:rPr>
  </w:style>
  <w:style w:type="paragraph" w:customStyle="1" w:styleId="HeadingIndex">
    <w:name w:val="Heading Index"/>
    <w:basedOn w:val="Normal"/>
    <w:next w:val="Normal"/>
    <w:rsid w:val="00015094"/>
    <w:pPr>
      <w:tabs>
        <w:tab w:val="right" w:pos="9072"/>
      </w:tabs>
      <w:spacing w:before="240" w:after="120"/>
    </w:pPr>
    <w:rPr>
      <w:b/>
      <w:color w:val="0070C0"/>
      <w:szCs w:val="22"/>
      <w:u w:val="words"/>
    </w:rPr>
  </w:style>
  <w:style w:type="character" w:styleId="Hyperlink">
    <w:name w:val="Hyperlink"/>
    <w:uiPriority w:val="99"/>
    <w:rsid w:val="0044684A"/>
    <w:rPr>
      <w:color w:val="auto"/>
      <w:u w:val="single"/>
    </w:rPr>
  </w:style>
  <w:style w:type="paragraph" w:customStyle="1" w:styleId="IndexTitle">
    <w:name w:val="Index Title"/>
    <w:basedOn w:val="Normal"/>
    <w:next w:val="Paragraph"/>
    <w:rsid w:val="00741330"/>
    <w:pPr>
      <w:spacing w:after="240"/>
      <w:jc w:val="center"/>
    </w:pPr>
    <w:rPr>
      <w:b/>
      <w:caps/>
      <w:color w:val="3EB1C8"/>
      <w:sz w:val="24"/>
      <w:szCs w:val="22"/>
    </w:rPr>
  </w:style>
  <w:style w:type="paragraph" w:customStyle="1" w:styleId="Item1">
    <w:name w:val="Item 1"/>
    <w:basedOn w:val="Normal"/>
    <w:next w:val="Normal"/>
    <w:rsid w:val="00857C5D"/>
    <w:pPr>
      <w:numPr>
        <w:numId w:val="5"/>
      </w:numPr>
      <w:spacing w:before="80" w:after="80"/>
    </w:pPr>
    <w:rPr>
      <w:szCs w:val="22"/>
    </w:rPr>
  </w:style>
  <w:style w:type="paragraph" w:customStyle="1" w:styleId="Item3">
    <w:name w:val="Item 3"/>
    <w:basedOn w:val="Normal"/>
    <w:rsid w:val="002431C6"/>
    <w:pPr>
      <w:numPr>
        <w:numId w:val="2"/>
      </w:numPr>
      <w:spacing w:before="60" w:after="60"/>
    </w:pPr>
    <w:rPr>
      <w:kern w:val="28"/>
      <w:szCs w:val="20"/>
    </w:rPr>
  </w:style>
  <w:style w:type="paragraph" w:customStyle="1" w:styleId="Itema">
    <w:name w:val="Item a."/>
    <w:basedOn w:val="Normal"/>
    <w:rsid w:val="00BC727D"/>
    <w:pPr>
      <w:tabs>
        <w:tab w:val="left" w:pos="454"/>
      </w:tabs>
      <w:spacing w:before="80" w:after="80"/>
    </w:pPr>
  </w:style>
  <w:style w:type="paragraph" w:customStyle="1" w:styleId="ItemNumbered">
    <w:name w:val="Item Numbered"/>
    <w:basedOn w:val="Paragraph"/>
    <w:rsid w:val="00BC727D"/>
    <w:pPr>
      <w:numPr>
        <w:numId w:val="7"/>
      </w:numPr>
      <w:tabs>
        <w:tab w:val="decimal" w:pos="454"/>
        <w:tab w:val="decimal" w:pos="851"/>
      </w:tabs>
      <w:spacing w:before="80" w:after="80"/>
    </w:pPr>
  </w:style>
  <w:style w:type="paragraph" w:customStyle="1" w:styleId="Item2">
    <w:name w:val="Item2"/>
    <w:basedOn w:val="Paragraph"/>
    <w:rsid w:val="002431C6"/>
    <w:pPr>
      <w:numPr>
        <w:numId w:val="4"/>
      </w:numPr>
      <w:tabs>
        <w:tab w:val="left" w:pos="737"/>
      </w:tabs>
      <w:spacing w:before="60" w:after="60"/>
    </w:pPr>
  </w:style>
  <w:style w:type="paragraph" w:styleId="ListParagraph">
    <w:name w:val="List Paragraph"/>
    <w:basedOn w:val="Normal"/>
    <w:uiPriority w:val="34"/>
    <w:qFormat/>
    <w:rsid w:val="00AF775B"/>
    <w:pPr>
      <w:ind w:left="720"/>
      <w:contextualSpacing/>
    </w:pPr>
  </w:style>
  <w:style w:type="paragraph" w:customStyle="1" w:styleId="Page">
    <w:name w:val="Page"/>
    <w:basedOn w:val="Normal"/>
    <w:rsid w:val="00F05592"/>
    <w:pPr>
      <w:tabs>
        <w:tab w:val="right" w:pos="9072"/>
      </w:tabs>
      <w:jc w:val="right"/>
    </w:pPr>
  </w:style>
  <w:style w:type="character" w:styleId="PageNumber">
    <w:name w:val="page number"/>
    <w:basedOn w:val="ParagraphChar"/>
    <w:rsid w:val="00BC727D"/>
    <w:rPr>
      <w:rFonts w:ascii="Arial" w:hAnsi="Arial"/>
      <w:b/>
      <w:color w:val="3EB1C8"/>
      <w:sz w:val="18"/>
      <w:szCs w:val="24"/>
    </w:rPr>
  </w:style>
  <w:style w:type="character" w:styleId="PlaceholderText">
    <w:name w:val="Placeholder Text"/>
    <w:uiPriority w:val="99"/>
    <w:semiHidden/>
    <w:rsid w:val="00AF775B"/>
    <w:rPr>
      <w:color w:val="808080"/>
    </w:rPr>
  </w:style>
  <w:style w:type="paragraph" w:customStyle="1" w:styleId="Reference">
    <w:name w:val="Reference"/>
    <w:basedOn w:val="Paragraph"/>
    <w:rsid w:val="00AF775B"/>
  </w:style>
  <w:style w:type="paragraph" w:customStyle="1" w:styleId="ReportTitle">
    <w:name w:val="Report Title"/>
    <w:basedOn w:val="Normal"/>
    <w:next w:val="Paragraph"/>
    <w:rsid w:val="00BF3163"/>
    <w:pPr>
      <w:keepNext/>
      <w:keepLines/>
      <w:pageBreakBefore/>
      <w:spacing w:after="600"/>
      <w:jc w:val="center"/>
    </w:pPr>
    <w:rPr>
      <w:b/>
      <w:caps/>
      <w:color w:val="0070C0"/>
      <w:sz w:val="24"/>
      <w:szCs w:val="20"/>
    </w:rPr>
  </w:style>
  <w:style w:type="paragraph" w:customStyle="1" w:styleId="StyleHeading1list">
    <w:name w:val="Style Heading 1 list"/>
    <w:basedOn w:val="Heading1"/>
    <w:next w:val="Normal"/>
    <w:rsid w:val="00741330"/>
    <w:pPr>
      <w:pageBreakBefore w:val="0"/>
      <w:numPr>
        <w:numId w:val="0"/>
      </w:numPr>
      <w:jc w:val="center"/>
    </w:pPr>
    <w:rPr>
      <w:bCs/>
      <w:sz w:val="24"/>
    </w:rPr>
  </w:style>
  <w:style w:type="table" w:styleId="TableGrid">
    <w:name w:val="Table Grid"/>
    <w:basedOn w:val="TableNormal"/>
    <w:rsid w:val="003E49DC"/>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27042C"/>
    <w:pPr>
      <w:tabs>
        <w:tab w:val="left" w:pos="1701"/>
        <w:tab w:val="right" w:pos="9072"/>
      </w:tabs>
      <w:spacing w:after="60"/>
      <w:ind w:left="1191" w:hanging="1191"/>
    </w:pPr>
  </w:style>
  <w:style w:type="paragraph" w:styleId="TOC1">
    <w:name w:val="toc 1"/>
    <w:basedOn w:val="Normal"/>
    <w:next w:val="Normal"/>
    <w:uiPriority w:val="39"/>
    <w:rsid w:val="00F05592"/>
    <w:pPr>
      <w:tabs>
        <w:tab w:val="left" w:pos="425"/>
        <w:tab w:val="right" w:pos="9072"/>
      </w:tabs>
      <w:spacing w:after="60"/>
      <w:ind w:left="425" w:hanging="425"/>
      <w:jc w:val="left"/>
    </w:pPr>
    <w:rPr>
      <w:b/>
      <w:caps/>
      <w:szCs w:val="20"/>
    </w:rPr>
  </w:style>
  <w:style w:type="paragraph" w:styleId="TOC2">
    <w:name w:val="toc 2"/>
    <w:basedOn w:val="Normal"/>
    <w:next w:val="Normal"/>
    <w:uiPriority w:val="39"/>
    <w:rsid w:val="00744993"/>
    <w:pPr>
      <w:tabs>
        <w:tab w:val="left" w:pos="1134"/>
        <w:tab w:val="right" w:pos="9072"/>
      </w:tabs>
      <w:spacing w:after="60"/>
      <w:ind w:left="1134" w:hanging="709"/>
      <w:jc w:val="left"/>
    </w:pPr>
    <w:rPr>
      <w:caps/>
      <w:szCs w:val="20"/>
    </w:rPr>
  </w:style>
  <w:style w:type="paragraph" w:styleId="TOC3">
    <w:name w:val="toc 3"/>
    <w:basedOn w:val="Normal"/>
    <w:next w:val="Normal"/>
    <w:uiPriority w:val="39"/>
    <w:rsid w:val="00744993"/>
    <w:pPr>
      <w:tabs>
        <w:tab w:val="left" w:pos="1985"/>
        <w:tab w:val="right" w:pos="9072"/>
      </w:tabs>
      <w:spacing w:after="60"/>
      <w:ind w:left="1985" w:hanging="851"/>
      <w:jc w:val="left"/>
    </w:pPr>
    <w:rPr>
      <w:szCs w:val="20"/>
    </w:rPr>
  </w:style>
  <w:style w:type="paragraph" w:styleId="TOC4">
    <w:name w:val="toc 4"/>
    <w:basedOn w:val="Normal"/>
    <w:next w:val="Normal"/>
    <w:rsid w:val="00516C13"/>
    <w:pPr>
      <w:tabs>
        <w:tab w:val="left" w:pos="851"/>
        <w:tab w:val="left" w:pos="1701"/>
        <w:tab w:val="right" w:pos="9072"/>
      </w:tabs>
      <w:spacing w:after="60"/>
      <w:ind w:left="1702" w:hanging="851"/>
      <w:jc w:val="left"/>
    </w:pPr>
    <w:rPr>
      <w:szCs w:val="20"/>
    </w:rPr>
  </w:style>
  <w:style w:type="paragraph" w:styleId="TOC5">
    <w:name w:val="toc 5"/>
    <w:basedOn w:val="Normal"/>
    <w:next w:val="Normal"/>
    <w:rsid w:val="00AF775B"/>
    <w:pPr>
      <w:ind w:left="600"/>
      <w:jc w:val="left"/>
    </w:pPr>
    <w:rPr>
      <w:szCs w:val="20"/>
    </w:rPr>
  </w:style>
  <w:style w:type="paragraph" w:styleId="TOC6">
    <w:name w:val="toc 6"/>
    <w:basedOn w:val="Normal"/>
    <w:next w:val="Normal"/>
    <w:rsid w:val="00AF775B"/>
    <w:pPr>
      <w:ind w:left="800"/>
      <w:jc w:val="left"/>
    </w:pPr>
    <w:rPr>
      <w:szCs w:val="20"/>
    </w:rPr>
  </w:style>
  <w:style w:type="paragraph" w:styleId="TOC7">
    <w:name w:val="toc 7"/>
    <w:basedOn w:val="Normal"/>
    <w:next w:val="Normal"/>
    <w:autoRedefine/>
    <w:uiPriority w:val="39"/>
    <w:unhideWhenUsed/>
    <w:rsid w:val="00AF775B"/>
    <w:pPr>
      <w:ind w:left="1000"/>
      <w:jc w:val="left"/>
    </w:pPr>
    <w:rPr>
      <w:szCs w:val="20"/>
    </w:rPr>
  </w:style>
  <w:style w:type="paragraph" w:styleId="TOC8">
    <w:name w:val="toc 8"/>
    <w:basedOn w:val="Normal"/>
    <w:next w:val="Normal"/>
    <w:autoRedefine/>
    <w:uiPriority w:val="39"/>
    <w:unhideWhenUsed/>
    <w:rsid w:val="00AF775B"/>
    <w:pPr>
      <w:ind w:left="1200"/>
      <w:jc w:val="left"/>
    </w:pPr>
    <w:rPr>
      <w:szCs w:val="20"/>
    </w:rPr>
  </w:style>
  <w:style w:type="paragraph" w:styleId="TOC9">
    <w:name w:val="toc 9"/>
    <w:basedOn w:val="Normal"/>
    <w:next w:val="Normal"/>
    <w:autoRedefine/>
    <w:uiPriority w:val="39"/>
    <w:unhideWhenUsed/>
    <w:rsid w:val="00AF775B"/>
    <w:pPr>
      <w:ind w:left="1400"/>
      <w:jc w:val="left"/>
    </w:pPr>
    <w:rPr>
      <w:szCs w:val="20"/>
    </w:rPr>
  </w:style>
  <w:style w:type="character" w:customStyle="1" w:styleId="ParagraphChar">
    <w:name w:val="Paragraph Char"/>
    <w:link w:val="Paragraph"/>
    <w:rsid w:val="00F05592"/>
    <w:rPr>
      <w:rFonts w:ascii="Arial" w:hAnsi="Arial"/>
      <w:szCs w:val="24"/>
    </w:rPr>
  </w:style>
  <w:style w:type="paragraph" w:customStyle="1" w:styleId="TableNotes">
    <w:name w:val="Table Notes"/>
    <w:basedOn w:val="Paragraph"/>
    <w:next w:val="Paragraph"/>
    <w:link w:val="TableNotesChar"/>
    <w:qFormat/>
    <w:rsid w:val="00A55431"/>
    <w:rPr>
      <w:rFonts w:cs="Arial"/>
      <w:color w:val="3EB1C8"/>
      <w:sz w:val="16"/>
      <w:szCs w:val="18"/>
    </w:rPr>
  </w:style>
  <w:style w:type="character" w:customStyle="1" w:styleId="TableNotesChar">
    <w:name w:val="Table Notes Char"/>
    <w:link w:val="TableNotes"/>
    <w:rsid w:val="00A55431"/>
    <w:rPr>
      <w:rFonts w:ascii="Arial" w:hAnsi="Arial" w:cs="Arial"/>
      <w:color w:val="3EB1C8"/>
      <w:sz w:val="16"/>
      <w:szCs w:val="18"/>
    </w:rPr>
  </w:style>
  <w:style w:type="paragraph" w:customStyle="1" w:styleId="FigureParagraph">
    <w:name w:val="Figure Paragraph"/>
    <w:basedOn w:val="Paragraph"/>
    <w:link w:val="FigureParagraphChar"/>
    <w:qFormat/>
    <w:rsid w:val="00C9695A"/>
    <w:pPr>
      <w:spacing w:before="240" w:after="0"/>
      <w:jc w:val="center"/>
    </w:pPr>
    <w:rPr>
      <w:lang w:val="en-GB"/>
    </w:rPr>
  </w:style>
  <w:style w:type="character" w:customStyle="1" w:styleId="FigureParagraphChar">
    <w:name w:val="Figure Paragraph Char"/>
    <w:link w:val="FigureParagraph"/>
    <w:rsid w:val="00C9695A"/>
    <w:rPr>
      <w:rFonts w:ascii="Times New Roman" w:hAnsi="Times New Roman"/>
      <w:sz w:val="22"/>
      <w:szCs w:val="24"/>
      <w:lang w:val="en-GB"/>
    </w:rPr>
  </w:style>
  <w:style w:type="paragraph" w:customStyle="1" w:styleId="Captionfigure">
    <w:name w:val="Caption figure"/>
    <w:basedOn w:val="Caption"/>
    <w:qFormat/>
    <w:rsid w:val="00A55431"/>
    <w:pPr>
      <w:tabs>
        <w:tab w:val="clear" w:pos="170"/>
        <w:tab w:val="left" w:pos="284"/>
      </w:tabs>
      <w:spacing w:before="120" w:after="240"/>
    </w:pPr>
    <w:rPr>
      <w:lang w:val="en-GB"/>
    </w:rPr>
  </w:style>
  <w:style w:type="paragraph" w:styleId="TOCHeading">
    <w:name w:val="TOC Heading"/>
    <w:basedOn w:val="Heading1"/>
    <w:next w:val="Normal"/>
    <w:uiPriority w:val="39"/>
    <w:unhideWhenUsed/>
    <w:qFormat/>
    <w:rsid w:val="00EF5858"/>
    <w:pPr>
      <w:pageBreakBefore w:val="0"/>
      <w:widowControl/>
      <w:numPr>
        <w:numId w:val="0"/>
      </w:numPr>
      <w:tabs>
        <w:tab w:val="clear" w:pos="851"/>
      </w:tabs>
      <w:spacing w:before="480" w:after="0" w:line="276" w:lineRule="auto"/>
      <w:jc w:val="left"/>
      <w:outlineLvl w:val="9"/>
    </w:pPr>
    <w:rPr>
      <w:rFonts w:ascii="Cambria" w:eastAsia="MS Gothic" w:hAnsi="Cambria"/>
      <w:bCs/>
      <w:caps w:val="0"/>
      <w:color w:val="365F91"/>
      <w:lang w:val="en-US" w:eastAsia="ja-JP"/>
    </w:rPr>
  </w:style>
  <w:style w:type="paragraph" w:styleId="Title">
    <w:name w:val="Title"/>
    <w:basedOn w:val="Normal"/>
    <w:next w:val="Normal"/>
    <w:link w:val="TitleChar"/>
    <w:uiPriority w:val="10"/>
    <w:qFormat/>
    <w:rsid w:val="009933B4"/>
    <w:pPr>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9933B4"/>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9933B4"/>
    <w:pPr>
      <w:numPr>
        <w:ilvl w:val="1"/>
      </w:numPr>
      <w:spacing w:after="200" w:line="276" w:lineRule="auto"/>
      <w:jc w:val="left"/>
    </w:pPr>
    <w:rPr>
      <w:rFonts w:asciiTheme="majorHAnsi" w:eastAsiaTheme="majorEastAsia" w:hAnsiTheme="majorHAnsi" w:cstheme="majorBidi"/>
      <w:i/>
      <w:iCs/>
      <w:color w:val="4F81BD" w:themeColor="accent1"/>
      <w:spacing w:val="15"/>
      <w:sz w:val="24"/>
      <w:lang w:val="en-US" w:eastAsia="ja-JP"/>
    </w:rPr>
  </w:style>
  <w:style w:type="character" w:customStyle="1" w:styleId="SubtitleChar">
    <w:name w:val="Subtitle Char"/>
    <w:basedOn w:val="DefaultParagraphFont"/>
    <w:link w:val="Subtitle"/>
    <w:uiPriority w:val="11"/>
    <w:rsid w:val="009933B4"/>
    <w:rPr>
      <w:rFonts w:asciiTheme="majorHAnsi" w:eastAsiaTheme="majorEastAsia" w:hAnsiTheme="majorHAnsi" w:cstheme="majorBidi"/>
      <w:i/>
      <w:iCs/>
      <w:color w:val="4F81BD" w:themeColor="accent1"/>
      <w:spacing w:val="15"/>
      <w:sz w:val="24"/>
      <w:szCs w:val="24"/>
      <w:lang w:val="en-US" w:eastAsia="ja-JP"/>
    </w:rPr>
  </w:style>
  <w:style w:type="paragraph" w:customStyle="1" w:styleId="HeaderOdd">
    <w:name w:val="Header Odd"/>
    <w:basedOn w:val="Normal"/>
    <w:qFormat/>
    <w:rsid w:val="002D05DC"/>
    <w:pPr>
      <w:pBdr>
        <w:bottom w:val="single" w:sz="4" w:space="1" w:color="4F81BD" w:themeColor="accent1"/>
      </w:pBdr>
      <w:jc w:val="right"/>
    </w:pPr>
    <w:rPr>
      <w:rFonts w:eastAsiaTheme="minorHAnsi"/>
      <w:b/>
      <w:color w:val="1F497D" w:themeColor="text2"/>
      <w:szCs w:val="20"/>
      <w:lang w:val="en-US" w:eastAsia="ja-JP"/>
    </w:rPr>
  </w:style>
  <w:style w:type="character" w:customStyle="1" w:styleId="CaptionChar">
    <w:name w:val="Caption Char"/>
    <w:aliases w:val="table Char"/>
    <w:basedOn w:val="DefaultParagraphFont"/>
    <w:link w:val="Caption"/>
    <w:rsid w:val="00BC727D"/>
    <w:rPr>
      <w:rFonts w:ascii="Arial" w:hAnsi="Arial"/>
      <w:b/>
      <w:bCs/>
      <w:color w:val="3EB1C8"/>
      <w:sz w:val="18"/>
    </w:rPr>
  </w:style>
  <w:style w:type="paragraph" w:customStyle="1" w:styleId="itemi">
    <w:name w:val="item i"/>
    <w:basedOn w:val="Item3"/>
    <w:qFormat/>
    <w:rsid w:val="00BC727D"/>
    <w:pPr>
      <w:numPr>
        <w:numId w:val="8"/>
      </w:numPr>
    </w:pPr>
  </w:style>
  <w:style w:type="table" w:styleId="MediumShading1-Accent1">
    <w:name w:val="Medium Shading 1 Accent 1"/>
    <w:basedOn w:val="TableNormal"/>
    <w:uiPriority w:val="63"/>
    <w:rsid w:val="00403E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403E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ColorfulShading-Accent1">
    <w:name w:val="Colorful Shading Accent 1"/>
    <w:basedOn w:val="TableNormal"/>
    <w:uiPriority w:val="71"/>
    <w:rsid w:val="00513F24"/>
    <w:pPr>
      <w:jc w:val="center"/>
    </w:pPr>
    <w:rPr>
      <w:color w:val="000000" w:themeColor="text1"/>
    </w:rPr>
    <w:tblPr>
      <w:tblStyleRowBandSize w:val="1"/>
      <w:tblStyleColBandSize w:val="1"/>
      <w:tblBorders>
        <w:top w:val="single" w:sz="8" w:space="0" w:color="0070C0"/>
        <w:left w:val="single" w:sz="8" w:space="0" w:color="0070C0"/>
        <w:bottom w:val="single" w:sz="8" w:space="0" w:color="0070C0"/>
        <w:right w:val="single" w:sz="8" w:space="0" w:color="0070C0"/>
        <w:insideH w:val="single" w:sz="8" w:space="0" w:color="0070C0"/>
        <w:insideV w:val="single" w:sz="8" w:space="0" w:color="0070C0"/>
      </w:tblBorders>
    </w:tblPr>
    <w:tcPr>
      <w:shd w:val="clear" w:color="auto" w:fill="DBE5F1" w:themeFill="accent1" w:themeFillTint="33"/>
      <w:vAlign w:val="center"/>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DarkList-Accent1">
    <w:name w:val="Dark List Accent 1"/>
    <w:basedOn w:val="TableNormal"/>
    <w:uiPriority w:val="70"/>
    <w:rsid w:val="00513F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ediumGrid2-Accent1">
    <w:name w:val="Medium Grid 2 Accent 1"/>
    <w:basedOn w:val="TableNormal"/>
    <w:uiPriority w:val="68"/>
    <w:rsid w:val="00513F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customStyle="1" w:styleId="RetroCover">
    <w:name w:val="Retro Cover"/>
    <w:basedOn w:val="Normal"/>
    <w:uiPriority w:val="99"/>
    <w:rsid w:val="00E2580C"/>
    <w:pPr>
      <w:suppressAutoHyphens/>
      <w:autoSpaceDE w:val="0"/>
      <w:autoSpaceDN w:val="0"/>
      <w:adjustRightInd w:val="0"/>
      <w:spacing w:line="320" w:lineRule="atLeast"/>
      <w:jc w:val="center"/>
      <w:textAlignment w:val="center"/>
    </w:pPr>
    <w:rPr>
      <w:rFonts w:ascii="Abadi MT Condensed Light" w:eastAsiaTheme="minorHAnsi" w:hAnsi="Abadi MT Condensed Light" w:cs="Abadi MT Condensed Light"/>
      <w:color w:val="394048"/>
      <w:sz w:val="22"/>
      <w:szCs w:val="22"/>
      <w:lang w:val="en-US" w:eastAsia="en-US"/>
    </w:rPr>
  </w:style>
  <w:style w:type="table" w:styleId="MediumList2-Accent1">
    <w:name w:val="Medium List 2 Accent 1"/>
    <w:basedOn w:val="TableNormal"/>
    <w:uiPriority w:val="66"/>
    <w:rsid w:val="00E7756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1">
    <w:name w:val="Colorful Grid Accent 1"/>
    <w:basedOn w:val="TableNormal"/>
    <w:uiPriority w:val="73"/>
    <w:rsid w:val="0001350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1">
    <w:name w:val="Medium Grid 1 Accent 1"/>
    <w:basedOn w:val="TableNormal"/>
    <w:uiPriority w:val="67"/>
    <w:rsid w:val="0046650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Shading-Accent1">
    <w:name w:val="Light Shading Accent 1"/>
    <w:basedOn w:val="TableNormal"/>
    <w:uiPriority w:val="60"/>
    <w:rsid w:val="0046650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Headerdown">
    <w:name w:val="Header down"/>
    <w:basedOn w:val="Header"/>
    <w:link w:val="HeaderdownChar"/>
    <w:qFormat/>
    <w:rsid w:val="00741330"/>
    <w:pPr>
      <w:tabs>
        <w:tab w:val="left" w:pos="1270"/>
        <w:tab w:val="right" w:pos="8957"/>
      </w:tabs>
      <w:jc w:val="left"/>
    </w:pPr>
    <w:rPr>
      <w:lang w:val="en-US"/>
    </w:rPr>
  </w:style>
  <w:style w:type="character" w:customStyle="1" w:styleId="HeaderdownChar">
    <w:name w:val="Header down Char"/>
    <w:basedOn w:val="HeaderChar"/>
    <w:link w:val="Headerdown"/>
    <w:rsid w:val="00741330"/>
    <w:rPr>
      <w:rFonts w:ascii="Arial" w:hAnsi="Arial"/>
      <w:b/>
      <w:sz w:val="18"/>
      <w:szCs w:val="24"/>
      <w:lang w:val="en-US"/>
    </w:rPr>
  </w:style>
  <w:style w:type="table" w:styleId="LightList">
    <w:name w:val="Light List"/>
    <w:basedOn w:val="TableNormal"/>
    <w:uiPriority w:val="61"/>
    <w:rsid w:val="00CA2AE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PlainText">
    <w:name w:val="Plain Text"/>
    <w:basedOn w:val="Normal"/>
    <w:link w:val="PlainTextChar"/>
    <w:uiPriority w:val="99"/>
    <w:semiHidden/>
    <w:unhideWhenUsed/>
    <w:rsid w:val="00F20A72"/>
    <w:rPr>
      <w:rFonts w:ascii="Consolas" w:hAnsi="Consolas" w:cs="Consolas"/>
      <w:sz w:val="21"/>
      <w:szCs w:val="21"/>
    </w:rPr>
  </w:style>
  <w:style w:type="character" w:customStyle="1" w:styleId="PlainTextChar">
    <w:name w:val="Plain Text Char"/>
    <w:basedOn w:val="DefaultParagraphFont"/>
    <w:link w:val="PlainText"/>
    <w:uiPriority w:val="99"/>
    <w:semiHidden/>
    <w:rsid w:val="00F20A72"/>
    <w:rPr>
      <w:rFonts w:ascii="Consolas" w:hAnsi="Consolas" w:cs="Consolas"/>
      <w:sz w:val="21"/>
      <w:szCs w:val="21"/>
    </w:rPr>
  </w:style>
  <w:style w:type="paragraph" w:customStyle="1" w:styleId="CaptionRef">
    <w:name w:val="Caption Ref."/>
    <w:basedOn w:val="Caption"/>
    <w:link w:val="CaptionRefChar"/>
    <w:qFormat/>
    <w:rsid w:val="008F5CD9"/>
    <w:pPr>
      <w:tabs>
        <w:tab w:val="clear" w:pos="170"/>
        <w:tab w:val="clear" w:pos="1418"/>
        <w:tab w:val="left" w:pos="567"/>
      </w:tabs>
      <w:ind w:left="567" w:hanging="567"/>
      <w:jc w:val="left"/>
    </w:pPr>
    <w:rPr>
      <w:b w:val="0"/>
      <w:color w:val="auto"/>
    </w:rPr>
  </w:style>
  <w:style w:type="character" w:customStyle="1" w:styleId="CaptionRefChar">
    <w:name w:val="Caption Ref. Char"/>
    <w:basedOn w:val="CaptionChar"/>
    <w:link w:val="CaptionRef"/>
    <w:rsid w:val="008F5CD9"/>
    <w:rPr>
      <w:rFonts w:asciiTheme="minorHAnsi" w:hAnsiTheme="minorHAnsi"/>
      <w:b w:val="0"/>
      <w:bCs/>
      <w:color w:val="0070C0"/>
      <w:sz w:val="18"/>
    </w:rPr>
  </w:style>
  <w:style w:type="table" w:styleId="LightList-Accent3">
    <w:name w:val="Light List Accent 3"/>
    <w:basedOn w:val="TableNormal"/>
    <w:uiPriority w:val="61"/>
    <w:rsid w:val="00E245D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RCONSTableStyle2">
    <w:name w:val="RCONS Table Style2"/>
    <w:basedOn w:val="TableNormal"/>
    <w:uiPriority w:val="99"/>
    <w:rsid w:val="006D08C6"/>
    <w:pPr>
      <w:jc w:val="center"/>
    </w:pPr>
    <w:rPr>
      <w:rFonts w:ascii="Arial" w:hAnsi="Arial"/>
      <w:sz w:val="18"/>
    </w:rPr>
    <w:tblPr>
      <w:tblStyleRowBandSize w:val="1"/>
      <w:tblBorders>
        <w:top w:val="single" w:sz="4" w:space="0" w:color="0076A5"/>
        <w:left w:val="single" w:sz="4" w:space="0" w:color="0076A5"/>
        <w:bottom w:val="single" w:sz="4" w:space="0" w:color="0076A5"/>
        <w:right w:val="single" w:sz="4" w:space="0" w:color="0076A5"/>
        <w:insideH w:val="single" w:sz="4" w:space="0" w:color="0076A5"/>
        <w:insideV w:val="single" w:sz="4" w:space="0" w:color="0076A5"/>
      </w:tblBorders>
    </w:tblPr>
    <w:tcPr>
      <w:vAlign w:val="center"/>
    </w:tcPr>
    <w:tblStylePr w:type="firstRow">
      <w:rPr>
        <w:rFonts w:ascii="Arial" w:hAnsi="Arial"/>
        <w:color w:val="FFFFFF" w:themeColor="background1"/>
        <w:sz w:val="18"/>
      </w:rPr>
      <w:tblPr/>
      <w:tcPr>
        <w:tcBorders>
          <w:insideH w:val="single" w:sz="4" w:space="0" w:color="F2F2F2" w:themeColor="background1" w:themeShade="F2"/>
          <w:insideV w:val="single" w:sz="4" w:space="0" w:color="F2F2F2" w:themeColor="background1" w:themeShade="F2"/>
        </w:tcBorders>
        <w:shd w:val="clear" w:color="auto" w:fill="0076A5"/>
      </w:tcPr>
    </w:tblStylePr>
    <w:tblStylePr w:type="band1Horz">
      <w:rPr>
        <w:rFonts w:ascii="Arial" w:hAnsi="Arial"/>
        <w:color w:val="auto"/>
        <w:sz w:val="18"/>
      </w:rPr>
      <w:tblPr/>
      <w:tcPr>
        <w:shd w:val="clear" w:color="auto" w:fill="FFFFFF" w:themeFill="background1"/>
      </w:tcPr>
    </w:tblStylePr>
    <w:tblStylePr w:type="band2Horz">
      <w:pPr>
        <w:jc w:val="center"/>
      </w:pPr>
      <w:rPr>
        <w:rFonts w:ascii="Arial" w:hAnsi="Arial"/>
        <w:sz w:val="18"/>
      </w:rPr>
      <w:tblPr/>
      <w:tcPr>
        <w:shd w:val="clear" w:color="auto" w:fill="DBE5F1" w:themeFill="accent1" w:themeFillTint="33"/>
      </w:tcPr>
    </w:tblStylePr>
  </w:style>
  <w:style w:type="table" w:customStyle="1" w:styleId="RCONSTableStyle1">
    <w:name w:val="RCONS Table Style1"/>
    <w:basedOn w:val="TableNormal"/>
    <w:uiPriority w:val="99"/>
    <w:rsid w:val="00CA5FC4"/>
    <w:pPr>
      <w:jc w:val="center"/>
    </w:pPr>
    <w:rPr>
      <w:rFonts w:ascii="Arial" w:hAnsi="Arial"/>
      <w:sz w:val="17"/>
    </w:rPr>
    <w:tblPr>
      <w:tblBorders>
        <w:top w:val="single" w:sz="4" w:space="0" w:color="0076A5"/>
        <w:left w:val="single" w:sz="4" w:space="0" w:color="0076A5"/>
        <w:bottom w:val="single" w:sz="4" w:space="0" w:color="0076A5"/>
        <w:right w:val="single" w:sz="4" w:space="0" w:color="0076A5"/>
        <w:insideH w:val="single" w:sz="4" w:space="0" w:color="0076A5"/>
        <w:insideV w:val="single" w:sz="4" w:space="0" w:color="0076A5"/>
      </w:tblBorders>
    </w:tblPr>
    <w:tcPr>
      <w:vAlign w:val="center"/>
    </w:tcPr>
    <w:tblStylePr w:type="firstRow">
      <w:pPr>
        <w:wordWrap/>
        <w:jc w:val="center"/>
      </w:pPr>
      <w:rPr>
        <w:rFonts w:ascii="Arial" w:hAnsi="Arial"/>
        <w:b w:val="0"/>
        <w:color w:val="FFFFFF" w:themeColor="background1"/>
        <w:sz w:val="18"/>
      </w:rPr>
      <w:tblPr/>
      <w:tcPr>
        <w:tcBorders>
          <w:top w:val="single" w:sz="2" w:space="0" w:color="0076A5"/>
          <w:left w:val="single" w:sz="2" w:space="0" w:color="0076A5"/>
          <w:bottom w:val="single" w:sz="2" w:space="0" w:color="0076A5"/>
          <w:right w:val="single" w:sz="2" w:space="0" w:color="0076A5"/>
          <w:insideH w:val="nil"/>
          <w:insideV w:val="single" w:sz="2" w:space="0" w:color="FFFFFF" w:themeColor="background1"/>
          <w:tl2br w:val="nil"/>
          <w:tr2bl w:val="nil"/>
        </w:tcBorders>
        <w:shd w:val="clear" w:color="auto" w:fill="0076A5"/>
      </w:tcPr>
    </w:tblStylePr>
  </w:style>
  <w:style w:type="paragraph" w:customStyle="1" w:styleId="Default">
    <w:name w:val="Default"/>
    <w:rsid w:val="00084FC9"/>
    <w:pPr>
      <w:autoSpaceDE w:val="0"/>
      <w:autoSpaceDN w:val="0"/>
      <w:adjustRightInd w:val="0"/>
    </w:pPr>
    <w:rPr>
      <w:rFonts w:ascii="Times New Roman" w:hAnsi="Times New Roman"/>
      <w:color w:val="000000"/>
      <w:sz w:val="24"/>
      <w:szCs w:val="24"/>
    </w:rPr>
  </w:style>
  <w:style w:type="table" w:customStyle="1" w:styleId="SGSTableBasic11">
    <w:name w:val="SGS Table Basic 11"/>
    <w:basedOn w:val="TableNormal"/>
    <w:next w:val="TableGrid"/>
    <w:uiPriority w:val="39"/>
    <w:rsid w:val="00FF0C5C"/>
    <w:rPr>
      <w:rFonts w:eastAsia="Calibri" w:cs="Arial"/>
      <w:sz w:val="24"/>
      <w:szCs w:val="24"/>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E7E33"/>
    <w:rPr>
      <w:rFonts w:ascii="Times New Roman" w:hAnsi="Times New Roman"/>
      <w:sz w:val="24"/>
    </w:rPr>
  </w:style>
  <w:style w:type="character" w:styleId="UnresolvedMention">
    <w:name w:val="Unresolved Mention"/>
    <w:basedOn w:val="DefaultParagraphFont"/>
    <w:uiPriority w:val="99"/>
    <w:semiHidden/>
    <w:unhideWhenUsed/>
    <w:rsid w:val="00804830"/>
    <w:rPr>
      <w:color w:val="605E5C"/>
      <w:shd w:val="clear" w:color="auto" w:fill="E1DFDD"/>
    </w:rPr>
  </w:style>
  <w:style w:type="character" w:styleId="Emphasis">
    <w:name w:val="Emphasis"/>
    <w:basedOn w:val="DefaultParagraphFont"/>
    <w:uiPriority w:val="20"/>
    <w:qFormat/>
    <w:rsid w:val="009746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766427">
      <w:bodyDiv w:val="1"/>
      <w:marLeft w:val="0"/>
      <w:marRight w:val="0"/>
      <w:marTop w:val="0"/>
      <w:marBottom w:val="0"/>
      <w:divBdr>
        <w:top w:val="none" w:sz="0" w:space="0" w:color="auto"/>
        <w:left w:val="none" w:sz="0" w:space="0" w:color="auto"/>
        <w:bottom w:val="none" w:sz="0" w:space="0" w:color="auto"/>
        <w:right w:val="none" w:sz="0" w:space="0" w:color="auto"/>
      </w:divBdr>
    </w:div>
    <w:div w:id="550967259">
      <w:bodyDiv w:val="1"/>
      <w:marLeft w:val="0"/>
      <w:marRight w:val="0"/>
      <w:marTop w:val="0"/>
      <w:marBottom w:val="0"/>
      <w:divBdr>
        <w:top w:val="none" w:sz="0" w:space="0" w:color="auto"/>
        <w:left w:val="none" w:sz="0" w:space="0" w:color="auto"/>
        <w:bottom w:val="none" w:sz="0" w:space="0" w:color="auto"/>
        <w:right w:val="none" w:sz="0" w:space="0" w:color="auto"/>
      </w:divBdr>
      <w:divsChild>
        <w:div w:id="914364411">
          <w:marLeft w:val="0"/>
          <w:marRight w:val="0"/>
          <w:marTop w:val="0"/>
          <w:marBottom w:val="0"/>
          <w:divBdr>
            <w:top w:val="none" w:sz="0" w:space="0" w:color="auto"/>
            <w:left w:val="none" w:sz="0" w:space="0" w:color="auto"/>
            <w:bottom w:val="none" w:sz="0" w:space="0" w:color="auto"/>
            <w:right w:val="none" w:sz="0" w:space="0" w:color="auto"/>
          </w:divBdr>
        </w:div>
      </w:divsChild>
    </w:div>
    <w:div w:id="606036868">
      <w:bodyDiv w:val="1"/>
      <w:marLeft w:val="0"/>
      <w:marRight w:val="0"/>
      <w:marTop w:val="0"/>
      <w:marBottom w:val="0"/>
      <w:divBdr>
        <w:top w:val="none" w:sz="0" w:space="0" w:color="auto"/>
        <w:left w:val="none" w:sz="0" w:space="0" w:color="auto"/>
        <w:bottom w:val="none" w:sz="0" w:space="0" w:color="auto"/>
        <w:right w:val="none" w:sz="0" w:space="0" w:color="auto"/>
      </w:divBdr>
    </w:div>
    <w:div w:id="675765270">
      <w:bodyDiv w:val="1"/>
      <w:marLeft w:val="0"/>
      <w:marRight w:val="0"/>
      <w:marTop w:val="0"/>
      <w:marBottom w:val="0"/>
      <w:divBdr>
        <w:top w:val="none" w:sz="0" w:space="0" w:color="auto"/>
        <w:left w:val="none" w:sz="0" w:space="0" w:color="auto"/>
        <w:bottom w:val="none" w:sz="0" w:space="0" w:color="auto"/>
        <w:right w:val="none" w:sz="0" w:space="0" w:color="auto"/>
      </w:divBdr>
    </w:div>
    <w:div w:id="787548994">
      <w:bodyDiv w:val="1"/>
      <w:marLeft w:val="0"/>
      <w:marRight w:val="0"/>
      <w:marTop w:val="0"/>
      <w:marBottom w:val="0"/>
      <w:divBdr>
        <w:top w:val="none" w:sz="0" w:space="0" w:color="auto"/>
        <w:left w:val="none" w:sz="0" w:space="0" w:color="auto"/>
        <w:bottom w:val="none" w:sz="0" w:space="0" w:color="auto"/>
        <w:right w:val="none" w:sz="0" w:space="0" w:color="auto"/>
      </w:divBdr>
    </w:div>
    <w:div w:id="2027978614">
      <w:bodyDiv w:val="1"/>
      <w:marLeft w:val="0"/>
      <w:marRight w:val="0"/>
      <w:marTop w:val="0"/>
      <w:marBottom w:val="0"/>
      <w:divBdr>
        <w:top w:val="none" w:sz="0" w:space="0" w:color="auto"/>
        <w:left w:val="none" w:sz="0" w:space="0" w:color="auto"/>
        <w:bottom w:val="none" w:sz="0" w:space="0" w:color="auto"/>
        <w:right w:val="none" w:sz="0" w:space="0" w:color="auto"/>
      </w:divBdr>
    </w:div>
    <w:div w:id="2093775980">
      <w:bodyDiv w:val="1"/>
      <w:marLeft w:val="0"/>
      <w:marRight w:val="0"/>
      <w:marTop w:val="0"/>
      <w:marBottom w:val="0"/>
      <w:divBdr>
        <w:top w:val="none" w:sz="0" w:space="0" w:color="auto"/>
        <w:left w:val="none" w:sz="0" w:space="0" w:color="auto"/>
        <w:bottom w:val="none" w:sz="0" w:space="0" w:color="auto"/>
        <w:right w:val="none" w:sz="0" w:space="0" w:color="auto"/>
      </w:divBdr>
    </w:div>
    <w:div w:id="212199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mon\OneDrive%20-%20RINA%20S.p.A\QUO-0000063114-W0R%20(AFD-Ismaila%20Market%20FS-Egypt)\work\Phase%20I%20Site%20Selection\Phase%20I-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 No. XX-XXXX Rev.X – Months Year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46BAC7-1075-488C-9FF2-78C9F991B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Phase I-REPORT</Template>
  <TotalTime>4</TotalTime>
  <Pages>4</Pages>
  <Words>1204</Words>
  <Characters>6866</Characters>
  <Application>Microsoft Office Word</Application>
  <DocSecurity>0</DocSecurity>
  <Lines>57</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Phase I – Inception Phase</vt:lpstr>
      <vt:lpstr>Phase I – ON BOARDING Phase</vt:lpstr>
    </vt:vector>
  </TitlesOfParts>
  <Company>RINA Consulting</Company>
  <LinksUpToDate>false</LinksUpToDate>
  <CharactersWithSpaces>8054</CharactersWithSpaces>
  <SharedDoc>false</SharedDoc>
  <HLinks>
    <vt:vector size="360" baseType="variant">
      <vt:variant>
        <vt:i4>1769525</vt:i4>
      </vt:variant>
      <vt:variant>
        <vt:i4>362</vt:i4>
      </vt:variant>
      <vt:variant>
        <vt:i4>0</vt:i4>
      </vt:variant>
      <vt:variant>
        <vt:i4>5</vt:i4>
      </vt:variant>
      <vt:variant>
        <vt:lpwstr/>
      </vt:variant>
      <vt:variant>
        <vt:lpwstr>_Toc482363544</vt:lpwstr>
      </vt:variant>
      <vt:variant>
        <vt:i4>1769525</vt:i4>
      </vt:variant>
      <vt:variant>
        <vt:i4>356</vt:i4>
      </vt:variant>
      <vt:variant>
        <vt:i4>0</vt:i4>
      </vt:variant>
      <vt:variant>
        <vt:i4>5</vt:i4>
      </vt:variant>
      <vt:variant>
        <vt:lpwstr/>
      </vt:variant>
      <vt:variant>
        <vt:lpwstr>_Toc482363543</vt:lpwstr>
      </vt:variant>
      <vt:variant>
        <vt:i4>1769525</vt:i4>
      </vt:variant>
      <vt:variant>
        <vt:i4>350</vt:i4>
      </vt:variant>
      <vt:variant>
        <vt:i4>0</vt:i4>
      </vt:variant>
      <vt:variant>
        <vt:i4>5</vt:i4>
      </vt:variant>
      <vt:variant>
        <vt:lpwstr/>
      </vt:variant>
      <vt:variant>
        <vt:lpwstr>_Toc482363542</vt:lpwstr>
      </vt:variant>
      <vt:variant>
        <vt:i4>1310775</vt:i4>
      </vt:variant>
      <vt:variant>
        <vt:i4>341</vt:i4>
      </vt:variant>
      <vt:variant>
        <vt:i4>0</vt:i4>
      </vt:variant>
      <vt:variant>
        <vt:i4>5</vt:i4>
      </vt:variant>
      <vt:variant>
        <vt:lpwstr/>
      </vt:variant>
      <vt:variant>
        <vt:lpwstr>_Toc31470401</vt:lpwstr>
      </vt:variant>
      <vt:variant>
        <vt:i4>1376311</vt:i4>
      </vt:variant>
      <vt:variant>
        <vt:i4>335</vt:i4>
      </vt:variant>
      <vt:variant>
        <vt:i4>0</vt:i4>
      </vt:variant>
      <vt:variant>
        <vt:i4>5</vt:i4>
      </vt:variant>
      <vt:variant>
        <vt:lpwstr/>
      </vt:variant>
      <vt:variant>
        <vt:lpwstr>_Toc31470400</vt:lpwstr>
      </vt:variant>
      <vt:variant>
        <vt:i4>1507383</vt:i4>
      </vt:variant>
      <vt:variant>
        <vt:i4>326</vt:i4>
      </vt:variant>
      <vt:variant>
        <vt:i4>0</vt:i4>
      </vt:variant>
      <vt:variant>
        <vt:i4>5</vt:i4>
      </vt:variant>
      <vt:variant>
        <vt:lpwstr/>
      </vt:variant>
      <vt:variant>
        <vt:lpwstr>_Toc102560254</vt:lpwstr>
      </vt:variant>
      <vt:variant>
        <vt:i4>1507383</vt:i4>
      </vt:variant>
      <vt:variant>
        <vt:i4>320</vt:i4>
      </vt:variant>
      <vt:variant>
        <vt:i4>0</vt:i4>
      </vt:variant>
      <vt:variant>
        <vt:i4>5</vt:i4>
      </vt:variant>
      <vt:variant>
        <vt:lpwstr/>
      </vt:variant>
      <vt:variant>
        <vt:lpwstr>_Toc102560253</vt:lpwstr>
      </vt:variant>
      <vt:variant>
        <vt:i4>1507383</vt:i4>
      </vt:variant>
      <vt:variant>
        <vt:i4>314</vt:i4>
      </vt:variant>
      <vt:variant>
        <vt:i4>0</vt:i4>
      </vt:variant>
      <vt:variant>
        <vt:i4>5</vt:i4>
      </vt:variant>
      <vt:variant>
        <vt:lpwstr/>
      </vt:variant>
      <vt:variant>
        <vt:lpwstr>_Toc102560252</vt:lpwstr>
      </vt:variant>
      <vt:variant>
        <vt:i4>1507383</vt:i4>
      </vt:variant>
      <vt:variant>
        <vt:i4>308</vt:i4>
      </vt:variant>
      <vt:variant>
        <vt:i4>0</vt:i4>
      </vt:variant>
      <vt:variant>
        <vt:i4>5</vt:i4>
      </vt:variant>
      <vt:variant>
        <vt:lpwstr/>
      </vt:variant>
      <vt:variant>
        <vt:lpwstr>_Toc102560251</vt:lpwstr>
      </vt:variant>
      <vt:variant>
        <vt:i4>1507383</vt:i4>
      </vt:variant>
      <vt:variant>
        <vt:i4>302</vt:i4>
      </vt:variant>
      <vt:variant>
        <vt:i4>0</vt:i4>
      </vt:variant>
      <vt:variant>
        <vt:i4>5</vt:i4>
      </vt:variant>
      <vt:variant>
        <vt:lpwstr/>
      </vt:variant>
      <vt:variant>
        <vt:lpwstr>_Toc102560250</vt:lpwstr>
      </vt:variant>
      <vt:variant>
        <vt:i4>1441847</vt:i4>
      </vt:variant>
      <vt:variant>
        <vt:i4>296</vt:i4>
      </vt:variant>
      <vt:variant>
        <vt:i4>0</vt:i4>
      </vt:variant>
      <vt:variant>
        <vt:i4>5</vt:i4>
      </vt:variant>
      <vt:variant>
        <vt:lpwstr/>
      </vt:variant>
      <vt:variant>
        <vt:lpwstr>_Toc102560249</vt:lpwstr>
      </vt:variant>
      <vt:variant>
        <vt:i4>1441847</vt:i4>
      </vt:variant>
      <vt:variant>
        <vt:i4>290</vt:i4>
      </vt:variant>
      <vt:variant>
        <vt:i4>0</vt:i4>
      </vt:variant>
      <vt:variant>
        <vt:i4>5</vt:i4>
      </vt:variant>
      <vt:variant>
        <vt:lpwstr/>
      </vt:variant>
      <vt:variant>
        <vt:lpwstr>_Toc102560248</vt:lpwstr>
      </vt:variant>
      <vt:variant>
        <vt:i4>1441847</vt:i4>
      </vt:variant>
      <vt:variant>
        <vt:i4>284</vt:i4>
      </vt:variant>
      <vt:variant>
        <vt:i4>0</vt:i4>
      </vt:variant>
      <vt:variant>
        <vt:i4>5</vt:i4>
      </vt:variant>
      <vt:variant>
        <vt:lpwstr/>
      </vt:variant>
      <vt:variant>
        <vt:lpwstr>_Toc102560247</vt:lpwstr>
      </vt:variant>
      <vt:variant>
        <vt:i4>1441847</vt:i4>
      </vt:variant>
      <vt:variant>
        <vt:i4>278</vt:i4>
      </vt:variant>
      <vt:variant>
        <vt:i4>0</vt:i4>
      </vt:variant>
      <vt:variant>
        <vt:i4>5</vt:i4>
      </vt:variant>
      <vt:variant>
        <vt:lpwstr/>
      </vt:variant>
      <vt:variant>
        <vt:lpwstr>_Toc102560246</vt:lpwstr>
      </vt:variant>
      <vt:variant>
        <vt:i4>1441847</vt:i4>
      </vt:variant>
      <vt:variant>
        <vt:i4>272</vt:i4>
      </vt:variant>
      <vt:variant>
        <vt:i4>0</vt:i4>
      </vt:variant>
      <vt:variant>
        <vt:i4>5</vt:i4>
      </vt:variant>
      <vt:variant>
        <vt:lpwstr/>
      </vt:variant>
      <vt:variant>
        <vt:lpwstr>_Toc102560245</vt:lpwstr>
      </vt:variant>
      <vt:variant>
        <vt:i4>1441847</vt:i4>
      </vt:variant>
      <vt:variant>
        <vt:i4>266</vt:i4>
      </vt:variant>
      <vt:variant>
        <vt:i4>0</vt:i4>
      </vt:variant>
      <vt:variant>
        <vt:i4>5</vt:i4>
      </vt:variant>
      <vt:variant>
        <vt:lpwstr/>
      </vt:variant>
      <vt:variant>
        <vt:lpwstr>_Toc102560244</vt:lpwstr>
      </vt:variant>
      <vt:variant>
        <vt:i4>1441847</vt:i4>
      </vt:variant>
      <vt:variant>
        <vt:i4>260</vt:i4>
      </vt:variant>
      <vt:variant>
        <vt:i4>0</vt:i4>
      </vt:variant>
      <vt:variant>
        <vt:i4>5</vt:i4>
      </vt:variant>
      <vt:variant>
        <vt:lpwstr/>
      </vt:variant>
      <vt:variant>
        <vt:lpwstr>_Toc102560243</vt:lpwstr>
      </vt:variant>
      <vt:variant>
        <vt:i4>1441847</vt:i4>
      </vt:variant>
      <vt:variant>
        <vt:i4>254</vt:i4>
      </vt:variant>
      <vt:variant>
        <vt:i4>0</vt:i4>
      </vt:variant>
      <vt:variant>
        <vt:i4>5</vt:i4>
      </vt:variant>
      <vt:variant>
        <vt:lpwstr/>
      </vt:variant>
      <vt:variant>
        <vt:lpwstr>_Toc102560242</vt:lpwstr>
      </vt:variant>
      <vt:variant>
        <vt:i4>1441847</vt:i4>
      </vt:variant>
      <vt:variant>
        <vt:i4>248</vt:i4>
      </vt:variant>
      <vt:variant>
        <vt:i4>0</vt:i4>
      </vt:variant>
      <vt:variant>
        <vt:i4>5</vt:i4>
      </vt:variant>
      <vt:variant>
        <vt:lpwstr/>
      </vt:variant>
      <vt:variant>
        <vt:lpwstr>_Toc102560241</vt:lpwstr>
      </vt:variant>
      <vt:variant>
        <vt:i4>1441847</vt:i4>
      </vt:variant>
      <vt:variant>
        <vt:i4>242</vt:i4>
      </vt:variant>
      <vt:variant>
        <vt:i4>0</vt:i4>
      </vt:variant>
      <vt:variant>
        <vt:i4>5</vt:i4>
      </vt:variant>
      <vt:variant>
        <vt:lpwstr/>
      </vt:variant>
      <vt:variant>
        <vt:lpwstr>_Toc102560240</vt:lpwstr>
      </vt:variant>
      <vt:variant>
        <vt:i4>1114167</vt:i4>
      </vt:variant>
      <vt:variant>
        <vt:i4>236</vt:i4>
      </vt:variant>
      <vt:variant>
        <vt:i4>0</vt:i4>
      </vt:variant>
      <vt:variant>
        <vt:i4>5</vt:i4>
      </vt:variant>
      <vt:variant>
        <vt:lpwstr/>
      </vt:variant>
      <vt:variant>
        <vt:lpwstr>_Toc102560239</vt:lpwstr>
      </vt:variant>
      <vt:variant>
        <vt:i4>1114167</vt:i4>
      </vt:variant>
      <vt:variant>
        <vt:i4>230</vt:i4>
      </vt:variant>
      <vt:variant>
        <vt:i4>0</vt:i4>
      </vt:variant>
      <vt:variant>
        <vt:i4>5</vt:i4>
      </vt:variant>
      <vt:variant>
        <vt:lpwstr/>
      </vt:variant>
      <vt:variant>
        <vt:lpwstr>_Toc102560238</vt:lpwstr>
      </vt:variant>
      <vt:variant>
        <vt:i4>1114167</vt:i4>
      </vt:variant>
      <vt:variant>
        <vt:i4>224</vt:i4>
      </vt:variant>
      <vt:variant>
        <vt:i4>0</vt:i4>
      </vt:variant>
      <vt:variant>
        <vt:i4>5</vt:i4>
      </vt:variant>
      <vt:variant>
        <vt:lpwstr/>
      </vt:variant>
      <vt:variant>
        <vt:lpwstr>_Toc102560237</vt:lpwstr>
      </vt:variant>
      <vt:variant>
        <vt:i4>1114167</vt:i4>
      </vt:variant>
      <vt:variant>
        <vt:i4>218</vt:i4>
      </vt:variant>
      <vt:variant>
        <vt:i4>0</vt:i4>
      </vt:variant>
      <vt:variant>
        <vt:i4>5</vt:i4>
      </vt:variant>
      <vt:variant>
        <vt:lpwstr/>
      </vt:variant>
      <vt:variant>
        <vt:lpwstr>_Toc102560236</vt:lpwstr>
      </vt:variant>
      <vt:variant>
        <vt:i4>1114167</vt:i4>
      </vt:variant>
      <vt:variant>
        <vt:i4>212</vt:i4>
      </vt:variant>
      <vt:variant>
        <vt:i4>0</vt:i4>
      </vt:variant>
      <vt:variant>
        <vt:i4>5</vt:i4>
      </vt:variant>
      <vt:variant>
        <vt:lpwstr/>
      </vt:variant>
      <vt:variant>
        <vt:lpwstr>_Toc102560235</vt:lpwstr>
      </vt:variant>
      <vt:variant>
        <vt:i4>1114167</vt:i4>
      </vt:variant>
      <vt:variant>
        <vt:i4>206</vt:i4>
      </vt:variant>
      <vt:variant>
        <vt:i4>0</vt:i4>
      </vt:variant>
      <vt:variant>
        <vt:i4>5</vt:i4>
      </vt:variant>
      <vt:variant>
        <vt:lpwstr/>
      </vt:variant>
      <vt:variant>
        <vt:lpwstr>_Toc102560234</vt:lpwstr>
      </vt:variant>
      <vt:variant>
        <vt:i4>1114167</vt:i4>
      </vt:variant>
      <vt:variant>
        <vt:i4>200</vt:i4>
      </vt:variant>
      <vt:variant>
        <vt:i4>0</vt:i4>
      </vt:variant>
      <vt:variant>
        <vt:i4>5</vt:i4>
      </vt:variant>
      <vt:variant>
        <vt:lpwstr/>
      </vt:variant>
      <vt:variant>
        <vt:lpwstr>_Toc102560233</vt:lpwstr>
      </vt:variant>
      <vt:variant>
        <vt:i4>1114167</vt:i4>
      </vt:variant>
      <vt:variant>
        <vt:i4>194</vt:i4>
      </vt:variant>
      <vt:variant>
        <vt:i4>0</vt:i4>
      </vt:variant>
      <vt:variant>
        <vt:i4>5</vt:i4>
      </vt:variant>
      <vt:variant>
        <vt:lpwstr/>
      </vt:variant>
      <vt:variant>
        <vt:lpwstr>_Toc102560232</vt:lpwstr>
      </vt:variant>
      <vt:variant>
        <vt:i4>1114167</vt:i4>
      </vt:variant>
      <vt:variant>
        <vt:i4>188</vt:i4>
      </vt:variant>
      <vt:variant>
        <vt:i4>0</vt:i4>
      </vt:variant>
      <vt:variant>
        <vt:i4>5</vt:i4>
      </vt:variant>
      <vt:variant>
        <vt:lpwstr/>
      </vt:variant>
      <vt:variant>
        <vt:lpwstr>_Toc102560231</vt:lpwstr>
      </vt:variant>
      <vt:variant>
        <vt:i4>1114167</vt:i4>
      </vt:variant>
      <vt:variant>
        <vt:i4>182</vt:i4>
      </vt:variant>
      <vt:variant>
        <vt:i4>0</vt:i4>
      </vt:variant>
      <vt:variant>
        <vt:i4>5</vt:i4>
      </vt:variant>
      <vt:variant>
        <vt:lpwstr/>
      </vt:variant>
      <vt:variant>
        <vt:lpwstr>_Toc102560230</vt:lpwstr>
      </vt:variant>
      <vt:variant>
        <vt:i4>1048631</vt:i4>
      </vt:variant>
      <vt:variant>
        <vt:i4>176</vt:i4>
      </vt:variant>
      <vt:variant>
        <vt:i4>0</vt:i4>
      </vt:variant>
      <vt:variant>
        <vt:i4>5</vt:i4>
      </vt:variant>
      <vt:variant>
        <vt:lpwstr/>
      </vt:variant>
      <vt:variant>
        <vt:lpwstr>_Toc102560229</vt:lpwstr>
      </vt:variant>
      <vt:variant>
        <vt:i4>1048631</vt:i4>
      </vt:variant>
      <vt:variant>
        <vt:i4>170</vt:i4>
      </vt:variant>
      <vt:variant>
        <vt:i4>0</vt:i4>
      </vt:variant>
      <vt:variant>
        <vt:i4>5</vt:i4>
      </vt:variant>
      <vt:variant>
        <vt:lpwstr/>
      </vt:variant>
      <vt:variant>
        <vt:lpwstr>_Toc102560228</vt:lpwstr>
      </vt:variant>
      <vt:variant>
        <vt:i4>1048631</vt:i4>
      </vt:variant>
      <vt:variant>
        <vt:i4>164</vt:i4>
      </vt:variant>
      <vt:variant>
        <vt:i4>0</vt:i4>
      </vt:variant>
      <vt:variant>
        <vt:i4>5</vt:i4>
      </vt:variant>
      <vt:variant>
        <vt:lpwstr/>
      </vt:variant>
      <vt:variant>
        <vt:lpwstr>_Toc102560227</vt:lpwstr>
      </vt:variant>
      <vt:variant>
        <vt:i4>1048631</vt:i4>
      </vt:variant>
      <vt:variant>
        <vt:i4>158</vt:i4>
      </vt:variant>
      <vt:variant>
        <vt:i4>0</vt:i4>
      </vt:variant>
      <vt:variant>
        <vt:i4>5</vt:i4>
      </vt:variant>
      <vt:variant>
        <vt:lpwstr/>
      </vt:variant>
      <vt:variant>
        <vt:lpwstr>_Toc102560226</vt:lpwstr>
      </vt:variant>
      <vt:variant>
        <vt:i4>1048631</vt:i4>
      </vt:variant>
      <vt:variant>
        <vt:i4>152</vt:i4>
      </vt:variant>
      <vt:variant>
        <vt:i4>0</vt:i4>
      </vt:variant>
      <vt:variant>
        <vt:i4>5</vt:i4>
      </vt:variant>
      <vt:variant>
        <vt:lpwstr/>
      </vt:variant>
      <vt:variant>
        <vt:lpwstr>_Toc102560225</vt:lpwstr>
      </vt:variant>
      <vt:variant>
        <vt:i4>1048631</vt:i4>
      </vt:variant>
      <vt:variant>
        <vt:i4>146</vt:i4>
      </vt:variant>
      <vt:variant>
        <vt:i4>0</vt:i4>
      </vt:variant>
      <vt:variant>
        <vt:i4>5</vt:i4>
      </vt:variant>
      <vt:variant>
        <vt:lpwstr/>
      </vt:variant>
      <vt:variant>
        <vt:lpwstr>_Toc102560224</vt:lpwstr>
      </vt:variant>
      <vt:variant>
        <vt:i4>1048631</vt:i4>
      </vt:variant>
      <vt:variant>
        <vt:i4>140</vt:i4>
      </vt:variant>
      <vt:variant>
        <vt:i4>0</vt:i4>
      </vt:variant>
      <vt:variant>
        <vt:i4>5</vt:i4>
      </vt:variant>
      <vt:variant>
        <vt:lpwstr/>
      </vt:variant>
      <vt:variant>
        <vt:lpwstr>_Toc102560223</vt:lpwstr>
      </vt:variant>
      <vt:variant>
        <vt:i4>1048631</vt:i4>
      </vt:variant>
      <vt:variant>
        <vt:i4>134</vt:i4>
      </vt:variant>
      <vt:variant>
        <vt:i4>0</vt:i4>
      </vt:variant>
      <vt:variant>
        <vt:i4>5</vt:i4>
      </vt:variant>
      <vt:variant>
        <vt:lpwstr/>
      </vt:variant>
      <vt:variant>
        <vt:lpwstr>_Toc102560222</vt:lpwstr>
      </vt:variant>
      <vt:variant>
        <vt:i4>1048631</vt:i4>
      </vt:variant>
      <vt:variant>
        <vt:i4>128</vt:i4>
      </vt:variant>
      <vt:variant>
        <vt:i4>0</vt:i4>
      </vt:variant>
      <vt:variant>
        <vt:i4>5</vt:i4>
      </vt:variant>
      <vt:variant>
        <vt:lpwstr/>
      </vt:variant>
      <vt:variant>
        <vt:lpwstr>_Toc102560221</vt:lpwstr>
      </vt:variant>
      <vt:variant>
        <vt:i4>1048631</vt:i4>
      </vt:variant>
      <vt:variant>
        <vt:i4>122</vt:i4>
      </vt:variant>
      <vt:variant>
        <vt:i4>0</vt:i4>
      </vt:variant>
      <vt:variant>
        <vt:i4>5</vt:i4>
      </vt:variant>
      <vt:variant>
        <vt:lpwstr/>
      </vt:variant>
      <vt:variant>
        <vt:lpwstr>_Toc102560220</vt:lpwstr>
      </vt:variant>
      <vt:variant>
        <vt:i4>1245239</vt:i4>
      </vt:variant>
      <vt:variant>
        <vt:i4>116</vt:i4>
      </vt:variant>
      <vt:variant>
        <vt:i4>0</vt:i4>
      </vt:variant>
      <vt:variant>
        <vt:i4>5</vt:i4>
      </vt:variant>
      <vt:variant>
        <vt:lpwstr/>
      </vt:variant>
      <vt:variant>
        <vt:lpwstr>_Toc102560219</vt:lpwstr>
      </vt:variant>
      <vt:variant>
        <vt:i4>1245239</vt:i4>
      </vt:variant>
      <vt:variant>
        <vt:i4>110</vt:i4>
      </vt:variant>
      <vt:variant>
        <vt:i4>0</vt:i4>
      </vt:variant>
      <vt:variant>
        <vt:i4>5</vt:i4>
      </vt:variant>
      <vt:variant>
        <vt:lpwstr/>
      </vt:variant>
      <vt:variant>
        <vt:lpwstr>_Toc102560218</vt:lpwstr>
      </vt:variant>
      <vt:variant>
        <vt:i4>1245239</vt:i4>
      </vt:variant>
      <vt:variant>
        <vt:i4>104</vt:i4>
      </vt:variant>
      <vt:variant>
        <vt:i4>0</vt:i4>
      </vt:variant>
      <vt:variant>
        <vt:i4>5</vt:i4>
      </vt:variant>
      <vt:variant>
        <vt:lpwstr/>
      </vt:variant>
      <vt:variant>
        <vt:lpwstr>_Toc102560217</vt:lpwstr>
      </vt:variant>
      <vt:variant>
        <vt:i4>1245239</vt:i4>
      </vt:variant>
      <vt:variant>
        <vt:i4>98</vt:i4>
      </vt:variant>
      <vt:variant>
        <vt:i4>0</vt:i4>
      </vt:variant>
      <vt:variant>
        <vt:i4>5</vt:i4>
      </vt:variant>
      <vt:variant>
        <vt:lpwstr/>
      </vt:variant>
      <vt:variant>
        <vt:lpwstr>_Toc102560216</vt:lpwstr>
      </vt:variant>
      <vt:variant>
        <vt:i4>1245239</vt:i4>
      </vt:variant>
      <vt:variant>
        <vt:i4>92</vt:i4>
      </vt:variant>
      <vt:variant>
        <vt:i4>0</vt:i4>
      </vt:variant>
      <vt:variant>
        <vt:i4>5</vt:i4>
      </vt:variant>
      <vt:variant>
        <vt:lpwstr/>
      </vt:variant>
      <vt:variant>
        <vt:lpwstr>_Toc102560215</vt:lpwstr>
      </vt:variant>
      <vt:variant>
        <vt:i4>1245239</vt:i4>
      </vt:variant>
      <vt:variant>
        <vt:i4>86</vt:i4>
      </vt:variant>
      <vt:variant>
        <vt:i4>0</vt:i4>
      </vt:variant>
      <vt:variant>
        <vt:i4>5</vt:i4>
      </vt:variant>
      <vt:variant>
        <vt:lpwstr/>
      </vt:variant>
      <vt:variant>
        <vt:lpwstr>_Toc102560214</vt:lpwstr>
      </vt:variant>
      <vt:variant>
        <vt:i4>1245239</vt:i4>
      </vt:variant>
      <vt:variant>
        <vt:i4>80</vt:i4>
      </vt:variant>
      <vt:variant>
        <vt:i4>0</vt:i4>
      </vt:variant>
      <vt:variant>
        <vt:i4>5</vt:i4>
      </vt:variant>
      <vt:variant>
        <vt:lpwstr/>
      </vt:variant>
      <vt:variant>
        <vt:lpwstr>_Toc102560213</vt:lpwstr>
      </vt:variant>
      <vt:variant>
        <vt:i4>1245239</vt:i4>
      </vt:variant>
      <vt:variant>
        <vt:i4>74</vt:i4>
      </vt:variant>
      <vt:variant>
        <vt:i4>0</vt:i4>
      </vt:variant>
      <vt:variant>
        <vt:i4>5</vt:i4>
      </vt:variant>
      <vt:variant>
        <vt:lpwstr/>
      </vt:variant>
      <vt:variant>
        <vt:lpwstr>_Toc102560212</vt:lpwstr>
      </vt:variant>
      <vt:variant>
        <vt:i4>1245239</vt:i4>
      </vt:variant>
      <vt:variant>
        <vt:i4>68</vt:i4>
      </vt:variant>
      <vt:variant>
        <vt:i4>0</vt:i4>
      </vt:variant>
      <vt:variant>
        <vt:i4>5</vt:i4>
      </vt:variant>
      <vt:variant>
        <vt:lpwstr/>
      </vt:variant>
      <vt:variant>
        <vt:lpwstr>_Toc102560211</vt:lpwstr>
      </vt:variant>
      <vt:variant>
        <vt:i4>1245239</vt:i4>
      </vt:variant>
      <vt:variant>
        <vt:i4>62</vt:i4>
      </vt:variant>
      <vt:variant>
        <vt:i4>0</vt:i4>
      </vt:variant>
      <vt:variant>
        <vt:i4>5</vt:i4>
      </vt:variant>
      <vt:variant>
        <vt:lpwstr/>
      </vt:variant>
      <vt:variant>
        <vt:lpwstr>_Toc102560210</vt:lpwstr>
      </vt:variant>
      <vt:variant>
        <vt:i4>1179703</vt:i4>
      </vt:variant>
      <vt:variant>
        <vt:i4>56</vt:i4>
      </vt:variant>
      <vt:variant>
        <vt:i4>0</vt:i4>
      </vt:variant>
      <vt:variant>
        <vt:i4>5</vt:i4>
      </vt:variant>
      <vt:variant>
        <vt:lpwstr/>
      </vt:variant>
      <vt:variant>
        <vt:lpwstr>_Toc102560209</vt:lpwstr>
      </vt:variant>
      <vt:variant>
        <vt:i4>1179703</vt:i4>
      </vt:variant>
      <vt:variant>
        <vt:i4>50</vt:i4>
      </vt:variant>
      <vt:variant>
        <vt:i4>0</vt:i4>
      </vt:variant>
      <vt:variant>
        <vt:i4>5</vt:i4>
      </vt:variant>
      <vt:variant>
        <vt:lpwstr/>
      </vt:variant>
      <vt:variant>
        <vt:lpwstr>_Toc102560208</vt:lpwstr>
      </vt:variant>
      <vt:variant>
        <vt:i4>1179703</vt:i4>
      </vt:variant>
      <vt:variant>
        <vt:i4>44</vt:i4>
      </vt:variant>
      <vt:variant>
        <vt:i4>0</vt:i4>
      </vt:variant>
      <vt:variant>
        <vt:i4>5</vt:i4>
      </vt:variant>
      <vt:variant>
        <vt:lpwstr/>
      </vt:variant>
      <vt:variant>
        <vt:lpwstr>_Toc102560207</vt:lpwstr>
      </vt:variant>
      <vt:variant>
        <vt:i4>1179703</vt:i4>
      </vt:variant>
      <vt:variant>
        <vt:i4>38</vt:i4>
      </vt:variant>
      <vt:variant>
        <vt:i4>0</vt:i4>
      </vt:variant>
      <vt:variant>
        <vt:i4>5</vt:i4>
      </vt:variant>
      <vt:variant>
        <vt:lpwstr/>
      </vt:variant>
      <vt:variant>
        <vt:lpwstr>_Toc102560206</vt:lpwstr>
      </vt:variant>
      <vt:variant>
        <vt:i4>1179703</vt:i4>
      </vt:variant>
      <vt:variant>
        <vt:i4>32</vt:i4>
      </vt:variant>
      <vt:variant>
        <vt:i4>0</vt:i4>
      </vt:variant>
      <vt:variant>
        <vt:i4>5</vt:i4>
      </vt:variant>
      <vt:variant>
        <vt:lpwstr/>
      </vt:variant>
      <vt:variant>
        <vt:lpwstr>_Toc102560205</vt:lpwstr>
      </vt:variant>
      <vt:variant>
        <vt:i4>1179703</vt:i4>
      </vt:variant>
      <vt:variant>
        <vt:i4>26</vt:i4>
      </vt:variant>
      <vt:variant>
        <vt:i4>0</vt:i4>
      </vt:variant>
      <vt:variant>
        <vt:i4>5</vt:i4>
      </vt:variant>
      <vt:variant>
        <vt:lpwstr/>
      </vt:variant>
      <vt:variant>
        <vt:lpwstr>_Toc102560204</vt:lpwstr>
      </vt:variant>
      <vt:variant>
        <vt:i4>1179703</vt:i4>
      </vt:variant>
      <vt:variant>
        <vt:i4>20</vt:i4>
      </vt:variant>
      <vt:variant>
        <vt:i4>0</vt:i4>
      </vt:variant>
      <vt:variant>
        <vt:i4>5</vt:i4>
      </vt:variant>
      <vt:variant>
        <vt:lpwstr/>
      </vt:variant>
      <vt:variant>
        <vt:lpwstr>_Toc102560203</vt:lpwstr>
      </vt:variant>
      <vt:variant>
        <vt:i4>1179703</vt:i4>
      </vt:variant>
      <vt:variant>
        <vt:i4>14</vt:i4>
      </vt:variant>
      <vt:variant>
        <vt:i4>0</vt:i4>
      </vt:variant>
      <vt:variant>
        <vt:i4>5</vt:i4>
      </vt:variant>
      <vt:variant>
        <vt:lpwstr/>
      </vt:variant>
      <vt:variant>
        <vt:lpwstr>_Toc102560202</vt:lpwstr>
      </vt:variant>
      <vt:variant>
        <vt:i4>1179703</vt:i4>
      </vt:variant>
      <vt:variant>
        <vt:i4>8</vt:i4>
      </vt:variant>
      <vt:variant>
        <vt:i4>0</vt:i4>
      </vt:variant>
      <vt:variant>
        <vt:i4>5</vt:i4>
      </vt:variant>
      <vt:variant>
        <vt:lpwstr/>
      </vt:variant>
      <vt:variant>
        <vt:lpwstr>_Toc102560201</vt:lpwstr>
      </vt:variant>
      <vt:variant>
        <vt:i4>1179703</vt:i4>
      </vt:variant>
      <vt:variant>
        <vt:i4>2</vt:i4>
      </vt:variant>
      <vt:variant>
        <vt:i4>0</vt:i4>
      </vt:variant>
      <vt:variant>
        <vt:i4>5</vt:i4>
      </vt:variant>
      <vt:variant>
        <vt:lpwstr/>
      </vt:variant>
      <vt:variant>
        <vt:lpwstr>_Toc102560200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I – Inception Phase</dc:title>
  <dc:subject>Technical, Financial and Legal Assistance for Feasibility Study of a Greenfield Wholesale Market in Egypt</dc:subject>
  <dc:creator>Massimiliano MONETTI</dc:creator>
  <cp:keywords>ENG Report</cp:keywords>
  <cp:lastModifiedBy>Houyem Rais</cp:lastModifiedBy>
  <cp:revision>4</cp:revision>
  <cp:lastPrinted>2017-11-23T14:09:00Z</cp:lastPrinted>
  <dcterms:created xsi:type="dcterms:W3CDTF">2024-02-22T14:37:00Z</dcterms:created>
  <dcterms:modified xsi:type="dcterms:W3CDTF">2024-02-22T14:38:00Z</dcterms:modified>
  <cp:category>Doc. No. P0031230-H1 Rev. 0 - June 2022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6175487-42af-4492-84fe-2b4054e011bd_Enabled">
    <vt:lpwstr>true</vt:lpwstr>
  </property>
  <property fmtid="{D5CDD505-2E9C-101B-9397-08002B2CF9AE}" pid="3" name="MSIP_Label_a6175487-42af-4492-84fe-2b4054e011bd_SetDate">
    <vt:lpwstr>2020-01-02T09:51:43Z</vt:lpwstr>
  </property>
  <property fmtid="{D5CDD505-2E9C-101B-9397-08002B2CF9AE}" pid="4" name="MSIP_Label_a6175487-42af-4492-84fe-2b4054e011bd_Method">
    <vt:lpwstr>Privileged</vt:lpwstr>
  </property>
  <property fmtid="{D5CDD505-2E9C-101B-9397-08002B2CF9AE}" pid="5" name="MSIP_Label_a6175487-42af-4492-84fe-2b4054e011bd_Name">
    <vt:lpwstr>Public</vt:lpwstr>
  </property>
  <property fmtid="{D5CDD505-2E9C-101B-9397-08002B2CF9AE}" pid="6" name="MSIP_Label_a6175487-42af-4492-84fe-2b4054e011bd_SiteId">
    <vt:lpwstr>76e3e3ff-fce0-45ec-a946-bc44d69a9b7e</vt:lpwstr>
  </property>
  <property fmtid="{D5CDD505-2E9C-101B-9397-08002B2CF9AE}" pid="7" name="MSIP_Label_a6175487-42af-4492-84fe-2b4054e011bd_ActionId">
    <vt:lpwstr>4afcacae-352b-420a-857c-00006b93b9c4</vt:lpwstr>
  </property>
  <property fmtid="{D5CDD505-2E9C-101B-9397-08002B2CF9AE}" pid="8" name="MSIP_Label_a6175487-42af-4492-84fe-2b4054e011bd_ContentBits">
    <vt:lpwstr>0</vt:lpwstr>
  </property>
</Properties>
</file>