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Bdr>
          <w:bottom w:val="single" w:sz="12" w:space="2" w:color="0f4c81"/>
        </w:pBdr>
      </w:pPr>
      <w:r>
        <w:rPr>
          <w:rFonts w:ascii="Calibri" w:hAnsi="Calibri"/>
          <w:b/>
          <w:color w:val="0F4C81"/>
          <w:sz w:val="32"/>
        </w:rPr>
        <w:t>Quantitative Trading &amp; Algorithmic Backtesting Portfolio</w:t>
      </w:r>
    </w:p>
    <w:p>
      <w:pPr>
        <w:spacing w:before="40" w:after="80" w:line="276" w:lineRule="auto"/>
      </w:pPr>
      <w:r>
        <w:rPr>
          <w:rFonts w:ascii="Calibri" w:hAnsi="Calibri"/>
          <w:b/>
          <w:color w:val="24292E"/>
          <w:sz w:val="19"/>
        </w:rPr>
        <w:t>Version:</w:t>
      </w:r>
      <w:r>
        <w:rPr>
          <w:rFonts w:ascii="Calibri" w:hAnsi="Calibri"/>
          <w:b w:val="0"/>
          <w:color w:val="24292E"/>
          <w:sz w:val="19"/>
        </w:rPr>
        <w:t xml:space="preserve"> October 2026</w:t>
      </w:r>
    </w:p>
    <w:p>
      <w:pPr>
        <w:spacing w:before="40" w:after="80" w:line="276" w:lineRule="auto"/>
      </w:pPr>
      <w:r>
        <w:rPr>
          <w:rFonts w:ascii="Calibri" w:hAnsi="Calibri"/>
          <w:b/>
          <w:color w:val="24292E"/>
          <w:sz w:val="19"/>
        </w:rPr>
        <w:t>Joint Research Dossier (ESE Oran)</w:t>
      </w:r>
    </w:p>
    <w:p>
      <w:pPr>
        <w:spacing w:before="40" w:after="80" w:line="276" w:lineRule="auto"/>
      </w:pPr>
      <w:r>
        <w:rPr>
          <w:rFonts w:ascii="Calibri" w:hAnsi="Calibri"/>
          <w:b/>
          <w:color w:val="24292E"/>
          <w:sz w:val="19"/>
        </w:rPr>
        <w:t>Target Programs:</w:t>
      </w:r>
      <w:r>
        <w:rPr>
          <w:rFonts w:ascii="Calibri" w:hAnsi="Calibri"/>
          <w:b w:val="0"/>
          <w:color w:val="24292E"/>
          <w:sz w:val="19"/>
        </w:rPr>
        <w:t xml:space="preserve"> MSc in Quantitative Finance / Data Science for Finance (UNIVPM Ancona, UNIPG Perugia, UNICAL Calabria, UNISI Siena; 2027/2028 Intake)</w:t>
      </w:r>
    </w:p>
    <w:p>
      <w:pPr>
        <w:spacing w:before="20" w:after="40"/>
        <w:ind w:left="288"/>
      </w:pPr>
      <w:r>
        <w:rPr>
          <w:rFonts w:ascii="Calibri" w:hAnsi="Calibri"/>
          <w:color w:val="0F4C81"/>
          <w:sz w:val="20"/>
        </w:rPr>
        <w:t xml:space="preserve">• </w:t>
      </w:r>
      <w:r>
        <w:rPr>
          <w:rFonts w:ascii="Calibri" w:hAnsi="Calibri"/>
          <w:b/>
          <w:color w:val="24292E"/>
          <w:sz w:val="19"/>
        </w:rPr>
        <w:t>Yasser REZKI</w:t>
      </w:r>
      <w:r>
        <w:rPr>
          <w:rFonts w:ascii="Calibri" w:hAnsi="Calibri"/>
          <w:b w:val="0"/>
          <w:color w:val="24292E"/>
          <w:sz w:val="19"/>
        </w:rPr>
        <w:t xml:space="preserve"> (Data Science for Economics &amp; Business)</w:t>
      </w:r>
    </w:p>
    <w:p>
      <w:pPr>
        <w:spacing w:before="20" w:after="40"/>
        <w:ind w:left="288"/>
      </w:pPr>
      <w:r>
        <w:rPr>
          <w:rFonts w:ascii="Calibri" w:hAnsi="Calibri"/>
          <w:color w:val="0F4C81"/>
          <w:sz w:val="20"/>
        </w:rPr>
        <w:t xml:space="preserve">• </w:t>
      </w:r>
      <w:r>
        <w:rPr>
          <w:rFonts w:ascii="Calibri" w:hAnsi="Calibri"/>
          <w:b/>
          <w:color w:val="24292E"/>
          <w:sz w:val="19"/>
        </w:rPr>
        <w:t>Ramy Ihab HENNANE</w:t>
      </w:r>
      <w:r>
        <w:rPr>
          <w:rFonts w:ascii="Calibri" w:hAnsi="Calibri"/>
          <w:b w:val="0"/>
          <w:color w:val="24292E"/>
          <w:sz w:val="19"/>
        </w:rPr>
        <w:t xml:space="preserve"> (Economics, Finance &amp; Markets)</w:t>
      </w:r>
    </w:p>
    <w:p>
      <w:pPr>
        <w:spacing w:before="20" w:after="40"/>
        <w:ind w:left="288"/>
      </w:pPr>
      <w:r>
        <w:rPr>
          <w:rFonts w:ascii="Calibri" w:hAnsi="Calibri"/>
          <w:color w:val="0F4C81"/>
          <w:sz w:val="20"/>
        </w:rPr>
        <w:t xml:space="preserve">• </w:t>
      </w:r>
      <w:r>
        <w:rPr>
          <w:rFonts w:ascii="Calibri" w:hAnsi="Calibri"/>
          <w:b/>
          <w:color w:val="24292E"/>
          <w:sz w:val="19"/>
        </w:rPr>
        <w:t>Code Repository &amp; Research Artifacts:</w:t>
      </w:r>
      <w:r>
        <w:rPr>
          <w:rFonts w:ascii="Calibri" w:hAnsi="Calibri"/>
          <w:b w:val="0"/>
          <w:color w:val="24292E"/>
          <w:sz w:val="19"/>
        </w:rPr>
        <w:t xml:space="preserve"> [https://github.com/hennaneihab-svg/quant-trading-portfolio](https://github.com/hennaneihab-svg/quant-trading-portfolio)</w:t>
      </w:r>
    </w:p>
    <w:p>
      <w:pPr>
        <w:spacing w:before="120" w:after="120"/>
        <w:pBdr>
          <w:bottom w:val="single" w:sz="4" w:space="1" w:color="e5e7eb"/>
        </w:pBdr>
      </w:pPr>
    </w:p>
    <w:p>
      <w:pPr>
        <w:keepNext/>
        <w:spacing w:before="200" w:after="60"/>
      </w:pPr>
      <w:r>
        <w:rPr>
          <w:rFonts w:ascii="Calibri" w:hAnsi="Calibri"/>
          <w:b/>
          <w:color w:val="0F4C81"/>
          <w:sz w:val="23"/>
        </w:rPr>
        <w:t>1. Executive Summary &amp; System Architecture</w:t>
      </w:r>
    </w:p>
    <w:p>
      <w:pPr>
        <w:spacing w:before="40" w:after="80" w:line="276" w:lineRule="auto"/>
      </w:pPr>
      <w:r>
        <w:rPr>
          <w:rFonts w:ascii="Calibri" w:hAnsi="Calibri"/>
          <w:b w:val="0"/>
          <w:color w:val="24292E"/>
          <w:sz w:val="19"/>
        </w:rPr>
        <w:t>This research dossier presents an empirical algorithmic framework developed alongside academic studies at ESE Oran. The project investigates intraday order flow imbalances and mean-reversion dynamics on index futures contracts.</w:t>
      </w:r>
    </w:p>
    <w:p>
      <w:pPr>
        <w:spacing w:before="40" w:after="80" w:line="276" w:lineRule="auto"/>
      </w:pPr>
      <w:r>
        <w:rPr>
          <w:rFonts w:ascii="Calibri" w:hAnsi="Calibri"/>
          <w:b w:val="0"/>
          <w:color w:val="24292E"/>
          <w:sz w:val="19"/>
        </w:rPr>
        <w:t>Standard backtesting environments often rely on simplified bar-close execution assumptions that underestimate real-world friction. To address execution realism, the strategy is implemented in NinjaScript (C#) and executed on the NinjaTrader 8 tick-replay engine, coupled with an external Python statistical audit pipeline. The framework incorporates explicit transaction friction models (exchange fees and execution slippage) alongside intraday risk constraints (a daily loss cap, a daily profit cap, and a single-loss-per-day restriction).</w:t>
      </w:r>
    </w:p>
    <w:p>
      <w:pPr>
        <w:spacing w:before="160" w:after="160"/>
        <w:jc w:val="center"/>
      </w:pPr>
      <w:r>
        <w:drawing>
          <wp:inline xmlns:a="http://schemas.openxmlformats.org/drawingml/2006/main" xmlns:pic="http://schemas.openxmlformats.org/drawingml/2006/picture">
            <wp:extent cx="5394960" cy="1489653"/>
            <wp:docPr id="1" name="Picture 1"/>
            <wp:cNvGraphicFramePr>
              <a:graphicFrameLocks noChangeAspect="1"/>
            </wp:cNvGraphicFramePr>
            <a:graphic>
              <a:graphicData uri="http://schemas.openxmlformats.org/drawingml/2006/picture">
                <pic:pic>
                  <pic:nvPicPr>
                    <pic:cNvPr id="0" name="chart_0_pipeline.png"/>
                    <pic:cNvPicPr/>
                  </pic:nvPicPr>
                  <pic:blipFill>
                    <a:blip r:embed="rId11"/>
                    <a:stretch>
                      <a:fillRect/>
                    </a:stretch>
                  </pic:blipFill>
                  <pic:spPr>
                    <a:xfrm>
                      <a:off x="0" y="0"/>
                      <a:ext cx="5394960" cy="1489653"/>
                    </a:xfrm>
                    <a:prstGeom prst="rect"/>
                  </pic:spPr>
                </pic:pic>
              </a:graphicData>
            </a:graphic>
          </wp:inline>
        </w:drawing>
      </w:r>
    </w:p>
    <w:p>
      <w:pPr>
        <w:spacing w:before="120" w:after="120"/>
        <w:pBdr>
          <w:bottom w:val="single" w:sz="4" w:space="1" w:color="e5e7eb"/>
        </w:pBdr>
      </w:pPr>
    </w:p>
    <w:p>
      <w:pPr>
        <w:keepNext/>
        <w:spacing w:before="200" w:after="60"/>
      </w:pPr>
      <w:r>
        <w:rPr>
          <w:rFonts w:ascii="Calibri" w:hAnsi="Calibri"/>
          <w:b/>
          <w:color w:val="0F4C81"/>
          <w:sz w:val="23"/>
        </w:rPr>
        <w:t>2. Quantitative Strategy: FlowX Institutional NQ v1</w:t>
      </w:r>
    </w:p>
    <w:p>
      <w:pPr>
        <w:keepNext/>
        <w:spacing w:before="160" w:after="40"/>
      </w:pPr>
      <w:r>
        <w:rPr>
          <w:rFonts w:ascii="Calibri" w:hAnsi="Calibri"/>
          <w:b/>
          <w:color w:val="2C3E50"/>
          <w:sz w:val="21"/>
        </w:rPr>
        <w:t>2.1 Economic Hypothesis &amp; Mathematical Formulation</w:t>
      </w:r>
    </w:p>
    <w:p>
      <w:pPr>
        <w:spacing w:before="20" w:after="40"/>
        <w:ind w:left="288"/>
      </w:pPr>
      <w:r>
        <w:rPr>
          <w:rFonts w:ascii="Calibri" w:hAnsi="Calibri"/>
          <w:color w:val="0F4C81"/>
          <w:sz w:val="20"/>
        </w:rPr>
        <w:t xml:space="preserve">• </w:t>
      </w:r>
      <w:r>
        <w:rPr>
          <w:rFonts w:ascii="Calibri" w:hAnsi="Calibri"/>
          <w:b/>
          <w:color w:val="24292E"/>
          <w:sz w:val="19"/>
        </w:rPr>
        <w:t>Asset Class &amp; Market Universe:</w:t>
      </w:r>
      <w:r>
        <w:rPr>
          <w:rFonts w:ascii="Calibri" w:hAnsi="Calibri"/>
          <w:b w:val="0"/>
          <w:color w:val="24292E"/>
          <w:sz w:val="19"/>
        </w:rPr>
        <w:t xml:space="preserve"> CME E-mini Nasdaq-100 index futures (</w:t>
      </w:r>
      <w:r>
        <w:rPr>
          <w:rFonts w:ascii="Consolas" w:hAnsi="Consolas"/>
          <w:b w:val="0"/>
          <w:color w:val="333333"/>
          <w:sz w:val="17"/>
        </w:rPr>
        <w:t>NQ</w:t>
      </w:r>
      <w:r>
        <w:rPr>
          <w:rFonts w:ascii="Calibri" w:hAnsi="Calibri"/>
          <w:b w:val="0"/>
          <w:color w:val="24292E"/>
          <w:sz w:val="19"/>
        </w:rPr>
        <w:t>), evaluating four quarterly contracts (</w:t>
      </w:r>
      <w:r>
        <w:rPr>
          <w:rFonts w:ascii="Consolas" w:hAnsi="Consolas"/>
          <w:b w:val="0"/>
          <w:color w:val="333333"/>
          <w:sz w:val="17"/>
        </w:rPr>
        <w:t>NQ DEC25</w:t>
      </w:r>
      <w:r>
        <w:rPr>
          <w:rFonts w:ascii="Calibri" w:hAnsi="Calibri"/>
          <w:b w:val="0"/>
          <w:color w:val="24292E"/>
          <w:sz w:val="19"/>
        </w:rPr>
        <w:t xml:space="preserve">, </w:t>
      </w:r>
      <w:r>
        <w:rPr>
          <w:rFonts w:ascii="Consolas" w:hAnsi="Consolas"/>
          <w:b w:val="0"/>
          <w:color w:val="333333"/>
          <w:sz w:val="17"/>
        </w:rPr>
        <w:t>NQ MAR26</w:t>
      </w:r>
      <w:r>
        <w:rPr>
          <w:rFonts w:ascii="Calibri" w:hAnsi="Calibri"/>
          <w:b w:val="0"/>
          <w:color w:val="24292E"/>
          <w:sz w:val="19"/>
        </w:rPr>
        <w:t xml:space="preserve">, </w:t>
      </w:r>
      <w:r>
        <w:rPr>
          <w:rFonts w:ascii="Consolas" w:hAnsi="Consolas"/>
          <w:b w:val="0"/>
          <w:color w:val="333333"/>
          <w:sz w:val="17"/>
        </w:rPr>
        <w:t>NQ JUN26</w:t>
      </w:r>
      <w:r>
        <w:rPr>
          <w:rFonts w:ascii="Calibri" w:hAnsi="Calibri"/>
          <w:b w:val="0"/>
          <w:color w:val="24292E"/>
          <w:sz w:val="19"/>
        </w:rPr>
        <w:t xml:space="preserve">, </w:t>
      </w:r>
      <w:r>
        <w:rPr>
          <w:rFonts w:ascii="Consolas" w:hAnsi="Consolas"/>
          <w:b w:val="0"/>
          <w:color w:val="333333"/>
          <w:sz w:val="17"/>
        </w:rPr>
        <w:t>NQ SEP26</w:t>
      </w:r>
      <w:r>
        <w:rPr>
          <w:rFonts w:ascii="Calibri" w:hAnsi="Calibri"/>
          <w:b w:val="0"/>
          <w:color w:val="24292E"/>
          <w:sz w:val="19"/>
        </w:rPr>
        <w:t>) across 219 business days (48,399 one-minute bars within the 09:50–13:30 ET window) with tick-level price resolution.</w:t>
      </w:r>
    </w:p>
    <w:p>
      <w:pPr>
        <w:spacing w:before="20" w:after="40"/>
        <w:ind w:left="288"/>
      </w:pPr>
      <w:r>
        <w:rPr>
          <w:rFonts w:ascii="Calibri" w:hAnsi="Calibri"/>
          <w:color w:val="0F4C81"/>
          <w:sz w:val="20"/>
        </w:rPr>
        <w:t xml:space="preserve">• </w:t>
      </w:r>
      <w:r>
        <w:rPr>
          <w:rFonts w:ascii="Calibri" w:hAnsi="Calibri"/>
          <w:b/>
          <w:color w:val="24292E"/>
          <w:sz w:val="19"/>
        </w:rPr>
        <w:t>Economic Premise:</w:t>
      </w:r>
      <w:r>
        <w:rPr>
          <w:rFonts w:ascii="Calibri" w:hAnsi="Calibri"/>
          <w:b w:val="0"/>
          <w:color w:val="24292E"/>
          <w:sz w:val="19"/>
        </w:rPr>
        <w:t xml:space="preserve"> In equity index futures, large liquidity demand shocks that push prices beyond statistical volatility envelopes can temporarily deplete limit order book depth (Kyle, 1985; Hasbrouck, 2007). When aggressive market orders fail to generate further price displacement (indicated by trade delta exhaustion and price rejection wicks), quotes tend to revert toward the volume-weighted intraday mean.</w:t>
      </w:r>
    </w:p>
    <w:p>
      <w:pPr>
        <w:spacing w:before="20" w:after="40"/>
        <w:ind w:left="288"/>
      </w:pPr>
      <w:r>
        <w:rPr>
          <w:rFonts w:ascii="Calibri" w:hAnsi="Calibri"/>
          <w:color w:val="0F4C81"/>
          <w:sz w:val="20"/>
        </w:rPr>
        <w:t xml:space="preserve">• </w:t>
      </w:r>
      <w:r>
        <w:rPr>
          <w:rFonts w:ascii="Calibri" w:hAnsi="Calibri"/>
          <w:b/>
          <w:color w:val="24292E"/>
          <w:sz w:val="19"/>
        </w:rPr>
        <w:t>Mathematical &amp; Econometric Formulation:</w:t>
      </w:r>
    </w:p>
    <w:p>
      <w:pPr>
        <w:spacing w:before="20" w:after="40"/>
        <w:ind w:left="288"/>
      </w:pPr>
      <w:r>
        <w:rPr>
          <w:rFonts w:ascii="Calibri" w:hAnsi="Calibri"/>
          <w:b/>
          <w:color w:val="0F4C81"/>
          <w:sz w:val="20"/>
        </w:rPr>
        <w:t xml:space="preserve">1. </w:t>
      </w:r>
      <w:r>
        <w:rPr>
          <w:rFonts w:ascii="Calibri" w:hAnsi="Calibri"/>
          <w:b/>
          <w:color w:val="24292E"/>
          <w:sz w:val="19"/>
        </w:rPr>
        <w:t>Intraday Session-Anchored VWAP &amp; Volatility Bands:</w:t>
      </w:r>
    </w:p>
    <w:p>
      <w:pPr>
        <w:spacing w:before="40" w:after="80" w:line="276" w:lineRule="auto"/>
      </w:pPr>
      <w:r>
        <w:rPr>
          <w:rFonts w:ascii="Calibri" w:hAnsi="Calibri"/>
          <w:b w:val="0"/>
          <w:color w:val="24292E"/>
          <w:sz w:val="19"/>
        </w:rPr>
        <w:t xml:space="preserve">     At each intraday bar t, the benchmark price VWAP_t and conditional standard deviation σ_t are computed recursively from continuous trade price P_i and volume V_i:</w:t>
      </w:r>
    </w:p>
    <w:p>
      <w:pPr>
        <w:spacing w:before="40" w:after="80" w:line="276" w:lineRule="auto"/>
      </w:pPr>
      <w:r>
        <w:rPr>
          <w:rFonts w:ascii="Calibri" w:hAnsi="Calibri"/>
          <w:b w:val="0"/>
          <w:color w:val="24292E"/>
          <w:sz w:val="19"/>
        </w:rPr>
        <w:t xml:space="preserve">     VWAP_t = (∑ P_i V_i) / (∑ V_i),    σ_t = √[ (∑ P_i² V_i)/(∑ V_i) − VWAP_t² ]</w:t>
      </w:r>
    </w:p>
    <w:p>
      <w:pPr>
        <w:spacing w:before="40" w:after="80" w:line="276" w:lineRule="auto"/>
      </w:pPr>
      <w:r>
        <w:rPr>
          <w:rFonts w:ascii="Calibri" w:hAnsi="Calibri"/>
          <w:b w:val="0"/>
          <w:color w:val="24292E"/>
          <w:sz w:val="19"/>
        </w:rPr>
        <w:t xml:space="preserve">     Mean-reversion entry thresholds are placed at VWAP_t ± 2.0σ_t (</w:t>
      </w:r>
      <w:r>
        <w:rPr>
          <w:rFonts w:ascii="Consolas" w:hAnsi="Consolas"/>
          <w:b w:val="0"/>
          <w:color w:val="333333"/>
          <w:sz w:val="17"/>
        </w:rPr>
        <w:t>VwapDevBand2 = 2.00</w:t>
      </w:r>
      <w:r>
        <w:rPr>
          <w:rFonts w:ascii="Calibri" w:hAnsi="Calibri"/>
          <w:b w:val="0"/>
          <w:color w:val="24292E"/>
          <w:sz w:val="19"/>
        </w:rPr>
        <w:t>).</w:t>
      </w:r>
    </w:p>
    <w:p>
      <w:pPr>
        <w:spacing w:before="20" w:after="40"/>
        <w:ind w:left="288"/>
      </w:pPr>
      <w:r>
        <w:rPr>
          <w:rFonts w:ascii="Calibri" w:hAnsi="Calibri"/>
          <w:b/>
          <w:color w:val="0F4C81"/>
          <w:sz w:val="20"/>
        </w:rPr>
        <w:t xml:space="preserve">2. </w:t>
      </w:r>
      <w:r>
        <w:rPr>
          <w:rFonts w:ascii="Calibri" w:hAnsi="Calibri"/>
          <w:b/>
          <w:color w:val="24292E"/>
          <w:sz w:val="19"/>
        </w:rPr>
        <w:t>Order Flow Delta &amp; Lee-Ready Microstructure Filter:</w:t>
      </w:r>
    </w:p>
    <w:p>
      <w:pPr>
        <w:spacing w:before="40" w:after="80" w:line="276" w:lineRule="auto"/>
      </w:pPr>
      <w:r>
        <w:rPr>
          <w:rFonts w:ascii="Calibri" w:hAnsi="Calibri"/>
          <w:b w:val="0"/>
          <w:color w:val="24292E"/>
          <w:sz w:val="19"/>
        </w:rPr>
        <w:t xml:space="preserve">     Because historical Level 1 tick feeds lack continuous National Best Bid and Offer (NBBO) quotes, trade direction is classified via the tick test (tick rule) subset of the Lee &amp; Ready (1991) microstructure framework:</w:t>
      </w:r>
    </w:p>
    <w:p>
      <w:pPr>
        <w:spacing w:before="40" w:after="80" w:line="276" w:lineRule="auto"/>
      </w:pPr>
      <w:r>
        <w:rPr>
          <w:rFonts w:ascii="Calibri" w:hAnsi="Calibri"/>
          <w:b w:val="0"/>
          <w:color w:val="24292E"/>
          <w:sz w:val="19"/>
        </w:rPr>
        <w:t xml:space="preserve">     D_k = +1 if P_k &gt; P_{k-1};   -1 if P_k &lt; P_{k-1};   D_{k-1} if P_k = P_{k-1}   (with D_0 = +1)</w:t>
      </w:r>
    </w:p>
    <w:p>
      <w:pPr>
        <w:spacing w:before="40" w:after="80" w:line="276" w:lineRule="auto"/>
      </w:pPr>
      <w:r>
        <w:rPr>
          <w:rFonts w:ascii="Calibri" w:hAnsi="Calibri"/>
          <w:b w:val="0"/>
          <w:color w:val="24292E"/>
          <w:sz w:val="19"/>
        </w:rPr>
        <w:t xml:space="preserve">     with D_0 = +1. Intra-bar delta is accumulated continuously (Δ_bar = ∑_(k ∈ bar) D_k V_k), tracking net aggressive order flow without continuous quote references.</w:t>
      </w:r>
    </w:p>
    <w:p>
      <w:pPr>
        <w:spacing w:before="20" w:after="40"/>
        <w:ind w:left="288"/>
      </w:pPr>
      <w:r>
        <w:rPr>
          <w:rFonts w:ascii="Calibri" w:hAnsi="Calibri"/>
          <w:b/>
          <w:color w:val="0F4C81"/>
          <w:sz w:val="20"/>
        </w:rPr>
        <w:t xml:space="preserve">3. </w:t>
      </w:r>
      <w:r>
        <w:rPr>
          <w:rFonts w:ascii="Calibri" w:hAnsi="Calibri"/>
          <w:b/>
          <w:color w:val="24292E"/>
          <w:sz w:val="19"/>
        </w:rPr>
        <w:t>Adaptive Institutional Sweep Detection:</w:t>
      </w:r>
    </w:p>
    <w:p>
      <w:pPr>
        <w:spacing w:before="40" w:after="80" w:line="276" w:lineRule="auto"/>
      </w:pPr>
      <w:r>
        <w:rPr>
          <w:rFonts w:ascii="Calibri" w:hAnsi="Calibri"/>
          <w:b w:val="0"/>
          <w:color w:val="24292E"/>
          <w:sz w:val="19"/>
        </w:rPr>
        <w:t xml:space="preserve">     An aggressive institutional sweep threshold is dynamically calculated from bar volume:</w:t>
      </w:r>
    </w:p>
    <w:p>
      <w:pPr>
        <w:spacing w:before="40" w:after="80" w:line="276" w:lineRule="auto"/>
      </w:pPr>
      <w:r>
        <w:rPr>
          <w:rFonts w:ascii="Calibri" w:hAnsi="Calibri"/>
          <w:b w:val="0"/>
          <w:color w:val="24292E"/>
          <w:sz w:val="19"/>
        </w:rPr>
        <w:t xml:space="preserve">     Sweep Threshold = max(20, 0.08 × SMA₂₀(V_bar))</w:t>
      </w:r>
    </w:p>
    <w:p>
      <w:pPr>
        <w:spacing w:before="40" w:after="80" w:line="276" w:lineRule="auto"/>
      </w:pPr>
      <w:r>
        <w:rPr>
          <w:rFonts w:ascii="Calibri" w:hAnsi="Calibri"/>
          <w:b w:val="0"/>
          <w:color w:val="24292E"/>
          <w:sz w:val="19"/>
        </w:rPr>
        <w:t xml:space="preserve">     where SMA₂₀(V_bar) is the 20-period simple moving average of 1-minute bar volume (combining an absolute floor of 20 contracts with an adaptive 8% ratio of average bar volume). In the tick-replay engine, an institutional sweep flag is triggered if single tick volume, accumulated consecutive same-direction sweep volume, or intra-bar delta meets or exceeds this threshold: max(V_tick, V_consecutive_sweep, |Δ_bar|) ≥ Sweep Threshold.</w:t>
      </w:r>
    </w:p>
    <w:p>
      <w:pPr>
        <w:spacing w:before="20" w:after="40"/>
        <w:ind w:left="288"/>
      </w:pPr>
      <w:r>
        <w:rPr>
          <w:rFonts w:ascii="Calibri" w:hAnsi="Calibri"/>
          <w:b/>
          <w:color w:val="0F4C81"/>
          <w:sz w:val="20"/>
        </w:rPr>
        <w:t xml:space="preserve">4. </w:t>
      </w:r>
      <w:r>
        <w:rPr>
          <w:rFonts w:ascii="Calibri" w:hAnsi="Calibri"/>
          <w:b/>
          <w:color w:val="24292E"/>
          <w:sz w:val="19"/>
        </w:rPr>
        <w:t>Absorption Signature:</w:t>
      </w:r>
    </w:p>
    <w:p>
      <w:pPr>
        <w:spacing w:before="40" w:after="80" w:line="276" w:lineRule="auto"/>
      </w:pPr>
      <w:r>
        <w:rPr>
          <w:rFonts w:ascii="Calibri" w:hAnsi="Calibri"/>
          <w:b w:val="0"/>
          <w:color w:val="24292E"/>
          <w:sz w:val="19"/>
        </w:rPr>
        <w:t xml:space="preserve">     A trade setup requires price penetration beyond 2.0σ_t, a rejection wick of at least 3.0 NQ points, and trade delta exhaustion (absorption of aggressive market orders without price continuation).</w:t>
      </w:r>
    </w:p>
    <w:p>
      <w:pPr>
        <w:spacing w:before="20" w:after="40"/>
        <w:ind w:left="288"/>
      </w:pPr>
      <w:r>
        <w:rPr>
          <w:rFonts w:ascii="Calibri" w:hAnsi="Calibri"/>
          <w:b/>
          <w:color w:val="0F4C81"/>
          <w:sz w:val="20"/>
        </w:rPr>
        <w:t xml:space="preserve">5. </w:t>
      </w:r>
      <w:r>
        <w:rPr>
          <w:rFonts w:ascii="Calibri" w:hAnsi="Calibri"/>
          <w:b/>
          <w:color w:val="24292E"/>
          <w:sz w:val="19"/>
        </w:rPr>
        <w:t>Macro Trend Slope Filter:</w:t>
      </w:r>
    </w:p>
    <w:p>
      <w:pPr>
        <w:spacing w:before="40" w:after="80" w:line="276" w:lineRule="auto"/>
      </w:pPr>
      <w:r>
        <w:rPr>
          <w:rFonts w:ascii="Calibri" w:hAnsi="Calibri"/>
          <w:b w:val="0"/>
          <w:color w:val="24292E"/>
          <w:sz w:val="19"/>
        </w:rPr>
        <w:t xml:space="preserve">     To reduce counter-trend entries during directional trend regimes, the linear regression slope of VWAP over a 20-bar window is bounded: |Slope₂₀(VWAP)| ≤ 4.00 points.</w:t>
      </w:r>
    </w:p>
    <w:p>
      <w:pPr>
        <w:spacing w:before="20" w:after="40"/>
        <w:ind w:left="288"/>
      </w:pPr>
      <w:r>
        <w:rPr>
          <w:rFonts w:ascii="Calibri" w:hAnsi="Calibri"/>
          <w:b/>
          <w:color w:val="0F4C81"/>
          <w:sz w:val="20"/>
        </w:rPr>
        <w:t xml:space="preserve">6. </w:t>
      </w:r>
      <w:r>
        <w:rPr>
          <w:rFonts w:ascii="Calibri" w:hAnsi="Calibri"/>
          <w:b/>
          <w:color w:val="24292E"/>
          <w:sz w:val="19"/>
        </w:rPr>
        <w:t>Temporal Execution Window (New York Morning Session):</w:t>
      </w:r>
    </w:p>
    <w:p>
      <w:pPr>
        <w:spacing w:before="40" w:after="80" w:line="276" w:lineRule="auto"/>
      </w:pPr>
      <w:r>
        <w:rPr>
          <w:rFonts w:ascii="Calibri" w:hAnsi="Calibri"/>
          <w:b w:val="0"/>
          <w:color w:val="24292E"/>
          <w:sz w:val="19"/>
        </w:rPr>
        <w:t xml:space="preserve">      Trading is strictly restricted to 09:50 to 13:30 Eastern Time (ET) via dynamic time conversion in code (</w:t>
      </w:r>
      <w:r>
        <w:rPr>
          <w:rFonts w:ascii="Consolas" w:hAnsi="Consolas"/>
          <w:b w:val="0"/>
          <w:color w:val="333333"/>
          <w:sz w:val="17"/>
        </w:rPr>
        <w:t>barTimeNy = ToEasternTime(Time[0])</w:t>
      </w:r>
      <w:r>
        <w:rPr>
          <w:rFonts w:ascii="Calibri" w:hAnsi="Calibri"/>
          <w:b w:val="0"/>
          <w:color w:val="24292E"/>
          <w:sz w:val="19"/>
        </w:rPr>
        <w:t>), avoiding the opening 20 minutes of cash open volatility and late-afternoon illiquidity. All trades execute within this invariant 09:50–13:30 ET CME market window across all 41 active trading sessions (spanning 19 sessions during Eastern Standard Time and 22 sessions during Eastern Daylight Time). Cumulative VWAP and prior-day Volume Profile anchor to the CME daily settlement and session rollover at 17:00 Central Time (18:00 Eastern Time).</w:t>
      </w:r>
    </w:p>
    <w:p>
      <w:pPr>
        <w:keepNext/>
        <w:spacing w:before="160" w:after="40"/>
      </w:pPr>
      <w:r>
        <w:rPr>
          <w:rFonts w:ascii="Calibri" w:hAnsi="Calibri"/>
          <w:b/>
          <w:color w:val="2C3E50"/>
          <w:sz w:val="21"/>
        </w:rPr>
        <w:t>2.2 Execution Assumptions &amp; Friction Modeling</w:t>
      </w:r>
    </w:p>
    <w:p>
      <w:pPr>
        <w:spacing w:before="40" w:after="80" w:line="276" w:lineRule="auto"/>
      </w:pPr>
      <w:r>
        <w:rPr>
          <w:rFonts w:ascii="Calibri" w:hAnsi="Calibri"/>
          <w:b w:val="0"/>
          <w:color w:val="24292E"/>
          <w:sz w:val="19"/>
        </w:rPr>
        <w:t>The backtesting configuration applies the following execution and friction parameters:</w:t>
      </w:r>
    </w:p>
    <w:p>
      <w:pPr>
        <w:spacing w:before="20" w:after="40"/>
        <w:ind w:left="288"/>
      </w:pPr>
      <w:r>
        <w:rPr>
          <w:rFonts w:ascii="Calibri" w:hAnsi="Calibri"/>
          <w:color w:val="0F4C81"/>
          <w:sz w:val="20"/>
        </w:rPr>
        <w:t xml:space="preserve">• </w:t>
      </w:r>
      <w:r>
        <w:rPr>
          <w:rFonts w:ascii="Calibri" w:hAnsi="Calibri"/>
          <w:b/>
          <w:color w:val="24292E"/>
          <w:sz w:val="19"/>
        </w:rPr>
        <w:t>Broker Commission:</w:t>
      </w:r>
      <w:r>
        <w:rPr>
          <w:rFonts w:ascii="Calibri" w:hAnsi="Calibri"/>
          <w:b w:val="0"/>
          <w:color w:val="24292E"/>
          <w:sz w:val="19"/>
        </w:rPr>
        <w:t xml:space="preserve"> $3.80 per round-trip per contract ($1.90 per side). Over the 108 executed trade legs, total deducted commission was $410.40.</w:t>
      </w:r>
    </w:p>
    <w:p>
      <w:pPr>
        <w:spacing w:before="20" w:after="40"/>
        <w:ind w:left="288"/>
      </w:pPr>
      <w:r>
        <w:rPr>
          <w:rFonts w:ascii="Calibri" w:hAnsi="Calibri"/>
          <w:color w:val="0F4C81"/>
          <w:sz w:val="20"/>
        </w:rPr>
        <w:t xml:space="preserve">• </w:t>
      </w:r>
      <w:r>
        <w:rPr>
          <w:rFonts w:ascii="Calibri" w:hAnsi="Calibri"/>
          <w:b/>
          <w:color w:val="24292E"/>
          <w:sz w:val="19"/>
        </w:rPr>
        <w:t>Exchange Slippage:</w:t>
      </w:r>
      <w:r>
        <w:rPr>
          <w:rFonts w:ascii="Calibri" w:hAnsi="Calibri"/>
          <w:b w:val="0"/>
          <w:color w:val="24292E"/>
          <w:sz w:val="19"/>
        </w:rPr>
        <w:t xml:space="preserve"> Modeled as 1 tick ($5.00 per contract on NQ) on all market entry and stop-loss orders (</w:t>
      </w:r>
      <w:r>
        <w:rPr>
          <w:rFonts w:ascii="Consolas" w:hAnsi="Consolas"/>
          <w:b w:val="0"/>
          <w:color w:val="333333"/>
          <w:sz w:val="17"/>
        </w:rPr>
        <w:t>Slippage = 1</w:t>
      </w:r>
      <w:r>
        <w:rPr>
          <w:rFonts w:ascii="Calibri" w:hAnsi="Calibri"/>
          <w:b w:val="0"/>
          <w:color w:val="24292E"/>
          <w:sz w:val="19"/>
        </w:rPr>
        <w:t>).</w:t>
      </w:r>
    </w:p>
    <w:p>
      <w:pPr>
        <w:spacing w:before="20" w:after="40"/>
        <w:ind w:left="288"/>
      </w:pPr>
      <w:r>
        <w:rPr>
          <w:rFonts w:ascii="Calibri" w:hAnsi="Calibri"/>
          <w:color w:val="0F4C81"/>
          <w:sz w:val="20"/>
        </w:rPr>
        <w:t xml:space="preserve">• </w:t>
      </w:r>
      <w:r>
        <w:rPr>
          <w:rFonts w:ascii="Calibri" w:hAnsi="Calibri"/>
          <w:b/>
          <w:color w:val="24292E"/>
          <w:sz w:val="19"/>
        </w:rPr>
        <w:t>Limit Order Execution:</w:t>
      </w:r>
      <w:r>
        <w:rPr>
          <w:rFonts w:ascii="Calibri" w:hAnsi="Calibri"/>
          <w:b w:val="0"/>
          <w:color w:val="24292E"/>
          <w:sz w:val="19"/>
        </w:rPr>
        <w:t xml:space="preserve"> Profit target orders (Leg 1) are submitted as native exchange limit orders (</w:t>
      </w:r>
      <w:r>
        <w:rPr>
          <w:rFonts w:ascii="Consolas" w:hAnsi="Consolas"/>
          <w:b w:val="0"/>
          <w:color w:val="333333"/>
          <w:sz w:val="17"/>
        </w:rPr>
        <w:t>SetProfitTarget</w:t>
      </w:r>
      <w:r>
        <w:rPr>
          <w:rFonts w:ascii="Calibri" w:hAnsi="Calibri"/>
          <w:b w:val="0"/>
          <w:color w:val="24292E"/>
          <w:sz w:val="19"/>
        </w:rPr>
        <w:t>). The backtesting engine assumes execution at the exact limit price without price improvement (</w:t>
      </w:r>
      <w:r>
        <w:rPr>
          <w:rFonts w:ascii="Consolas" w:hAnsi="Consolas"/>
          <w:b w:val="0"/>
          <w:color w:val="333333"/>
          <w:sz w:val="17"/>
        </w:rPr>
        <w:t>IsFillLimitOnTouch = false</w:t>
      </w:r>
      <w:r>
        <w:rPr>
          <w:rFonts w:ascii="Calibri" w:hAnsi="Calibri"/>
          <w:b w:val="0"/>
          <w:color w:val="24292E"/>
          <w:sz w:val="19"/>
        </w:rPr>
        <w:t>).</w:t>
      </w:r>
    </w:p>
    <w:p>
      <w:pPr>
        <w:keepNext/>
        <w:spacing w:before="160" w:after="40"/>
      </w:pPr>
      <w:r>
        <w:rPr>
          <w:rFonts w:ascii="Calibri" w:hAnsi="Calibri"/>
          <w:b/>
          <w:color w:val="2C3E50"/>
          <w:sz w:val="21"/>
        </w:rPr>
        <w:t>2.3 Methodological Disclosures &amp; Statistical Inference</w:t>
      </w:r>
    </w:p>
    <w:p>
      <w:pPr>
        <w:spacing w:before="20" w:after="40"/>
        <w:ind w:left="288"/>
      </w:pPr>
      <w:r>
        <w:rPr>
          <w:rFonts w:ascii="Calibri" w:hAnsi="Calibri"/>
          <w:color w:val="0F4C81"/>
          <w:sz w:val="20"/>
        </w:rPr>
        <w:t xml:space="preserve">• </w:t>
      </w:r>
      <w:r>
        <w:rPr>
          <w:rFonts w:ascii="Calibri" w:hAnsi="Calibri"/>
          <w:b/>
          <w:color w:val="24292E"/>
          <w:sz w:val="19"/>
        </w:rPr>
        <w:t>Sample Nature:</w:t>
      </w:r>
      <w:r>
        <w:rPr>
          <w:rFonts w:ascii="Calibri" w:hAnsi="Calibri"/>
          <w:b w:val="0"/>
          <w:color w:val="24292E"/>
          <w:sz w:val="19"/>
        </w:rPr>
        <w:t xml:space="preserve"> The 4-quarter test window (2025-10-28 to 2026-08-28) is a </w:t>
      </w:r>
      <w:r>
        <w:rPr>
          <w:rFonts w:ascii="Calibri" w:hAnsi="Calibri"/>
          <w:b/>
          <w:color w:val="24292E"/>
          <w:sz w:val="19"/>
        </w:rPr>
        <w:t>development / in-sample incubation dataset</w:t>
      </w:r>
      <w:r>
        <w:rPr>
          <w:rFonts w:ascii="Calibri" w:hAnsi="Calibri"/>
          <w:b w:val="0"/>
          <w:color w:val="24292E"/>
          <w:sz w:val="19"/>
        </w:rPr>
        <w:t>. Parameters were observed and calibrated across this period.</w:t>
      </w:r>
    </w:p>
    <w:p>
      <w:pPr>
        <w:spacing w:before="20" w:after="40"/>
        <w:ind w:left="288"/>
      </w:pPr>
      <w:r>
        <w:rPr>
          <w:rFonts w:ascii="Calibri" w:hAnsi="Calibri"/>
          <w:color w:val="0F4C81"/>
          <w:sz w:val="20"/>
        </w:rPr>
        <w:t xml:space="preserve">• </w:t>
      </w:r>
      <w:r>
        <w:rPr>
          <w:rFonts w:ascii="Calibri" w:hAnsi="Calibri"/>
          <w:b/>
          <w:color w:val="24292E"/>
          <w:sz w:val="19"/>
        </w:rPr>
        <w:t>Sample Size Caveat:</w:t>
      </w:r>
      <w:r>
        <w:rPr>
          <w:rFonts w:ascii="Calibri" w:hAnsi="Calibri"/>
          <w:b w:val="0"/>
          <w:color w:val="24292E"/>
          <w:sz w:val="19"/>
        </w:rPr>
        <w:t xml:space="preserve"> Across the 10-month evaluation period, 54 paired setups (108 trade legs) occurred. With 54 setups, statistical point estimates are subject to sampling variability.</w:t>
      </w:r>
    </w:p>
    <w:p>
      <w:pPr>
        <w:spacing w:before="20" w:after="40"/>
        <w:ind w:left="288"/>
      </w:pPr>
      <w:r>
        <w:rPr>
          <w:rFonts w:ascii="Calibri" w:hAnsi="Calibri"/>
          <w:color w:val="0F4C81"/>
          <w:sz w:val="20"/>
        </w:rPr>
        <w:t xml:space="preserve">• </w:t>
      </w:r>
      <w:r>
        <w:rPr>
          <w:rFonts w:ascii="Calibri" w:hAnsi="Calibri"/>
          <w:b/>
          <w:color w:val="24292E"/>
          <w:sz w:val="19"/>
        </w:rPr>
        <w:t>Bootstrap Confidence Intervals (B = 10,000 iterations, seed 42):</w:t>
      </w:r>
    </w:p>
    <w:p>
      <w:pPr>
        <w:spacing w:before="20" w:after="40"/>
        <w:ind w:left="288"/>
      </w:pPr>
      <w:r>
        <w:rPr>
          <w:rFonts w:ascii="Calibri" w:hAnsi="Calibri"/>
          <w:color w:val="0F4C81"/>
          <w:sz w:val="20"/>
        </w:rPr>
        <w:t xml:space="preserve">• </w:t>
      </w:r>
      <w:r>
        <w:rPr>
          <w:rFonts w:ascii="Calibri" w:hAnsi="Calibri"/>
          <w:b/>
          <w:color w:val="24292E"/>
          <w:sz w:val="19"/>
        </w:rPr>
        <w:t>Paired Setup Win Rate (N = 54):</w:t>
      </w:r>
      <w:r>
        <w:rPr>
          <w:rFonts w:ascii="Calibri" w:hAnsi="Calibri"/>
          <w:b w:val="0"/>
          <w:color w:val="24292E"/>
          <w:sz w:val="19"/>
        </w:rPr>
        <w:t xml:space="preserve"> 77.78%, 95% bootstrap CI = </w:t>
      </w:r>
      <w:r>
        <w:rPr>
          <w:rFonts w:ascii="Calibri" w:hAnsi="Calibri"/>
          <w:b/>
          <w:color w:val="24292E"/>
          <w:sz w:val="19"/>
        </w:rPr>
        <w:t>[66.67%, 88.89%]</w:t>
      </w:r>
      <w:r>
        <w:rPr>
          <w:rFonts w:ascii="Calibri" w:hAnsi="Calibri"/>
          <w:b w:val="0"/>
          <w:color w:val="24292E"/>
          <w:sz w:val="19"/>
        </w:rPr>
        <w:t>.</w:t>
      </w:r>
    </w:p>
    <w:p>
      <w:pPr>
        <w:spacing w:before="20" w:after="40"/>
        <w:ind w:left="288"/>
      </w:pPr>
      <w:r>
        <w:rPr>
          <w:rFonts w:ascii="Calibri" w:hAnsi="Calibri"/>
          <w:color w:val="0F4C81"/>
          <w:sz w:val="20"/>
        </w:rPr>
        <w:t xml:space="preserve">• </w:t>
      </w:r>
      <w:r>
        <w:rPr>
          <w:rFonts w:ascii="Calibri" w:hAnsi="Calibri"/>
          <w:b/>
          <w:color w:val="24292E"/>
          <w:sz w:val="19"/>
        </w:rPr>
        <w:t>Setup Expected Return:</w:t>
      </w:r>
      <w:r>
        <w:rPr>
          <w:rFonts w:ascii="Calibri" w:hAnsi="Calibri"/>
          <w:b w:val="0"/>
          <w:color w:val="24292E"/>
          <w:sz w:val="19"/>
        </w:rPr>
        <w:t xml:space="preserve"> +0.522% of initial capital (+$261.10/setup), 95% bootstrap CI = </w:t>
      </w:r>
      <w:r>
        <w:rPr>
          <w:rFonts w:ascii="Calibri" w:hAnsi="Calibri"/>
          <w:b/>
          <w:color w:val="24292E"/>
          <w:sz w:val="19"/>
        </w:rPr>
        <w:t>[+0.290%, +0.747%]</w:t>
      </w:r>
      <w:r>
        <w:rPr>
          <w:rFonts w:ascii="Calibri" w:hAnsi="Calibri"/>
          <w:b w:val="0"/>
          <w:color w:val="24292E"/>
          <w:sz w:val="19"/>
        </w:rPr>
        <w:t xml:space="preserve"> ([+$144.80, +$373.70]).</w:t>
      </w:r>
    </w:p>
    <w:p>
      <w:pPr>
        <w:spacing w:before="20" w:after="40"/>
        <w:ind w:left="288"/>
      </w:pPr>
      <w:r>
        <w:rPr>
          <w:rFonts w:ascii="Calibri" w:hAnsi="Calibri"/>
          <w:color w:val="0F4C81"/>
          <w:sz w:val="20"/>
        </w:rPr>
        <w:t xml:space="preserve">• </w:t>
      </w:r>
      <w:r>
        <w:rPr>
          <w:rFonts w:ascii="Calibri" w:hAnsi="Calibri"/>
          <w:b/>
          <w:color w:val="24292E"/>
          <w:sz w:val="19"/>
        </w:rPr>
        <w:t>Trade Leg Win Rate (N = 108):</w:t>
      </w:r>
      <w:r>
        <w:rPr>
          <w:rFonts w:ascii="Calibri" w:hAnsi="Calibri"/>
          <w:b w:val="0"/>
          <w:color w:val="24292E"/>
          <w:sz w:val="19"/>
        </w:rPr>
        <w:t xml:space="preserve"> 77.78% (point estimate; confidence interval omitted as legs of the same setup are not independent).</w:t>
      </w:r>
    </w:p>
    <w:p>
      <w:pPr>
        <w:spacing w:before="20" w:after="40"/>
        <w:ind w:left="288"/>
      </w:pPr>
      <w:r>
        <w:rPr>
          <w:rFonts w:ascii="Calibri" w:hAnsi="Calibri"/>
          <w:color w:val="0F4C81"/>
          <w:sz w:val="20"/>
        </w:rPr>
        <w:t xml:space="preserve">• </w:t>
      </w:r>
      <w:r>
        <w:rPr>
          <w:rFonts w:ascii="Calibri" w:hAnsi="Calibri"/>
          <w:b/>
          <w:color w:val="24292E"/>
          <w:sz w:val="19"/>
        </w:rPr>
        <w:t>Annualized Sharpe Ratio (R_f = 4.0%):</w:t>
      </w:r>
      <w:r>
        <w:rPr>
          <w:rFonts w:ascii="Calibri" w:hAnsi="Calibri"/>
          <w:b w:val="0"/>
          <w:color w:val="24292E"/>
          <w:sz w:val="19"/>
        </w:rPr>
        <w:t xml:space="preserve"> Point estimate = 3.23 (accounting for Sharpe estimation uncertainty; Lo, 2002).</w:t>
      </w:r>
    </w:p>
    <w:p>
      <w:pPr>
        <w:spacing w:before="20" w:after="40"/>
        <w:ind w:left="576"/>
      </w:pPr>
      <w:r>
        <w:rPr>
          <w:rFonts w:ascii="Calibri" w:hAnsi="Calibri"/>
          <w:color w:val="0F4C81"/>
          <w:sz w:val="20"/>
        </w:rPr>
        <w:t xml:space="preserve">◦ </w:t>
      </w:r>
      <w:r>
        <w:rPr>
          <w:rFonts w:ascii="Calibri" w:hAnsi="Calibri"/>
          <w:b w:val="0"/>
          <w:color w:val="24292E"/>
          <w:sz w:val="19"/>
        </w:rPr>
        <w:t xml:space="preserve">95% IID Bootstrap CI: </w:t>
      </w:r>
      <w:r>
        <w:rPr>
          <w:rFonts w:ascii="Calibri" w:hAnsi="Calibri"/>
          <w:b/>
          <w:color w:val="24292E"/>
          <w:sz w:val="19"/>
        </w:rPr>
        <w:t>[1.28, 5.06]</w:t>
      </w:r>
    </w:p>
    <w:p>
      <w:pPr>
        <w:spacing w:before="20" w:after="40"/>
        <w:ind w:left="576"/>
      </w:pPr>
      <w:r>
        <w:rPr>
          <w:rFonts w:ascii="Calibri" w:hAnsi="Calibri"/>
          <w:color w:val="0F4C81"/>
          <w:sz w:val="20"/>
        </w:rPr>
        <w:t xml:space="preserve">◦ </w:t>
      </w:r>
      <w:r>
        <w:rPr>
          <w:rFonts w:ascii="Calibri" w:hAnsi="Calibri"/>
          <w:b w:val="0"/>
          <w:color w:val="24292E"/>
          <w:sz w:val="19"/>
        </w:rPr>
        <w:t xml:space="preserve">95% Moving Block Bootstrap CI (block length = 5 days): </w:t>
      </w:r>
      <w:r>
        <w:rPr>
          <w:rFonts w:ascii="Calibri" w:hAnsi="Calibri"/>
          <w:b/>
          <w:color w:val="24292E"/>
          <w:sz w:val="19"/>
        </w:rPr>
        <w:t>[0.95, 4.91]</w:t>
      </w:r>
    </w:p>
    <w:p>
      <w:pPr>
        <w:spacing w:before="20" w:after="40"/>
        <w:ind w:left="288"/>
      </w:pPr>
      <w:r>
        <w:rPr>
          <w:rFonts w:ascii="Calibri" w:hAnsi="Calibri"/>
          <w:color w:val="0F4C81"/>
          <w:sz w:val="20"/>
        </w:rPr>
        <w:t xml:space="preserve">• </w:t>
      </w:r>
      <w:r>
        <w:rPr>
          <w:rFonts w:ascii="Calibri" w:hAnsi="Calibri"/>
          <w:b/>
          <w:color w:val="24292E"/>
          <w:sz w:val="19"/>
        </w:rPr>
        <w:t>Multiple Testing Correction &amp; Deflated Sharpe Ratio (DSR):</w:t>
      </w:r>
    </w:p>
    <w:p>
      <w:pPr>
        <w:spacing w:before="40" w:after="80" w:line="276" w:lineRule="auto"/>
      </w:pPr>
      <w:r>
        <w:rPr>
          <w:rFonts w:ascii="Calibri" w:hAnsi="Calibri"/>
          <w:b w:val="0"/>
          <w:color w:val="24292E"/>
          <w:sz w:val="19"/>
        </w:rPr>
        <w:t xml:space="preserve">  When trading strategies are developed through iterative exploratory tests, nominal performance metrics are subject to selection bias (White, 2000; Bailey &amp; López de Prado, 2014; Harvey, Liu &amp; Zhu, 2016). The research trial registry records at least 612 trials (lower bound N ≥ 612; informal iterations not counted; 537 on ES, 74 exploratory on NQ, and 1 pre-registered NQ-v1 variant). The expected maximum Sharpe ratio under the null hypothesis of zero skill (SR*) and the resulting Deflated Sharpe Ratio (DSR) depend on the unobserved cross-trial standard deviation (σ_SR):</w:t>
      </w:r>
    </w:p>
    <w:tbl>
      <w:tblPr>
        <w:tblW w:type="auto" w:w="0"/>
        <w:jc w:val="center"/>
        <w:tblLook w:firstColumn="1" w:firstRow="1" w:lastColumn="0" w:lastRow="0" w:noHBand="0" w:noVBand="1" w:val="04A0"/>
        <w:tblBorders>
          <w:top w:val="single" w:sz="6" w:space="0" w:color="0f4c81"/>
          <w:bottom w:val="single" w:sz="6" w:space="0" w:color="0f4c81"/>
          <w:insideH w:val="single" w:sz="4" w:space="0" w:color="e5e7eb"/>
          <w:insideV w:val="none"/>
          <w:left w:val="none"/>
          <w:right w:val="none"/>
        </w:tblBorders>
      </w:tblPr>
      <w:tblGrid>
        <w:gridCol w:w="1863"/>
        <w:gridCol w:w="1863"/>
        <w:gridCol w:w="1863"/>
        <w:gridCol w:w="1863"/>
        <w:gridCol w:w="1863"/>
      </w:tblGrid>
      <w:tr>
        <w:tc>
          <w:tcPr>
            <w:tcW w:type="dxa" w:w="1863"/>
            <w:shd w:fill="F3F4F6"/>
            <w:tcMar>
              <w:top w:w="90" w:type="dxa"/>
              <w:bottom w:w="90" w:type="dxa"/>
              <w:left w:w="120" w:type="dxa"/>
              <w:right w:w="120" w:type="dxa"/>
            </w:tcMar>
          </w:tcPr>
          <w:p>
            <w:pPr>
              <w:spacing w:before="0" w:after="0"/>
              <w:jc w:val="center"/>
            </w:pPr>
            <w:r>
              <w:rPr>
                <w:rFonts w:ascii="Calibri" w:hAnsi="Calibri"/>
                <w:b/>
                <w:color w:val="111827"/>
                <w:sz w:val="18"/>
              </w:rPr>
              <w:t>Number of Trials (N)</w:t>
            </w:r>
          </w:p>
        </w:tc>
        <w:tc>
          <w:tcPr>
            <w:tcW w:type="dxa" w:w="1863"/>
            <w:shd w:fill="F3F4F6"/>
            <w:tcMar>
              <w:top w:w="90" w:type="dxa"/>
              <w:bottom w:w="90" w:type="dxa"/>
              <w:left w:w="120" w:type="dxa"/>
              <w:right w:w="120" w:type="dxa"/>
            </w:tcMar>
          </w:tcPr>
          <w:p>
            <w:pPr>
              <w:spacing w:before="0" w:after="0"/>
              <w:jc w:val="center"/>
            </w:pPr>
            <w:r>
              <w:rPr>
                <w:rFonts w:ascii="Calibri" w:hAnsi="Calibri"/>
                <w:b/>
                <w:color w:val="111827"/>
                <w:sz w:val="18"/>
              </w:rPr>
              <w:t>Cross-Trial Dispersion (σ_SR)</w:t>
            </w:r>
          </w:p>
        </w:tc>
        <w:tc>
          <w:tcPr>
            <w:tcW w:type="dxa" w:w="1863"/>
            <w:shd w:fill="F3F4F6"/>
            <w:tcMar>
              <w:top w:w="90" w:type="dxa"/>
              <w:bottom w:w="90" w:type="dxa"/>
              <w:left w:w="120" w:type="dxa"/>
              <w:right w:w="120" w:type="dxa"/>
            </w:tcMar>
          </w:tcPr>
          <w:p>
            <w:pPr>
              <w:spacing w:before="0" w:after="0"/>
              <w:jc w:val="center"/>
            </w:pPr>
            <w:r>
              <w:rPr>
                <w:rFonts w:ascii="Calibri" w:hAnsi="Calibri"/>
                <w:b/>
                <w:color w:val="111827"/>
                <w:sz w:val="18"/>
              </w:rPr>
              <w:t>Expected Max Sharpe (SR*)</w:t>
            </w:r>
          </w:p>
        </w:tc>
        <w:tc>
          <w:tcPr>
            <w:tcW w:type="dxa" w:w="1863"/>
            <w:shd w:fill="F3F4F6"/>
            <w:tcMar>
              <w:top w:w="90" w:type="dxa"/>
              <w:bottom w:w="90" w:type="dxa"/>
              <w:left w:w="120" w:type="dxa"/>
              <w:right w:w="120" w:type="dxa"/>
            </w:tcMar>
          </w:tcPr>
          <w:p>
            <w:pPr>
              <w:spacing w:before="0" w:after="0"/>
              <w:jc w:val="center"/>
            </w:pPr>
            <w:r>
              <w:rPr>
                <w:rFonts w:ascii="Calibri" w:hAnsi="Calibri"/>
                <w:b/>
                <w:color w:val="111827"/>
                <w:sz w:val="18"/>
              </w:rPr>
              <w:t>Asymptotic Z-Score</w:t>
            </w:r>
          </w:p>
        </w:tc>
        <w:tc>
          <w:tcPr>
            <w:tcW w:type="dxa" w:w="1863"/>
            <w:shd w:fill="F3F4F6"/>
            <w:tcMar>
              <w:top w:w="90" w:type="dxa"/>
              <w:bottom w:w="90" w:type="dxa"/>
              <w:left w:w="120" w:type="dxa"/>
              <w:right w:w="120" w:type="dxa"/>
            </w:tcMar>
          </w:tcPr>
          <w:p>
            <w:pPr>
              <w:spacing w:before="0" w:after="0"/>
              <w:jc w:val="center"/>
            </w:pPr>
            <w:r>
              <w:rPr>
                <w:rFonts w:ascii="Calibri" w:hAnsi="Calibri"/>
                <w:b/>
                <w:color w:val="111827"/>
                <w:sz w:val="18"/>
              </w:rPr>
              <w:t>Deflated Sharpe Ratio (DSR)</w:t>
            </w:r>
          </w:p>
        </w:tc>
      </w:tr>
      <w:tr>
        <w:tc>
          <w:tcPr>
            <w:tcW w:type="dxa" w:w="1863"/>
            <w:tcMar>
              <w:top w:w="70" w:type="dxa"/>
              <w:bottom w:w="70" w:type="dxa"/>
              <w:left w:w="120" w:type="dxa"/>
              <w:right w:w="120" w:type="dxa"/>
            </w:tcMar>
          </w:tcPr>
          <w:p>
            <w:pPr>
              <w:spacing w:before="0" w:after="0"/>
              <w:jc w:val="center"/>
            </w:pPr>
            <w:r>
              <w:rPr>
                <w:rFonts w:ascii="Calibri" w:hAnsi="Calibri"/>
                <w:b w:val="0"/>
                <w:color w:val="24292E"/>
                <w:sz w:val="17"/>
              </w:rPr>
              <w:t>74 (NQ exploratory trials)</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0.50</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1.21</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2.12</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0.9831</w:t>
            </w:r>
          </w:p>
        </w:tc>
      </w:tr>
      <w:tr>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74 (NQ exploratory trials)</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1.00</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2.42</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0.85</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0.8017</w:t>
            </w:r>
          </w:p>
        </w:tc>
      </w:tr>
      <w:tr>
        <w:tc>
          <w:tcPr>
            <w:tcW w:type="dxa" w:w="1863"/>
            <w:tcMar>
              <w:top w:w="70" w:type="dxa"/>
              <w:bottom w:w="70" w:type="dxa"/>
              <w:left w:w="120" w:type="dxa"/>
              <w:right w:w="120" w:type="dxa"/>
            </w:tcMar>
          </w:tcPr>
          <w:p>
            <w:pPr>
              <w:spacing w:before="0" w:after="0"/>
              <w:jc w:val="center"/>
            </w:pPr>
            <w:r>
              <w:rPr>
                <w:rFonts w:ascii="Calibri" w:hAnsi="Calibri"/>
                <w:b w:val="0"/>
                <w:color w:val="24292E"/>
                <w:sz w:val="17"/>
              </w:rPr>
              <w:t>74 (NQ exploratory trials)</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1.50</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3.63</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-0.43</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0.3349</w:t>
            </w:r>
          </w:p>
        </w:tc>
      </w:tr>
      <w:tr>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74 (NQ exploratory trials)</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2.00</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4.85</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-1.70</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0.0445</w:t>
            </w:r>
          </w:p>
        </w:tc>
      </w:tr>
      <w:tr>
        <w:tc>
          <w:tcPr>
            <w:tcW w:type="dxa" w:w="1863"/>
            <w:tcMar>
              <w:top w:w="70" w:type="dxa"/>
              <w:bottom w:w="70" w:type="dxa"/>
              <w:left w:w="120" w:type="dxa"/>
              <w:right w:w="120" w:type="dxa"/>
            </w:tcMar>
          </w:tcPr>
          <w:p>
            <w:pPr>
              <w:spacing w:before="0" w:after="0"/>
              <w:jc w:val="center"/>
            </w:pPr>
            <w:r>
              <w:rPr>
                <w:rFonts w:ascii="Calibri" w:hAnsi="Calibri"/>
                <w:b w:val="0"/>
                <w:color w:val="24292E"/>
                <w:sz w:val="17"/>
              </w:rPr>
              <w:t>300 (illustrative intermediate case)</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0.50</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1.45</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1.87</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0.9695</w:t>
            </w:r>
          </w:p>
        </w:tc>
      </w:tr>
      <w:tr>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300 (illustrative intermediate case)</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1.00</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2.90</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0.35</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0.6370</w:t>
            </w:r>
          </w:p>
        </w:tc>
      </w:tr>
      <w:tr>
        <w:tc>
          <w:tcPr>
            <w:tcW w:type="dxa" w:w="1863"/>
            <w:tcMar>
              <w:top w:w="70" w:type="dxa"/>
              <w:bottom w:w="70" w:type="dxa"/>
              <w:left w:w="120" w:type="dxa"/>
              <w:right w:w="120" w:type="dxa"/>
            </w:tcMar>
          </w:tcPr>
          <w:p>
            <w:pPr>
              <w:spacing w:before="0" w:after="0"/>
              <w:jc w:val="center"/>
            </w:pPr>
            <w:r>
              <w:rPr>
                <w:rFonts w:ascii="Calibri" w:hAnsi="Calibri"/>
                <w:b w:val="0"/>
                <w:color w:val="24292E"/>
                <w:sz w:val="17"/>
              </w:rPr>
              <w:t>300 (illustrative intermediate case)</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1.50</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4.34</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-1.17</w:t>
            </w:r>
          </w:p>
        </w:tc>
        <w:tc>
          <w:tcPr>
            <w:tcW w:type="dxa" w:w="1863"/>
            <w:tcMar>
              <w:top w:w="70" w:type="dxa"/>
              <w:bottom w:w="70" w:type="dxa"/>
              <w:left w:w="120" w:type="dxa"/>
              <w:right w:w="120" w:type="dxa"/>
            </w:tcMar>
          </w:tcPr>
          <w:p>
            <w:pPr>
              <w:spacing w:before="0" w:after="0"/>
              <w:jc w:val="center"/>
            </w:pPr>
            <w:r>
              <w:rPr>
                <w:rFonts w:ascii="Calibri" w:hAnsi="Calibri"/>
                <w:b w:val="0"/>
                <w:color w:val="24292E"/>
                <w:sz w:val="17"/>
              </w:rPr>
              <w:t>0.1206</w:t>
            </w:r>
          </w:p>
        </w:tc>
      </w:tr>
      <w:tr>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300 (illustrative intermediate case)</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2.00</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5.79</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-2.70</w:t>
            </w:r>
          </w:p>
        </w:tc>
        <w:tc>
          <w:tcPr>
            <w:tcW w:type="dxa" w:w="1863"/>
            <w:shd w:fill="F9FAFB"/>
            <w:tcMar>
              <w:top w:w="70" w:type="dxa"/>
              <w:bottom w:w="70" w:type="dxa"/>
              <w:left w:w="120" w:type="dxa"/>
              <w:right w:w="120" w:type="dxa"/>
            </w:tcMar>
          </w:tcPr>
          <w:p>
            <w:pPr>
              <w:spacing w:before="0" w:after="0"/>
              <w:jc w:val="center"/>
            </w:pPr>
            <w:r>
              <w:rPr>
                <w:rFonts w:ascii="Calibri" w:hAnsi="Calibri"/>
                <w:b w:val="0"/>
                <w:color w:val="24292E"/>
                <w:sz w:val="17"/>
              </w:rPr>
              <w:t>0.0035</w:t>
            </w:r>
          </w:p>
        </w:tc>
      </w:tr>
      <w:tr>
        <w:tc>
          <w:tcPr>
            <w:tcW w:type="dxa" w:w="1863"/>
            <w:tcMar>
              <w:top w:w="70" w:type="dxa"/>
              <w:bottom w:w="70" w:type="dxa"/>
              <w:left w:w="120" w:type="dxa"/>
              <w:right w:w="120" w:type="dxa"/>
            </w:tcMar>
          </w:tcPr>
          <w:p>
            <w:pPr>
              <w:spacing w:before="0" w:after="0"/>
              <w:jc w:val="center"/>
            </w:pPr>
            <w:r>
              <w:rPr>
                <w:rFonts w:ascii="Calibri" w:hAnsi="Calibri"/>
                <w:b/>
                <w:color w:val="24292E"/>
                <w:sz w:val="17"/>
              </w:rPr>
              <w:t>612 (Full Registry Bound)</w:t>
            </w:r>
          </w:p>
        </w:tc>
        <w:tc>
          <w:tcPr>
            <w:tcW w:type="dxa" w:w="1863"/>
            <w:tcMar>
              <w:top w:w="70" w:type="dxa"/>
              <w:bottom w:w="70" w:type="dxa"/>
              <w:left w:w="120" w:type="dxa"/>
              <w:right w:w="120" w:type="dxa"/>
            </w:tcMar>
          </w:tcPr>
          <w:p>
            <w:pPr>
              <w:spacing w:before="0" w:after="0"/>
              <w:jc w:val="center"/>
            </w:pPr>
            <w:r>
              <w:rPr>
                <w:rFonts w:ascii="Calibri" w:hAnsi="Calibri"/>
                <w:b/>
                <w:color w:val="24292E"/>
                <w:sz w:val="17"/>
              </w:rPr>
              <w:t>0.50</w:t>
            </w:r>
          </w:p>
        </w:tc>
        <w:tc>
          <w:tcPr>
            <w:tcW w:type="dxa" w:w="1863"/>
            <w:tcMar>
              <w:top w:w="70" w:type="dxa"/>
              <w:bottom w:w="70" w:type="dxa"/>
              <w:left w:w="120" w:type="dxa"/>
              <w:right w:w="120" w:type="dxa"/>
            </w:tcMar>
          </w:tcPr>
          <w:p>
            <w:pPr>
              <w:spacing w:before="0" w:after="0"/>
              <w:jc w:val="center"/>
            </w:pPr>
            <w:r>
              <w:rPr>
                <w:rFonts w:ascii="Calibri" w:hAnsi="Calibri"/>
                <w:b/>
                <w:color w:val="24292E"/>
                <w:sz w:val="17"/>
              </w:rPr>
              <w:t>1.56</w:t>
            </w:r>
          </w:p>
        </w:tc>
        <w:tc>
          <w:tcPr>
            <w:tcW w:type="dxa" w:w="1863"/>
            <w:tcMar>
              <w:top w:w="70" w:type="dxa"/>
              <w:bottom w:w="70" w:type="dxa"/>
              <w:left w:w="120" w:type="dxa"/>
              <w:right w:w="120" w:type="dxa"/>
            </w:tcMar>
          </w:tcPr>
          <w:p>
            <w:pPr>
              <w:spacing w:before="0" w:after="0"/>
              <w:jc w:val="center"/>
            </w:pPr>
            <w:r>
              <w:rPr>
                <w:rFonts w:ascii="Calibri" w:hAnsi="Calibri"/>
                <w:b/>
                <w:color w:val="24292E"/>
                <w:sz w:val="17"/>
              </w:rPr>
              <w:t>1.76</w:t>
            </w:r>
          </w:p>
        </w:tc>
        <w:tc>
          <w:tcPr>
            <w:tcW w:type="dxa" w:w="1863"/>
            <w:tcMar>
              <w:top w:w="70" w:type="dxa"/>
              <w:bottom w:w="70" w:type="dxa"/>
              <w:left w:w="120" w:type="dxa"/>
              <w:right w:w="120" w:type="dxa"/>
            </w:tcMar>
          </w:tcPr>
          <w:p>
            <w:pPr>
              <w:spacing w:before="0" w:after="0"/>
              <w:jc w:val="center"/>
            </w:pPr>
            <w:r>
              <w:rPr>
                <w:rFonts w:ascii="Calibri" w:hAnsi="Calibri"/>
                <w:b/>
                <w:color w:val="24292E"/>
                <w:sz w:val="17"/>
              </w:rPr>
              <w:t>0.9607</w:t>
            </w:r>
          </w:p>
        </w:tc>
      </w:tr>
      <w:tr>
        <w:tc>
          <w:tcPr>
            <w:tcW w:type="dxa" w:w="1863"/>
            <w:shd w:fill="F9FAFB"/>
            <w:tcMar>
              <w:top w:w="70" w:type="dxa"/>
              <w:bottom w:w="70" w:type="dxa"/>
              <w:left w:w="120" w:type="dxa"/>
              <w:right w:w="120" w:type="dxa"/>
            </w:tcMar>
          </w:tcPr>
          <w:p>
            <w:pPr>
              <w:spacing w:before="0" w:after="0"/>
              <w:jc w:val="center"/>
            </w:pPr>
            <w:r>
              <w:rPr>
                <w:rFonts w:ascii="Calibri" w:hAnsi="Calibri"/>
                <w:b/>
                <w:color w:val="24292E"/>
                <w:sz w:val="17"/>
              </w:rPr>
              <w:t>612 (Full Registry Bound)</w:t>
            </w:r>
          </w:p>
        </w:tc>
        <w:tc>
          <w:tcPr>
            <w:tcW w:type="dxa" w:w="1863"/>
            <w:shd w:fill="F9FAFB"/>
            <w:tcMar>
              <w:top w:w="70" w:type="dxa"/>
              <w:bottom w:w="70" w:type="dxa"/>
              <w:left w:w="120" w:type="dxa"/>
              <w:right w:w="120" w:type="dxa"/>
            </w:tcMar>
          </w:tcPr>
          <w:p>
            <w:pPr>
              <w:spacing w:before="0" w:after="0"/>
              <w:jc w:val="center"/>
            </w:pPr>
            <w:r>
              <w:rPr>
                <w:rFonts w:ascii="Calibri" w:hAnsi="Calibri"/>
                <w:b/>
                <w:color w:val="24292E"/>
                <w:sz w:val="17"/>
              </w:rPr>
              <w:t>1.00</w:t>
            </w:r>
          </w:p>
        </w:tc>
        <w:tc>
          <w:tcPr>
            <w:tcW w:type="dxa" w:w="1863"/>
            <w:shd w:fill="F9FAFB"/>
            <w:tcMar>
              <w:top w:w="70" w:type="dxa"/>
              <w:bottom w:w="70" w:type="dxa"/>
              <w:left w:w="120" w:type="dxa"/>
              <w:right w:w="120" w:type="dxa"/>
            </w:tcMar>
          </w:tcPr>
          <w:p>
            <w:pPr>
              <w:spacing w:before="0" w:after="0"/>
              <w:jc w:val="center"/>
            </w:pPr>
            <w:r>
              <w:rPr>
                <w:rFonts w:ascii="Calibri" w:hAnsi="Calibri"/>
                <w:b/>
                <w:color w:val="24292E"/>
                <w:sz w:val="17"/>
              </w:rPr>
              <w:t>3.11</w:t>
            </w:r>
          </w:p>
        </w:tc>
        <w:tc>
          <w:tcPr>
            <w:tcW w:type="dxa" w:w="1863"/>
            <w:shd w:fill="F9FAFB"/>
            <w:tcMar>
              <w:top w:w="70" w:type="dxa"/>
              <w:bottom w:w="70" w:type="dxa"/>
              <w:left w:w="120" w:type="dxa"/>
              <w:right w:w="120" w:type="dxa"/>
            </w:tcMar>
          </w:tcPr>
          <w:p>
            <w:pPr>
              <w:spacing w:before="0" w:after="0"/>
              <w:jc w:val="center"/>
            </w:pPr>
            <w:r>
              <w:rPr>
                <w:rFonts w:ascii="Calibri" w:hAnsi="Calibri"/>
                <w:b/>
                <w:color w:val="24292E"/>
                <w:sz w:val="17"/>
              </w:rPr>
              <w:t>0.12</w:t>
            </w:r>
          </w:p>
        </w:tc>
        <w:tc>
          <w:tcPr>
            <w:tcW w:type="dxa" w:w="1863"/>
            <w:shd w:fill="F9FAFB"/>
            <w:tcMar>
              <w:top w:w="70" w:type="dxa"/>
              <w:bottom w:w="70" w:type="dxa"/>
              <w:left w:w="120" w:type="dxa"/>
              <w:right w:w="120" w:type="dxa"/>
            </w:tcMar>
          </w:tcPr>
          <w:p>
            <w:pPr>
              <w:spacing w:before="0" w:after="0"/>
              <w:jc w:val="center"/>
            </w:pPr>
            <w:r>
              <w:rPr>
                <w:rFonts w:ascii="Calibri" w:hAnsi="Calibri"/>
                <w:b/>
                <w:color w:val="24292E"/>
                <w:sz w:val="17"/>
              </w:rPr>
              <w:t>0.5486</w:t>
            </w:r>
          </w:p>
        </w:tc>
      </w:tr>
      <w:tr>
        <w:tc>
          <w:tcPr>
            <w:tcW w:type="dxa" w:w="1863"/>
            <w:tcMar>
              <w:top w:w="70" w:type="dxa"/>
              <w:bottom w:w="70" w:type="dxa"/>
              <w:left w:w="120" w:type="dxa"/>
              <w:right w:w="120" w:type="dxa"/>
            </w:tcMar>
          </w:tcPr>
          <w:p>
            <w:pPr>
              <w:spacing w:before="0" w:after="0"/>
              <w:jc w:val="center"/>
            </w:pPr>
            <w:r>
              <w:rPr>
                <w:rFonts w:ascii="Calibri" w:hAnsi="Calibri"/>
                <w:b/>
                <w:color w:val="24292E"/>
                <w:sz w:val="17"/>
              </w:rPr>
              <w:t>612 (Full Registry Bound)</w:t>
            </w:r>
          </w:p>
        </w:tc>
        <w:tc>
          <w:tcPr>
            <w:tcW w:type="dxa" w:w="1863"/>
            <w:tcMar>
              <w:top w:w="70" w:type="dxa"/>
              <w:bottom w:w="70" w:type="dxa"/>
              <w:left w:w="120" w:type="dxa"/>
              <w:right w:w="120" w:type="dxa"/>
            </w:tcMar>
          </w:tcPr>
          <w:p>
            <w:pPr>
              <w:spacing w:before="0" w:after="0"/>
              <w:jc w:val="center"/>
            </w:pPr>
            <w:r>
              <w:rPr>
                <w:rFonts w:ascii="Calibri" w:hAnsi="Calibri"/>
                <w:b/>
                <w:color w:val="24292E"/>
                <w:sz w:val="17"/>
              </w:rPr>
              <w:t>1.50</w:t>
            </w:r>
          </w:p>
        </w:tc>
        <w:tc>
          <w:tcPr>
            <w:tcW w:type="dxa" w:w="1863"/>
            <w:tcMar>
              <w:top w:w="70" w:type="dxa"/>
              <w:bottom w:w="70" w:type="dxa"/>
              <w:left w:w="120" w:type="dxa"/>
              <w:right w:w="120" w:type="dxa"/>
            </w:tcMar>
          </w:tcPr>
          <w:p>
            <w:pPr>
              <w:spacing w:before="0" w:after="0"/>
              <w:jc w:val="center"/>
            </w:pPr>
            <w:r>
              <w:rPr>
                <w:rFonts w:ascii="Calibri" w:hAnsi="Calibri"/>
                <w:b/>
                <w:color w:val="24292E"/>
                <w:sz w:val="17"/>
              </w:rPr>
              <w:t>4.67</w:t>
            </w:r>
          </w:p>
        </w:tc>
        <w:tc>
          <w:tcPr>
            <w:tcW w:type="dxa" w:w="1863"/>
            <w:tcMar>
              <w:top w:w="70" w:type="dxa"/>
              <w:bottom w:w="70" w:type="dxa"/>
              <w:left w:w="120" w:type="dxa"/>
              <w:right w:w="120" w:type="dxa"/>
            </w:tcMar>
          </w:tcPr>
          <w:p>
            <w:pPr>
              <w:spacing w:before="0" w:after="0"/>
              <w:jc w:val="center"/>
            </w:pPr>
            <w:r>
              <w:rPr>
                <w:rFonts w:ascii="Calibri" w:hAnsi="Calibri"/>
                <w:b/>
                <w:color w:val="24292E"/>
                <w:sz w:val="17"/>
              </w:rPr>
              <w:t>-1.52</w:t>
            </w:r>
          </w:p>
        </w:tc>
        <w:tc>
          <w:tcPr>
            <w:tcW w:type="dxa" w:w="1863"/>
            <w:tcMar>
              <w:top w:w="70" w:type="dxa"/>
              <w:bottom w:w="70" w:type="dxa"/>
              <w:left w:w="120" w:type="dxa"/>
              <w:right w:w="120" w:type="dxa"/>
            </w:tcMar>
          </w:tcPr>
          <w:p>
            <w:pPr>
              <w:spacing w:before="0" w:after="0"/>
              <w:jc w:val="center"/>
            </w:pPr>
            <w:r>
              <w:rPr>
                <w:rFonts w:ascii="Calibri" w:hAnsi="Calibri"/>
                <w:b/>
                <w:color w:val="24292E"/>
                <w:sz w:val="17"/>
              </w:rPr>
              <w:t>0.0649</w:t>
            </w:r>
          </w:p>
        </w:tc>
      </w:tr>
      <w:tr>
        <w:tc>
          <w:tcPr>
            <w:tcW w:type="dxa" w:w="1863"/>
            <w:shd w:fill="F9FAFB"/>
            <w:tcMar>
              <w:top w:w="70" w:type="dxa"/>
              <w:bottom w:w="70" w:type="dxa"/>
              <w:left w:w="120" w:type="dxa"/>
              <w:right w:w="120" w:type="dxa"/>
            </w:tcMar>
          </w:tcPr>
          <w:p>
            <w:pPr>
              <w:spacing w:before="0" w:after="0"/>
              <w:jc w:val="center"/>
            </w:pPr>
            <w:r>
              <w:rPr>
                <w:rFonts w:ascii="Calibri" w:hAnsi="Calibri"/>
                <w:b/>
                <w:color w:val="24292E"/>
                <w:sz w:val="17"/>
              </w:rPr>
              <w:t>612 (Full Registry Bound)</w:t>
            </w:r>
          </w:p>
        </w:tc>
        <w:tc>
          <w:tcPr>
            <w:tcW w:type="dxa" w:w="1863"/>
            <w:shd w:fill="F9FAFB"/>
            <w:tcMar>
              <w:top w:w="70" w:type="dxa"/>
              <w:bottom w:w="70" w:type="dxa"/>
              <w:left w:w="120" w:type="dxa"/>
              <w:right w:w="120" w:type="dxa"/>
            </w:tcMar>
          </w:tcPr>
          <w:p>
            <w:pPr>
              <w:spacing w:before="0" w:after="0"/>
              <w:jc w:val="center"/>
            </w:pPr>
            <w:r>
              <w:rPr>
                <w:rFonts w:ascii="Calibri" w:hAnsi="Calibri"/>
                <w:b/>
                <w:color w:val="24292E"/>
                <w:sz w:val="17"/>
              </w:rPr>
              <w:t>2.00</w:t>
            </w:r>
          </w:p>
        </w:tc>
        <w:tc>
          <w:tcPr>
            <w:tcW w:type="dxa" w:w="1863"/>
            <w:shd w:fill="F9FAFB"/>
            <w:tcMar>
              <w:top w:w="70" w:type="dxa"/>
              <w:bottom w:w="70" w:type="dxa"/>
              <w:left w:w="120" w:type="dxa"/>
              <w:right w:w="120" w:type="dxa"/>
            </w:tcMar>
          </w:tcPr>
          <w:p>
            <w:pPr>
              <w:spacing w:before="0" w:after="0"/>
              <w:jc w:val="center"/>
            </w:pPr>
            <w:r>
              <w:rPr>
                <w:rFonts w:ascii="Calibri" w:hAnsi="Calibri"/>
                <w:b/>
                <w:color w:val="24292E"/>
                <w:sz w:val="17"/>
              </w:rPr>
              <w:t>6.23</w:t>
            </w:r>
          </w:p>
        </w:tc>
        <w:tc>
          <w:tcPr>
            <w:tcW w:type="dxa" w:w="1863"/>
            <w:shd w:fill="F9FAFB"/>
            <w:tcMar>
              <w:top w:w="70" w:type="dxa"/>
              <w:bottom w:w="70" w:type="dxa"/>
              <w:left w:w="120" w:type="dxa"/>
              <w:right w:w="120" w:type="dxa"/>
            </w:tcMar>
          </w:tcPr>
          <w:p>
            <w:pPr>
              <w:spacing w:before="0" w:after="0"/>
              <w:jc w:val="center"/>
            </w:pPr>
            <w:r>
              <w:rPr>
                <w:rFonts w:ascii="Calibri" w:hAnsi="Calibri"/>
                <w:b/>
                <w:color w:val="24292E"/>
                <w:sz w:val="17"/>
              </w:rPr>
              <w:t>-3.15</w:t>
            </w:r>
          </w:p>
        </w:tc>
        <w:tc>
          <w:tcPr>
            <w:tcW w:type="dxa" w:w="1863"/>
            <w:shd w:fill="F9FAFB"/>
            <w:tcMar>
              <w:top w:w="70" w:type="dxa"/>
              <w:bottom w:w="70" w:type="dxa"/>
              <w:left w:w="120" w:type="dxa"/>
              <w:right w:w="120" w:type="dxa"/>
            </w:tcMar>
          </w:tcPr>
          <w:p>
            <w:pPr>
              <w:spacing w:before="0" w:after="0"/>
              <w:jc w:val="center"/>
            </w:pPr>
            <w:r>
              <w:rPr>
                <w:rFonts w:ascii="Calibri" w:hAnsi="Calibri"/>
                <w:b/>
                <w:color w:val="24292E"/>
                <w:sz w:val="17"/>
              </w:rPr>
              <w:t>0.0008</w:t>
            </w:r>
          </w:p>
        </w:tc>
      </w:tr>
    </w:tbl>
    <w:p>
      <w:pPr>
        <w:spacing w:before="40" w:after="80"/>
      </w:pPr>
    </w:p>
    <w:p>
      <w:pPr>
        <w:spacing w:before="60" w:after="60"/>
        <w:ind w:left="216"/>
      </w:pPr>
      <w:r>
        <w:rPr>
          <w:rFonts w:ascii="Calibri" w:hAnsi="Calibri"/>
          <w:b w:val="0"/>
          <w:i/>
          <w:color w:val="4B5563"/>
          <w:sz w:val="17"/>
        </w:rPr>
        <w:t>Registry Decomposition &amp; Asymptotic Z-Score Formulation:</w:t>
      </w:r>
      <w:r>
        <w:rPr>
          <w:rFonts w:ascii="Calibri" w:hAnsi="Calibri"/>
          <w:b w:val="0"/>
          <w:color w:val="4B5563"/>
          <w:sz w:val="17"/>
        </w:rPr>
        <w:t xml:space="preserve"> The 612-trial registry = 537 ES + 74 exploratory NQ + 1 pre-registered NQ-v1 variant. The asymptotic Z-score denominator is computed using the analytical standard error of the Sharpe ratio adjusted for daily return skewness (γ₃) and kurtosis (γ₄) over T = 219 business days (Mertens, 2002; Bailey &amp; López de Prado, 2014), rather than bootstrap standard errors.</w:t>
      </w:r>
    </w:p>
    <w:p>
      <w:pPr>
        <w:spacing w:before="60" w:after="60"/>
        <w:ind w:left="216"/>
      </w:pPr>
      <w:r>
        <w:rPr>
          <w:rFonts w:ascii="Calibri" w:hAnsi="Calibri"/>
          <w:b w:val="0"/>
          <w:i/>
          <w:color w:val="4B5563"/>
          <w:sz w:val="17"/>
        </w:rPr>
        <w:t>Interpretation:</w:t>
      </w:r>
      <w:r>
        <w:rPr>
          <w:rFonts w:ascii="Calibri" w:hAnsi="Calibri"/>
          <w:b w:val="0"/>
          <w:color w:val="4B5563"/>
          <w:sz w:val="17"/>
        </w:rPr>
        <w:t xml:space="preserve"> The parameter σ_SR cannot be directly observed from historical outputs, so the values above represent sensitivity benchmarks. For N ≥ 612, if trial dispersion is assumed to be σ_SR = 0.50, the DSR is 0.9607. If trial dispersion is σ_SR = 1.00 or higher, the DSR decreases to 0.5486 or lower. This sensitivity demonstrates that statistical confidence depends on the trial variance across the exploratory search space, confirming that the nominal Sharpe ratio of 3.23 cannot be confirmed without independent out-of-sample testing.</w:t>
      </w:r>
    </w:p>
    <w:p>
      <w:pPr>
        <w:keepNext/>
        <w:spacing w:before="160" w:after="40"/>
      </w:pPr>
      <w:r>
        <w:rPr>
          <w:rFonts w:ascii="Calibri" w:hAnsi="Calibri"/>
          <w:b/>
          <w:color w:val="2C3E50"/>
          <w:sz w:val="21"/>
        </w:rPr>
        <w:t>2.4 Empirical Performance &amp; Tail-Risk Metrics</w:t>
      </w:r>
    </w:p>
    <w:p>
      <w:pPr>
        <w:spacing w:before="40" w:after="80" w:line="276" w:lineRule="auto"/>
      </w:pPr>
      <w:r>
        <w:rPr>
          <w:rFonts w:ascii="Calibri" w:hAnsi="Calibri"/>
          <w:b w:val="0"/>
          <w:color w:val="24292E"/>
          <w:sz w:val="19"/>
        </w:rPr>
        <w:t>Performance figures are reported as percentages of the $50,000.00 initial notional capital, with the exception of Maximum Drawdown metrics (-3.02% intraday peak, -2.33% daily close), which are calculated as percentage declines from the running equity peak (high-water mark). The Calmar ratio of 11.52 (34.78% / 3.02%) is consistently defined relative to this peak-equity maximum drawdown:</w:t>
      </w:r>
    </w:p>
    <w:tbl>
      <w:tblPr>
        <w:tblW w:type="auto" w:w="0"/>
        <w:jc w:val="center"/>
        <w:tblLook w:firstColumn="1" w:firstRow="1" w:lastColumn="0" w:lastRow="0" w:noHBand="0" w:noVBand="1" w:val="04A0"/>
        <w:tblBorders>
          <w:top w:val="single" w:sz="6" w:space="0" w:color="0f4c81"/>
          <w:bottom w:val="single" w:sz="6" w:space="0" w:color="0f4c81"/>
          <w:insideH w:val="single" w:sz="4" w:space="0" w:color="e5e7eb"/>
          <w:insideV w:val="none"/>
          <w:left w:val="none"/>
          <w:right w:val="none"/>
        </w:tblBorders>
      </w:tblPr>
      <w:tblGrid>
        <w:gridCol w:w="4658"/>
        <w:gridCol w:w="4658"/>
      </w:tblGrid>
      <w:tr>
        <w:tc>
          <w:tcPr>
            <w:tcW w:type="dxa" w:w="4658"/>
            <w:shd w:fill="F3F4F6"/>
            <w:tcMar>
              <w:top w:w="90" w:type="dxa"/>
              <w:bottom w:w="90" w:type="dxa"/>
              <w:left w:w="120" w:type="dxa"/>
              <w:right w:w="120" w:type="dxa"/>
            </w:tcMar>
          </w:tcPr>
          <w:p>
            <w:pPr>
              <w:spacing w:before="0" w:after="0"/>
              <w:jc w:val="left"/>
            </w:pPr>
            <w:r>
              <w:rPr>
                <w:rFonts w:ascii="Calibri" w:hAnsi="Calibri"/>
                <w:b/>
                <w:color w:val="111827"/>
                <w:sz w:val="18"/>
              </w:rPr>
              <w:t>Performance Metric</w:t>
            </w:r>
          </w:p>
        </w:tc>
        <w:tc>
          <w:tcPr>
            <w:tcW w:type="dxa" w:w="4658"/>
            <w:shd w:fill="F3F4F6"/>
            <w:tcMar>
              <w:top w:w="90" w:type="dxa"/>
              <w:bottom w:w="90" w:type="dxa"/>
              <w:left w:w="120" w:type="dxa"/>
              <w:right w:w="120" w:type="dxa"/>
            </w:tcMar>
          </w:tcPr>
          <w:p>
            <w:pPr>
              <w:spacing w:before="0" w:after="0"/>
              <w:jc w:val="center"/>
            </w:pPr>
            <w:r>
              <w:rPr>
                <w:rFonts w:ascii="Calibri" w:hAnsi="Calibri"/>
                <w:b/>
                <w:color w:val="111827"/>
                <w:sz w:val="18"/>
              </w:rPr>
              <w:t>FlowX Institutional NQ v1 (Net of Fees &amp; Slippage)§</w:t>
            </w:r>
          </w:p>
        </w:tc>
      </w:tr>
      <w:tr>
        <w:tc>
          <w:tcPr>
            <w:tcW w:type="dxa" w:w="4658"/>
            <w:tcMar>
              <w:top w:w="70" w:type="dxa"/>
              <w:bottom w:w="70" w:type="dxa"/>
              <w:left w:w="120" w:type="dxa"/>
              <w:right w:w="120" w:type="dxa"/>
            </w:tcMar>
          </w:tcPr>
          <w:p>
            <w:pPr>
              <w:spacing w:before="0" w:after="0"/>
              <w:jc w:val="left"/>
            </w:pPr>
            <w:r>
              <w:rPr>
                <w:rFonts w:ascii="Calibri" w:hAnsi="Calibri"/>
                <w:b/>
                <w:color w:val="24292E"/>
                <w:sz w:val="17"/>
              </w:rPr>
              <w:t>Cumulative Return (%)</w:t>
            </w:r>
          </w:p>
        </w:tc>
        <w:tc>
          <w:tcPr>
            <w:tcW w:type="dxa" w:w="4658"/>
            <w:tcMar>
              <w:top w:w="70" w:type="dxa"/>
              <w:bottom w:w="70" w:type="dxa"/>
              <w:left w:w="120" w:type="dxa"/>
              <w:right w:w="120" w:type="dxa"/>
            </w:tcMar>
          </w:tcPr>
          <w:p>
            <w:pPr>
              <w:spacing w:before="0" w:after="0"/>
              <w:jc w:val="center"/>
            </w:pPr>
            <w:r>
              <w:rPr>
                <w:rFonts w:ascii="Calibri" w:hAnsi="Calibri"/>
                <w:b/>
                <w:color w:val="24292E"/>
                <w:sz w:val="17"/>
              </w:rPr>
              <w:t>+28.20%</w:t>
            </w:r>
            <w:r>
              <w:rPr>
                <w:rFonts w:ascii="Calibri" w:hAnsi="Calibri"/>
                <w:b w:val="0"/>
                <w:color w:val="24292E"/>
                <w:sz w:val="17"/>
              </w:rPr>
              <w:t xml:space="preserve"> (+$14,099.60)</w:t>
            </w:r>
          </w:p>
        </w:tc>
      </w:tr>
      <w:tr>
        <w:tc>
          <w:tcPr>
            <w:tcW w:type="dxa" w:w="4658"/>
            <w:shd w:fill="F9FAFB"/>
            <w:tcMar>
              <w:top w:w="70" w:type="dxa"/>
              <w:bottom w:w="70" w:type="dxa"/>
              <w:left w:w="120" w:type="dxa"/>
              <w:right w:w="120" w:type="dxa"/>
            </w:tcMar>
          </w:tcPr>
          <w:p>
            <w:pPr>
              <w:spacing w:before="0" w:after="0"/>
              <w:jc w:val="left"/>
            </w:pPr>
            <w:r>
              <w:rPr>
                <w:rFonts w:ascii="Calibri" w:hAnsi="Calibri"/>
                <w:b/>
                <w:color w:val="24292E"/>
                <w:sz w:val="17"/>
              </w:rPr>
              <w:t>Annualized Return (CAGR %)\</w:t>
            </w:r>
            <w:r>
              <w:rPr>
                <w:rFonts w:ascii="Calibri" w:hAnsi="Calibri"/>
                <w:b w:val="0"/>
                <w:color w:val="24292E"/>
                <w:sz w:val="17"/>
              </w:rPr>
              <w:t>*</w:t>
            </w:r>
          </w:p>
        </w:tc>
        <w:tc>
          <w:tcPr>
            <w:tcW w:type="dxa" w:w="4658"/>
            <w:shd w:fill="F9FAFB"/>
            <w:tcMar>
              <w:top w:w="70" w:type="dxa"/>
              <w:bottom w:w="70" w:type="dxa"/>
              <w:left w:w="120" w:type="dxa"/>
              <w:right w:w="120" w:type="dxa"/>
            </w:tcMar>
          </w:tcPr>
          <w:p>
            <w:pPr>
              <w:spacing w:before="0" w:after="0"/>
              <w:jc w:val="center"/>
            </w:pPr>
            <w:r>
              <w:rPr>
                <w:rFonts w:ascii="Calibri" w:hAnsi="Calibri"/>
                <w:b/>
                <w:color w:val="24292E"/>
                <w:sz w:val="17"/>
              </w:rPr>
              <w:t>+34.78%</w:t>
            </w:r>
            <w:r>
              <w:rPr>
                <w:rFonts w:ascii="Calibri" w:hAnsi="Calibri"/>
                <w:b w:val="0"/>
                <w:color w:val="24292E"/>
                <w:sz w:val="17"/>
              </w:rPr>
              <w:t xml:space="preserve"> (T = 0.832 years)</w:t>
            </w:r>
          </w:p>
        </w:tc>
      </w:tr>
      <w:tr>
        <w:tc>
          <w:tcPr>
            <w:tcW w:type="dxa" w:w="4658"/>
            <w:tcMar>
              <w:top w:w="70" w:type="dxa"/>
              <w:bottom w:w="70" w:type="dxa"/>
              <w:left w:w="120" w:type="dxa"/>
              <w:right w:w="120" w:type="dxa"/>
            </w:tcMar>
          </w:tcPr>
          <w:p>
            <w:pPr>
              <w:spacing w:before="0" w:after="0"/>
              <w:jc w:val="left"/>
            </w:pPr>
            <w:r>
              <w:rPr>
                <w:rFonts w:ascii="Calibri" w:hAnsi="Calibri"/>
                <w:b/>
                <w:color w:val="24292E"/>
                <w:sz w:val="17"/>
              </w:rPr>
              <w:t>Annualized Volatility (%)\</w:t>
            </w:r>
            <w:r>
              <w:rPr>
                <w:rFonts w:ascii="Calibri" w:hAnsi="Calibri"/>
                <w:b w:val="0"/>
                <w:color w:val="24292E"/>
                <w:sz w:val="17"/>
              </w:rPr>
              <w:t>*</w:t>
            </w:r>
          </w:p>
        </w:tc>
        <w:tc>
          <w:tcPr>
            <w:tcW w:type="dxa" w:w="4658"/>
            <w:tcMar>
              <w:top w:w="70" w:type="dxa"/>
              <w:bottom w:w="70" w:type="dxa"/>
              <w:left w:w="120" w:type="dxa"/>
              <w:right w:w="120" w:type="dxa"/>
            </w:tcMar>
          </w:tcPr>
          <w:p>
            <w:pPr>
              <w:spacing w:before="0" w:after="0"/>
              <w:jc w:val="center"/>
            </w:pPr>
            <w:r>
              <w:rPr>
                <w:rFonts w:ascii="Calibri" w:hAnsi="Calibri"/>
                <w:b/>
                <w:color w:val="24292E"/>
                <w:sz w:val="17"/>
              </w:rPr>
              <w:t>8.81%</w:t>
            </w:r>
            <w:r>
              <w:rPr>
                <w:rFonts w:ascii="Calibri" w:hAnsi="Calibri"/>
                <w:b w:val="0"/>
                <w:color w:val="24292E"/>
                <w:sz w:val="17"/>
              </w:rPr>
              <w:t xml:space="preserve"> (Daily σ = 0.555% × √252)</w:t>
            </w:r>
          </w:p>
        </w:tc>
      </w:tr>
      <w:tr>
        <w:tc>
          <w:tcPr>
            <w:tcW w:type="dxa" w:w="4658"/>
            <w:shd w:fill="F9FAFB"/>
            <w:tcMar>
              <w:top w:w="70" w:type="dxa"/>
              <w:bottom w:w="70" w:type="dxa"/>
              <w:left w:w="120" w:type="dxa"/>
              <w:right w:w="120" w:type="dxa"/>
            </w:tcMar>
          </w:tcPr>
          <w:p>
            <w:pPr>
              <w:spacing w:before="0" w:after="0"/>
              <w:jc w:val="left"/>
            </w:pPr>
            <w:r>
              <w:rPr>
                <w:rFonts w:ascii="Calibri" w:hAnsi="Calibri"/>
                <w:b/>
                <w:color w:val="24292E"/>
                <w:sz w:val="17"/>
              </w:rPr>
              <w:t>Sharpe Ratio (R_f = 4.0%)</w:t>
            </w:r>
          </w:p>
        </w:tc>
        <w:tc>
          <w:tcPr>
            <w:tcW w:type="dxa" w:w="4658"/>
            <w:shd w:fill="F9FAFB"/>
            <w:tcMar>
              <w:top w:w="70" w:type="dxa"/>
              <w:bottom w:w="70" w:type="dxa"/>
              <w:left w:w="120" w:type="dxa"/>
              <w:right w:w="120" w:type="dxa"/>
            </w:tcMar>
          </w:tcPr>
          <w:p>
            <w:pPr>
              <w:spacing w:before="0" w:after="0"/>
              <w:jc w:val="center"/>
            </w:pPr>
            <w:r>
              <w:rPr>
                <w:rFonts w:ascii="Calibri" w:hAnsi="Calibri"/>
                <w:b/>
                <w:color w:val="24292E"/>
                <w:sz w:val="17"/>
              </w:rPr>
              <w:t>3.23</w:t>
            </w:r>
            <w:r>
              <w:rPr>
                <w:rFonts w:ascii="Calibri" w:hAnsi="Calibri"/>
                <w:b w:val="0"/>
                <w:color w:val="24292E"/>
                <w:sz w:val="17"/>
              </w:rPr>
              <w:t xml:space="preserve"> [Block Bootstrap 95% CI: 0.95, 4.91]</w:t>
            </w:r>
          </w:p>
        </w:tc>
      </w:tr>
      <w:tr>
        <w:tc>
          <w:tcPr>
            <w:tcW w:type="dxa" w:w="4658"/>
            <w:tcMar>
              <w:top w:w="70" w:type="dxa"/>
              <w:bottom w:w="70" w:type="dxa"/>
              <w:left w:w="120" w:type="dxa"/>
              <w:right w:w="120" w:type="dxa"/>
            </w:tcMar>
          </w:tcPr>
          <w:p>
            <w:pPr>
              <w:spacing w:before="0" w:after="0"/>
              <w:jc w:val="left"/>
            </w:pPr>
            <w:r>
              <w:rPr>
                <w:rFonts w:ascii="Calibri" w:hAnsi="Calibri"/>
                <w:b/>
                <w:color w:val="24292E"/>
                <w:sz w:val="17"/>
              </w:rPr>
              <w:t>Sharpe Ratio (R_f = 0.0%)</w:t>
            </w:r>
          </w:p>
        </w:tc>
        <w:tc>
          <w:tcPr>
            <w:tcW w:type="dxa" w:w="4658"/>
            <w:tcMar>
              <w:top w:w="70" w:type="dxa"/>
              <w:bottom w:w="70" w:type="dxa"/>
              <w:left w:w="120" w:type="dxa"/>
              <w:right w:w="120" w:type="dxa"/>
            </w:tcMar>
          </w:tcPr>
          <w:p>
            <w:pPr>
              <w:spacing w:before="0" w:after="0"/>
              <w:jc w:val="center"/>
            </w:pPr>
            <w:r>
              <w:rPr>
                <w:rFonts w:ascii="Calibri" w:hAnsi="Calibri"/>
                <w:b/>
                <w:color w:val="24292E"/>
                <w:sz w:val="17"/>
              </w:rPr>
              <w:t>3.68</w:t>
            </w:r>
            <w:r>
              <w:rPr>
                <w:rFonts w:ascii="Calibri" w:hAnsi="Calibri"/>
                <w:b w:val="0"/>
                <w:color w:val="24292E"/>
                <w:sz w:val="17"/>
              </w:rPr>
              <w:t xml:space="preserve"> (Zero risk-free comparison)</w:t>
            </w:r>
          </w:p>
        </w:tc>
      </w:tr>
      <w:tr>
        <w:tc>
          <w:tcPr>
            <w:tcW w:type="dxa" w:w="4658"/>
            <w:shd w:fill="F9FAFB"/>
            <w:tcMar>
              <w:top w:w="70" w:type="dxa"/>
              <w:bottom w:w="70" w:type="dxa"/>
              <w:left w:w="120" w:type="dxa"/>
              <w:right w:w="120" w:type="dxa"/>
            </w:tcMar>
          </w:tcPr>
          <w:p>
            <w:pPr>
              <w:spacing w:before="0" w:after="0"/>
              <w:jc w:val="left"/>
            </w:pPr>
            <w:r>
              <w:rPr>
                <w:rFonts w:ascii="Calibri" w:hAnsi="Calibri"/>
                <w:b/>
                <w:color w:val="24292E"/>
                <w:sz w:val="17"/>
              </w:rPr>
              <w:t>Sortino Ratio (Target = 0.0%)</w:t>
            </w:r>
          </w:p>
        </w:tc>
        <w:tc>
          <w:tcPr>
            <w:tcW w:type="dxa" w:w="4658"/>
            <w:shd w:fill="F9FAFB"/>
            <w:tcMar>
              <w:top w:w="70" w:type="dxa"/>
              <w:bottom w:w="70" w:type="dxa"/>
              <w:left w:w="120" w:type="dxa"/>
              <w:right w:w="120" w:type="dxa"/>
            </w:tcMar>
          </w:tcPr>
          <w:p>
            <w:pPr>
              <w:spacing w:before="0" w:after="0"/>
              <w:jc w:val="center"/>
            </w:pPr>
            <w:r>
              <w:rPr>
                <w:rFonts w:ascii="Calibri" w:hAnsi="Calibri"/>
                <w:b/>
                <w:color w:val="24292E"/>
                <w:sz w:val="17"/>
              </w:rPr>
              <w:t>8.42</w:t>
            </w:r>
            <w:r>
              <w:rPr>
                <w:rFonts w:ascii="Calibri" w:hAnsi="Calibri"/>
                <w:b w:val="0"/>
                <w:color w:val="24292E"/>
                <w:sz w:val="17"/>
              </w:rPr>
              <w:t xml:space="preserve"> (Downside deviation metric)</w:t>
            </w:r>
          </w:p>
        </w:tc>
      </w:tr>
      <w:tr>
        <w:tc>
          <w:tcPr>
            <w:tcW w:type="dxa" w:w="4658"/>
            <w:tcMar>
              <w:top w:w="70" w:type="dxa"/>
              <w:bottom w:w="70" w:type="dxa"/>
              <w:left w:w="120" w:type="dxa"/>
              <w:right w:w="120" w:type="dxa"/>
            </w:tcMar>
          </w:tcPr>
          <w:p>
            <w:pPr>
              <w:spacing w:before="0" w:after="0"/>
              <w:jc w:val="left"/>
            </w:pPr>
            <w:r>
              <w:rPr>
                <w:rFonts w:ascii="Calibri" w:hAnsi="Calibri"/>
                <w:b/>
                <w:color w:val="24292E"/>
                <w:sz w:val="17"/>
              </w:rPr>
              <w:t>Calmar Ratio (CAGR / Max DD)†</w:t>
            </w:r>
          </w:p>
        </w:tc>
        <w:tc>
          <w:tcPr>
            <w:tcW w:type="dxa" w:w="4658"/>
            <w:tcMar>
              <w:top w:w="70" w:type="dxa"/>
              <w:bottom w:w="70" w:type="dxa"/>
              <w:left w:w="120" w:type="dxa"/>
              <w:right w:w="120" w:type="dxa"/>
            </w:tcMar>
          </w:tcPr>
          <w:p>
            <w:pPr>
              <w:spacing w:before="0" w:after="0"/>
              <w:jc w:val="center"/>
            </w:pPr>
            <w:r>
              <w:rPr>
                <w:rFonts w:ascii="Calibri" w:hAnsi="Calibri"/>
                <w:b/>
                <w:color w:val="24292E"/>
                <w:sz w:val="17"/>
              </w:rPr>
              <w:t>11.52</w:t>
            </w:r>
            <w:r>
              <w:rPr>
                <w:rFonts w:ascii="Calibri" w:hAnsi="Calibri"/>
                <w:b w:val="0"/>
                <w:color w:val="24292E"/>
                <w:sz w:val="17"/>
              </w:rPr>
              <w:t xml:space="preserve"> (34.78% / 3.02%)</w:t>
            </w:r>
          </w:p>
        </w:tc>
      </w:tr>
      <w:tr>
        <w:tc>
          <w:tcPr>
            <w:tcW w:type="dxa" w:w="4658"/>
            <w:shd w:fill="F9FAFB"/>
            <w:tcMar>
              <w:top w:w="70" w:type="dxa"/>
              <w:bottom w:w="70" w:type="dxa"/>
              <w:left w:w="120" w:type="dxa"/>
              <w:right w:w="120" w:type="dxa"/>
            </w:tcMar>
          </w:tcPr>
          <w:p>
            <w:pPr>
              <w:spacing w:before="0" w:after="0"/>
              <w:jc w:val="left"/>
            </w:pPr>
            <w:r>
              <w:rPr>
                <w:rFonts w:ascii="Calibri" w:hAnsi="Calibri"/>
                <w:b/>
                <w:color w:val="24292E"/>
                <w:sz w:val="17"/>
              </w:rPr>
              <w:t>Maximum Drawdown (Intraday Peak)†</w:t>
            </w:r>
          </w:p>
        </w:tc>
        <w:tc>
          <w:tcPr>
            <w:tcW w:type="dxa" w:w="4658"/>
            <w:shd w:fill="F9FAFB"/>
            <w:tcMar>
              <w:top w:w="70" w:type="dxa"/>
              <w:bottom w:w="70" w:type="dxa"/>
              <w:left w:w="120" w:type="dxa"/>
              <w:right w:w="120" w:type="dxa"/>
            </w:tcMar>
          </w:tcPr>
          <w:p>
            <w:pPr>
              <w:spacing w:before="0" w:after="0"/>
              <w:jc w:val="center"/>
            </w:pPr>
            <w:r>
              <w:rPr>
                <w:rFonts w:ascii="Calibri" w:hAnsi="Calibri"/>
                <w:b/>
                <w:color w:val="24292E"/>
                <w:sz w:val="17"/>
              </w:rPr>
              <w:t>-3.02%</w:t>
            </w:r>
            <w:r>
              <w:rPr>
                <w:rFonts w:ascii="Calibri" w:hAnsi="Calibri"/>
                <w:b w:val="0"/>
                <w:color w:val="24292E"/>
                <w:sz w:val="17"/>
              </w:rPr>
              <w:t xml:space="preserve"> (-$1,652.80 on 2026-02-12)</w:t>
            </w:r>
          </w:p>
        </w:tc>
      </w:tr>
      <w:tr>
        <w:tc>
          <w:tcPr>
            <w:tcW w:type="dxa" w:w="4658"/>
            <w:tcMar>
              <w:top w:w="70" w:type="dxa"/>
              <w:bottom w:w="70" w:type="dxa"/>
              <w:left w:w="120" w:type="dxa"/>
              <w:right w:w="120" w:type="dxa"/>
            </w:tcMar>
          </w:tcPr>
          <w:p>
            <w:pPr>
              <w:spacing w:before="0" w:after="0"/>
              <w:jc w:val="left"/>
            </w:pPr>
            <w:r>
              <w:rPr>
                <w:rFonts w:ascii="Calibri" w:hAnsi="Calibri"/>
                <w:b/>
                <w:color w:val="24292E"/>
                <w:sz w:val="17"/>
              </w:rPr>
              <w:t>Maximum Drawdown (Daily Close)†</w:t>
            </w:r>
          </w:p>
        </w:tc>
        <w:tc>
          <w:tcPr>
            <w:tcW w:type="dxa" w:w="4658"/>
            <w:tcMar>
              <w:top w:w="70" w:type="dxa"/>
              <w:bottom w:w="70" w:type="dxa"/>
              <w:left w:w="120" w:type="dxa"/>
              <w:right w:w="120" w:type="dxa"/>
            </w:tcMar>
          </w:tcPr>
          <w:p>
            <w:pPr>
              <w:spacing w:before="0" w:after="0"/>
              <w:jc w:val="center"/>
            </w:pPr>
            <w:r>
              <w:rPr>
                <w:rFonts w:ascii="Calibri" w:hAnsi="Calibri"/>
                <w:b/>
                <w:color w:val="24292E"/>
                <w:sz w:val="17"/>
              </w:rPr>
              <w:t>-2.33%</w:t>
            </w:r>
            <w:r>
              <w:rPr>
                <w:rFonts w:ascii="Calibri" w:hAnsi="Calibri"/>
                <w:b w:val="0"/>
                <w:color w:val="24292E"/>
                <w:sz w:val="17"/>
              </w:rPr>
              <w:t xml:space="preserve"> (-$1,432.80 on 2026-06-03)</w:t>
            </w:r>
          </w:p>
        </w:tc>
      </w:tr>
      <w:tr>
        <w:tc>
          <w:tcPr>
            <w:tcW w:type="dxa" w:w="4658"/>
            <w:shd w:fill="F9FAFB"/>
            <w:tcMar>
              <w:top w:w="70" w:type="dxa"/>
              <w:bottom w:w="70" w:type="dxa"/>
              <w:left w:w="120" w:type="dxa"/>
              <w:right w:w="120" w:type="dxa"/>
            </w:tcMar>
          </w:tcPr>
          <w:p>
            <w:pPr>
              <w:spacing w:before="0" w:after="0"/>
              <w:jc w:val="left"/>
            </w:pPr>
            <w:r>
              <w:rPr>
                <w:rFonts w:ascii="Calibri" w:hAnsi="Calibri"/>
                <w:b/>
                <w:color w:val="24292E"/>
                <w:sz w:val="17"/>
              </w:rPr>
              <w:t>Max Drawdown Duration</w:t>
            </w:r>
          </w:p>
        </w:tc>
        <w:tc>
          <w:tcPr>
            <w:tcW w:type="dxa" w:w="4658"/>
            <w:shd w:fill="F9FAFB"/>
            <w:tcMar>
              <w:top w:w="70" w:type="dxa"/>
              <w:bottom w:w="70" w:type="dxa"/>
              <w:left w:w="120" w:type="dxa"/>
              <w:right w:w="120" w:type="dxa"/>
            </w:tcMar>
          </w:tcPr>
          <w:p>
            <w:pPr>
              <w:spacing w:before="0" w:after="0"/>
              <w:jc w:val="center"/>
            </w:pPr>
            <w:r>
              <w:rPr>
                <w:rFonts w:ascii="Calibri" w:hAnsi="Calibri"/>
                <w:b/>
                <w:color w:val="24292E"/>
                <w:sz w:val="17"/>
              </w:rPr>
              <w:t>36 business days</w:t>
            </w:r>
            <w:r>
              <w:rPr>
                <w:rFonts w:ascii="Calibri" w:hAnsi="Calibri"/>
                <w:b w:val="0"/>
                <w:color w:val="24292E"/>
                <w:sz w:val="17"/>
              </w:rPr>
              <w:t xml:space="preserve"> (2026-05-18 to 2026-07-08)</w:t>
            </w:r>
          </w:p>
        </w:tc>
      </w:tr>
      <w:tr>
        <w:tc>
          <w:tcPr>
            <w:tcW w:type="dxa" w:w="4658"/>
            <w:tcMar>
              <w:top w:w="70" w:type="dxa"/>
              <w:bottom w:w="70" w:type="dxa"/>
              <w:left w:w="120" w:type="dxa"/>
              <w:right w:w="120" w:type="dxa"/>
            </w:tcMar>
          </w:tcPr>
          <w:p>
            <w:pPr>
              <w:spacing w:before="0" w:after="0"/>
              <w:jc w:val="left"/>
            </w:pPr>
            <w:r>
              <w:rPr>
                <w:rFonts w:ascii="Calibri" w:hAnsi="Calibri"/>
                <w:b/>
                <w:color w:val="24292E"/>
                <w:sz w:val="17"/>
              </w:rPr>
              <w:t>Paired Setups Executed</w:t>
            </w:r>
          </w:p>
        </w:tc>
        <w:tc>
          <w:tcPr>
            <w:tcW w:type="dxa" w:w="4658"/>
            <w:tcMar>
              <w:top w:w="70" w:type="dxa"/>
              <w:bottom w:w="70" w:type="dxa"/>
              <w:left w:w="120" w:type="dxa"/>
              <w:right w:w="120" w:type="dxa"/>
            </w:tcMar>
          </w:tcPr>
          <w:p>
            <w:pPr>
              <w:spacing w:before="0" w:after="0"/>
              <w:jc w:val="center"/>
            </w:pPr>
            <w:r>
              <w:rPr>
                <w:rFonts w:ascii="Calibri" w:hAnsi="Calibri"/>
                <w:b/>
                <w:color w:val="24292E"/>
                <w:sz w:val="17"/>
              </w:rPr>
              <w:t>54 setups</w:t>
            </w:r>
            <w:r>
              <w:rPr>
                <w:rFonts w:ascii="Calibri" w:hAnsi="Calibri"/>
                <w:b w:val="0"/>
                <w:color w:val="24292E"/>
                <w:sz w:val="17"/>
              </w:rPr>
              <w:t xml:space="preserve"> (42 Wins, 12 Losses)</w:t>
            </w:r>
          </w:p>
        </w:tc>
      </w:tr>
      <w:tr>
        <w:tc>
          <w:tcPr>
            <w:tcW w:type="dxa" w:w="4658"/>
            <w:shd w:fill="F9FAFB"/>
            <w:tcMar>
              <w:top w:w="70" w:type="dxa"/>
              <w:bottom w:w="70" w:type="dxa"/>
              <w:left w:w="120" w:type="dxa"/>
              <w:right w:w="120" w:type="dxa"/>
            </w:tcMar>
          </w:tcPr>
          <w:p>
            <w:pPr>
              <w:spacing w:before="0" w:after="0"/>
              <w:jc w:val="left"/>
            </w:pPr>
            <w:r>
              <w:rPr>
                <w:rFonts w:ascii="Calibri" w:hAnsi="Calibri"/>
                <w:b/>
                <w:color w:val="24292E"/>
                <w:sz w:val="17"/>
              </w:rPr>
              <w:t>Total Executed Trade Legs</w:t>
            </w:r>
          </w:p>
        </w:tc>
        <w:tc>
          <w:tcPr>
            <w:tcW w:type="dxa" w:w="4658"/>
            <w:shd w:fill="F9FAFB"/>
            <w:tcMar>
              <w:top w:w="70" w:type="dxa"/>
              <w:bottom w:w="70" w:type="dxa"/>
              <w:left w:w="120" w:type="dxa"/>
              <w:right w:w="120" w:type="dxa"/>
            </w:tcMar>
          </w:tcPr>
          <w:p>
            <w:pPr>
              <w:spacing w:before="0" w:after="0"/>
              <w:jc w:val="center"/>
            </w:pPr>
            <w:r>
              <w:rPr>
                <w:rFonts w:ascii="Calibri" w:hAnsi="Calibri"/>
                <w:b/>
                <w:color w:val="24292E"/>
                <w:sz w:val="17"/>
              </w:rPr>
              <w:t>108 trades</w:t>
            </w:r>
            <w:r>
              <w:rPr>
                <w:rFonts w:ascii="Calibri" w:hAnsi="Calibri"/>
                <w:b w:val="0"/>
                <w:color w:val="24292E"/>
                <w:sz w:val="17"/>
              </w:rPr>
              <w:t xml:space="preserve"> (84 Wins, 24 Losses)</w:t>
            </w:r>
          </w:p>
        </w:tc>
      </w:tr>
      <w:tr>
        <w:tc>
          <w:tcPr>
            <w:tcW w:type="dxa" w:w="4658"/>
            <w:tcMar>
              <w:top w:w="70" w:type="dxa"/>
              <w:bottom w:w="70" w:type="dxa"/>
              <w:left w:w="120" w:type="dxa"/>
              <w:right w:w="120" w:type="dxa"/>
            </w:tcMar>
          </w:tcPr>
          <w:p>
            <w:pPr>
              <w:spacing w:before="0" w:after="0"/>
              <w:jc w:val="left"/>
            </w:pPr>
            <w:r>
              <w:rPr>
                <w:rFonts w:ascii="Calibri" w:hAnsi="Calibri"/>
                <w:b/>
                <w:color w:val="24292E"/>
                <w:sz w:val="17"/>
              </w:rPr>
              <w:t>Setup Win Rate (%)</w:t>
            </w:r>
          </w:p>
        </w:tc>
        <w:tc>
          <w:tcPr>
            <w:tcW w:type="dxa" w:w="4658"/>
            <w:tcMar>
              <w:top w:w="70" w:type="dxa"/>
              <w:bottom w:w="70" w:type="dxa"/>
              <w:left w:w="120" w:type="dxa"/>
              <w:right w:w="120" w:type="dxa"/>
            </w:tcMar>
          </w:tcPr>
          <w:p>
            <w:pPr>
              <w:spacing w:before="0" w:after="0"/>
              <w:jc w:val="center"/>
            </w:pPr>
            <w:r>
              <w:rPr>
                <w:rFonts w:ascii="Calibri" w:hAnsi="Calibri"/>
                <w:b/>
                <w:color w:val="24292E"/>
                <w:sz w:val="17"/>
              </w:rPr>
              <w:t>77.78%</w:t>
            </w:r>
            <w:r>
              <w:rPr>
                <w:rFonts w:ascii="Calibri" w:hAnsi="Calibri"/>
                <w:b w:val="0"/>
                <w:color w:val="24292E"/>
                <w:sz w:val="17"/>
              </w:rPr>
              <w:t xml:space="preserve"> [Bootstrap 95% CI: 66.67%, 88.89%]</w:t>
            </w:r>
          </w:p>
        </w:tc>
      </w:tr>
      <w:tr>
        <w:tc>
          <w:tcPr>
            <w:tcW w:type="dxa" w:w="4658"/>
            <w:shd w:fill="F9FAFB"/>
            <w:tcMar>
              <w:top w:w="70" w:type="dxa"/>
              <w:bottom w:w="70" w:type="dxa"/>
              <w:left w:w="120" w:type="dxa"/>
              <w:right w:w="120" w:type="dxa"/>
            </w:tcMar>
          </w:tcPr>
          <w:p>
            <w:pPr>
              <w:spacing w:before="0" w:after="0"/>
              <w:jc w:val="left"/>
            </w:pPr>
            <w:r>
              <w:rPr>
                <w:rFonts w:ascii="Calibri" w:hAnsi="Calibri"/>
                <w:b/>
                <w:color w:val="24292E"/>
                <w:sz w:val="17"/>
              </w:rPr>
              <w:t>Profit Factor (Gross Win / Gross Loss)</w:t>
            </w:r>
          </w:p>
        </w:tc>
        <w:tc>
          <w:tcPr>
            <w:tcW w:type="dxa" w:w="4658"/>
            <w:shd w:fill="F9FAFB"/>
            <w:tcMar>
              <w:top w:w="70" w:type="dxa"/>
              <w:bottom w:w="70" w:type="dxa"/>
              <w:left w:w="120" w:type="dxa"/>
              <w:right w:w="120" w:type="dxa"/>
            </w:tcMar>
          </w:tcPr>
          <w:p>
            <w:pPr>
              <w:spacing w:before="0" w:after="0"/>
              <w:jc w:val="center"/>
            </w:pPr>
            <w:r>
              <w:rPr>
                <w:rFonts w:ascii="Calibri" w:hAnsi="Calibri"/>
                <w:b/>
                <w:color w:val="24292E"/>
                <w:sz w:val="17"/>
              </w:rPr>
              <w:t>3.15</w:t>
            </w:r>
            <w:r>
              <w:rPr>
                <w:rFonts w:ascii="Calibri" w:hAnsi="Calibri"/>
                <w:b w:val="0"/>
                <w:color w:val="24292E"/>
                <w:sz w:val="17"/>
              </w:rPr>
              <w:t xml:space="preserve"> ($20,670.80 / $6,571.20)</w:t>
            </w:r>
          </w:p>
        </w:tc>
      </w:tr>
      <w:tr>
        <w:tc>
          <w:tcPr>
            <w:tcW w:type="dxa" w:w="4658"/>
            <w:tcMar>
              <w:top w:w="70" w:type="dxa"/>
              <w:bottom w:w="70" w:type="dxa"/>
              <w:left w:w="120" w:type="dxa"/>
              <w:right w:w="120" w:type="dxa"/>
            </w:tcMar>
          </w:tcPr>
          <w:p>
            <w:pPr>
              <w:spacing w:before="0" w:after="0"/>
              <w:jc w:val="left"/>
            </w:pPr>
            <w:r>
              <w:rPr>
                <w:rFonts w:ascii="Calibri" w:hAnsi="Calibri"/>
                <w:b/>
                <w:color w:val="24292E"/>
                <w:sz w:val="17"/>
              </w:rPr>
              <w:t>Daily 95% Parametric VaR (All Days)</w:t>
            </w:r>
          </w:p>
        </w:tc>
        <w:tc>
          <w:tcPr>
            <w:tcW w:type="dxa" w:w="4658"/>
            <w:tcMar>
              <w:top w:w="70" w:type="dxa"/>
              <w:bottom w:w="70" w:type="dxa"/>
              <w:left w:w="120" w:type="dxa"/>
              <w:right w:w="120" w:type="dxa"/>
            </w:tcMar>
          </w:tcPr>
          <w:p>
            <w:pPr>
              <w:spacing w:before="0" w:after="0"/>
              <w:jc w:val="center"/>
            </w:pPr>
            <w:r>
              <w:rPr>
                <w:rFonts w:ascii="Calibri" w:hAnsi="Calibri"/>
                <w:b/>
                <w:color w:val="24292E"/>
                <w:sz w:val="17"/>
              </w:rPr>
              <w:t>-0.78%</w:t>
            </w:r>
            <w:r>
              <w:rPr>
                <w:rFonts w:ascii="Calibri" w:hAnsi="Calibri"/>
                <w:b w:val="0"/>
                <w:color w:val="24292E"/>
                <w:sz w:val="17"/>
              </w:rPr>
              <w:t xml:space="preserve"> (-$392.09)</w:t>
            </w:r>
          </w:p>
        </w:tc>
      </w:tr>
      <w:tr>
        <w:tc>
          <w:tcPr>
            <w:tcW w:type="dxa" w:w="4658"/>
            <w:shd w:fill="F9FAFB"/>
            <w:tcMar>
              <w:top w:w="70" w:type="dxa"/>
              <w:bottom w:w="70" w:type="dxa"/>
              <w:left w:w="120" w:type="dxa"/>
              <w:right w:w="120" w:type="dxa"/>
            </w:tcMar>
          </w:tcPr>
          <w:p>
            <w:pPr>
              <w:spacing w:before="0" w:after="0"/>
              <w:jc w:val="left"/>
            </w:pPr>
            <w:r>
              <w:rPr>
                <w:rFonts w:ascii="Calibri" w:hAnsi="Calibri"/>
                <w:b/>
                <w:color w:val="24292E"/>
                <w:sz w:val="17"/>
              </w:rPr>
              <w:t>Daily 95% Historical VaR (All 219 Days)‡</w:t>
            </w:r>
          </w:p>
        </w:tc>
        <w:tc>
          <w:tcPr>
            <w:tcW w:type="dxa" w:w="4658"/>
            <w:shd w:fill="F9FAFB"/>
            <w:tcMar>
              <w:top w:w="70" w:type="dxa"/>
              <w:bottom w:w="70" w:type="dxa"/>
              <w:left w:w="120" w:type="dxa"/>
              <w:right w:w="120" w:type="dxa"/>
            </w:tcMar>
          </w:tcPr>
          <w:p>
            <w:pPr>
              <w:spacing w:before="0" w:after="0"/>
              <w:jc w:val="center"/>
            </w:pPr>
            <w:r>
              <w:rPr>
                <w:rFonts w:ascii="Calibri" w:hAnsi="Calibri"/>
                <w:b/>
                <w:color w:val="24292E"/>
                <w:sz w:val="17"/>
              </w:rPr>
              <w:t>-0.03%</w:t>
            </w:r>
            <w:r>
              <w:rPr>
                <w:rFonts w:ascii="Calibri" w:hAnsi="Calibri"/>
                <w:b w:val="0"/>
                <w:color w:val="24292E"/>
                <w:sz w:val="17"/>
              </w:rPr>
              <w:t xml:space="preserve"> (-$12.76)</w:t>
            </w:r>
          </w:p>
        </w:tc>
      </w:tr>
      <w:tr>
        <w:tc>
          <w:tcPr>
            <w:tcW w:type="dxa" w:w="4658"/>
            <w:tcMar>
              <w:top w:w="70" w:type="dxa"/>
              <w:bottom w:w="70" w:type="dxa"/>
              <w:left w:w="120" w:type="dxa"/>
              <w:right w:w="120" w:type="dxa"/>
            </w:tcMar>
          </w:tcPr>
          <w:p>
            <w:pPr>
              <w:spacing w:before="0" w:after="0"/>
              <w:jc w:val="left"/>
            </w:pPr>
            <w:r>
              <w:rPr>
                <w:rFonts w:ascii="Calibri" w:hAnsi="Calibri"/>
                <w:b/>
                <w:color w:val="24292E"/>
                <w:sz w:val="17"/>
              </w:rPr>
              <w:t>Daily 95% Historical CVaR (All 219 Days)</w:t>
            </w:r>
          </w:p>
        </w:tc>
        <w:tc>
          <w:tcPr>
            <w:tcW w:type="dxa" w:w="4658"/>
            <w:tcMar>
              <w:top w:w="70" w:type="dxa"/>
              <w:bottom w:w="70" w:type="dxa"/>
              <w:left w:w="120" w:type="dxa"/>
              <w:right w:w="120" w:type="dxa"/>
            </w:tcMar>
          </w:tcPr>
          <w:p>
            <w:pPr>
              <w:spacing w:before="0" w:after="0"/>
              <w:jc w:val="center"/>
            </w:pPr>
            <w:r>
              <w:rPr>
                <w:rFonts w:ascii="Calibri" w:hAnsi="Calibri"/>
                <w:b/>
                <w:color w:val="24292E"/>
                <w:sz w:val="17"/>
              </w:rPr>
              <w:t>-0.95%</w:t>
            </w:r>
            <w:r>
              <w:rPr>
                <w:rFonts w:ascii="Calibri" w:hAnsi="Calibri"/>
                <w:b w:val="0"/>
                <w:color w:val="24292E"/>
                <w:sz w:val="17"/>
              </w:rPr>
              <w:t xml:space="preserve"> (-$473.29)</w:t>
            </w:r>
          </w:p>
        </w:tc>
      </w:tr>
      <w:tr>
        <w:tc>
          <w:tcPr>
            <w:tcW w:type="dxa" w:w="4658"/>
            <w:shd w:fill="F9FAFB"/>
            <w:tcMar>
              <w:top w:w="70" w:type="dxa"/>
              <w:bottom w:w="70" w:type="dxa"/>
              <w:left w:w="120" w:type="dxa"/>
              <w:right w:w="120" w:type="dxa"/>
            </w:tcMar>
          </w:tcPr>
          <w:p>
            <w:pPr>
              <w:spacing w:before="0" w:after="0"/>
              <w:jc w:val="left"/>
            </w:pPr>
            <w:r>
              <w:rPr>
                <w:rFonts w:ascii="Calibri" w:hAnsi="Calibri"/>
                <w:b/>
                <w:color w:val="24292E"/>
                <w:sz w:val="17"/>
              </w:rPr>
              <w:t>Daily 95% Parametric VaR (Active 41 Days)</w:t>
            </w:r>
          </w:p>
        </w:tc>
        <w:tc>
          <w:tcPr>
            <w:tcW w:type="dxa" w:w="4658"/>
            <w:shd w:fill="F9FAFB"/>
            <w:tcMar>
              <w:top w:w="70" w:type="dxa"/>
              <w:bottom w:w="70" w:type="dxa"/>
              <w:left w:w="120" w:type="dxa"/>
              <w:right w:w="120" w:type="dxa"/>
            </w:tcMar>
          </w:tcPr>
          <w:p>
            <w:pPr>
              <w:spacing w:before="0" w:after="0"/>
              <w:jc w:val="center"/>
            </w:pPr>
            <w:r>
              <w:rPr>
                <w:rFonts w:ascii="Calibri" w:hAnsi="Calibri"/>
                <w:b/>
                <w:color w:val="24292E"/>
                <w:sz w:val="17"/>
              </w:rPr>
              <w:t>-1.18%</w:t>
            </w:r>
            <w:r>
              <w:rPr>
                <w:rFonts w:ascii="Calibri" w:hAnsi="Calibri"/>
                <w:b w:val="0"/>
                <w:color w:val="24292E"/>
                <w:sz w:val="17"/>
              </w:rPr>
              <w:t xml:space="preserve"> (-$588.33)</w:t>
            </w:r>
          </w:p>
        </w:tc>
      </w:tr>
      <w:tr>
        <w:tc>
          <w:tcPr>
            <w:tcW w:type="dxa" w:w="4658"/>
            <w:tcMar>
              <w:top w:w="70" w:type="dxa"/>
              <w:bottom w:w="70" w:type="dxa"/>
              <w:left w:w="120" w:type="dxa"/>
              <w:right w:w="120" w:type="dxa"/>
            </w:tcMar>
          </w:tcPr>
          <w:p>
            <w:pPr>
              <w:spacing w:before="0" w:after="0"/>
              <w:jc w:val="left"/>
            </w:pPr>
            <w:r>
              <w:rPr>
                <w:rFonts w:ascii="Calibri" w:hAnsi="Calibri"/>
                <w:b/>
                <w:color w:val="24292E"/>
                <w:sz w:val="17"/>
              </w:rPr>
              <w:t>Daily 95% Historical VaR (Active 41 Days)‡</w:t>
            </w:r>
          </w:p>
        </w:tc>
        <w:tc>
          <w:tcPr>
            <w:tcW w:type="dxa" w:w="4658"/>
            <w:tcMar>
              <w:top w:w="70" w:type="dxa"/>
              <w:bottom w:w="70" w:type="dxa"/>
              <w:left w:w="120" w:type="dxa"/>
              <w:right w:w="120" w:type="dxa"/>
            </w:tcMar>
          </w:tcPr>
          <w:p>
            <w:pPr>
              <w:spacing w:before="0" w:after="0"/>
              <w:jc w:val="center"/>
            </w:pPr>
            <w:r>
              <w:rPr>
                <w:rFonts w:ascii="Calibri" w:hAnsi="Calibri"/>
                <w:b/>
                <w:color w:val="24292E"/>
                <w:sz w:val="17"/>
              </w:rPr>
              <w:t>-1.32%</w:t>
            </w:r>
            <w:r>
              <w:rPr>
                <w:rFonts w:ascii="Calibri" w:hAnsi="Calibri"/>
                <w:b w:val="0"/>
                <w:color w:val="24292E"/>
                <w:sz w:val="17"/>
              </w:rPr>
              <w:t xml:space="preserve"> (-$657.60)</w:t>
            </w:r>
          </w:p>
        </w:tc>
      </w:tr>
      <w:tr>
        <w:tc>
          <w:tcPr>
            <w:tcW w:type="dxa" w:w="4658"/>
            <w:shd w:fill="F9FAFB"/>
            <w:tcMar>
              <w:top w:w="70" w:type="dxa"/>
              <w:bottom w:w="70" w:type="dxa"/>
              <w:left w:w="120" w:type="dxa"/>
              <w:right w:w="120" w:type="dxa"/>
            </w:tcMar>
          </w:tcPr>
          <w:p>
            <w:pPr>
              <w:spacing w:before="0" w:after="0"/>
              <w:jc w:val="left"/>
            </w:pPr>
            <w:r>
              <w:rPr>
                <w:rFonts w:ascii="Calibri" w:hAnsi="Calibri"/>
                <w:b/>
                <w:color w:val="24292E"/>
                <w:sz w:val="17"/>
              </w:rPr>
              <w:t>Daily 95% Historical CVaR (Active 41 Days)</w:t>
            </w:r>
          </w:p>
        </w:tc>
        <w:tc>
          <w:tcPr>
            <w:tcW w:type="dxa" w:w="4658"/>
            <w:shd w:fill="F9FAFB"/>
            <w:tcMar>
              <w:top w:w="70" w:type="dxa"/>
              <w:bottom w:w="70" w:type="dxa"/>
              <w:left w:w="120" w:type="dxa"/>
              <w:right w:w="120" w:type="dxa"/>
            </w:tcMar>
          </w:tcPr>
          <w:p>
            <w:pPr>
              <w:spacing w:before="0" w:after="0"/>
              <w:jc w:val="center"/>
            </w:pPr>
            <w:r>
              <w:rPr>
                <w:rFonts w:ascii="Calibri" w:hAnsi="Calibri"/>
                <w:b/>
                <w:color w:val="24292E"/>
                <w:sz w:val="17"/>
              </w:rPr>
              <w:t>-1.37%</w:t>
            </w:r>
            <w:r>
              <w:rPr>
                <w:rFonts w:ascii="Calibri" w:hAnsi="Calibri"/>
                <w:b w:val="0"/>
                <w:color w:val="24292E"/>
                <w:sz w:val="17"/>
              </w:rPr>
              <w:t xml:space="preserve"> (-$687.00)</w:t>
            </w:r>
          </w:p>
        </w:tc>
      </w:tr>
    </w:tbl>
    <w:p>
      <w:pPr>
        <w:spacing w:before="40" w:after="80"/>
      </w:pPr>
    </w:p>
    <w:p>
      <w:pPr>
        <w:spacing w:before="60" w:after="60"/>
        <w:ind w:left="216"/>
      </w:pPr>
      <w:r>
        <w:rPr>
          <w:rFonts w:ascii="Calibri" w:hAnsi="Calibri"/>
          <w:b w:val="0"/>
          <w:i/>
          <w:color w:val="4B5563"/>
          <w:sz w:val="17"/>
        </w:rPr>
      </w:r>
      <w:r>
        <w:rPr>
          <w:rFonts w:ascii="Calibri" w:hAnsi="Calibri"/>
          <w:b w:val="0"/>
          <w:color w:val="4B5563"/>
          <w:sz w:val="17"/>
        </w:rPr>
        <w:t xml:space="preserve"> Note on Annualization:* Annualized figures are computed using the calendar duration T = 304 / 365.25 = 0.832 years (2025-10-28 to 2026-08-28; 219 business days). CAGR and annualized volatility represent mathematical extrapolations of this 10-month window, not long-term historical returns.</w:t>
      </w:r>
    </w:p>
    <w:p>
      <w:pPr>
        <w:spacing w:before="60" w:after="60"/>
        <w:ind w:left="216"/>
      </w:pPr>
      <w:r>
        <w:rPr>
          <w:rFonts w:ascii="Calibri" w:hAnsi="Calibri"/>
          <w:b w:val="0"/>
          <w:i/>
          <w:color w:val="4B5563"/>
          <w:sz w:val="17"/>
        </w:rPr>
        <w:t>† Note on Drawdown &amp; Calmar Ratio:</w:t>
      </w:r>
      <w:r>
        <w:rPr>
          <w:rFonts w:ascii="Calibri" w:hAnsi="Calibri"/>
          <w:b w:val="0"/>
          <w:color w:val="4B5563"/>
          <w:sz w:val="17"/>
        </w:rPr>
        <w:t xml:space="preserve"> Maximum drawdown figures are computed as percentage losses from the running peak equity (DD_t = (E_t − Peak_t) / Peak_t), rather than nominal capital, reaching -3.02% intraday peak (-$1,652.80 from a $54,785.40 high-water mark on 2026-02-12) and -2.33% at daily close (-$1,432.80 from a $61,544.80 high-water mark on 2026-06-03). The Calmar ratio (CAGR / |Max DD| = 34.78% / 3.02% = 11.52) is strictly defined and mathematically consistent with this peak-equity drawdown formulation.</w:t>
      </w:r>
    </w:p>
    <w:p>
      <w:pPr>
        <w:spacing w:before="60" w:after="60"/>
        <w:ind w:left="216"/>
      </w:pPr>
      <w:r>
        <w:rPr>
          <w:rFonts w:ascii="Calibri" w:hAnsi="Calibri"/>
          <w:b w:val="0"/>
          <w:i/>
          <w:color w:val="4B5563"/>
          <w:sz w:val="17"/>
        </w:rPr>
        <w:t>‡ Note on VaR Artifact:</w:t>
      </w:r>
      <w:r>
        <w:rPr>
          <w:rFonts w:ascii="Calibri" w:hAnsi="Calibri"/>
          <w:b w:val="0"/>
          <w:color w:val="4B5563"/>
          <w:sz w:val="17"/>
        </w:rPr>
        <w:t xml:space="preserve"> The historical 95% VaR across all 219 days (-0.03%) is an artifact of execution frequency, as 178 of the 219 business days (81.3%) had zero trades. The 5th percentile of the full distribution falls near the boundary of zero-return days, compressing the metric. On active trading days (N = 41), the historical 95% VaR is -1.32% (-$657.60), reflecting downside risk during active market exposure.</w:t>
      </w:r>
    </w:p>
    <w:p>
      <w:pPr>
        <w:spacing w:before="60" w:after="60"/>
        <w:ind w:left="216"/>
      </w:pPr>
      <w:r>
        <w:rPr>
          <w:rFonts w:ascii="Calibri" w:hAnsi="Calibri"/>
          <w:b w:val="0"/>
          <w:i/>
          <w:color w:val="4B5563"/>
          <w:sz w:val="17"/>
        </w:rPr>
        <w:t>§ Note on Benchmark:</w:t>
      </w:r>
      <w:r>
        <w:rPr>
          <w:rFonts w:ascii="Calibri" w:hAnsi="Calibri"/>
          <w:b w:val="0"/>
          <w:color w:val="4B5563"/>
          <w:sz w:val="17"/>
        </w:rPr>
        <w:t xml:space="preserve"> The backtest operated on discrete quarterly futures contracts without a rollover-adjusted continuous series; consequently, no passive benchmark comparison is reported.</w:t>
      </w:r>
    </w:p>
    <w:p>
      <w:pPr>
        <w:spacing w:before="160" w:after="160"/>
        <w:jc w:val="center"/>
      </w:pPr>
      <w:r>
        <w:drawing>
          <wp:inline xmlns:a="http://schemas.openxmlformats.org/drawingml/2006/main" xmlns:pic="http://schemas.openxmlformats.org/drawingml/2006/picture">
            <wp:extent cx="5394960" cy="2967228"/>
            <wp:docPr id="2" name="Picture 2"/>
            <wp:cNvGraphicFramePr>
              <a:graphicFrameLocks noChangeAspect="1"/>
            </wp:cNvGraphicFramePr>
            <a:graphic>
              <a:graphicData uri="http://schemas.openxmlformats.org/drawingml/2006/picture">
                <pic:pic>
                  <pic:nvPicPr>
                    <pic:cNvPr id="0" name="chart_1_equity_curve.png"/>
                    <pic:cNvPicPr/>
                  </pic:nvPicPr>
                  <pic:blipFill>
                    <a:blip r:embed="rId12"/>
                    <a:stretch>
                      <a:fillRect/>
                    </a:stretch>
                  </pic:blipFill>
                  <pic:spPr>
                    <a:xfrm>
                      <a:off x="0" y="0"/>
                      <a:ext cx="5394960" cy="2967228"/>
                    </a:xfrm>
                    <a:prstGeom prst="rect"/>
                  </pic:spPr>
                </pic:pic>
              </a:graphicData>
            </a:graphic>
          </wp:inline>
        </w:drawing>
      </w:r>
    </w:p>
    <w:p>
      <w:pPr>
        <w:spacing w:before="160" w:after="160"/>
        <w:jc w:val="center"/>
      </w:pPr>
      <w:r>
        <w:drawing>
          <wp:inline xmlns:a="http://schemas.openxmlformats.org/drawingml/2006/main" xmlns:pic="http://schemas.openxmlformats.org/drawingml/2006/picture">
            <wp:extent cx="5394960" cy="2427732"/>
            <wp:docPr id="3" name="Picture 3"/>
            <wp:cNvGraphicFramePr>
              <a:graphicFrameLocks noChangeAspect="1"/>
            </wp:cNvGraphicFramePr>
            <a:graphic>
              <a:graphicData uri="http://schemas.openxmlformats.org/drawingml/2006/picture">
                <pic:pic>
                  <pic:nvPicPr>
                    <pic:cNvPr id="0" name="chart_2_drawdown.png"/>
                    <pic:cNvPicPr/>
                  </pic:nvPicPr>
                  <pic:blipFill>
                    <a:blip r:embed="rId13"/>
                    <a:stretch>
                      <a:fillRect/>
                    </a:stretch>
                  </pic:blipFill>
                  <pic:spPr>
                    <a:xfrm>
                      <a:off x="0" y="0"/>
                      <a:ext cx="5394960" cy="2427732"/>
                    </a:xfrm>
                    <a:prstGeom prst="rect"/>
                  </pic:spPr>
                </pic:pic>
              </a:graphicData>
            </a:graphic>
          </wp:inline>
        </w:drawing>
      </w:r>
    </w:p>
    <w:p>
      <w:pPr>
        <w:spacing w:before="120" w:after="120"/>
        <w:pBdr>
          <w:bottom w:val="single" w:sz="4" w:space="1" w:color="e5e7eb"/>
        </w:pBdr>
      </w:pPr>
    </w:p>
    <w:p>
      <w:pPr>
        <w:keepNext/>
        <w:spacing w:before="200" w:after="60"/>
      </w:pPr>
      <w:r>
        <w:rPr>
          <w:rFonts w:ascii="Calibri" w:hAnsi="Calibri"/>
          <w:b/>
          <w:color w:val="0F4C81"/>
          <w:sz w:val="23"/>
        </w:rPr>
        <w:t>3. Risk Constraints &amp; Execution Governance Module</w:t>
      </w:r>
    </w:p>
    <w:p>
      <w:pPr>
        <w:spacing w:before="40" w:after="80" w:line="276" w:lineRule="auto"/>
      </w:pPr>
      <w:r>
        <w:rPr>
          <w:rFonts w:ascii="Calibri" w:hAnsi="Calibri"/>
          <w:b w:val="0"/>
          <w:color w:val="24292E"/>
          <w:sz w:val="19"/>
        </w:rPr>
        <w:t>The execution model combines order-level bracket rules with session-level risk constraints:</w:t>
      </w:r>
    </w:p>
    <w:p>
      <w:pPr>
        <w:spacing w:before="20" w:after="40"/>
        <w:ind w:left="288"/>
      </w:pPr>
      <w:r>
        <w:rPr>
          <w:rFonts w:ascii="Calibri" w:hAnsi="Calibri"/>
          <w:color w:val="0F4C81"/>
          <w:sz w:val="20"/>
        </w:rPr>
        <w:t xml:space="preserve">• </w:t>
      </w:r>
      <w:r>
        <w:rPr>
          <w:rFonts w:ascii="Calibri" w:hAnsi="Calibri"/>
          <w:b/>
          <w:color w:val="24292E"/>
          <w:sz w:val="19"/>
        </w:rPr>
        <w:t>Dual-Leg Split Execution &amp; Ratchet Stops:</w:t>
      </w:r>
    </w:p>
    <w:p>
      <w:pPr>
        <w:spacing w:before="40" w:after="80" w:line="276" w:lineRule="auto"/>
      </w:pPr>
      <w:r>
        <w:rPr>
          <w:rFonts w:ascii="Calibri" w:hAnsi="Calibri"/>
          <w:b w:val="0"/>
          <w:color w:val="24292E"/>
          <w:sz w:val="19"/>
        </w:rPr>
        <w:t xml:space="preserve">  Each market entry executes a 2-contract bracket managed independently:</w:t>
      </w:r>
    </w:p>
    <w:p>
      <w:pPr>
        <w:spacing w:before="20" w:after="40"/>
        <w:ind w:left="576"/>
      </w:pPr>
      <w:r>
        <w:rPr>
          <w:rFonts w:ascii="Calibri" w:hAnsi="Calibri"/>
          <w:color w:val="0F4C81"/>
          <w:sz w:val="20"/>
        </w:rPr>
        <w:t xml:space="preserve">◦ </w:t>
      </w:r>
      <w:r>
        <w:rPr>
          <w:rFonts w:ascii="Calibri" w:hAnsi="Calibri"/>
          <w:b/>
          <w:color w:val="24292E"/>
          <w:sz w:val="19"/>
        </w:rPr>
        <w:t>Leg 1 (Limit Scalp TP1):</w:t>
      </w:r>
      <w:r>
        <w:rPr>
          <w:rFonts w:ascii="Calibri" w:hAnsi="Calibri"/>
          <w:b w:val="0"/>
          <w:color w:val="24292E"/>
          <w:sz w:val="19"/>
        </w:rPr>
        <w:t xml:space="preserve"> Targets +10 points (+40 ticks = +$200 per contract) via a limit order. When TP1 fills, the Leg 2 stop is adjusted to Breakeven +1 point (+$20) to cover round-trip commissions and slippage.</w:t>
      </w:r>
    </w:p>
    <w:p>
      <w:pPr>
        <w:spacing w:before="20" w:after="40"/>
        <w:ind w:left="576"/>
      </w:pPr>
      <w:r>
        <w:rPr>
          <w:rFonts w:ascii="Calibri" w:hAnsi="Calibri"/>
          <w:color w:val="0F4C81"/>
          <w:sz w:val="20"/>
        </w:rPr>
        <w:t xml:space="preserve">◦ </w:t>
      </w:r>
      <w:r>
        <w:rPr>
          <w:rFonts w:ascii="Calibri" w:hAnsi="Calibri"/>
          <w:b/>
          <w:color w:val="24292E"/>
          <w:sz w:val="19"/>
        </w:rPr>
        <w:t>Leg 2 (Runner TP2):</w:t>
      </w:r>
      <w:r>
        <w:rPr>
          <w:rFonts w:ascii="Calibri" w:hAnsi="Calibri"/>
          <w:b w:val="0"/>
          <w:color w:val="24292E"/>
          <w:sz w:val="19"/>
        </w:rPr>
        <w:t xml:space="preserve"> Targets +25 points (+100 ticks = +$500 per contract) with two-tier ratchet protection:</w:t>
      </w:r>
    </w:p>
    <w:p>
      <w:pPr>
        <w:spacing w:before="20" w:after="40"/>
        <w:ind w:left="936"/>
      </w:pPr>
      <w:r>
        <w:rPr>
          <w:rFonts w:ascii="Calibri" w:hAnsi="Calibri"/>
          <w:color w:val="0F4C81"/>
          <w:sz w:val="20"/>
        </w:rPr>
        <w:t xml:space="preserve">▪ </w:t>
      </w:r>
      <w:r>
        <w:rPr>
          <w:rFonts w:ascii="Calibri" w:hAnsi="Calibri"/>
          <w:b w:val="0"/>
          <w:i/>
          <w:color w:val="24292E"/>
          <w:sz w:val="19"/>
        </w:rPr>
        <w:t>Ratchet 1:</w:t>
      </w:r>
      <w:r>
        <w:rPr>
          <w:rFonts w:ascii="Calibri" w:hAnsi="Calibri"/>
          <w:b w:val="0"/>
          <w:color w:val="24292E"/>
          <w:sz w:val="19"/>
        </w:rPr>
        <w:t xml:space="preserve"> At +15 points unrealized gain, locks +7.5 points (+$150).</w:t>
      </w:r>
    </w:p>
    <w:p>
      <w:pPr>
        <w:spacing w:before="20" w:after="40"/>
        <w:ind w:left="936"/>
      </w:pPr>
      <w:r>
        <w:rPr>
          <w:rFonts w:ascii="Calibri" w:hAnsi="Calibri"/>
          <w:color w:val="0F4C81"/>
          <w:sz w:val="20"/>
        </w:rPr>
        <w:t xml:space="preserve">▪ </w:t>
      </w:r>
      <w:r>
        <w:rPr>
          <w:rFonts w:ascii="Calibri" w:hAnsi="Calibri"/>
          <w:b w:val="0"/>
          <w:i/>
          <w:color w:val="24292E"/>
          <w:sz w:val="19"/>
        </w:rPr>
        <w:t>Ratchet 2:</w:t>
      </w:r>
      <w:r>
        <w:rPr>
          <w:rFonts w:ascii="Calibri" w:hAnsi="Calibri"/>
          <w:b w:val="0"/>
          <w:color w:val="24292E"/>
          <w:sz w:val="19"/>
        </w:rPr>
        <w:t xml:space="preserve"> At +20 points unrealized gain, locks +14 points (+$280).</w:t>
      </w:r>
    </w:p>
    <w:p>
      <w:pPr>
        <w:spacing w:before="20" w:after="40"/>
        <w:ind w:left="576"/>
      </w:pPr>
      <w:r>
        <w:rPr>
          <w:rFonts w:ascii="Calibri" w:hAnsi="Calibri"/>
          <w:color w:val="0F4C81"/>
          <w:sz w:val="20"/>
        </w:rPr>
        <w:t xml:space="preserve">◦ </w:t>
      </w:r>
      <w:r>
        <w:rPr>
          <w:rFonts w:ascii="Calibri" w:hAnsi="Calibri"/>
          <w:b/>
          <w:color w:val="24292E"/>
          <w:sz w:val="19"/>
        </w:rPr>
        <w:t>Initial Stop-Loss:</w:t>
      </w:r>
      <w:r>
        <w:rPr>
          <w:rFonts w:ascii="Calibri" w:hAnsi="Calibri"/>
          <w:b w:val="0"/>
          <w:color w:val="24292E"/>
          <w:sz w:val="19"/>
        </w:rPr>
        <w:t xml:space="preserve"> Both legs maintain an initial stop of 16 points (64 ticks = -$320 per contract), capping initial nominal risk to -$640 plus transaction friction per setup.</w:t>
      </w:r>
    </w:p>
    <w:p>
      <w:pPr>
        <w:spacing w:before="20" w:after="40"/>
        <w:ind w:left="288"/>
      </w:pPr>
      <w:r>
        <w:rPr>
          <w:rFonts w:ascii="Calibri" w:hAnsi="Calibri"/>
          <w:color w:val="0F4C81"/>
          <w:sz w:val="20"/>
        </w:rPr>
        <w:t xml:space="preserve">• </w:t>
      </w:r>
      <w:r>
        <w:rPr>
          <w:rFonts w:ascii="Calibri" w:hAnsi="Calibri"/>
          <w:b/>
          <w:color w:val="24292E"/>
          <w:sz w:val="19"/>
        </w:rPr>
        <w:t>Intraday Risk Constraints:</w:t>
      </w:r>
    </w:p>
    <w:p>
      <w:pPr>
        <w:spacing w:before="20" w:after="40"/>
        <w:ind w:left="576"/>
      </w:pPr>
      <w:r>
        <w:rPr>
          <w:rFonts w:ascii="Calibri" w:hAnsi="Calibri"/>
          <w:color w:val="0F4C81"/>
          <w:sz w:val="20"/>
        </w:rPr>
        <w:t xml:space="preserve">◦ </w:t>
      </w:r>
      <w:r>
        <w:rPr>
          <w:rFonts w:ascii="Calibri" w:hAnsi="Calibri"/>
          <w:b/>
          <w:color w:val="24292E"/>
          <w:sz w:val="19"/>
        </w:rPr>
        <w:t>Daily Loss Cap ($700):</w:t>
      </w:r>
      <w:r>
        <w:rPr>
          <w:rFonts w:ascii="Calibri" w:hAnsi="Calibri"/>
          <w:b w:val="0"/>
          <w:color w:val="24292E"/>
          <w:sz w:val="19"/>
        </w:rPr>
        <w:t xml:space="preserve"> If cumulative realized session PnL reaches -$700 (-1.40% of capital), all open positions are flattened and trading halts for the remainder of the CME session.</w:t>
      </w:r>
    </w:p>
    <w:p>
      <w:pPr>
        <w:spacing w:before="20" w:after="40"/>
        <w:ind w:left="576"/>
      </w:pPr>
      <w:r>
        <w:rPr>
          <w:rFonts w:ascii="Calibri" w:hAnsi="Calibri"/>
          <w:color w:val="0F4C81"/>
          <w:sz w:val="20"/>
        </w:rPr>
        <w:t xml:space="preserve">◦ </w:t>
      </w:r>
      <w:r>
        <w:rPr>
          <w:rFonts w:ascii="Calibri" w:hAnsi="Calibri"/>
          <w:b/>
          <w:color w:val="24292E"/>
          <w:sz w:val="19"/>
        </w:rPr>
        <w:t>Daily Profit Cap ($750):</w:t>
      </w:r>
      <w:r>
        <w:rPr>
          <w:rFonts w:ascii="Calibri" w:hAnsi="Calibri"/>
          <w:b w:val="0"/>
          <w:color w:val="24292E"/>
          <w:sz w:val="19"/>
        </w:rPr>
        <w:t xml:space="preserve"> Cumulative realized session gains of +$750 (+1.50% of capital) halt new entries to protect accumulated profits.</w:t>
      </w:r>
    </w:p>
    <w:p>
      <w:pPr>
        <w:spacing w:before="20" w:after="40"/>
        <w:ind w:left="576"/>
      </w:pPr>
      <w:r>
        <w:rPr>
          <w:rFonts w:ascii="Calibri" w:hAnsi="Calibri"/>
          <w:color w:val="0F4C81"/>
          <w:sz w:val="20"/>
        </w:rPr>
        <w:t xml:space="preserve">◦ </w:t>
      </w:r>
      <w:r>
        <w:rPr>
          <w:rFonts w:ascii="Calibri" w:hAnsi="Calibri"/>
          <w:b/>
          <w:color w:val="24292E"/>
          <w:sz w:val="19"/>
        </w:rPr>
        <w:t>Single-Loss-Per-Day Restriction:</w:t>
      </w:r>
      <w:r>
        <w:rPr>
          <w:rFonts w:ascii="Calibri" w:hAnsi="Calibri"/>
          <w:b w:val="0"/>
          <w:color w:val="24292E"/>
          <w:sz w:val="19"/>
        </w:rPr>
        <w:t xml:space="preserve"> Trading terminates immediately after a single losing setup on any given day, preventing drawdowns during persistent trending regimes.</w:t>
      </w:r>
    </w:p>
    <w:p>
      <w:pPr>
        <w:spacing w:before="160" w:after="160"/>
        <w:jc w:val="center"/>
      </w:pPr>
      <w:r>
        <w:drawing>
          <wp:inline xmlns:a="http://schemas.openxmlformats.org/drawingml/2006/main" xmlns:pic="http://schemas.openxmlformats.org/drawingml/2006/picture">
            <wp:extent cx="5394960" cy="2354164"/>
            <wp:docPr id="4" name="Picture 4"/>
            <wp:cNvGraphicFramePr>
              <a:graphicFrameLocks noChangeAspect="1"/>
            </wp:cNvGraphicFramePr>
            <a:graphic>
              <a:graphicData uri="http://schemas.openxmlformats.org/drawingml/2006/picture">
                <pic:pic>
                  <pic:nvPicPr>
                    <pic:cNvPr id="0" name="chart_3_returns_dist.png"/>
                    <pic:cNvPicPr/>
                  </pic:nvPicPr>
                  <pic:blipFill>
                    <a:blip r:embed="rId14"/>
                    <a:stretch>
                      <a:fillRect/>
                    </a:stretch>
                  </pic:blipFill>
                  <pic:spPr>
                    <a:xfrm>
                      <a:off x="0" y="0"/>
                      <a:ext cx="5394960" cy="2354164"/>
                    </a:xfrm>
                    <a:prstGeom prst="rect"/>
                  </pic:spPr>
                </pic:pic>
              </a:graphicData>
            </a:graphic>
          </wp:inline>
        </w:drawing>
      </w:r>
    </w:p>
    <w:p>
      <w:pPr>
        <w:spacing w:before="160" w:after="160"/>
        <w:jc w:val="center"/>
      </w:pPr>
      <w:r>
        <w:drawing>
          <wp:inline xmlns:a="http://schemas.openxmlformats.org/drawingml/2006/main" xmlns:pic="http://schemas.openxmlformats.org/drawingml/2006/picture">
            <wp:extent cx="5394960" cy="2207029"/>
            <wp:docPr id="5" name="Picture 5"/>
            <wp:cNvGraphicFramePr>
              <a:graphicFrameLocks noChangeAspect="1"/>
            </wp:cNvGraphicFramePr>
            <a:graphic>
              <a:graphicData uri="http://schemas.openxmlformats.org/drawingml/2006/picture">
                <pic:pic>
                  <pic:nvPicPr>
                    <pic:cNvPr id="0" name="chart_4_bootstrap_sharpe.png"/>
                    <pic:cNvPicPr/>
                  </pic:nvPicPr>
                  <pic:blipFill>
                    <a:blip r:embed="rId15"/>
                    <a:stretch>
                      <a:fillRect/>
                    </a:stretch>
                  </pic:blipFill>
                  <pic:spPr>
                    <a:xfrm>
                      <a:off x="0" y="0"/>
                      <a:ext cx="5394960" cy="2207029"/>
                    </a:xfrm>
                    <a:prstGeom prst="rect"/>
                  </pic:spPr>
                </pic:pic>
              </a:graphicData>
            </a:graphic>
          </wp:inline>
        </w:drawing>
      </w:r>
    </w:p>
    <w:p>
      <w:pPr>
        <w:spacing w:before="120" w:after="120"/>
        <w:pBdr>
          <w:bottom w:val="single" w:sz="4" w:space="1" w:color="e5e7eb"/>
        </w:pBdr>
      </w:pPr>
    </w:p>
    <w:p>
      <w:pPr>
        <w:keepNext/>
        <w:spacing w:before="200" w:after="60"/>
      </w:pPr>
      <w:r>
        <w:rPr>
          <w:rFonts w:ascii="Calibri" w:hAnsi="Calibri"/>
          <w:b/>
          <w:color w:val="0F4C81"/>
          <w:sz w:val="23"/>
        </w:rPr>
        <w:t>4. Academic Alignment &amp; Technical Stack</w:t>
      </w:r>
    </w:p>
    <w:p>
      <w:pPr>
        <w:spacing w:before="20" w:after="40"/>
        <w:ind w:left="288"/>
      </w:pPr>
      <w:r>
        <w:rPr>
          <w:rFonts w:ascii="Calibri" w:hAnsi="Calibri"/>
          <w:color w:val="0F4C81"/>
          <w:sz w:val="20"/>
        </w:rPr>
        <w:t xml:space="preserve">• </w:t>
      </w:r>
      <w:r>
        <w:rPr>
          <w:rFonts w:ascii="Calibri" w:hAnsi="Calibri"/>
          <w:b/>
          <w:color w:val="24292E"/>
          <w:sz w:val="19"/>
        </w:rPr>
        <w:t>Software &amp; Data Infrastructure:</w:t>
      </w:r>
    </w:p>
    <w:p>
      <w:pPr>
        <w:spacing w:before="20" w:after="40"/>
        <w:ind w:left="288"/>
      </w:pPr>
      <w:r>
        <w:rPr>
          <w:rFonts w:ascii="Calibri" w:hAnsi="Calibri"/>
          <w:color w:val="0F4C81"/>
          <w:sz w:val="20"/>
        </w:rPr>
        <w:t xml:space="preserve">• </w:t>
      </w:r>
      <w:r>
        <w:rPr>
          <w:rFonts w:ascii="Calibri" w:hAnsi="Calibri"/>
          <w:b/>
          <w:color w:val="24292E"/>
          <w:sz w:val="19"/>
        </w:rPr>
        <w:t>Strategy Implementation:</w:t>
      </w:r>
      <w:r>
        <w:rPr>
          <w:rFonts w:ascii="Calibri" w:hAnsi="Calibri"/>
          <w:b w:val="0"/>
          <w:color w:val="24292E"/>
          <w:sz w:val="19"/>
        </w:rPr>
        <w:t xml:space="preserve"> C# (.NET / NinjaScript), implementing tick-replay event loops, volume profile references, and native bracket orders.</w:t>
      </w:r>
    </w:p>
    <w:p>
      <w:pPr>
        <w:spacing w:before="20" w:after="40"/>
        <w:ind w:left="288"/>
      </w:pPr>
      <w:r>
        <w:rPr>
          <w:rFonts w:ascii="Calibri" w:hAnsi="Calibri"/>
          <w:color w:val="0F4C81"/>
          <w:sz w:val="20"/>
        </w:rPr>
        <w:t xml:space="preserve">• </w:t>
      </w:r>
      <w:r>
        <w:rPr>
          <w:rFonts w:ascii="Calibri" w:hAnsi="Calibri"/>
          <w:b/>
          <w:color w:val="24292E"/>
          <w:sz w:val="19"/>
        </w:rPr>
        <w:t>Execution Engine:</w:t>
      </w:r>
      <w:r>
        <w:rPr>
          <w:rFonts w:ascii="Calibri" w:hAnsi="Calibri"/>
          <w:b w:val="0"/>
          <w:color w:val="24292E"/>
          <w:sz w:val="19"/>
        </w:rPr>
        <w:t xml:space="preserve"> NinjaTrader 8 tick-replay platform.</w:t>
      </w:r>
    </w:p>
    <w:p>
      <w:pPr>
        <w:spacing w:before="20" w:after="40"/>
        <w:ind w:left="288"/>
      </w:pPr>
      <w:r>
        <w:rPr>
          <w:rFonts w:ascii="Calibri" w:hAnsi="Calibri"/>
          <w:color w:val="0F4C81"/>
          <w:sz w:val="20"/>
        </w:rPr>
        <w:t xml:space="preserve">• </w:t>
      </w:r>
      <w:r>
        <w:rPr>
          <w:rFonts w:ascii="Calibri" w:hAnsi="Calibri"/>
          <w:b/>
          <w:color w:val="24292E"/>
          <w:sz w:val="19"/>
        </w:rPr>
        <w:t>Statistical Analysis Pipeline:</w:t>
      </w:r>
      <w:r>
        <w:rPr>
          <w:rFonts w:ascii="Calibri" w:hAnsi="Calibri"/>
          <w:b w:val="0"/>
          <w:color w:val="24292E"/>
          <w:sz w:val="19"/>
        </w:rPr>
        <w:t xml:space="preserve"> Python 3 (</w:t>
      </w:r>
      <w:r>
        <w:rPr>
          <w:rFonts w:ascii="Consolas" w:hAnsi="Consolas"/>
          <w:b w:val="0"/>
          <w:color w:val="333333"/>
          <w:sz w:val="17"/>
        </w:rPr>
        <w:t>numpy</w:t>
      </w:r>
      <w:r>
        <w:rPr>
          <w:rFonts w:ascii="Calibri" w:hAnsi="Calibri"/>
          <w:b w:val="0"/>
          <w:color w:val="24292E"/>
          <w:sz w:val="19"/>
        </w:rPr>
        <w:t xml:space="preserve">, </w:t>
      </w:r>
      <w:r>
        <w:rPr>
          <w:rFonts w:ascii="Consolas" w:hAnsi="Consolas"/>
          <w:b w:val="0"/>
          <w:color w:val="333333"/>
          <w:sz w:val="17"/>
        </w:rPr>
        <w:t>pandas</w:t>
      </w:r>
      <w:r>
        <w:rPr>
          <w:rFonts w:ascii="Calibri" w:hAnsi="Calibri"/>
          <w:b w:val="0"/>
          <w:color w:val="24292E"/>
          <w:sz w:val="19"/>
        </w:rPr>
        <w:t xml:space="preserve">, </w:t>
      </w:r>
      <w:r>
        <w:rPr>
          <w:rFonts w:ascii="Consolas" w:hAnsi="Consolas"/>
          <w:b w:val="0"/>
          <w:color w:val="333333"/>
          <w:sz w:val="17"/>
        </w:rPr>
        <w:t>scipy</w:t>
      </w:r>
      <w:r>
        <w:rPr>
          <w:rFonts w:ascii="Calibri" w:hAnsi="Calibri"/>
          <w:b w:val="0"/>
          <w:color w:val="24292E"/>
          <w:sz w:val="19"/>
        </w:rPr>
        <w:t xml:space="preserve">, </w:t>
      </w:r>
      <w:r>
        <w:rPr>
          <w:rFonts w:ascii="Consolas" w:hAnsi="Consolas"/>
          <w:b w:val="0"/>
          <w:color w:val="333333"/>
          <w:sz w:val="17"/>
        </w:rPr>
        <w:t>matplotlib</w:t>
      </w:r>
      <w:r>
        <w:rPr>
          <w:rFonts w:ascii="Calibri" w:hAnsi="Calibri"/>
          <w:b w:val="0"/>
          <w:color w:val="24292E"/>
          <w:sz w:val="19"/>
        </w:rPr>
        <w:t>), executing bootstrap resampling, Deflated Sharpe Ratio sensitivity grids, and VaR/CVaR modeling.</w:t>
      </w:r>
    </w:p>
    <w:p>
      <w:pPr>
        <w:spacing w:before="20" w:after="40"/>
        <w:ind w:left="288"/>
      </w:pPr>
      <w:r>
        <w:rPr>
          <w:rFonts w:ascii="Calibri" w:hAnsi="Calibri"/>
          <w:color w:val="0F4C81"/>
          <w:sz w:val="20"/>
        </w:rPr>
        <w:t xml:space="preserve">• </w:t>
      </w:r>
      <w:r>
        <w:rPr>
          <w:rFonts w:ascii="Calibri" w:hAnsi="Calibri"/>
          <w:b/>
          <w:color w:val="24292E"/>
          <w:sz w:val="19"/>
        </w:rPr>
        <w:t>Data Source:</w:t>
      </w:r>
      <w:r>
        <w:rPr>
          <w:rFonts w:ascii="Calibri" w:hAnsi="Calibri"/>
          <w:b w:val="0"/>
          <w:color w:val="24292E"/>
          <w:sz w:val="19"/>
        </w:rPr>
        <w:t xml:space="preserve"> CME historical tick data via NinjaTrader 8 database (</w:t>
      </w:r>
      <w:r>
        <w:rPr>
          <w:rFonts w:ascii="Consolas" w:hAnsi="Consolas"/>
          <w:b w:val="0"/>
          <w:color w:val="333333"/>
          <w:sz w:val="17"/>
        </w:rPr>
        <w:t>Documents/NinjaTrader 8/db/tick/</w:t>
      </w:r>
      <w:r>
        <w:rPr>
          <w:rFonts w:ascii="Calibri" w:hAnsi="Calibri"/>
          <w:b w:val="0"/>
          <w:color w:val="24292E"/>
          <w:sz w:val="19"/>
        </w:rPr>
        <w:t>); an independent tick-data provider (e.g., Databento MDP 3.0) is the targeted source for out-of-sample data prior to October 2025.</w:t>
      </w:r>
    </w:p>
    <w:p>
      <w:pPr>
        <w:spacing w:before="20" w:after="40"/>
        <w:ind w:left="288"/>
      </w:pPr>
      <w:r>
        <w:rPr>
          <w:rFonts w:ascii="Calibri" w:hAnsi="Calibri"/>
          <w:color w:val="0F4C81"/>
          <w:sz w:val="20"/>
        </w:rPr>
        <w:t xml:space="preserve">• </w:t>
      </w:r>
      <w:r>
        <w:rPr>
          <w:rFonts w:ascii="Calibri" w:hAnsi="Calibri"/>
          <w:b/>
          <w:color w:val="24292E"/>
          <w:sz w:val="19"/>
        </w:rPr>
        <w:t>Coursework Alignment (ESE Oran Curriculum):</w:t>
      </w:r>
    </w:p>
    <w:p>
      <w:pPr>
        <w:spacing w:before="20" w:after="40"/>
        <w:ind w:left="576"/>
      </w:pPr>
      <w:r>
        <w:rPr>
          <w:rFonts w:ascii="Calibri" w:hAnsi="Calibri"/>
          <w:color w:val="0F4C81"/>
          <w:sz w:val="20"/>
        </w:rPr>
        <w:t xml:space="preserve">◦ </w:t>
      </w:r>
      <w:r>
        <w:rPr>
          <w:rFonts w:ascii="Calibri" w:hAnsi="Calibri"/>
          <w:b w:val="0"/>
          <w:color w:val="24292E"/>
          <w:sz w:val="19"/>
        </w:rPr>
        <w:t xml:space="preserve">Linear regression slope filtering and statistical dispersion bands, related to coursework in </w:t>
      </w:r>
      <w:r>
        <w:rPr>
          <w:rFonts w:ascii="Calibri" w:hAnsi="Calibri"/>
          <w:b/>
          <w:color w:val="24292E"/>
          <w:sz w:val="19"/>
        </w:rPr>
        <w:t>Econometrics I &amp; II</w:t>
      </w:r>
      <w:r>
        <w:rPr>
          <w:rFonts w:ascii="Calibri" w:hAnsi="Calibri"/>
          <w:b w:val="0"/>
          <w:color w:val="24292E"/>
          <w:sz w:val="19"/>
        </w:rPr>
        <w:t xml:space="preserve"> and </w:t>
      </w:r>
      <w:r>
        <w:rPr>
          <w:rFonts w:ascii="Calibri" w:hAnsi="Calibri"/>
          <w:b/>
          <w:color w:val="24292E"/>
          <w:sz w:val="19"/>
        </w:rPr>
        <w:t>Practical Time Series Analysis</w:t>
      </w:r>
      <w:r>
        <w:rPr>
          <w:rFonts w:ascii="Calibri" w:hAnsi="Calibri"/>
          <w:b w:val="0"/>
          <w:color w:val="24292E"/>
          <w:sz w:val="19"/>
        </w:rPr>
        <w:t>.</w:t>
      </w:r>
    </w:p>
    <w:p>
      <w:pPr>
        <w:spacing w:before="20" w:after="40"/>
        <w:ind w:left="576"/>
      </w:pPr>
      <w:r>
        <w:rPr>
          <w:rFonts w:ascii="Calibri" w:hAnsi="Calibri"/>
          <w:color w:val="0F4C81"/>
          <w:sz w:val="20"/>
        </w:rPr>
        <w:t xml:space="preserve">◦ </w:t>
      </w:r>
      <w:r>
        <w:rPr>
          <w:rFonts w:ascii="Calibri" w:hAnsi="Calibri"/>
          <w:b w:val="0"/>
          <w:color w:val="24292E"/>
          <w:sz w:val="19"/>
        </w:rPr>
        <w:t xml:space="preserve">Tick-by-tick trade classification (Lee &amp; Ready, 1991), order flow delta aggregation, and volume profile value areas, related to coursework in </w:t>
      </w:r>
      <w:r>
        <w:rPr>
          <w:rFonts w:ascii="Calibri" w:hAnsi="Calibri"/>
          <w:b/>
          <w:color w:val="24292E"/>
          <w:sz w:val="19"/>
        </w:rPr>
        <w:t>Financial Markets &amp; Instruments</w:t>
      </w:r>
      <w:r>
        <w:rPr>
          <w:rFonts w:ascii="Calibri" w:hAnsi="Calibri"/>
          <w:b w:val="0"/>
          <w:color w:val="24292E"/>
          <w:sz w:val="19"/>
        </w:rPr>
        <w:t>.</w:t>
      </w:r>
    </w:p>
    <w:p>
      <w:pPr>
        <w:spacing w:before="20" w:after="40"/>
        <w:ind w:left="576"/>
      </w:pPr>
      <w:r>
        <w:rPr>
          <w:rFonts w:ascii="Calibri" w:hAnsi="Calibri"/>
          <w:color w:val="0F4C81"/>
          <w:sz w:val="20"/>
        </w:rPr>
        <w:t xml:space="preserve">◦ </w:t>
      </w:r>
      <w:r>
        <w:rPr>
          <w:rFonts w:ascii="Calibri" w:hAnsi="Calibri"/>
          <w:b w:val="0"/>
          <w:color w:val="24292E"/>
          <w:sz w:val="19"/>
        </w:rPr>
        <w:t xml:space="preserve">Parametric and historical Value-at-Risk (VaR), Conditional VaR (Expected Shortfall), and Sortino downside deviation, related to coursework in </w:t>
      </w:r>
      <w:r>
        <w:rPr>
          <w:rFonts w:ascii="Calibri" w:hAnsi="Calibri"/>
          <w:b/>
          <w:color w:val="24292E"/>
          <w:sz w:val="19"/>
        </w:rPr>
        <w:t>Portfolio Management</w:t>
      </w:r>
      <w:r>
        <w:rPr>
          <w:rFonts w:ascii="Calibri" w:hAnsi="Calibri"/>
          <w:b w:val="0"/>
          <w:color w:val="24292E"/>
          <w:sz w:val="19"/>
        </w:rPr>
        <w:t>.</w:t>
      </w:r>
    </w:p>
    <w:p>
      <w:pPr>
        <w:spacing w:before="20" w:after="40"/>
        <w:ind w:left="576"/>
      </w:pPr>
      <w:r>
        <w:rPr>
          <w:rFonts w:ascii="Calibri" w:hAnsi="Calibri"/>
          <w:color w:val="0F4C81"/>
          <w:sz w:val="20"/>
        </w:rPr>
        <w:t xml:space="preserve">◦ </w:t>
      </w:r>
      <w:r>
        <w:rPr>
          <w:rFonts w:ascii="Calibri" w:hAnsi="Calibri"/>
          <w:b w:val="0"/>
          <w:color w:val="24292E"/>
          <w:sz w:val="19"/>
        </w:rPr>
        <w:t xml:space="preserve">Moving block bootstrap resampling and Deflated Sharpe Ratio sensitivity grids (Bailey &amp; López de Prado, 2014), related to coursework in </w:t>
      </w:r>
      <w:r>
        <w:rPr>
          <w:rFonts w:ascii="Calibri" w:hAnsi="Calibri"/>
          <w:b/>
          <w:color w:val="24292E"/>
          <w:sz w:val="19"/>
        </w:rPr>
        <w:t>Statistical Machine Learning</w:t>
      </w:r>
      <w:r>
        <w:rPr>
          <w:rFonts w:ascii="Calibri" w:hAnsi="Calibri"/>
          <w:b w:val="0"/>
          <w:color w:val="24292E"/>
          <w:sz w:val="19"/>
        </w:rPr>
        <w:t xml:space="preserve"> and </w:t>
      </w:r>
      <w:r>
        <w:rPr>
          <w:rFonts w:ascii="Calibri" w:hAnsi="Calibri"/>
          <w:b/>
          <w:color w:val="24292E"/>
          <w:sz w:val="19"/>
        </w:rPr>
        <w:t>Optimization &amp; Modeling</w:t>
      </w:r>
      <w:r>
        <w:rPr>
          <w:rFonts w:ascii="Calibri" w:hAnsi="Calibri"/>
          <w:b w:val="0"/>
          <w:color w:val="24292E"/>
          <w:sz w:val="19"/>
        </w:rPr>
        <w:t>.</w:t>
      </w:r>
    </w:p>
    <w:p>
      <w:pPr>
        <w:spacing w:before="120" w:after="120"/>
        <w:pBdr>
          <w:bottom w:val="single" w:sz="4" w:space="1" w:color="e5e7eb"/>
        </w:pBdr>
      </w:pPr>
    </w:p>
    <w:p>
      <w:pPr>
        <w:keepNext/>
        <w:spacing w:before="200" w:after="60"/>
      </w:pPr>
      <w:r>
        <w:rPr>
          <w:rFonts w:ascii="Calibri" w:hAnsi="Calibri"/>
          <w:b/>
          <w:color w:val="0F4C81"/>
          <w:sz w:val="23"/>
        </w:rPr>
        <w:t>5. Limitations &amp; Threats to Validity</w:t>
      </w:r>
    </w:p>
    <w:p>
      <w:pPr>
        <w:spacing w:before="40" w:after="80" w:line="276" w:lineRule="auto"/>
      </w:pPr>
      <w:r>
        <w:rPr>
          <w:rFonts w:ascii="Calibri" w:hAnsi="Calibri"/>
          <w:b w:val="0"/>
          <w:color w:val="24292E"/>
          <w:sz w:val="19"/>
        </w:rPr>
        <w:t>The following methodological limitations are explicitly acknowledged:</w:t>
      </w:r>
    </w:p>
    <w:p>
      <w:pPr>
        <w:spacing w:before="20" w:after="40"/>
        <w:ind w:left="288"/>
      </w:pPr>
      <w:r>
        <w:rPr>
          <w:rFonts w:ascii="Calibri" w:hAnsi="Calibri"/>
          <w:b/>
          <w:color w:val="0F4C81"/>
          <w:sz w:val="20"/>
        </w:rPr>
        <w:t xml:space="preserve">1. </w:t>
      </w:r>
      <w:r>
        <w:rPr>
          <w:rFonts w:ascii="Calibri" w:hAnsi="Calibri"/>
          <w:b/>
          <w:color w:val="24292E"/>
          <w:sz w:val="19"/>
        </w:rPr>
        <w:t>Development Sample Status:</w:t>
      </w:r>
      <w:r>
        <w:rPr>
          <w:rFonts w:ascii="Calibri" w:hAnsi="Calibri"/>
          <w:b w:val="0"/>
          <w:color w:val="24292E"/>
          <w:sz w:val="19"/>
        </w:rPr>
        <w:t xml:space="preserve"> The 4-quarter evaluation period (October 2025 to August 2026) served as the development dataset. Parameters were observed and refined on these market data.</w:t>
      </w:r>
    </w:p>
    <w:p>
      <w:pPr>
        <w:spacing w:before="20" w:after="40"/>
        <w:ind w:left="288"/>
      </w:pPr>
      <w:r>
        <w:rPr>
          <w:rFonts w:ascii="Calibri" w:hAnsi="Calibri"/>
          <w:b/>
          <w:color w:val="0F4C81"/>
          <w:sz w:val="20"/>
        </w:rPr>
        <w:t xml:space="preserve">2. </w:t>
      </w:r>
      <w:r>
        <w:rPr>
          <w:rFonts w:ascii="Calibri" w:hAnsi="Calibri"/>
          <w:b/>
          <w:color w:val="24292E"/>
          <w:sz w:val="19"/>
        </w:rPr>
        <w:t>Small Sample Size (N = 54 Setups):</w:t>
      </w:r>
      <w:r>
        <w:rPr>
          <w:rFonts w:ascii="Calibri" w:hAnsi="Calibri"/>
          <w:b w:val="0"/>
          <w:color w:val="24292E"/>
          <w:sz w:val="19"/>
        </w:rPr>
        <w:t xml:space="preserve"> With 54 paired setups across 10 months, statistical estimators exhibit wide sampling dispersion. The 95% bootstrap confidence interval for win rate spans 22.2 percentage points ([66.7%, 88.9%]), and the block-bootstrap Sharpe lower bound reaches 0.95.</w:t>
      </w:r>
    </w:p>
    <w:p>
      <w:pPr>
        <w:spacing w:before="20" w:after="40"/>
        <w:ind w:left="288"/>
      </w:pPr>
      <w:r>
        <w:rPr>
          <w:rFonts w:ascii="Calibri" w:hAnsi="Calibri"/>
          <w:b/>
          <w:color w:val="0F4C81"/>
          <w:sz w:val="20"/>
        </w:rPr>
        <w:t xml:space="preserve">3. </w:t>
      </w:r>
      <w:r>
        <w:rPr>
          <w:rFonts w:ascii="Calibri" w:hAnsi="Calibri"/>
          <w:b/>
          <w:color w:val="24292E"/>
          <w:sz w:val="19"/>
        </w:rPr>
        <w:t>Single Macroeconomic Period:</w:t>
      </w:r>
      <w:r>
        <w:rPr>
          <w:rFonts w:ascii="Calibri" w:hAnsi="Calibri"/>
          <w:b w:val="0"/>
          <w:color w:val="24292E"/>
          <w:sz w:val="19"/>
        </w:rPr>
        <w:t xml:space="preserve"> The dataset reflects a single 10-month regime in equity index futures. Behavior during different macroeconomic or lower-volatility environments is unobserved.</w:t>
      </w:r>
    </w:p>
    <w:p>
      <w:pPr>
        <w:spacing w:before="20" w:after="40"/>
        <w:ind w:left="288"/>
      </w:pPr>
      <w:r>
        <w:rPr>
          <w:rFonts w:ascii="Calibri" w:hAnsi="Calibri"/>
          <w:b/>
          <w:color w:val="0F4C81"/>
          <w:sz w:val="20"/>
        </w:rPr>
        <w:t xml:space="preserve">4. </w:t>
      </w:r>
      <w:r>
        <w:rPr>
          <w:rFonts w:ascii="Calibri" w:hAnsi="Calibri"/>
          <w:b/>
          <w:color w:val="24292E"/>
          <w:sz w:val="19"/>
        </w:rPr>
        <w:t>Cross-Instrument Exploration:</w:t>
      </w:r>
      <w:r>
        <w:rPr>
          <w:rFonts w:ascii="Calibri" w:hAnsi="Calibri"/>
          <w:b w:val="0"/>
          <w:color w:val="24292E"/>
          <w:sz w:val="19"/>
        </w:rPr>
        <w:t xml:space="preserve"> Core logic was explored on S&amp;P 500 futures (</w:t>
      </w:r>
      <w:r>
        <w:rPr>
          <w:rFonts w:ascii="Consolas" w:hAnsi="Consolas"/>
          <w:b w:val="0"/>
          <w:color w:val="333333"/>
          <w:sz w:val="17"/>
        </w:rPr>
        <w:t>ES</w:t>
      </w:r>
      <w:r>
        <w:rPr>
          <w:rFonts w:ascii="Calibri" w:hAnsi="Calibri"/>
          <w:b w:val="0"/>
          <w:color w:val="24292E"/>
          <w:sz w:val="19"/>
        </w:rPr>
        <w:t xml:space="preserve">) over the same calendar year before adapting thresholds to </w:t>
      </w:r>
      <w:r>
        <w:rPr>
          <w:rFonts w:ascii="Consolas" w:hAnsi="Consolas"/>
          <w:b w:val="0"/>
          <w:color w:val="333333"/>
          <w:sz w:val="17"/>
        </w:rPr>
        <w:t>NQ</w:t>
      </w:r>
      <w:r>
        <w:rPr>
          <w:rFonts w:ascii="Calibri" w:hAnsi="Calibri"/>
          <w:b w:val="0"/>
          <w:color w:val="24292E"/>
          <w:sz w:val="19"/>
        </w:rPr>
        <w:t>, introducing cross-asset data snooping.</w:t>
      </w:r>
    </w:p>
    <w:p>
      <w:pPr>
        <w:spacing w:before="20" w:after="40"/>
        <w:ind w:left="288"/>
      </w:pPr>
      <w:r>
        <w:rPr>
          <w:rFonts w:ascii="Calibri" w:hAnsi="Calibri"/>
          <w:b/>
          <w:color w:val="0F4C81"/>
          <w:sz w:val="20"/>
        </w:rPr>
        <w:t xml:space="preserve">5. </w:t>
      </w:r>
      <w:r>
        <w:rPr>
          <w:rFonts w:ascii="Calibri" w:hAnsi="Calibri"/>
          <w:b/>
          <w:color w:val="24292E"/>
          <w:sz w:val="19"/>
        </w:rPr>
        <w:t>Prior Inspection of Intermediate Results:</w:t>
      </w:r>
      <w:r>
        <w:rPr>
          <w:rFonts w:ascii="Calibri" w:hAnsi="Calibri"/>
          <w:b w:val="0"/>
          <w:color w:val="24292E"/>
          <w:sz w:val="19"/>
        </w:rPr>
        <w:t xml:space="preserve"> Intermediate performance reports on early quarters were inspected prior to locking parameters in </w:t>
      </w:r>
      <w:r>
        <w:rPr>
          <w:rFonts w:ascii="Consolas" w:hAnsi="Consolas"/>
          <w:b w:val="0"/>
          <w:color w:val="333333"/>
          <w:sz w:val="17"/>
        </w:rPr>
        <w:t>FlowX_Institutional_NQ_v1.cs</w:t>
      </w:r>
      <w:r>
        <w:rPr>
          <w:rFonts w:ascii="Calibri" w:hAnsi="Calibri"/>
          <w:b w:val="0"/>
          <w:color w:val="24292E"/>
          <w:sz w:val="19"/>
        </w:rPr>
        <w:t>.</w:t>
      </w:r>
    </w:p>
    <w:p>
      <w:pPr>
        <w:spacing w:before="20" w:after="40"/>
        <w:ind w:left="288"/>
      </w:pPr>
      <w:r>
        <w:rPr>
          <w:rFonts w:ascii="Calibri" w:hAnsi="Calibri"/>
          <w:b/>
          <w:color w:val="0F4C81"/>
          <w:sz w:val="20"/>
        </w:rPr>
        <w:t xml:space="preserve">6. </w:t>
      </w:r>
      <w:r>
        <w:rPr>
          <w:rFonts w:ascii="Calibri" w:hAnsi="Calibri"/>
          <w:b/>
          <w:color w:val="24292E"/>
          <w:sz w:val="19"/>
        </w:rPr>
        <w:t>Multiple Testing Bias (N ≥ 612):</w:t>
      </w:r>
      <w:r>
        <w:rPr>
          <w:rFonts w:ascii="Calibri" w:hAnsi="Calibri"/>
          <w:b w:val="0"/>
          <w:color w:val="24292E"/>
          <w:sz w:val="19"/>
        </w:rPr>
        <w:t xml:space="preserve"> Across the exploratory research cycle, at least 612 trials (lower bound N ≥ 612; informal iterations not counted; 537 ES + 74 NQ exploratory + 1 pre-registered NQ-v1 variant) were evaluated across parameter and rule combinations. Without independent out-of-sample testing, nominal performance metrics reflect selection bias.</w:t>
      </w:r>
    </w:p>
    <w:p>
      <w:pPr>
        <w:spacing w:before="20" w:after="40"/>
        <w:ind w:left="288"/>
      </w:pPr>
      <w:r>
        <w:rPr>
          <w:rFonts w:ascii="Calibri" w:hAnsi="Calibri"/>
          <w:b/>
          <w:color w:val="0F4C81"/>
          <w:sz w:val="20"/>
        </w:rPr>
        <w:t xml:space="preserve">7. </w:t>
      </w:r>
      <w:r>
        <w:rPr>
          <w:rFonts w:ascii="Calibri" w:hAnsi="Calibri"/>
          <w:b/>
          <w:color w:val="24292E"/>
          <w:sz w:val="19"/>
        </w:rPr>
        <w:t>Absence of Continuous Benchmark:</w:t>
      </w:r>
      <w:r>
        <w:rPr>
          <w:rFonts w:ascii="Calibri" w:hAnsi="Calibri"/>
          <w:b w:val="0"/>
          <w:color w:val="24292E"/>
          <w:sz w:val="19"/>
        </w:rPr>
        <w:t xml:space="preserve"> The dataset lacked a continuous rollover-adjusted index series, precluding relative alpha comparison against a passive buy-and-hold benchmark.</w:t>
      </w:r>
    </w:p>
    <w:p>
      <w:pPr>
        <w:spacing w:before="20" w:after="40"/>
        <w:ind w:left="288"/>
      </w:pPr>
      <w:r>
        <w:rPr>
          <w:rFonts w:ascii="Calibri" w:hAnsi="Calibri"/>
          <w:b/>
          <w:color w:val="0F4C81"/>
          <w:sz w:val="20"/>
        </w:rPr>
        <w:t xml:space="preserve">8. </w:t>
      </w:r>
      <w:r>
        <w:rPr>
          <w:rFonts w:ascii="Calibri" w:hAnsi="Calibri"/>
          <w:b/>
          <w:color w:val="24292E"/>
          <w:sz w:val="19"/>
        </w:rPr>
        <w:t>Execution Assumptions:</w:t>
      </w:r>
      <w:r>
        <w:rPr>
          <w:rFonts w:ascii="Calibri" w:hAnsi="Calibri"/>
          <w:b w:val="0"/>
          <w:color w:val="24292E"/>
          <w:sz w:val="19"/>
        </w:rPr>
        <w:t xml:space="preserve"> Limit orders were assumed to fill at the exact target price without queue position modeling, and stop-loss slippage was modeled as a constant 1 tick. Live execution during fast market conditions may produce higher slippage.</w:t>
      </w:r>
    </w:p>
    <w:p>
      <w:pPr>
        <w:spacing w:before="20" w:after="40"/>
        <w:ind w:left="288"/>
      </w:pPr>
      <w:r>
        <w:rPr>
          <w:rFonts w:ascii="Calibri" w:hAnsi="Calibri"/>
          <w:b/>
          <w:color w:val="0F4C81"/>
          <w:sz w:val="20"/>
        </w:rPr>
        <w:t xml:space="preserve">9. </w:t>
      </w:r>
      <w:r>
        <w:rPr>
          <w:rFonts w:ascii="Calibri" w:hAnsi="Calibri"/>
          <w:b/>
          <w:color w:val="24292E"/>
          <w:sz w:val="19"/>
        </w:rPr>
        <w:t>Trade Classification via Tick Test Without NBBO Quotes:</w:t>
      </w:r>
      <w:r>
        <w:rPr>
          <w:rFonts w:ascii="Calibri" w:hAnsi="Calibri"/>
          <w:b w:val="0"/>
          <w:color w:val="24292E"/>
          <w:sz w:val="19"/>
        </w:rPr>
        <w:t xml:space="preserve"> Trade delta is classified via the tick test (tick rule) subset of the Lee &amp; Ready (1991) microstructure framework without continuous National Best Bid and Offer (NBBO) quotes. In fast-moving market regimes, trades may be misclassified, potentially introducing bias into cumulative volume delta and absorption signals. Development data rely on the native NinjaTrader 8 tick stream; alternative data providers (e.g., Databento MDP 3.0 direct order book events) may classify trades differently, representing a key cross-feed verification test specified in the out-of-sample validation protocol.</w:t>
      </w:r>
    </w:p>
    <w:p>
      <w:pPr>
        <w:spacing w:before="120" w:after="120"/>
        <w:pBdr>
          <w:bottom w:val="single" w:sz="4" w:space="1" w:color="e5e7eb"/>
        </w:pBdr>
      </w:pPr>
    </w:p>
    <w:p>
      <w:pPr>
        <w:keepNext/>
        <w:spacing w:before="200" w:after="60"/>
      </w:pPr>
      <w:r>
        <w:rPr>
          <w:rFonts w:ascii="Calibri" w:hAnsi="Calibri"/>
          <w:b/>
          <w:color w:val="0F4C81"/>
          <w:sz w:val="23"/>
        </w:rPr>
        <w:t>6. Out-of-Sample Validation Protocol (Frozen Before Data Examination)</w:t>
      </w:r>
    </w:p>
    <w:p>
      <w:pPr>
        <w:spacing w:before="40" w:after="80" w:line="276" w:lineRule="auto"/>
      </w:pPr>
      <w:r>
        <w:rPr>
          <w:rFonts w:ascii="Calibri" w:hAnsi="Calibri"/>
          <w:b w:val="0"/>
          <w:color w:val="24292E"/>
          <w:sz w:val="19"/>
        </w:rPr>
        <w:t xml:space="preserve">To test the strategy on unexamined data, a validation protocol was frozen before data examination based on the evaluation suite </w:t>
      </w:r>
      <w:r>
        <w:rPr>
          <w:rFonts w:ascii="Consolas" w:hAnsi="Consolas"/>
          <w:b w:val="0"/>
          <w:color w:val="333333"/>
          <w:sz w:val="17"/>
        </w:rPr>
        <w:t>validation/eval_combine_50k_suite.py</w:t>
      </w:r>
      <w:r>
        <w:rPr>
          <w:rFonts w:ascii="Calibri" w:hAnsi="Calibri"/>
          <w:b w:val="0"/>
          <w:color w:val="24292E"/>
          <w:sz w:val="19"/>
        </w:rPr>
        <w:t xml:space="preserve"> (hash </w:t>
      </w:r>
      <w:r>
        <w:rPr>
          <w:rFonts w:ascii="Consolas" w:hAnsi="Consolas"/>
          <w:b w:val="0"/>
          <w:color w:val="333333"/>
          <w:sz w:val="17"/>
        </w:rPr>
        <w:t>fa24f532b9dd6a939f3443037e51af6efd5d78599fe0c10be6a30e8c63a865dc</w:t>
      </w:r>
      <w:r>
        <w:rPr>
          <w:rFonts w:ascii="Calibri" w:hAnsi="Calibri"/>
          <w:b w:val="0"/>
          <w:color w:val="24292E"/>
          <w:sz w:val="19"/>
        </w:rPr>
        <w:t xml:space="preserve">) and frozen strategy hash </w:t>
      </w:r>
      <w:r>
        <w:rPr>
          <w:rFonts w:ascii="Consolas" w:hAnsi="Consolas"/>
          <w:b w:val="0"/>
          <w:color w:val="333333"/>
          <w:sz w:val="17"/>
        </w:rPr>
        <w:t>9f3664c3651899aad6bba8d565af4a57301b71e279ee2cc280f37deaf6164489</w:t>
      </w:r>
      <w:r>
        <w:rPr>
          <w:rFonts w:ascii="Calibri" w:hAnsi="Calibri"/>
          <w:b w:val="0"/>
          <w:color w:val="24292E"/>
          <w:sz w:val="19"/>
        </w:rPr>
        <w:t xml:space="preserve"> (recorded in the research trial registry). No trial in the registry used data before 2025-10-28 (recorded in the research trial registry and contamination ledger).</w:t>
      </w:r>
    </w:p>
    <w:p>
      <w:pPr>
        <w:spacing w:before="20" w:after="40"/>
        <w:ind w:left="288"/>
      </w:pPr>
      <w:r>
        <w:rPr>
          <w:rFonts w:ascii="Calibri" w:hAnsi="Calibri"/>
          <w:color w:val="0F4C81"/>
          <w:sz w:val="20"/>
        </w:rPr>
        <w:t xml:space="preserve">• </w:t>
      </w:r>
      <w:r>
        <w:rPr>
          <w:rFonts w:ascii="Calibri" w:hAnsi="Calibri"/>
          <w:b/>
          <w:color w:val="24292E"/>
          <w:sz w:val="19"/>
        </w:rPr>
        <w:t>Frozen Code Hash (SHA-256):</w:t>
      </w:r>
      <w:r>
        <w:rPr>
          <w:rFonts w:ascii="Calibri" w:hAnsi="Calibri"/>
          <w:b w:val="0"/>
          <w:color w:val="24292E"/>
          <w:sz w:val="19"/>
        </w:rPr>
        <w:t xml:space="preserve"> </w:t>
      </w:r>
      <w:r>
        <w:rPr>
          <w:rFonts w:ascii="Consolas" w:hAnsi="Consolas"/>
          <w:b w:val="0"/>
          <w:color w:val="333333"/>
          <w:sz w:val="17"/>
        </w:rPr>
        <w:t>9f3664c3651899aad6bba8d565af4a57301b71e279ee2cc280f37deaf6164489</w:t>
      </w:r>
      <w:r>
        <w:rPr>
          <w:rFonts w:ascii="Calibri" w:hAnsi="Calibri"/>
          <w:b w:val="0"/>
          <w:color w:val="24292E"/>
          <w:sz w:val="19"/>
        </w:rPr>
        <w:t xml:space="preserve"> (</w:t>
      </w:r>
      <w:r>
        <w:rPr>
          <w:rFonts w:ascii="Consolas" w:hAnsi="Consolas"/>
          <w:b w:val="0"/>
          <w:color w:val="333333"/>
          <w:sz w:val="17"/>
        </w:rPr>
        <w:t>FlowX_Institutional_NQ_v1.cs</w:t>
      </w:r>
      <w:r>
        <w:rPr>
          <w:rFonts w:ascii="Calibri" w:hAnsi="Calibri"/>
          <w:b w:val="0"/>
          <w:color w:val="24292E"/>
          <w:sz w:val="19"/>
        </w:rPr>
        <w:t>).</w:t>
      </w:r>
    </w:p>
    <w:p>
      <w:pPr>
        <w:spacing w:before="20" w:after="40"/>
        <w:ind w:left="288"/>
      </w:pPr>
      <w:r>
        <w:rPr>
          <w:rFonts w:ascii="Calibri" w:hAnsi="Calibri"/>
          <w:color w:val="0F4C81"/>
          <w:sz w:val="20"/>
        </w:rPr>
        <w:t xml:space="preserve">• </w:t>
      </w:r>
      <w:r>
        <w:rPr>
          <w:rFonts w:ascii="Calibri" w:hAnsi="Calibri"/>
          <w:b/>
          <w:color w:val="24292E"/>
          <w:sz w:val="19"/>
        </w:rPr>
        <w:t>Frozen Evaluation Suite (SHA-256):</w:t>
      </w:r>
      <w:r>
        <w:rPr>
          <w:rFonts w:ascii="Calibri" w:hAnsi="Calibri"/>
          <w:b w:val="0"/>
          <w:color w:val="24292E"/>
          <w:sz w:val="19"/>
        </w:rPr>
        <w:t xml:space="preserve"> </w:t>
      </w:r>
      <w:r>
        <w:rPr>
          <w:rFonts w:ascii="Consolas" w:hAnsi="Consolas"/>
          <w:b w:val="0"/>
          <w:color w:val="333333"/>
          <w:sz w:val="17"/>
        </w:rPr>
        <w:t>fa24f532b9dd6a939f3443037e51af6efd5d78599fe0c10be6a30e8c63a865dc</w:t>
      </w:r>
      <w:r>
        <w:rPr>
          <w:rFonts w:ascii="Calibri" w:hAnsi="Calibri"/>
          <w:b w:val="0"/>
          <w:color w:val="24292E"/>
          <w:sz w:val="19"/>
        </w:rPr>
        <w:t xml:space="preserve"> (</w:t>
      </w:r>
      <w:r>
        <w:rPr>
          <w:rFonts w:ascii="Consolas" w:hAnsi="Consolas"/>
          <w:b w:val="0"/>
          <w:color w:val="333333"/>
          <w:sz w:val="17"/>
        </w:rPr>
        <w:t>validation/eval_combine_50k_suite.py</w:t>
      </w:r>
      <w:r>
        <w:rPr>
          <w:rFonts w:ascii="Calibri" w:hAnsi="Calibri"/>
          <w:b w:val="0"/>
          <w:color w:val="24292E"/>
          <w:sz w:val="19"/>
        </w:rPr>
        <w:t>).</w:t>
      </w:r>
    </w:p>
    <w:p>
      <w:pPr>
        <w:spacing w:before="20" w:after="40"/>
        <w:ind w:left="288"/>
      </w:pPr>
      <w:r>
        <w:rPr>
          <w:rFonts w:ascii="Calibri" w:hAnsi="Calibri"/>
          <w:color w:val="0F4C81"/>
          <w:sz w:val="20"/>
        </w:rPr>
        <w:t xml:space="preserve">• </w:t>
      </w:r>
      <w:r>
        <w:rPr>
          <w:rFonts w:ascii="Calibri" w:hAnsi="Calibri"/>
          <w:b/>
          <w:color w:val="24292E"/>
          <w:sz w:val="19"/>
        </w:rPr>
        <w:t>Protocol:</w:t>
      </w:r>
      <w:r>
        <w:rPr>
          <w:rFonts w:ascii="Calibri" w:hAnsi="Calibri"/>
          <w:b w:val="0"/>
          <w:color w:val="24292E"/>
          <w:sz w:val="19"/>
        </w:rPr>
        <w:t xml:space="preserve"> A single execution run per historical quarter using frozen parameters.</w:t>
      </w:r>
    </w:p>
    <w:p>
      <w:pPr>
        <w:spacing w:before="20" w:after="40"/>
        <w:ind w:left="288"/>
      </w:pPr>
      <w:r>
        <w:rPr>
          <w:rFonts w:ascii="Calibri" w:hAnsi="Calibri"/>
          <w:color w:val="0F4C81"/>
          <w:sz w:val="20"/>
        </w:rPr>
        <w:t xml:space="preserve">• </w:t>
      </w:r>
      <w:r>
        <w:rPr>
          <w:rFonts w:ascii="Calibri" w:hAnsi="Calibri"/>
          <w:b/>
          <w:color w:val="24292E"/>
          <w:sz w:val="19"/>
        </w:rPr>
        <w:t>Evaluation Gates:</w:t>
      </w:r>
    </w:p>
    <w:p>
      <w:pPr>
        <w:spacing w:before="20" w:after="40"/>
        <w:ind w:left="288"/>
      </w:pPr>
      <w:r>
        <w:rPr>
          <w:rFonts w:ascii="Calibri" w:hAnsi="Calibri"/>
          <w:b/>
          <w:color w:val="0F4C81"/>
          <w:sz w:val="20"/>
        </w:rPr>
        <w:t xml:space="preserve">1. </w:t>
      </w:r>
      <w:r>
        <w:rPr>
          <w:rFonts w:ascii="Calibri" w:hAnsi="Calibri"/>
          <w:b w:val="0"/>
          <w:i/>
          <w:color w:val="24292E"/>
          <w:sz w:val="19"/>
        </w:rPr>
        <w:t>Gate 1 (Account Pass Rate):</w:t>
      </w:r>
      <w:r>
        <w:rPr>
          <w:rFonts w:ascii="Calibri" w:hAnsi="Calibri"/>
          <w:b w:val="0"/>
          <w:color w:val="24292E"/>
          <w:sz w:val="19"/>
        </w:rPr>
        <w:t xml:space="preserve"> Simulated account pass rate ≥ 50%.</w:t>
      </w:r>
    </w:p>
    <w:p>
      <w:pPr>
        <w:spacing w:before="20" w:after="40"/>
        <w:ind w:left="288"/>
      </w:pPr>
      <w:r>
        <w:rPr>
          <w:rFonts w:ascii="Calibri" w:hAnsi="Calibri"/>
          <w:b/>
          <w:color w:val="0F4C81"/>
          <w:sz w:val="20"/>
        </w:rPr>
        <w:t xml:space="preserve">2. </w:t>
      </w:r>
      <w:r>
        <w:rPr>
          <w:rFonts w:ascii="Calibri" w:hAnsi="Calibri"/>
          <w:b w:val="0"/>
          <w:i/>
          <w:color w:val="24292E"/>
          <w:sz w:val="19"/>
        </w:rPr>
        <w:t>Gate 2 (Null Permutation):</w:t>
      </w:r>
      <w:r>
        <w:rPr>
          <w:rFonts w:ascii="Calibri" w:hAnsi="Calibri"/>
          <w:b w:val="0"/>
          <w:color w:val="24292E"/>
          <w:sz w:val="19"/>
        </w:rPr>
        <w:t xml:space="preserve"> Monte Carlo permutation test with p &lt; 0.05 against null trade distribution.</w:t>
      </w:r>
    </w:p>
    <w:p>
      <w:pPr>
        <w:spacing w:before="20" w:after="40"/>
        <w:ind w:left="288"/>
      </w:pPr>
      <w:r>
        <w:rPr>
          <w:rFonts w:ascii="Calibri" w:hAnsi="Calibri"/>
          <w:b/>
          <w:color w:val="0F4C81"/>
          <w:sz w:val="20"/>
        </w:rPr>
        <w:t xml:space="preserve">3. </w:t>
      </w:r>
      <w:r>
        <w:rPr>
          <w:rFonts w:ascii="Calibri" w:hAnsi="Calibri"/>
          <w:b w:val="0"/>
          <w:i/>
          <w:color w:val="24292E"/>
          <w:sz w:val="19"/>
        </w:rPr>
        <w:t>Gate 3 (Friction Stress):</w:t>
      </w:r>
      <w:r>
        <w:rPr>
          <w:rFonts w:ascii="Calibri" w:hAnsi="Calibri"/>
          <w:b w:val="0"/>
          <w:color w:val="24292E"/>
          <w:sz w:val="19"/>
        </w:rPr>
        <w:t xml:space="preserve"> Positive net expectancy under 1.5× base commission and slippage penalties.</w:t>
      </w:r>
    </w:p>
    <w:p>
      <w:pPr>
        <w:spacing w:before="20" w:after="40"/>
        <w:ind w:left="288"/>
      </w:pPr>
      <w:r>
        <w:rPr>
          <w:rFonts w:ascii="Calibri" w:hAnsi="Calibri"/>
          <w:b/>
          <w:color w:val="0F4C81"/>
          <w:sz w:val="20"/>
        </w:rPr>
        <w:t xml:space="preserve">4. </w:t>
      </w:r>
      <w:r>
        <w:rPr>
          <w:rFonts w:ascii="Calibri" w:hAnsi="Calibri"/>
          <w:b w:val="0"/>
          <w:i/>
          <w:color w:val="24292E"/>
          <w:sz w:val="19"/>
        </w:rPr>
        <w:t>Gate 4 (Outlier Resilience):</w:t>
      </w:r>
      <w:r>
        <w:rPr>
          <w:rFonts w:ascii="Calibri" w:hAnsi="Calibri"/>
          <w:b w:val="0"/>
          <w:color w:val="24292E"/>
          <w:sz w:val="19"/>
        </w:rPr>
        <w:t xml:space="preserve"> Positive total net profit after removing the top 3 winning trade setups.</w:t>
      </w:r>
    </w:p>
    <w:p>
      <w:pPr>
        <w:spacing w:before="40" w:after="80" w:line="276" w:lineRule="auto"/>
      </w:pPr>
      <w:r>
        <w:rPr>
          <w:rFonts w:ascii="Calibri" w:hAnsi="Calibri"/>
          <w:b w:val="0"/>
          <w:color w:val="24292E"/>
          <w:sz w:val="19"/>
        </w:rPr>
        <w:t>Gate 1 (simulated account pass rate) depends on evaluation window duration; all gates will be reported separately, and no evaluation criteria will be altered post-examination. All fields in the testing matrix remain strictly pending until out-of-sample data ingestion is completed:</w:t>
      </w:r>
    </w:p>
    <w:tbl>
      <w:tblPr>
        <w:tblW w:type="auto" w:w="0"/>
        <w:jc w:val="center"/>
        <w:tblLook w:firstColumn="1" w:firstRow="1" w:lastColumn="0" w:lastRow="0" w:noHBand="0" w:noVBand="1" w:val="04A0"/>
        <w:tblBorders>
          <w:top w:val="single" w:sz="6" w:space="0" w:color="0f4c81"/>
          <w:bottom w:val="single" w:sz="6" w:space="0" w:color="0f4c81"/>
          <w:insideH w:val="single" w:sz="4" w:space="0" w:color="e5e7eb"/>
          <w:insideV w:val="none"/>
          <w:left w:val="none"/>
          <w:right w:val="none"/>
        </w:tblBorders>
      </w:tblPr>
      <w:tblGrid>
        <w:gridCol w:w="1165"/>
        <w:gridCol w:w="1165"/>
        <w:gridCol w:w="1165"/>
        <w:gridCol w:w="1165"/>
        <w:gridCol w:w="1165"/>
        <w:gridCol w:w="1165"/>
        <w:gridCol w:w="1165"/>
        <w:gridCol w:w="1165"/>
      </w:tblGrid>
      <w:tr>
        <w:tc>
          <w:tcPr>
            <w:tcW w:type="dxa" w:w="1165"/>
            <w:shd w:fill="F3F4F6"/>
            <w:tcMar>
              <w:top w:w="90" w:type="dxa"/>
              <w:bottom w:w="90" w:type="dxa"/>
              <w:left w:w="120" w:type="dxa"/>
              <w:right w:w="120" w:type="dxa"/>
            </w:tcMar>
          </w:tcPr>
          <w:p>
            <w:pPr>
              <w:spacing w:before="0" w:after="0"/>
              <w:jc w:val="center"/>
            </w:pPr>
            <w:r>
              <w:rPr>
                <w:rFonts w:ascii="Calibri" w:hAnsi="Calibri"/>
                <w:b/>
                <w:color w:val="111827"/>
                <w:sz w:val="18"/>
              </w:rPr>
              <w:t>Historical Contract Horizon</w:t>
            </w:r>
          </w:p>
        </w:tc>
        <w:tc>
          <w:tcPr>
            <w:tcW w:type="dxa" w:w="1165"/>
            <w:shd w:fill="F3F4F6"/>
            <w:tcMar>
              <w:top w:w="90" w:type="dxa"/>
              <w:bottom w:w="90" w:type="dxa"/>
              <w:left w:w="120" w:type="dxa"/>
              <w:right w:w="120" w:type="dxa"/>
            </w:tcMar>
          </w:tcPr>
          <w:p>
            <w:pPr>
              <w:spacing w:before="0" w:after="0"/>
              <w:jc w:val="center"/>
            </w:pPr>
            <w:r>
              <w:rPr>
                <w:rFonts w:ascii="Calibri" w:hAnsi="Calibri"/>
                <w:b/>
                <w:color w:val="111827"/>
                <w:sz w:val="18"/>
              </w:rPr>
              <w:t>Sample Window</w:t>
            </w:r>
          </w:p>
        </w:tc>
        <w:tc>
          <w:tcPr>
            <w:tcW w:type="dxa" w:w="1165"/>
            <w:shd w:fill="F3F4F6"/>
            <w:tcMar>
              <w:top w:w="90" w:type="dxa"/>
              <w:bottom w:w="90" w:type="dxa"/>
              <w:left w:w="120" w:type="dxa"/>
              <w:right w:w="120" w:type="dxa"/>
            </w:tcMar>
          </w:tcPr>
          <w:p>
            <w:pPr>
              <w:spacing w:before="0" w:after="0"/>
              <w:jc w:val="center"/>
            </w:pPr>
            <w:r>
              <w:rPr>
                <w:rFonts w:ascii="Calibri" w:hAnsi="Calibri"/>
                <w:b/>
                <w:color w:val="111827"/>
                <w:sz w:val="18"/>
              </w:rPr>
              <w:t>Executed Setups</w:t>
            </w:r>
          </w:p>
        </w:tc>
        <w:tc>
          <w:tcPr>
            <w:tcW w:type="dxa" w:w="1165"/>
            <w:shd w:fill="F3F4F6"/>
            <w:tcMar>
              <w:top w:w="90" w:type="dxa"/>
              <w:bottom w:w="90" w:type="dxa"/>
              <w:left w:w="120" w:type="dxa"/>
              <w:right w:w="120" w:type="dxa"/>
            </w:tcMar>
          </w:tcPr>
          <w:p>
            <w:pPr>
              <w:spacing w:before="0" w:after="0"/>
              <w:jc w:val="center"/>
            </w:pPr>
            <w:r>
              <w:rPr>
                <w:rFonts w:ascii="Calibri" w:hAnsi="Calibri"/>
                <w:b/>
                <w:color w:val="111827"/>
                <w:sz w:val="18"/>
              </w:rPr>
              <w:t>Net Return (% Capital)</w:t>
            </w:r>
          </w:p>
        </w:tc>
        <w:tc>
          <w:tcPr>
            <w:tcW w:type="dxa" w:w="1165"/>
            <w:shd w:fill="F3F4F6"/>
            <w:tcMar>
              <w:top w:w="90" w:type="dxa"/>
              <w:bottom w:w="90" w:type="dxa"/>
              <w:left w:w="120" w:type="dxa"/>
              <w:right w:w="120" w:type="dxa"/>
            </w:tcMar>
          </w:tcPr>
          <w:p>
            <w:pPr>
              <w:spacing w:before="0" w:after="0"/>
              <w:jc w:val="center"/>
            </w:pPr>
            <w:r>
              <w:rPr>
                <w:rFonts w:ascii="Calibri" w:hAnsi="Calibri"/>
                <w:b/>
                <w:color w:val="111827"/>
                <w:sz w:val="18"/>
              </w:rPr>
              <w:t>Profit Factor</w:t>
            </w:r>
          </w:p>
        </w:tc>
        <w:tc>
          <w:tcPr>
            <w:tcW w:type="dxa" w:w="1165"/>
            <w:shd w:fill="F3F4F6"/>
            <w:tcMar>
              <w:top w:w="90" w:type="dxa"/>
              <w:bottom w:w="90" w:type="dxa"/>
              <w:left w:w="120" w:type="dxa"/>
              <w:right w:w="120" w:type="dxa"/>
            </w:tcMar>
          </w:tcPr>
          <w:p>
            <w:pPr>
              <w:spacing w:before="0" w:after="0"/>
              <w:jc w:val="center"/>
            </w:pPr>
            <w:r>
              <w:rPr>
                <w:rFonts w:ascii="Calibri" w:hAnsi="Calibri"/>
                <w:b/>
                <w:color w:val="111827"/>
                <w:sz w:val="18"/>
              </w:rPr>
              <w:t>Annualized Sharpe</w:t>
            </w:r>
          </w:p>
        </w:tc>
        <w:tc>
          <w:tcPr>
            <w:tcW w:type="dxa" w:w="1165"/>
            <w:shd w:fill="F3F4F6"/>
            <w:tcMar>
              <w:top w:w="90" w:type="dxa"/>
              <w:bottom w:w="90" w:type="dxa"/>
              <w:left w:w="120" w:type="dxa"/>
              <w:right w:w="120" w:type="dxa"/>
            </w:tcMar>
          </w:tcPr>
          <w:p>
            <w:pPr>
              <w:spacing w:before="0" w:after="0"/>
              <w:jc w:val="center"/>
            </w:pPr>
            <w:r>
              <w:rPr>
                <w:rFonts w:ascii="Calibri" w:hAnsi="Calibri"/>
                <w:b/>
                <w:color w:val="111827"/>
                <w:sz w:val="18"/>
              </w:rPr>
              <w:t>Max Drawdown (%)</w:t>
            </w:r>
          </w:p>
        </w:tc>
        <w:tc>
          <w:tcPr>
            <w:tcW w:type="dxa" w:w="1165"/>
            <w:shd w:fill="F3F4F6"/>
            <w:tcMar>
              <w:top w:w="90" w:type="dxa"/>
              <w:bottom w:w="90" w:type="dxa"/>
              <w:left w:w="120" w:type="dxa"/>
              <w:right w:w="120" w:type="dxa"/>
            </w:tcMar>
          </w:tcPr>
          <w:p>
            <w:pPr>
              <w:spacing w:before="0" w:after="0"/>
              <w:jc w:val="center"/>
            </w:pPr>
            <w:r>
              <w:rPr>
                <w:rFonts w:ascii="Calibri" w:hAnsi="Calibri"/>
                <w:b/>
                <w:color w:val="111827"/>
                <w:sz w:val="18"/>
              </w:rPr>
              <w:t>Gate Status</w:t>
            </w:r>
          </w:p>
        </w:tc>
      </w:tr>
      <w:tr>
        <w:tc>
          <w:tcPr>
            <w:tcW w:type="dxa" w:w="1165"/>
            <w:tcMar>
              <w:top w:w="70" w:type="dxa"/>
              <w:bottom w:w="70" w:type="dxa"/>
              <w:left w:w="120" w:type="dxa"/>
              <w:right w:w="120" w:type="dxa"/>
            </w:tcMar>
          </w:tcPr>
          <w:p>
            <w:pPr>
              <w:spacing w:before="0" w:after="0"/>
              <w:jc w:val="center"/>
            </w:pPr>
            <w:r>
              <w:rPr>
                <w:rFonts w:ascii="Calibri" w:hAnsi="Calibri"/>
                <w:b/>
                <w:color w:val="24292E"/>
                <w:sz w:val="17"/>
              </w:rPr>
              <w:t>NQ DEC24</w:t>
            </w:r>
          </w:p>
        </w:tc>
        <w:tc>
          <w:tcPr>
            <w:tcW w:type="dxa" w:w="1165"/>
            <w:tcMar>
              <w:top w:w="70" w:type="dxa"/>
              <w:bottom w:w="70" w:type="dxa"/>
              <w:left w:w="120" w:type="dxa"/>
              <w:right w:w="120" w:type="dxa"/>
            </w:tcMar>
          </w:tcPr>
          <w:p>
            <w:pPr>
              <w:spacing w:before="0" w:after="0"/>
              <w:jc w:val="center"/>
            </w:pPr>
            <w:r>
              <w:rPr>
                <w:rFonts w:ascii="Calibri" w:hAnsi="Calibri"/>
                <w:b w:val="0"/>
                <w:color w:val="24292E"/>
                <w:sz w:val="17"/>
              </w:rPr>
              <w:t>2024-09-15 to 2024-12-19</w:t>
            </w:r>
          </w:p>
        </w:tc>
        <w:tc>
          <w:tcPr>
            <w:tcW w:type="dxa" w:w="1165"/>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tcMar>
              <w:top w:w="70" w:type="dxa"/>
              <w:bottom w:w="70" w:type="dxa"/>
              <w:left w:w="120" w:type="dxa"/>
              <w:right w:w="120" w:type="dxa"/>
            </w:tcMar>
          </w:tcPr>
          <w:p>
            <w:pPr>
              <w:spacing w:before="0" w:after="0"/>
              <w:jc w:val="center"/>
            </w:pPr>
            <w:r>
              <w:rPr>
                <w:rFonts w:ascii="Calibri" w:hAnsi="Calibri"/>
                <w:b w:val="0"/>
                <w:i/>
                <w:color w:val="24292E"/>
                <w:sz w:val="17"/>
              </w:rPr>
              <w:t>Pending (OOS)</w:t>
            </w:r>
          </w:p>
        </w:tc>
      </w:tr>
      <w:tr>
        <w:tc>
          <w:tcPr>
            <w:tcW w:type="dxa" w:w="1165"/>
            <w:shd w:fill="F9FAFB"/>
            <w:tcMar>
              <w:top w:w="70" w:type="dxa"/>
              <w:bottom w:w="70" w:type="dxa"/>
              <w:left w:w="120" w:type="dxa"/>
              <w:right w:w="120" w:type="dxa"/>
            </w:tcMar>
          </w:tcPr>
          <w:p>
            <w:pPr>
              <w:spacing w:before="0" w:after="0"/>
              <w:jc w:val="center"/>
            </w:pPr>
            <w:r>
              <w:rPr>
                <w:rFonts w:ascii="Calibri" w:hAnsi="Calibri"/>
                <w:b/>
                <w:color w:val="24292E"/>
                <w:sz w:val="17"/>
              </w:rPr>
              <w:t>NQ MAR25</w:t>
            </w:r>
          </w:p>
        </w:tc>
        <w:tc>
          <w:tcPr>
            <w:tcW w:type="dxa" w:w="1165"/>
            <w:shd w:fill="F9FAFB"/>
            <w:tcMar>
              <w:top w:w="70" w:type="dxa"/>
              <w:bottom w:w="70" w:type="dxa"/>
              <w:left w:w="120" w:type="dxa"/>
              <w:right w:w="120" w:type="dxa"/>
            </w:tcMar>
          </w:tcPr>
          <w:p>
            <w:pPr>
              <w:spacing w:before="0" w:after="0"/>
              <w:jc w:val="center"/>
            </w:pPr>
            <w:r>
              <w:rPr>
                <w:rFonts w:ascii="Calibri" w:hAnsi="Calibri"/>
                <w:b w:val="0"/>
                <w:color w:val="24292E"/>
                <w:sz w:val="17"/>
              </w:rPr>
              <w:t>2024-12-20 to 2025-03-20</w:t>
            </w:r>
          </w:p>
        </w:tc>
        <w:tc>
          <w:tcPr>
            <w:tcW w:type="dxa" w:w="1165"/>
            <w:shd w:fill="F9FAFB"/>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shd w:fill="F9FAFB"/>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shd w:fill="F9FAFB"/>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shd w:fill="F9FAFB"/>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shd w:fill="F9FAFB"/>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shd w:fill="F9FAFB"/>
            <w:tcMar>
              <w:top w:w="70" w:type="dxa"/>
              <w:bottom w:w="70" w:type="dxa"/>
              <w:left w:w="120" w:type="dxa"/>
              <w:right w:w="120" w:type="dxa"/>
            </w:tcMar>
          </w:tcPr>
          <w:p>
            <w:pPr>
              <w:spacing w:before="0" w:after="0"/>
              <w:jc w:val="center"/>
            </w:pPr>
            <w:r>
              <w:rPr>
                <w:rFonts w:ascii="Calibri" w:hAnsi="Calibri"/>
                <w:b w:val="0"/>
                <w:i/>
                <w:color w:val="24292E"/>
                <w:sz w:val="17"/>
              </w:rPr>
              <w:t>Pending (OOS)</w:t>
            </w:r>
          </w:p>
        </w:tc>
      </w:tr>
      <w:tr>
        <w:tc>
          <w:tcPr>
            <w:tcW w:type="dxa" w:w="1165"/>
            <w:tcMar>
              <w:top w:w="70" w:type="dxa"/>
              <w:bottom w:w="70" w:type="dxa"/>
              <w:left w:w="120" w:type="dxa"/>
              <w:right w:w="120" w:type="dxa"/>
            </w:tcMar>
          </w:tcPr>
          <w:p>
            <w:pPr>
              <w:spacing w:before="0" w:after="0"/>
              <w:jc w:val="center"/>
            </w:pPr>
            <w:r>
              <w:rPr>
                <w:rFonts w:ascii="Calibri" w:hAnsi="Calibri"/>
                <w:b/>
                <w:color w:val="24292E"/>
                <w:sz w:val="17"/>
              </w:rPr>
              <w:t>NQ JUN25</w:t>
            </w:r>
          </w:p>
        </w:tc>
        <w:tc>
          <w:tcPr>
            <w:tcW w:type="dxa" w:w="1165"/>
            <w:tcMar>
              <w:top w:w="70" w:type="dxa"/>
              <w:bottom w:w="70" w:type="dxa"/>
              <w:left w:w="120" w:type="dxa"/>
              <w:right w:w="120" w:type="dxa"/>
            </w:tcMar>
          </w:tcPr>
          <w:p>
            <w:pPr>
              <w:spacing w:before="0" w:after="0"/>
              <w:jc w:val="center"/>
            </w:pPr>
            <w:r>
              <w:rPr>
                <w:rFonts w:ascii="Calibri" w:hAnsi="Calibri"/>
                <w:b w:val="0"/>
                <w:color w:val="24292E"/>
                <w:sz w:val="17"/>
              </w:rPr>
              <w:t>2025-03-21 to 2025-06-19</w:t>
            </w:r>
          </w:p>
        </w:tc>
        <w:tc>
          <w:tcPr>
            <w:tcW w:type="dxa" w:w="1165"/>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tcMar>
              <w:top w:w="70" w:type="dxa"/>
              <w:bottom w:w="70" w:type="dxa"/>
              <w:left w:w="120" w:type="dxa"/>
              <w:right w:w="120" w:type="dxa"/>
            </w:tcMar>
          </w:tcPr>
          <w:p>
            <w:pPr>
              <w:spacing w:before="0" w:after="0"/>
              <w:jc w:val="center"/>
            </w:pPr>
            <w:r>
              <w:rPr>
                <w:rFonts w:ascii="Calibri" w:hAnsi="Calibri"/>
                <w:b w:val="0"/>
                <w:i/>
                <w:color w:val="24292E"/>
                <w:sz w:val="17"/>
              </w:rPr>
              <w:t>Pending (OOS)</w:t>
            </w:r>
          </w:p>
        </w:tc>
      </w:tr>
      <w:tr>
        <w:tc>
          <w:tcPr>
            <w:tcW w:type="dxa" w:w="1165"/>
            <w:shd w:fill="F9FAFB"/>
            <w:tcMar>
              <w:top w:w="70" w:type="dxa"/>
              <w:bottom w:w="70" w:type="dxa"/>
              <w:left w:w="120" w:type="dxa"/>
              <w:right w:w="120" w:type="dxa"/>
            </w:tcMar>
          </w:tcPr>
          <w:p>
            <w:pPr>
              <w:spacing w:before="0" w:after="0"/>
              <w:jc w:val="center"/>
            </w:pPr>
            <w:r>
              <w:rPr>
                <w:rFonts w:ascii="Calibri" w:hAnsi="Calibri"/>
                <w:b/>
                <w:color w:val="24292E"/>
                <w:sz w:val="17"/>
              </w:rPr>
              <w:t>NQ SEP25</w:t>
            </w:r>
          </w:p>
        </w:tc>
        <w:tc>
          <w:tcPr>
            <w:tcW w:type="dxa" w:w="1165"/>
            <w:shd w:fill="F9FAFB"/>
            <w:tcMar>
              <w:top w:w="70" w:type="dxa"/>
              <w:bottom w:w="70" w:type="dxa"/>
              <w:left w:w="120" w:type="dxa"/>
              <w:right w:w="120" w:type="dxa"/>
            </w:tcMar>
          </w:tcPr>
          <w:p>
            <w:pPr>
              <w:spacing w:before="0" w:after="0"/>
              <w:jc w:val="center"/>
            </w:pPr>
            <w:r>
              <w:rPr>
                <w:rFonts w:ascii="Calibri" w:hAnsi="Calibri"/>
                <w:b w:val="0"/>
                <w:color w:val="24292E"/>
                <w:sz w:val="17"/>
              </w:rPr>
              <w:t>2025-06-20 to 2025-09-18</w:t>
            </w:r>
          </w:p>
        </w:tc>
        <w:tc>
          <w:tcPr>
            <w:tcW w:type="dxa" w:w="1165"/>
            <w:shd w:fill="F9FAFB"/>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shd w:fill="F9FAFB"/>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shd w:fill="F9FAFB"/>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shd w:fill="F9FAFB"/>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shd w:fill="F9FAFB"/>
            <w:tcMar>
              <w:top w:w="70" w:type="dxa"/>
              <w:bottom w:w="70" w:type="dxa"/>
              <w:left w:w="120" w:type="dxa"/>
              <w:right w:w="120" w:type="dxa"/>
            </w:tcMar>
          </w:tcPr>
          <w:p>
            <w:pPr>
              <w:spacing w:before="0" w:after="0"/>
              <w:jc w:val="center"/>
            </w:pPr>
            <w:r>
              <w:rPr>
                <w:rFonts w:ascii="Calibri" w:hAnsi="Calibri"/>
                <w:b w:val="0"/>
                <w:i/>
                <w:color w:val="24292E"/>
                <w:sz w:val="17"/>
              </w:rPr>
              <w:t>Pending (OOS)</w:t>
            </w:r>
          </w:p>
        </w:tc>
        <w:tc>
          <w:tcPr>
            <w:tcW w:type="dxa" w:w="1165"/>
            <w:shd w:fill="F9FAFB"/>
            <w:tcMar>
              <w:top w:w="70" w:type="dxa"/>
              <w:bottom w:w="70" w:type="dxa"/>
              <w:left w:w="120" w:type="dxa"/>
              <w:right w:w="120" w:type="dxa"/>
            </w:tcMar>
          </w:tcPr>
          <w:p>
            <w:pPr>
              <w:spacing w:before="0" w:after="0"/>
              <w:jc w:val="center"/>
            </w:pPr>
            <w:r>
              <w:rPr>
                <w:rFonts w:ascii="Calibri" w:hAnsi="Calibri"/>
                <w:b w:val="0"/>
                <w:i/>
                <w:color w:val="24292E"/>
                <w:sz w:val="17"/>
              </w:rPr>
              <w:t>Pending (OOS)</w:t>
            </w:r>
          </w:p>
        </w:tc>
      </w:tr>
    </w:tbl>
    <w:p>
      <w:pPr>
        <w:spacing w:before="40" w:after="80"/>
      </w:pPr>
    </w:p>
    <w:p>
      <w:pPr>
        <w:spacing w:before="120" w:after="120"/>
        <w:pBdr>
          <w:bottom w:val="single" w:sz="4" w:space="1" w:color="e5e7eb"/>
        </w:pBdr>
      </w:pPr>
    </w:p>
    <w:p>
      <w:pPr>
        <w:keepNext/>
        <w:spacing w:before="200" w:after="60"/>
      </w:pPr>
      <w:r>
        <w:rPr>
          <w:rFonts w:ascii="Calibri" w:hAnsi="Calibri"/>
          <w:b/>
          <w:color w:val="0F4C81"/>
          <w:sz w:val="23"/>
        </w:rPr>
        <w:t>7. References</w:t>
      </w:r>
    </w:p>
    <w:p>
      <w:pPr>
        <w:spacing w:before="20" w:after="40"/>
        <w:ind w:left="288"/>
      </w:pPr>
      <w:r>
        <w:rPr>
          <w:rFonts w:ascii="Calibri" w:hAnsi="Calibri"/>
          <w:color w:val="0F4C81"/>
          <w:sz w:val="20"/>
        </w:rPr>
        <w:t xml:space="preserve">• </w:t>
      </w:r>
      <w:r>
        <w:rPr>
          <w:rFonts w:ascii="Calibri" w:hAnsi="Calibri"/>
          <w:b w:val="0"/>
          <w:color w:val="24292E"/>
          <w:sz w:val="19"/>
        </w:rPr>
        <w:t xml:space="preserve">Bailey, D. H., &amp; López de Prado, M. (2014). The Deflated Sharpe Ratio: Correcting for selection bias, backtest overfitting, and non-normality. </w:t>
      </w:r>
      <w:r>
        <w:rPr>
          <w:rFonts w:ascii="Calibri" w:hAnsi="Calibri"/>
          <w:b w:val="0"/>
          <w:i/>
          <w:color w:val="24292E"/>
          <w:sz w:val="19"/>
        </w:rPr>
        <w:t>The Journal of Portfolio Management</w:t>
      </w:r>
      <w:r>
        <w:rPr>
          <w:rFonts w:ascii="Calibri" w:hAnsi="Calibri"/>
          <w:b w:val="0"/>
          <w:color w:val="24292E"/>
          <w:sz w:val="19"/>
        </w:rPr>
        <w:t>, 40(5), 94–107.</w:t>
      </w:r>
    </w:p>
    <w:p>
      <w:pPr>
        <w:spacing w:before="20" w:after="40"/>
        <w:ind w:left="288"/>
      </w:pPr>
      <w:r>
        <w:rPr>
          <w:rFonts w:ascii="Calibri" w:hAnsi="Calibri"/>
          <w:color w:val="0F4C81"/>
          <w:sz w:val="20"/>
        </w:rPr>
        <w:t xml:space="preserve">• </w:t>
      </w:r>
      <w:r>
        <w:rPr>
          <w:rFonts w:ascii="Calibri" w:hAnsi="Calibri"/>
          <w:b w:val="0"/>
          <w:color w:val="24292E"/>
          <w:sz w:val="19"/>
        </w:rPr>
        <w:t xml:space="preserve">Harvey, C. R., Liu, Y., &amp; Zhu, H. (2016). … and the cross-section of expected returns. </w:t>
      </w:r>
      <w:r>
        <w:rPr>
          <w:rFonts w:ascii="Calibri" w:hAnsi="Calibri"/>
          <w:b w:val="0"/>
          <w:i/>
          <w:color w:val="24292E"/>
          <w:sz w:val="19"/>
        </w:rPr>
        <w:t>The Review of Financial Studies</w:t>
      </w:r>
      <w:r>
        <w:rPr>
          <w:rFonts w:ascii="Calibri" w:hAnsi="Calibri"/>
          <w:b w:val="0"/>
          <w:color w:val="24292E"/>
          <w:sz w:val="19"/>
        </w:rPr>
        <w:t>, 29(1), 5–68.</w:t>
      </w:r>
    </w:p>
    <w:p>
      <w:pPr>
        <w:spacing w:before="20" w:after="40"/>
        <w:ind w:left="288"/>
      </w:pPr>
      <w:r>
        <w:rPr>
          <w:rFonts w:ascii="Calibri" w:hAnsi="Calibri"/>
          <w:color w:val="0F4C81"/>
          <w:sz w:val="20"/>
        </w:rPr>
        <w:t xml:space="preserve">• </w:t>
      </w:r>
      <w:r>
        <w:rPr>
          <w:rFonts w:ascii="Calibri" w:hAnsi="Calibri"/>
          <w:b w:val="0"/>
          <w:color w:val="24292E"/>
          <w:sz w:val="19"/>
        </w:rPr>
        <w:t xml:space="preserve">Hasbrouck, J. (2007). </w:t>
      </w:r>
      <w:r>
        <w:rPr>
          <w:rFonts w:ascii="Calibri" w:hAnsi="Calibri"/>
          <w:b w:val="0"/>
          <w:i/>
          <w:color w:val="24292E"/>
          <w:sz w:val="19"/>
        </w:rPr>
        <w:t>Empirical Market Microstructure: The Institutions, the Economics, and the Econometrics</w:t>
      </w:r>
      <w:r>
        <w:rPr>
          <w:rFonts w:ascii="Calibri" w:hAnsi="Calibri"/>
          <w:b w:val="0"/>
          <w:color w:val="24292E"/>
          <w:sz w:val="19"/>
        </w:rPr>
        <w:t>. Oxford University Press.</w:t>
      </w:r>
    </w:p>
    <w:p>
      <w:pPr>
        <w:spacing w:before="20" w:after="40"/>
        <w:ind w:left="288"/>
      </w:pPr>
      <w:r>
        <w:rPr>
          <w:rFonts w:ascii="Calibri" w:hAnsi="Calibri"/>
          <w:color w:val="0F4C81"/>
          <w:sz w:val="20"/>
        </w:rPr>
        <w:t xml:space="preserve">• </w:t>
      </w:r>
      <w:r>
        <w:rPr>
          <w:rFonts w:ascii="Calibri" w:hAnsi="Calibri"/>
          <w:b w:val="0"/>
          <w:color w:val="24292E"/>
          <w:sz w:val="19"/>
        </w:rPr>
        <w:t xml:space="preserve">Kyle, A. S. (1985). Continuous auctions and insider trading. </w:t>
      </w:r>
      <w:r>
        <w:rPr>
          <w:rFonts w:ascii="Calibri" w:hAnsi="Calibri"/>
          <w:b w:val="0"/>
          <w:i/>
          <w:color w:val="24292E"/>
          <w:sz w:val="19"/>
        </w:rPr>
        <w:t>Econometrica</w:t>
      </w:r>
      <w:r>
        <w:rPr>
          <w:rFonts w:ascii="Calibri" w:hAnsi="Calibri"/>
          <w:b w:val="0"/>
          <w:color w:val="24292E"/>
          <w:sz w:val="19"/>
        </w:rPr>
        <w:t>, 53(6), 1315–1335.</w:t>
      </w:r>
    </w:p>
    <w:p>
      <w:pPr>
        <w:spacing w:before="20" w:after="40"/>
        <w:ind w:left="288"/>
      </w:pPr>
      <w:r>
        <w:rPr>
          <w:rFonts w:ascii="Calibri" w:hAnsi="Calibri"/>
          <w:color w:val="0F4C81"/>
          <w:sz w:val="20"/>
        </w:rPr>
        <w:t xml:space="preserve">• </w:t>
      </w:r>
      <w:r>
        <w:rPr>
          <w:rFonts w:ascii="Calibri" w:hAnsi="Calibri"/>
          <w:b w:val="0"/>
          <w:color w:val="24292E"/>
          <w:sz w:val="19"/>
        </w:rPr>
        <w:t xml:space="preserve">Lee, C. M., &amp; Ready, M. J. (1991). Inferring trade direction from intraday data. </w:t>
      </w:r>
      <w:r>
        <w:rPr>
          <w:rFonts w:ascii="Calibri" w:hAnsi="Calibri"/>
          <w:b w:val="0"/>
          <w:i/>
          <w:color w:val="24292E"/>
          <w:sz w:val="19"/>
        </w:rPr>
        <w:t>The Journal of Finance</w:t>
      </w:r>
      <w:r>
        <w:rPr>
          <w:rFonts w:ascii="Calibri" w:hAnsi="Calibri"/>
          <w:b w:val="0"/>
          <w:color w:val="24292E"/>
          <w:sz w:val="19"/>
        </w:rPr>
        <w:t>, 46(2), 733–746.</w:t>
      </w:r>
    </w:p>
    <w:p>
      <w:pPr>
        <w:spacing w:before="20" w:after="40"/>
        <w:ind w:left="288"/>
      </w:pPr>
      <w:r>
        <w:rPr>
          <w:rFonts w:ascii="Calibri" w:hAnsi="Calibri"/>
          <w:color w:val="0F4C81"/>
          <w:sz w:val="20"/>
        </w:rPr>
        <w:t xml:space="preserve">• </w:t>
      </w:r>
      <w:r>
        <w:rPr>
          <w:rFonts w:ascii="Calibri" w:hAnsi="Calibri"/>
          <w:b w:val="0"/>
          <w:color w:val="24292E"/>
          <w:sz w:val="19"/>
        </w:rPr>
        <w:t xml:space="preserve">Lo, A. W. (2002). The statistics of Sharpe ratios. </w:t>
      </w:r>
      <w:r>
        <w:rPr>
          <w:rFonts w:ascii="Calibri" w:hAnsi="Calibri"/>
          <w:b w:val="0"/>
          <w:i/>
          <w:color w:val="24292E"/>
          <w:sz w:val="19"/>
        </w:rPr>
        <w:t>Financial Analysts Journal</w:t>
      </w:r>
      <w:r>
        <w:rPr>
          <w:rFonts w:ascii="Calibri" w:hAnsi="Calibri"/>
          <w:b w:val="0"/>
          <w:color w:val="24292E"/>
          <w:sz w:val="19"/>
        </w:rPr>
        <w:t>, 58(4), 36–52.</w:t>
      </w:r>
    </w:p>
    <w:p>
      <w:pPr>
        <w:spacing w:before="20" w:after="40"/>
        <w:ind w:left="288"/>
      </w:pPr>
      <w:r>
        <w:rPr>
          <w:rFonts w:ascii="Calibri" w:hAnsi="Calibri"/>
          <w:color w:val="0F4C81"/>
          <w:sz w:val="20"/>
        </w:rPr>
        <w:t xml:space="preserve">• </w:t>
      </w:r>
      <w:r>
        <w:rPr>
          <w:rFonts w:ascii="Calibri" w:hAnsi="Calibri"/>
          <w:b w:val="0"/>
          <w:color w:val="24292E"/>
          <w:sz w:val="19"/>
        </w:rPr>
        <w:t>Mertens, E. (2002). Comments on variance of the IID estimator in Lo (2002). Working paper, University of Basel.</w:t>
      </w:r>
    </w:p>
    <w:p>
      <w:pPr>
        <w:spacing w:before="20" w:after="40"/>
        <w:ind w:left="288"/>
      </w:pPr>
      <w:r>
        <w:rPr>
          <w:rFonts w:ascii="Calibri" w:hAnsi="Calibri"/>
          <w:color w:val="0F4C81"/>
          <w:sz w:val="20"/>
        </w:rPr>
        <w:t xml:space="preserve">• </w:t>
      </w:r>
      <w:r>
        <w:rPr>
          <w:rFonts w:ascii="Calibri" w:hAnsi="Calibri"/>
          <w:b w:val="0"/>
          <w:color w:val="24292E"/>
          <w:sz w:val="19"/>
        </w:rPr>
        <w:t xml:space="preserve">White, H. (2000). A reality check for data snooping. </w:t>
      </w:r>
      <w:r>
        <w:rPr>
          <w:rFonts w:ascii="Calibri" w:hAnsi="Calibri"/>
          <w:b w:val="0"/>
          <w:i/>
          <w:color w:val="24292E"/>
          <w:sz w:val="19"/>
        </w:rPr>
        <w:t>Econometrica</w:t>
      </w:r>
      <w:r>
        <w:rPr>
          <w:rFonts w:ascii="Calibri" w:hAnsi="Calibri"/>
          <w:b w:val="0"/>
          <w:color w:val="24292E"/>
          <w:sz w:val="19"/>
        </w:rPr>
        <w:t>, 68(5), 1097–1126.</w:t>
      </w:r>
    </w:p>
    <w:sectPr w:rsidR="00FC693F" w:rsidRPr="0006063C" w:rsidSect="00034616">
      <w:headerReference w:type="default" r:id="rId9"/>
      <w:footerReference w:type="default" r:id="rId10"/>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Trading &amp; Algorithmic Backtesting Portfolio</dc:title>
  <dc:subject>Empirical Algorithmic Trading &amp; Statistical Inference</dc:subject>
  <dc:creator>Yasser REZKI &amp; Ramy Ihab HENNANE</dc:creator>
  <cp:keywords/>
  <dc:description/>
  <cp:lastModifiedBy/>
  <cp:revision>1</cp:revision>
  <dcterms:created xsi:type="dcterms:W3CDTF">2013-12-23T23:15:00Z</dcterms:created>
  <dcterms:modified xsi:type="dcterms:W3CDTF">2013-12-23T23:15:00Z</dcterms:modified>
  <cp:category>Quantitative Finance</cp:category>
</cp:coreProperties>
</file>