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Northbridge Care Services - Board meeting minutes</w:t>
      </w:r>
    </w:p>
    <w:p>
      <w:r>
        <w:t>Meeting held on 18 September 2026.</w:t>
      </w:r>
    </w:p>
    <w:p>
      <w:r>
        <w:t>Present: the Chair, five trustees, the Chief Executive and the company secretary.</w:t>
      </w:r>
    </w:p>
    <w:p>
      <w:r>
        <w:t>1. The board approved a capital budget of £2.4 million for the new Leeds regional office.</w:t>
      </w:r>
    </w:p>
    <w:p>
      <w:r>
        <w:t>2. The Leeds regional office is scheduled to open on 3 March 2027.</w:t>
      </w:r>
    </w:p>
    <w:p>
      <w:r>
        <w:t>3. Priya Raman was confirmed as Chief Financial Officer.</w:t>
      </w:r>
    </w:p>
    <w:p>
      <w:r>
        <w:t>4. The board deferred the decision on the Bristol warehouse lease to the December meeting.</w:t>
      </w:r>
    </w:p>
  </w:body>
</w:document>
</file>